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header3.xml" ContentType="application/vnd.openxmlformats-officedocument.wordprocessingml.header+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AB" w:rsidRDefault="006F35AB" w:rsidP="006F35AB">
      <w:pPr>
        <w:rPr>
          <w:rFonts w:ascii="Arial" w:hAnsi="Arial" w:cs="Arial"/>
          <w:sz w:val="20"/>
        </w:rPr>
      </w:pPr>
    </w:p>
    <w:p w:rsidR="006F35AB" w:rsidRDefault="006F35AB" w:rsidP="006F35AB">
      <w:pPr>
        <w:tabs>
          <w:tab w:val="left" w:pos="6780"/>
        </w:tabs>
        <w:jc w:val="center"/>
        <w:rPr>
          <w:rFonts w:ascii="Times New Roman" w:hAnsi="Times New Roman"/>
          <w:b/>
          <w:sz w:val="20"/>
          <w:szCs w:val="20"/>
        </w:rPr>
      </w:pPr>
      <w:r>
        <w:rPr>
          <w:rFonts w:ascii="Times New Roman" w:hAnsi="Times New Roman"/>
          <w:b/>
          <w:sz w:val="20"/>
          <w:szCs w:val="20"/>
        </w:rPr>
        <w:t>Middlefield Canadian Income PCC (the "Company")</w:t>
      </w:r>
    </w:p>
    <w:p w:rsidR="006F35AB" w:rsidRDefault="006F35AB" w:rsidP="006F35AB">
      <w:pPr>
        <w:jc w:val="center"/>
        <w:rPr>
          <w:rFonts w:ascii="Times New Roman" w:hAnsi="Times New Roman"/>
          <w:sz w:val="20"/>
          <w:szCs w:val="20"/>
        </w:rPr>
      </w:pPr>
      <w:r>
        <w:rPr>
          <w:rFonts w:ascii="Times New Roman" w:hAnsi="Times New Roman"/>
          <w:b/>
          <w:sz w:val="20"/>
          <w:szCs w:val="20"/>
        </w:rPr>
        <w:t>Including Middlefield Canadian Income – GBP PC (the “Fund”), a cell of the Company</w:t>
      </w:r>
    </w:p>
    <w:p w:rsidR="006F35AB" w:rsidRDefault="006F35AB" w:rsidP="006F35AB">
      <w:pPr>
        <w:jc w:val="center"/>
        <w:rPr>
          <w:rFonts w:ascii="Times New Roman" w:hAnsi="Times New Roman"/>
          <w:sz w:val="20"/>
          <w:szCs w:val="20"/>
        </w:rPr>
      </w:pPr>
      <w:r>
        <w:rPr>
          <w:rFonts w:ascii="Times New Roman" w:hAnsi="Times New Roman"/>
          <w:sz w:val="20"/>
          <w:szCs w:val="20"/>
        </w:rPr>
        <w:t>Registered No:  93546</w:t>
      </w:r>
    </w:p>
    <w:p w:rsidR="006F35AB" w:rsidRDefault="006F35AB" w:rsidP="006F35AB">
      <w:pPr>
        <w:pStyle w:val="p"/>
        <w:rPr>
          <w:rStyle w:val="q"/>
          <w:rFonts w:ascii="Arial" w:hAnsi="Arial" w:cs="Arial"/>
          <w:b/>
          <w:bCs/>
          <w:lang w:val="en"/>
        </w:rPr>
      </w:pPr>
    </w:p>
    <w:p w:rsidR="006F35AB" w:rsidRDefault="006F35AB" w:rsidP="006F35AB">
      <w:pPr>
        <w:pStyle w:val="p"/>
        <w:jc w:val="center"/>
        <w:rPr>
          <w:rStyle w:val="q"/>
          <w:rFonts w:ascii="Arial" w:hAnsi="Arial" w:cs="Arial"/>
          <w:b/>
          <w:bCs/>
          <w:sz w:val="20"/>
          <w:lang w:val="en"/>
        </w:rPr>
      </w:pPr>
      <w:r>
        <w:rPr>
          <w:rStyle w:val="q"/>
          <w:rFonts w:ascii="Arial" w:hAnsi="Arial" w:cs="Arial"/>
          <w:b/>
          <w:bCs/>
          <w:sz w:val="20"/>
          <w:lang w:val="en"/>
        </w:rPr>
        <w:t>ANNUAL FINANCIAL REPORT</w:t>
      </w:r>
    </w:p>
    <w:p w:rsidR="006F35AB" w:rsidRDefault="006F35AB" w:rsidP="006F35AB">
      <w:pPr>
        <w:spacing w:line="360" w:lineRule="auto"/>
        <w:jc w:val="both"/>
        <w:rPr>
          <w:szCs w:val="20"/>
        </w:rPr>
      </w:pPr>
      <w:r>
        <w:rPr>
          <w:rFonts w:ascii="Arial" w:hAnsi="Arial" w:cs="Arial"/>
          <w:sz w:val="20"/>
          <w:szCs w:val="20"/>
        </w:rPr>
        <w:t>The information set out in this announcement is the Company’s full unedited annual financial report (audited) for the year ended 31 December, 2018 (the "</w:t>
      </w:r>
      <w:r>
        <w:rPr>
          <w:rFonts w:ascii="Arial" w:hAnsi="Arial" w:cs="Arial"/>
          <w:b/>
          <w:sz w:val="20"/>
          <w:szCs w:val="20"/>
        </w:rPr>
        <w:t>AFR</w:t>
      </w:r>
      <w:r>
        <w:rPr>
          <w:rFonts w:ascii="Arial" w:hAnsi="Arial" w:cs="Arial"/>
          <w:sz w:val="20"/>
          <w:szCs w:val="20"/>
        </w:rPr>
        <w:t xml:space="preserve">"). The AFR is expected to be printed and posted to all shareholders within April, 2019 and the Company will make a further announcement once the AFR has been uploaded to the Company’s website and to the National Storage Mechanism, </w:t>
      </w:r>
      <w:hyperlink r:id="rId9" w:history="1">
        <w:r>
          <w:rPr>
            <w:rStyle w:val="Hyperlink"/>
            <w:rFonts w:ascii="Arial" w:hAnsi="Arial" w:cs="Arial"/>
            <w:sz w:val="20"/>
            <w:lang w:val="en"/>
          </w:rPr>
          <w:t>www.morningstar.co.uk/uk/nsm</w:t>
        </w:r>
      </w:hyperlink>
      <w:r>
        <w:rPr>
          <w:rFonts w:ascii="Arial" w:hAnsi="Arial" w:cs="Arial"/>
          <w:sz w:val="20"/>
          <w:szCs w:val="20"/>
        </w:rPr>
        <w:t>.</w:t>
      </w:r>
    </w:p>
    <w:p w:rsidR="006F35AB" w:rsidRDefault="006F35AB" w:rsidP="006F35AB">
      <w:pPr>
        <w:pStyle w:val="p"/>
        <w:jc w:val="both"/>
        <w:rPr>
          <w:rStyle w:val="q"/>
          <w:b/>
          <w:lang w:val="en"/>
        </w:rPr>
      </w:pPr>
      <w:r>
        <w:rPr>
          <w:rStyle w:val="q"/>
          <w:rFonts w:ascii="Arial" w:hAnsi="Arial" w:cs="Arial"/>
          <w:b/>
          <w:sz w:val="20"/>
          <w:lang w:val="en"/>
        </w:rPr>
        <w:t>Annual General Meetings</w:t>
      </w:r>
    </w:p>
    <w:p w:rsidR="006F35AB" w:rsidRPr="00427527" w:rsidRDefault="006F35AB" w:rsidP="006F35AB">
      <w:pPr>
        <w:spacing w:line="360" w:lineRule="auto"/>
        <w:jc w:val="both"/>
        <w:rPr>
          <w:rStyle w:val="q"/>
          <w:rFonts w:ascii="Arial" w:hAnsi="Arial" w:cs="Arial"/>
          <w:sz w:val="20"/>
          <w:szCs w:val="20"/>
          <w:lang w:val="en" w:eastAsia="en-GB"/>
        </w:rPr>
      </w:pPr>
      <w:r>
        <w:rPr>
          <w:rStyle w:val="q"/>
          <w:rFonts w:ascii="Arial" w:hAnsi="Arial" w:cs="Arial"/>
          <w:sz w:val="20"/>
          <w:lang w:val="en" w:eastAsia="en-GB"/>
        </w:rPr>
        <w:t xml:space="preserve">This year’s annual general meetings will be held on 20 June 2019 at 12:00 p.m. </w:t>
      </w:r>
      <w:r w:rsidRPr="00CE4B14">
        <w:rPr>
          <w:rStyle w:val="q"/>
          <w:rFonts w:ascii="Arial" w:hAnsi="Arial" w:cs="Arial"/>
          <w:sz w:val="20"/>
          <w:szCs w:val="20"/>
          <w:lang w:val="en" w:eastAsia="en-GB"/>
        </w:rPr>
        <w:t>onwards</w:t>
      </w:r>
      <w:r w:rsidR="00BA2B3B">
        <w:rPr>
          <w:rStyle w:val="q"/>
          <w:rFonts w:ascii="Arial" w:hAnsi="Arial" w:cs="Arial"/>
          <w:sz w:val="20"/>
          <w:szCs w:val="20"/>
          <w:lang w:val="en" w:eastAsia="en-GB"/>
        </w:rPr>
        <w:t>,</w:t>
      </w:r>
      <w:r w:rsidRPr="00CE4B14">
        <w:rPr>
          <w:rStyle w:val="q"/>
          <w:rFonts w:ascii="Arial" w:hAnsi="Arial" w:cs="Arial"/>
          <w:sz w:val="20"/>
          <w:szCs w:val="20"/>
          <w:lang w:val="en" w:eastAsia="en-GB"/>
        </w:rPr>
        <w:t xml:space="preserve"> at the </w:t>
      </w:r>
      <w:bookmarkStart w:id="0" w:name="OLE_LINK10"/>
      <w:bookmarkStart w:id="1" w:name="OLE_LINK11"/>
      <w:r w:rsidR="009A125B" w:rsidRPr="000F0466">
        <w:rPr>
          <w:rStyle w:val="q"/>
          <w:rFonts w:ascii="Arial" w:hAnsi="Arial" w:cs="Arial"/>
          <w:sz w:val="20"/>
          <w:szCs w:val="20"/>
          <w:lang w:val="en" w:eastAsia="en-GB"/>
        </w:rPr>
        <w:t>Green Room 3, The Cumberland Hotel, Great Cumberland Place, Marble Arch, London, W1H 7DL.</w:t>
      </w:r>
    </w:p>
    <w:bookmarkEnd w:id="0"/>
    <w:bookmarkEnd w:id="1"/>
    <w:p w:rsidR="006F35AB" w:rsidRDefault="006F35AB" w:rsidP="006F35AB">
      <w:pPr>
        <w:rPr>
          <w:rStyle w:val="q"/>
          <w:rFonts w:ascii="Arial" w:hAnsi="Arial" w:cs="Arial"/>
          <w:sz w:val="20"/>
          <w:lang w:val="en" w:eastAsia="en-GB"/>
        </w:rPr>
      </w:pPr>
    </w:p>
    <w:p w:rsidR="006F35AB" w:rsidRDefault="006F35AB" w:rsidP="006F35AB">
      <w:pPr>
        <w:rPr>
          <w:rFonts w:eastAsia="MS Mincho"/>
        </w:rPr>
      </w:pPr>
      <w:r>
        <w:rPr>
          <w:rFonts w:ascii="Arial" w:eastAsia="MS Mincho" w:hAnsi="Arial" w:cs="Arial"/>
          <w:sz w:val="20"/>
        </w:rPr>
        <w:t>For further information about this announcement contact:</w:t>
      </w:r>
    </w:p>
    <w:p w:rsidR="006F35AB" w:rsidRDefault="006F35AB" w:rsidP="006F35AB">
      <w:pPr>
        <w:autoSpaceDE w:val="0"/>
        <w:autoSpaceDN w:val="0"/>
        <w:adjustRightInd w:val="0"/>
        <w:rPr>
          <w:rFonts w:ascii="Arial" w:hAnsi="Arial" w:cs="Arial"/>
          <w:sz w:val="20"/>
        </w:rPr>
      </w:pPr>
    </w:p>
    <w:p w:rsidR="006F35AB" w:rsidRDefault="006F35AB" w:rsidP="006F35AB">
      <w:pPr>
        <w:autoSpaceDE w:val="0"/>
        <w:autoSpaceDN w:val="0"/>
        <w:adjustRightInd w:val="0"/>
        <w:rPr>
          <w:rFonts w:ascii="Arial" w:hAnsi="Arial" w:cs="Arial"/>
          <w:sz w:val="20"/>
        </w:rPr>
      </w:pPr>
    </w:p>
    <w:p w:rsidR="006F35AB" w:rsidRDefault="006F35AB" w:rsidP="006F35AB">
      <w:pPr>
        <w:autoSpaceDE w:val="0"/>
        <w:autoSpaceDN w:val="0"/>
        <w:adjustRightInd w:val="0"/>
        <w:rPr>
          <w:rFonts w:ascii="Arial" w:hAnsi="Arial" w:cs="Arial"/>
          <w:sz w:val="20"/>
        </w:rPr>
      </w:pPr>
      <w:r>
        <w:rPr>
          <w:rFonts w:ascii="Arial" w:hAnsi="Arial" w:cs="Arial"/>
          <w:sz w:val="20"/>
        </w:rPr>
        <w:t>Assistant Secretary</w:t>
      </w:r>
    </w:p>
    <w:p w:rsidR="006F35AB" w:rsidRDefault="006F35AB" w:rsidP="006F35AB">
      <w:pPr>
        <w:autoSpaceDE w:val="0"/>
        <w:autoSpaceDN w:val="0"/>
        <w:adjustRightInd w:val="0"/>
        <w:rPr>
          <w:rFonts w:ascii="Arial" w:hAnsi="Arial" w:cs="Arial"/>
          <w:b/>
          <w:sz w:val="20"/>
        </w:rPr>
      </w:pPr>
      <w:r>
        <w:rPr>
          <w:rFonts w:ascii="Arial" w:hAnsi="Arial" w:cs="Arial"/>
          <w:b/>
          <w:sz w:val="20"/>
        </w:rPr>
        <w:t>JTC Fund Solutions (Guernsey) Limited</w:t>
      </w:r>
    </w:p>
    <w:p w:rsidR="006F35AB" w:rsidRDefault="006F35AB" w:rsidP="006F35AB">
      <w:pPr>
        <w:autoSpaceDE w:val="0"/>
        <w:autoSpaceDN w:val="0"/>
        <w:adjustRightInd w:val="0"/>
        <w:rPr>
          <w:rFonts w:ascii="Arial" w:hAnsi="Arial" w:cs="Arial"/>
          <w:sz w:val="20"/>
        </w:rPr>
      </w:pPr>
      <w:r>
        <w:rPr>
          <w:rFonts w:ascii="Arial" w:hAnsi="Arial" w:cs="Arial"/>
          <w:sz w:val="20"/>
        </w:rPr>
        <w:t>Tel.: 01481 702400</w:t>
      </w:r>
    </w:p>
    <w:p w:rsidR="006F35AB" w:rsidRDefault="006F35AB" w:rsidP="006F35AB">
      <w:pPr>
        <w:autoSpaceDE w:val="0"/>
        <w:autoSpaceDN w:val="0"/>
        <w:adjustRightInd w:val="0"/>
        <w:rPr>
          <w:rFonts w:ascii="Arial" w:hAnsi="Arial" w:cs="Arial"/>
          <w:sz w:val="20"/>
        </w:rPr>
      </w:pPr>
    </w:p>
    <w:p w:rsidR="006F35AB" w:rsidRDefault="006F35AB" w:rsidP="006F35AB">
      <w:pPr>
        <w:autoSpaceDE w:val="0"/>
        <w:autoSpaceDN w:val="0"/>
        <w:adjustRightInd w:val="0"/>
        <w:rPr>
          <w:rFonts w:ascii="Arial" w:hAnsi="Arial" w:cs="Arial"/>
          <w:sz w:val="20"/>
        </w:rPr>
      </w:pPr>
    </w:p>
    <w:p w:rsidR="006F35AB" w:rsidRDefault="006F35AB" w:rsidP="006F35AB">
      <w:pPr>
        <w:autoSpaceDE w:val="0"/>
        <w:autoSpaceDN w:val="0"/>
        <w:adjustRightInd w:val="0"/>
        <w:rPr>
          <w:rFonts w:ascii="Arial" w:hAnsi="Arial" w:cs="Arial"/>
          <w:sz w:val="20"/>
        </w:rPr>
      </w:pPr>
      <w:r>
        <w:rPr>
          <w:rFonts w:ascii="Arial" w:hAnsi="Arial" w:cs="Arial"/>
          <w:sz w:val="20"/>
        </w:rPr>
        <w:t xml:space="preserve">Dean </w:t>
      </w:r>
      <w:proofErr w:type="spellStart"/>
      <w:r>
        <w:rPr>
          <w:rFonts w:ascii="Arial" w:hAnsi="Arial" w:cs="Arial"/>
          <w:sz w:val="20"/>
        </w:rPr>
        <w:t>Orrico</w:t>
      </w:r>
      <w:proofErr w:type="spellEnd"/>
    </w:p>
    <w:p w:rsidR="006F35AB" w:rsidRDefault="006F35AB" w:rsidP="006F35AB">
      <w:pPr>
        <w:autoSpaceDE w:val="0"/>
        <w:autoSpaceDN w:val="0"/>
        <w:adjustRightInd w:val="0"/>
        <w:rPr>
          <w:rFonts w:ascii="Arial" w:hAnsi="Arial" w:cs="Arial"/>
          <w:sz w:val="20"/>
        </w:rPr>
      </w:pPr>
      <w:r>
        <w:rPr>
          <w:rFonts w:ascii="Arial" w:hAnsi="Arial" w:cs="Arial"/>
          <w:sz w:val="20"/>
        </w:rPr>
        <w:t>President</w:t>
      </w:r>
    </w:p>
    <w:p w:rsidR="006F35AB" w:rsidRDefault="006F35AB" w:rsidP="006F35AB">
      <w:pPr>
        <w:autoSpaceDE w:val="0"/>
        <w:autoSpaceDN w:val="0"/>
        <w:adjustRightInd w:val="0"/>
        <w:rPr>
          <w:rFonts w:ascii="Arial" w:hAnsi="Arial" w:cs="Arial"/>
          <w:b/>
          <w:sz w:val="20"/>
        </w:rPr>
      </w:pPr>
      <w:r>
        <w:rPr>
          <w:rFonts w:ascii="Arial" w:hAnsi="Arial" w:cs="Arial"/>
          <w:b/>
          <w:sz w:val="20"/>
        </w:rPr>
        <w:t>Middlefield International Limited</w:t>
      </w:r>
    </w:p>
    <w:p w:rsidR="006F35AB" w:rsidRDefault="006F35AB" w:rsidP="006F35AB">
      <w:pPr>
        <w:rPr>
          <w:rFonts w:ascii="Arial" w:hAnsi="Arial" w:cs="Arial"/>
          <w:sz w:val="20"/>
        </w:rPr>
      </w:pPr>
      <w:r>
        <w:rPr>
          <w:rFonts w:ascii="Arial" w:hAnsi="Arial" w:cs="Arial"/>
          <w:sz w:val="20"/>
        </w:rPr>
        <w:t>Tel.: 01203 7094016</w:t>
      </w:r>
    </w:p>
    <w:p w:rsidR="006F35AB" w:rsidRDefault="006F35AB" w:rsidP="006F35AB">
      <w:pPr>
        <w:rPr>
          <w:rFonts w:ascii="Times New Roman" w:hAnsi="Times New Roman"/>
          <w:sz w:val="20"/>
        </w:rPr>
      </w:pPr>
      <w:r>
        <w:rPr>
          <w:rFonts w:ascii="Times New Roman" w:hAnsi="Times New Roman"/>
          <w:sz w:val="20"/>
        </w:rPr>
        <w:t xml:space="preserve"> </w:t>
      </w:r>
    </w:p>
    <w:p w:rsidR="006F35AB" w:rsidRDefault="006F35AB" w:rsidP="006F35AB">
      <w:pPr>
        <w:rPr>
          <w:rFonts w:ascii="Times New Roman" w:hAnsi="Times New Roman"/>
          <w:sz w:val="20"/>
        </w:rPr>
      </w:pPr>
    </w:p>
    <w:p w:rsidR="006F35AB" w:rsidRDefault="006F35AB" w:rsidP="006F35AB">
      <w:pPr>
        <w:rPr>
          <w:rFonts w:ascii="Times New Roman" w:hAnsi="Times New Roman"/>
          <w:sz w:val="20"/>
        </w:rPr>
      </w:pPr>
    </w:p>
    <w:p w:rsidR="006F35AB" w:rsidRDefault="006F35AB" w:rsidP="006F35AB">
      <w:pPr>
        <w:rPr>
          <w:rFonts w:ascii="Times New Roman" w:hAnsi="Times New Roman"/>
          <w:sz w:val="20"/>
        </w:rPr>
      </w:pPr>
    </w:p>
    <w:p w:rsidR="006F35AB" w:rsidRDefault="006F35AB" w:rsidP="006F35AB">
      <w:pPr>
        <w:rPr>
          <w:rFonts w:ascii="Times New Roman" w:hAnsi="Times New Roman"/>
          <w:sz w:val="20"/>
        </w:rPr>
      </w:pPr>
    </w:p>
    <w:p w:rsidR="006F35AB" w:rsidRDefault="006F35AB" w:rsidP="006F35AB">
      <w:pPr>
        <w:rPr>
          <w:rFonts w:ascii="Times New Roman" w:hAnsi="Times New Roman"/>
          <w:sz w:val="20"/>
        </w:rPr>
      </w:pPr>
    </w:p>
    <w:p w:rsidR="0008270C" w:rsidRPr="00AC5183" w:rsidRDefault="0008270C">
      <w:pPr>
        <w:rPr>
          <w:rFonts w:ascii="Times New Roman" w:hAnsi="Times New Roman"/>
          <w:strike/>
          <w:sz w:val="20"/>
        </w:rPr>
      </w:pPr>
    </w:p>
    <w:p w:rsidR="0008270C" w:rsidRPr="009170B8" w:rsidRDefault="0008270C">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6F35AB" w:rsidRDefault="006F35AB">
      <w:pPr>
        <w:rPr>
          <w:rFonts w:ascii="Times New Roman" w:hAnsi="Times New Roman"/>
          <w:i/>
          <w:iCs/>
          <w:sz w:val="20"/>
        </w:rPr>
      </w:pPr>
    </w:p>
    <w:p w:rsidR="00296AEA" w:rsidRPr="009170B8" w:rsidRDefault="00296AEA" w:rsidP="00F302E3">
      <w:pPr>
        <w:pStyle w:val="Heading1"/>
        <w:rPr>
          <w:rFonts w:ascii="Times New Roman" w:hAnsi="Times New Roman"/>
          <w:sz w:val="24"/>
        </w:rPr>
      </w:pPr>
      <w:r w:rsidRPr="009170B8">
        <w:rPr>
          <w:rFonts w:ascii="Times New Roman" w:hAnsi="Times New Roman"/>
          <w:sz w:val="24"/>
        </w:rPr>
        <w:lastRenderedPageBreak/>
        <w:t xml:space="preserve">MIDDLEFIELD CANADIAN INCOME </w:t>
      </w:r>
      <w:r w:rsidR="00F302E3" w:rsidRPr="009170B8">
        <w:rPr>
          <w:rFonts w:ascii="Times New Roman" w:hAnsi="Times New Roman"/>
          <w:sz w:val="24"/>
        </w:rPr>
        <w:t>PC</w:t>
      </w:r>
      <w:r w:rsidRPr="009170B8">
        <w:rPr>
          <w:rFonts w:ascii="Times New Roman" w:hAnsi="Times New Roman"/>
          <w:sz w:val="24"/>
        </w:rPr>
        <w:t>C</w:t>
      </w:r>
      <w:r w:rsidR="00D419A5" w:rsidRPr="009170B8">
        <w:rPr>
          <w:rFonts w:ascii="Times New Roman" w:hAnsi="Times New Roman"/>
          <w:sz w:val="24"/>
        </w:rPr>
        <w:t xml:space="preserve"> (the “Company”)</w:t>
      </w:r>
    </w:p>
    <w:p w:rsidR="00F302E3" w:rsidRPr="009170B8" w:rsidRDefault="00F302E3" w:rsidP="00F302E3">
      <w:pPr>
        <w:pStyle w:val="Heading1"/>
        <w:rPr>
          <w:rFonts w:ascii="Times New Roman" w:hAnsi="Times New Roman"/>
          <w:sz w:val="24"/>
        </w:rPr>
      </w:pPr>
      <w:r w:rsidRPr="009170B8">
        <w:rPr>
          <w:rFonts w:ascii="Times New Roman" w:hAnsi="Times New Roman"/>
          <w:sz w:val="24"/>
        </w:rPr>
        <w:t>Including MIDDLEFIELD CANADIAN INCOME – GBP PC</w:t>
      </w:r>
    </w:p>
    <w:p w:rsidR="00F302E3" w:rsidRPr="009170B8" w:rsidRDefault="00F302E3" w:rsidP="00F302E3">
      <w:pPr>
        <w:jc w:val="center"/>
        <w:rPr>
          <w:rFonts w:ascii="Times New Roman" w:hAnsi="Times New Roman"/>
        </w:rPr>
      </w:pPr>
      <w:r w:rsidRPr="009170B8">
        <w:rPr>
          <w:rFonts w:ascii="Times New Roman" w:hAnsi="Times New Roman"/>
          <w:b/>
        </w:rPr>
        <w:t>(the</w:t>
      </w:r>
      <w:r w:rsidR="00B455CF" w:rsidRPr="009170B8">
        <w:rPr>
          <w:rFonts w:ascii="Times New Roman" w:hAnsi="Times New Roman"/>
          <w:b/>
        </w:rPr>
        <w:t xml:space="preserve"> </w:t>
      </w:r>
      <w:r w:rsidRPr="009170B8">
        <w:rPr>
          <w:rFonts w:ascii="Times New Roman" w:hAnsi="Times New Roman"/>
          <w:b/>
        </w:rPr>
        <w:t xml:space="preserve">“Fund”), a cell of the </w:t>
      </w:r>
      <w:r w:rsidR="007243A2" w:rsidRPr="009170B8">
        <w:rPr>
          <w:rFonts w:ascii="Times New Roman" w:hAnsi="Times New Roman"/>
          <w:b/>
        </w:rPr>
        <w:t>C</w:t>
      </w:r>
      <w:r w:rsidRPr="009170B8">
        <w:rPr>
          <w:rFonts w:ascii="Times New Roman" w:hAnsi="Times New Roman"/>
          <w:b/>
        </w:rPr>
        <w:t>ompany</w:t>
      </w:r>
    </w:p>
    <w:p w:rsidR="0008270C" w:rsidRPr="009170B8" w:rsidRDefault="0008270C">
      <w:pPr>
        <w:pStyle w:val="Heading1"/>
        <w:rPr>
          <w:rFonts w:ascii="Times New Roman" w:hAnsi="Times New Roman"/>
          <w:sz w:val="24"/>
        </w:rPr>
      </w:pPr>
    </w:p>
    <w:p w:rsidR="0008270C" w:rsidRPr="009170B8" w:rsidRDefault="0008270C">
      <w:pPr>
        <w:jc w:val="center"/>
        <w:rPr>
          <w:rFonts w:ascii="Times New Roman" w:hAnsi="Times New Roman"/>
          <w:b/>
          <w:bCs/>
          <w:sz w:val="24"/>
        </w:rPr>
      </w:pPr>
    </w:p>
    <w:p w:rsidR="0008270C" w:rsidRPr="009170B8" w:rsidRDefault="00000B81">
      <w:pPr>
        <w:jc w:val="center"/>
        <w:rPr>
          <w:rFonts w:ascii="Times New Roman" w:hAnsi="Times New Roman"/>
          <w:b/>
          <w:bCs/>
          <w:sz w:val="24"/>
        </w:rPr>
      </w:pPr>
      <w:r w:rsidRPr="009170B8">
        <w:rPr>
          <w:rFonts w:ascii="Times New Roman" w:hAnsi="Times New Roman"/>
          <w:b/>
          <w:bCs/>
          <w:sz w:val="24"/>
        </w:rPr>
        <w:t>ANNUAL</w:t>
      </w:r>
      <w:r w:rsidR="00203B1A" w:rsidRPr="009170B8">
        <w:rPr>
          <w:rFonts w:ascii="Times New Roman" w:hAnsi="Times New Roman"/>
          <w:b/>
          <w:bCs/>
          <w:sz w:val="24"/>
        </w:rPr>
        <w:t xml:space="preserve"> </w:t>
      </w:r>
      <w:r w:rsidR="009200C7" w:rsidRPr="009170B8">
        <w:rPr>
          <w:rFonts w:ascii="Times New Roman" w:hAnsi="Times New Roman"/>
          <w:b/>
          <w:bCs/>
          <w:sz w:val="24"/>
        </w:rPr>
        <w:t xml:space="preserve">FINANCIAL </w:t>
      </w:r>
      <w:r w:rsidR="00203B1A" w:rsidRPr="009170B8">
        <w:rPr>
          <w:rFonts w:ascii="Times New Roman" w:hAnsi="Times New Roman"/>
          <w:b/>
          <w:bCs/>
          <w:sz w:val="24"/>
        </w:rPr>
        <w:t>REPORT</w:t>
      </w:r>
    </w:p>
    <w:p w:rsidR="0008270C" w:rsidRPr="009170B8" w:rsidRDefault="0008270C">
      <w:pPr>
        <w:jc w:val="center"/>
        <w:rPr>
          <w:rFonts w:ascii="Times New Roman" w:hAnsi="Times New Roman"/>
          <w:b/>
          <w:bCs/>
          <w:sz w:val="24"/>
        </w:rPr>
      </w:pPr>
    </w:p>
    <w:p w:rsidR="0008270C" w:rsidRPr="009170B8" w:rsidRDefault="0008270C">
      <w:pPr>
        <w:jc w:val="center"/>
        <w:rPr>
          <w:rFonts w:ascii="Times New Roman" w:hAnsi="Times New Roman"/>
          <w:b/>
          <w:bCs/>
          <w:sz w:val="24"/>
        </w:rPr>
      </w:pPr>
      <w:r w:rsidRPr="009170B8">
        <w:rPr>
          <w:rFonts w:ascii="Times New Roman" w:hAnsi="Times New Roman"/>
          <w:b/>
          <w:bCs/>
          <w:sz w:val="24"/>
        </w:rPr>
        <w:t>For</w:t>
      </w:r>
      <w:r w:rsidR="00C621FD" w:rsidRPr="009170B8">
        <w:rPr>
          <w:rFonts w:ascii="Times New Roman" w:hAnsi="Times New Roman"/>
          <w:b/>
          <w:bCs/>
          <w:sz w:val="24"/>
        </w:rPr>
        <w:t xml:space="preserve"> the year ended 31 </w:t>
      </w:r>
      <w:r w:rsidR="00C621FD" w:rsidRPr="00074F84">
        <w:rPr>
          <w:rFonts w:ascii="Times New Roman" w:hAnsi="Times New Roman"/>
          <w:b/>
          <w:bCs/>
          <w:sz w:val="24"/>
        </w:rPr>
        <w:t>December 201</w:t>
      </w:r>
      <w:r w:rsidR="00C10BEA">
        <w:rPr>
          <w:rFonts w:ascii="Times New Roman" w:hAnsi="Times New Roman"/>
          <w:b/>
          <w:bCs/>
          <w:sz w:val="24"/>
        </w:rPr>
        <w:t>8</w:t>
      </w:r>
    </w:p>
    <w:p w:rsidR="0008270C" w:rsidRPr="009170B8" w:rsidRDefault="0008270C" w:rsidP="001F4189">
      <w:pPr>
        <w:rPr>
          <w:rFonts w:ascii="Times New Roman" w:hAnsi="Times New Roman"/>
          <w:b/>
          <w:bCs/>
          <w:highlight w:val="yellow"/>
        </w:rPr>
        <w:sectPr w:rsidR="0008270C" w:rsidRPr="009170B8" w:rsidSect="006F35AB">
          <w:headerReference w:type="default" r:id="rId10"/>
          <w:footerReference w:type="default" r:id="rId11"/>
          <w:pgSz w:w="11906" w:h="16838" w:code="9"/>
          <w:pgMar w:top="851" w:right="851" w:bottom="851" w:left="851" w:header="709" w:footer="709" w:gutter="0"/>
          <w:pgNumType w:start="0"/>
          <w:cols w:space="708"/>
          <w:titlePg/>
          <w:docGrid w:linePitch="360"/>
        </w:sectPr>
      </w:pPr>
    </w:p>
    <w:p w:rsidR="002D0CF0" w:rsidRDefault="002D0CF0">
      <w:pPr>
        <w:pStyle w:val="Heading2"/>
        <w:rPr>
          <w:rFonts w:ascii="Times New Roman" w:hAnsi="Times New Roman"/>
        </w:rPr>
      </w:pPr>
    </w:p>
    <w:p w:rsidR="0008270C" w:rsidRPr="009170B8" w:rsidRDefault="0008270C">
      <w:pPr>
        <w:pStyle w:val="Heading2"/>
        <w:rPr>
          <w:rFonts w:ascii="Times New Roman" w:hAnsi="Times New Roman"/>
        </w:rPr>
      </w:pPr>
      <w:r w:rsidRPr="009170B8">
        <w:rPr>
          <w:rFonts w:ascii="Times New Roman" w:hAnsi="Times New Roman"/>
        </w:rPr>
        <w:t>Table of Contents</w:t>
      </w:r>
    </w:p>
    <w:p w:rsidR="0008270C" w:rsidRPr="009170B8" w:rsidRDefault="0008270C">
      <w:pPr>
        <w:rPr>
          <w:rFonts w:ascii="Times New Roman" w:hAnsi="Times New Roman"/>
          <w:b/>
          <w:bCs/>
        </w:rPr>
      </w:pPr>
    </w:p>
    <w:p w:rsidR="0008270C" w:rsidRPr="009170B8" w:rsidRDefault="0008270C">
      <w:pPr>
        <w:tabs>
          <w:tab w:val="right" w:pos="8222"/>
        </w:tabs>
        <w:rPr>
          <w:rFonts w:ascii="Times New Roman" w:hAnsi="Times New Roman"/>
          <w:b/>
          <w:bCs/>
        </w:rPr>
      </w:pPr>
    </w:p>
    <w:p w:rsidR="0008270C" w:rsidRPr="009170B8" w:rsidRDefault="0008270C">
      <w:pPr>
        <w:pStyle w:val="Header"/>
        <w:tabs>
          <w:tab w:val="clear" w:pos="4153"/>
          <w:tab w:val="clear" w:pos="8306"/>
          <w:tab w:val="right" w:pos="8222"/>
        </w:tabs>
        <w:rPr>
          <w:rFonts w:ascii="Times New Roman" w:hAnsi="Times New Roman"/>
        </w:rPr>
      </w:pPr>
    </w:p>
    <w:p w:rsidR="0008270C" w:rsidRPr="009170B8" w:rsidRDefault="0008270C">
      <w:pPr>
        <w:tabs>
          <w:tab w:val="right" w:pos="8222"/>
        </w:tabs>
        <w:rPr>
          <w:rFonts w:ascii="Times New Roman" w:hAnsi="Times New Roman"/>
          <w:sz w:val="20"/>
        </w:rPr>
      </w:pPr>
    </w:p>
    <w:p w:rsidR="0008270C" w:rsidRPr="009170B8" w:rsidRDefault="0008270C">
      <w:pPr>
        <w:tabs>
          <w:tab w:val="right" w:pos="8222"/>
        </w:tabs>
        <w:rPr>
          <w:rFonts w:ascii="Times New Roman" w:hAnsi="Times New Roman"/>
          <w:sz w:val="20"/>
        </w:rPr>
      </w:pPr>
      <w:r w:rsidRPr="009170B8">
        <w:rPr>
          <w:rFonts w:ascii="Times New Roman" w:hAnsi="Times New Roman"/>
          <w:sz w:val="20"/>
        </w:rPr>
        <w:t>Chairman’s Report</w:t>
      </w:r>
      <w:r w:rsidRPr="009170B8">
        <w:rPr>
          <w:rFonts w:ascii="Times New Roman" w:hAnsi="Times New Roman"/>
          <w:sz w:val="20"/>
        </w:rPr>
        <w:tab/>
      </w:r>
      <w:r w:rsidR="00AA6E18">
        <w:rPr>
          <w:rFonts w:ascii="Times New Roman" w:hAnsi="Times New Roman"/>
          <w:sz w:val="20"/>
        </w:rPr>
        <w:t>3</w:t>
      </w:r>
    </w:p>
    <w:p w:rsidR="0008270C" w:rsidRPr="009170B8" w:rsidRDefault="0008270C">
      <w:pPr>
        <w:tabs>
          <w:tab w:val="right" w:pos="8222"/>
        </w:tabs>
        <w:rPr>
          <w:rFonts w:ascii="Times New Roman" w:hAnsi="Times New Roman"/>
          <w:sz w:val="20"/>
        </w:rPr>
      </w:pPr>
    </w:p>
    <w:p w:rsidR="0008270C" w:rsidRPr="009170B8" w:rsidRDefault="00454491">
      <w:pPr>
        <w:pStyle w:val="CommentText"/>
        <w:tabs>
          <w:tab w:val="right" w:pos="8222"/>
        </w:tabs>
        <w:rPr>
          <w:rFonts w:ascii="Times New Roman" w:hAnsi="Times New Roman"/>
          <w:szCs w:val="24"/>
        </w:rPr>
      </w:pPr>
      <w:r w:rsidRPr="009170B8">
        <w:rPr>
          <w:rFonts w:ascii="Times New Roman" w:hAnsi="Times New Roman"/>
          <w:szCs w:val="24"/>
        </w:rPr>
        <w:t xml:space="preserve">Investment </w:t>
      </w:r>
      <w:r w:rsidR="00047A69" w:rsidRPr="009170B8">
        <w:rPr>
          <w:rFonts w:ascii="Times New Roman" w:hAnsi="Times New Roman"/>
          <w:szCs w:val="24"/>
        </w:rPr>
        <w:t>Manager</w:t>
      </w:r>
      <w:r w:rsidRPr="009170B8">
        <w:rPr>
          <w:rFonts w:ascii="Times New Roman" w:hAnsi="Times New Roman"/>
          <w:szCs w:val="24"/>
        </w:rPr>
        <w:t>’s Report</w:t>
      </w:r>
      <w:r w:rsidRPr="009170B8">
        <w:rPr>
          <w:rFonts w:ascii="Times New Roman" w:hAnsi="Times New Roman"/>
          <w:szCs w:val="24"/>
        </w:rPr>
        <w:tab/>
      </w:r>
      <w:r w:rsidR="00000F1B">
        <w:rPr>
          <w:rFonts w:ascii="Times New Roman" w:hAnsi="Times New Roman"/>
          <w:szCs w:val="24"/>
        </w:rPr>
        <w:t>7</w:t>
      </w:r>
    </w:p>
    <w:p w:rsidR="0008270C" w:rsidRPr="009170B8" w:rsidRDefault="0008270C">
      <w:pPr>
        <w:tabs>
          <w:tab w:val="right" w:pos="8222"/>
        </w:tabs>
        <w:rPr>
          <w:rFonts w:ascii="Times New Roman" w:hAnsi="Times New Roman"/>
          <w:sz w:val="20"/>
        </w:rPr>
      </w:pPr>
    </w:p>
    <w:p w:rsidR="0008270C" w:rsidRPr="009170B8" w:rsidRDefault="00454491">
      <w:pPr>
        <w:tabs>
          <w:tab w:val="right" w:pos="8222"/>
        </w:tabs>
        <w:rPr>
          <w:rFonts w:ascii="Times New Roman" w:hAnsi="Times New Roman"/>
          <w:sz w:val="20"/>
        </w:rPr>
      </w:pPr>
      <w:r w:rsidRPr="009170B8">
        <w:rPr>
          <w:rFonts w:ascii="Times New Roman" w:hAnsi="Times New Roman"/>
          <w:sz w:val="20"/>
        </w:rPr>
        <w:t>Directors</w:t>
      </w:r>
      <w:r w:rsidR="00BD41DE" w:rsidRPr="009170B8">
        <w:rPr>
          <w:rFonts w:ascii="Times New Roman" w:hAnsi="Times New Roman"/>
          <w:sz w:val="20"/>
        </w:rPr>
        <w:t>’</w:t>
      </w:r>
      <w:r w:rsidR="00A13FD4" w:rsidRPr="009170B8">
        <w:rPr>
          <w:rFonts w:ascii="Times New Roman" w:hAnsi="Times New Roman"/>
          <w:sz w:val="20"/>
        </w:rPr>
        <w:t xml:space="preserve"> Report</w:t>
      </w:r>
      <w:r w:rsidRPr="009170B8">
        <w:rPr>
          <w:rFonts w:ascii="Times New Roman" w:hAnsi="Times New Roman"/>
          <w:sz w:val="20"/>
        </w:rPr>
        <w:tab/>
      </w:r>
      <w:r w:rsidR="00000F1B">
        <w:rPr>
          <w:rFonts w:ascii="Times New Roman" w:hAnsi="Times New Roman"/>
          <w:sz w:val="20"/>
        </w:rPr>
        <w:t>10</w:t>
      </w:r>
    </w:p>
    <w:p w:rsidR="0008270C" w:rsidRPr="009170B8" w:rsidRDefault="0008270C">
      <w:pPr>
        <w:tabs>
          <w:tab w:val="right" w:pos="8222"/>
        </w:tabs>
        <w:rPr>
          <w:rFonts w:ascii="Times New Roman" w:hAnsi="Times New Roman"/>
          <w:sz w:val="20"/>
        </w:rPr>
      </w:pPr>
    </w:p>
    <w:p w:rsidR="0008270C" w:rsidRPr="009170B8" w:rsidRDefault="0008270C">
      <w:pPr>
        <w:tabs>
          <w:tab w:val="right" w:pos="8222"/>
        </w:tabs>
        <w:rPr>
          <w:rFonts w:ascii="Times New Roman" w:hAnsi="Times New Roman"/>
          <w:sz w:val="20"/>
        </w:rPr>
      </w:pPr>
      <w:r w:rsidRPr="009170B8">
        <w:rPr>
          <w:rFonts w:ascii="Times New Roman" w:hAnsi="Times New Roman"/>
          <w:sz w:val="20"/>
        </w:rPr>
        <w:t>Directors’ Responsibi</w:t>
      </w:r>
      <w:r w:rsidR="00DF7B9E" w:rsidRPr="009170B8">
        <w:rPr>
          <w:rFonts w:ascii="Times New Roman" w:hAnsi="Times New Roman"/>
          <w:sz w:val="20"/>
        </w:rPr>
        <w:t>lities</w:t>
      </w:r>
      <w:r w:rsidR="00DF7B9E" w:rsidRPr="009170B8">
        <w:rPr>
          <w:rFonts w:ascii="Times New Roman" w:hAnsi="Times New Roman"/>
          <w:sz w:val="20"/>
        </w:rPr>
        <w:tab/>
      </w:r>
      <w:r w:rsidR="00AA6E18">
        <w:rPr>
          <w:rFonts w:ascii="Times New Roman" w:hAnsi="Times New Roman"/>
          <w:sz w:val="20"/>
        </w:rPr>
        <w:t>2</w:t>
      </w:r>
      <w:r w:rsidR="00140415">
        <w:rPr>
          <w:rFonts w:ascii="Times New Roman" w:hAnsi="Times New Roman"/>
          <w:sz w:val="20"/>
        </w:rPr>
        <w:t>4</w:t>
      </w:r>
    </w:p>
    <w:p w:rsidR="00B44D91" w:rsidRPr="009170B8" w:rsidRDefault="00B44D91">
      <w:pPr>
        <w:tabs>
          <w:tab w:val="right" w:pos="8222"/>
        </w:tabs>
        <w:rPr>
          <w:rFonts w:ascii="Times New Roman" w:hAnsi="Times New Roman"/>
          <w:sz w:val="20"/>
        </w:rPr>
      </w:pPr>
    </w:p>
    <w:p w:rsidR="00B44D91" w:rsidRPr="009170B8" w:rsidRDefault="00916D00">
      <w:pPr>
        <w:tabs>
          <w:tab w:val="right" w:pos="8222"/>
        </w:tabs>
        <w:rPr>
          <w:rFonts w:ascii="Times New Roman" w:hAnsi="Times New Roman"/>
          <w:sz w:val="20"/>
        </w:rPr>
      </w:pPr>
      <w:r>
        <w:rPr>
          <w:rFonts w:ascii="Times New Roman" w:hAnsi="Times New Roman"/>
          <w:sz w:val="20"/>
        </w:rPr>
        <w:t>Report of the Audit Committee</w:t>
      </w:r>
      <w:r>
        <w:rPr>
          <w:rFonts w:ascii="Times New Roman" w:hAnsi="Times New Roman"/>
          <w:sz w:val="20"/>
        </w:rPr>
        <w:tab/>
        <w:t>2</w:t>
      </w:r>
      <w:r w:rsidR="00140415">
        <w:rPr>
          <w:rFonts w:ascii="Times New Roman" w:hAnsi="Times New Roman"/>
          <w:sz w:val="20"/>
        </w:rPr>
        <w:t>5</w:t>
      </w:r>
    </w:p>
    <w:p w:rsidR="004E6C8C" w:rsidRPr="009170B8" w:rsidRDefault="004E6C8C">
      <w:pPr>
        <w:tabs>
          <w:tab w:val="right" w:pos="8222"/>
        </w:tabs>
        <w:rPr>
          <w:rFonts w:ascii="Times New Roman" w:hAnsi="Times New Roman"/>
          <w:sz w:val="20"/>
        </w:rPr>
      </w:pPr>
    </w:p>
    <w:p w:rsidR="0008270C" w:rsidRPr="009170B8" w:rsidRDefault="00DF7B9E">
      <w:pPr>
        <w:tabs>
          <w:tab w:val="right" w:pos="8222"/>
        </w:tabs>
        <w:rPr>
          <w:rFonts w:ascii="Times New Roman" w:hAnsi="Times New Roman"/>
          <w:sz w:val="20"/>
        </w:rPr>
      </w:pPr>
      <w:r w:rsidRPr="009170B8">
        <w:rPr>
          <w:rFonts w:ascii="Times New Roman" w:hAnsi="Times New Roman"/>
          <w:sz w:val="20"/>
        </w:rPr>
        <w:t>Independent Auditor</w:t>
      </w:r>
      <w:r w:rsidR="00044C09" w:rsidRPr="009170B8">
        <w:rPr>
          <w:rFonts w:ascii="Times New Roman" w:hAnsi="Times New Roman"/>
          <w:sz w:val="20"/>
        </w:rPr>
        <w:t>’</w:t>
      </w:r>
      <w:r w:rsidRPr="009170B8">
        <w:rPr>
          <w:rFonts w:ascii="Times New Roman" w:hAnsi="Times New Roman"/>
          <w:sz w:val="20"/>
        </w:rPr>
        <w:t>s Report</w:t>
      </w:r>
      <w:r w:rsidR="00064FF4" w:rsidRPr="009170B8">
        <w:rPr>
          <w:rFonts w:ascii="Times New Roman" w:hAnsi="Times New Roman"/>
          <w:sz w:val="20"/>
        </w:rPr>
        <w:t xml:space="preserve"> on the Fund</w:t>
      </w:r>
      <w:r w:rsidRPr="009170B8">
        <w:rPr>
          <w:rFonts w:ascii="Times New Roman" w:hAnsi="Times New Roman"/>
          <w:sz w:val="20"/>
        </w:rPr>
        <w:tab/>
      </w:r>
      <w:r w:rsidR="00916D00">
        <w:rPr>
          <w:rFonts w:ascii="Times New Roman" w:hAnsi="Times New Roman"/>
          <w:sz w:val="20"/>
        </w:rPr>
        <w:t>2</w:t>
      </w:r>
      <w:r w:rsidR="00140415">
        <w:rPr>
          <w:rFonts w:ascii="Times New Roman" w:hAnsi="Times New Roman"/>
          <w:sz w:val="20"/>
        </w:rPr>
        <w:t>8</w:t>
      </w:r>
    </w:p>
    <w:p w:rsidR="0008270C" w:rsidRPr="009170B8" w:rsidRDefault="0008270C">
      <w:pPr>
        <w:tabs>
          <w:tab w:val="right" w:pos="8222"/>
        </w:tabs>
        <w:rPr>
          <w:rFonts w:ascii="Times New Roman" w:hAnsi="Times New Roman"/>
          <w:sz w:val="20"/>
        </w:rPr>
      </w:pPr>
    </w:p>
    <w:p w:rsidR="0008270C" w:rsidRPr="009170B8" w:rsidRDefault="006C5B9F" w:rsidP="00A60119">
      <w:pPr>
        <w:tabs>
          <w:tab w:val="right" w:pos="8222"/>
        </w:tabs>
        <w:rPr>
          <w:rFonts w:ascii="Times New Roman" w:hAnsi="Times New Roman"/>
          <w:sz w:val="20"/>
        </w:rPr>
      </w:pPr>
      <w:bookmarkStart w:id="2" w:name="OLE_LINK7"/>
      <w:r w:rsidRPr="009170B8">
        <w:rPr>
          <w:rFonts w:ascii="Times New Roman" w:hAnsi="Times New Roman"/>
          <w:sz w:val="20"/>
        </w:rPr>
        <w:t>Statement of Financial Position</w:t>
      </w:r>
      <w:r w:rsidR="00B65BFF" w:rsidRPr="009170B8">
        <w:rPr>
          <w:rFonts w:ascii="Times New Roman" w:hAnsi="Times New Roman"/>
          <w:sz w:val="20"/>
        </w:rPr>
        <w:t xml:space="preserve"> </w:t>
      </w:r>
      <w:bookmarkEnd w:id="2"/>
      <w:r w:rsidR="00B65BFF" w:rsidRPr="009170B8">
        <w:rPr>
          <w:rFonts w:ascii="Times New Roman" w:hAnsi="Times New Roman"/>
          <w:sz w:val="20"/>
        </w:rPr>
        <w:t xml:space="preserve">of </w:t>
      </w:r>
      <w:r w:rsidR="00A60119" w:rsidRPr="009170B8">
        <w:rPr>
          <w:rFonts w:ascii="Times New Roman" w:hAnsi="Times New Roman"/>
          <w:sz w:val="20"/>
        </w:rPr>
        <w:t>the Fund</w:t>
      </w:r>
      <w:r w:rsidR="00B65BFF" w:rsidRPr="009170B8">
        <w:rPr>
          <w:rFonts w:ascii="Times New Roman" w:hAnsi="Times New Roman"/>
          <w:sz w:val="20"/>
        </w:rPr>
        <w:tab/>
      </w:r>
      <w:r w:rsidR="00C15FA7">
        <w:rPr>
          <w:rFonts w:ascii="Times New Roman" w:hAnsi="Times New Roman"/>
          <w:sz w:val="20"/>
        </w:rPr>
        <w:t>3</w:t>
      </w:r>
      <w:r w:rsidR="00140415">
        <w:rPr>
          <w:rFonts w:ascii="Times New Roman" w:hAnsi="Times New Roman"/>
          <w:sz w:val="20"/>
        </w:rPr>
        <w:t>5</w:t>
      </w:r>
    </w:p>
    <w:p w:rsidR="00B65BFF" w:rsidRPr="009170B8" w:rsidRDefault="00B65BFF">
      <w:pPr>
        <w:tabs>
          <w:tab w:val="right" w:pos="8222"/>
        </w:tabs>
        <w:rPr>
          <w:rFonts w:ascii="Times New Roman" w:hAnsi="Times New Roman"/>
          <w:sz w:val="20"/>
        </w:rPr>
      </w:pPr>
    </w:p>
    <w:p w:rsidR="0008270C" w:rsidRPr="009170B8" w:rsidRDefault="00031408">
      <w:pPr>
        <w:tabs>
          <w:tab w:val="right" w:pos="8222"/>
        </w:tabs>
        <w:rPr>
          <w:rFonts w:ascii="Times New Roman" w:hAnsi="Times New Roman"/>
          <w:sz w:val="20"/>
        </w:rPr>
      </w:pPr>
      <w:r w:rsidRPr="009170B8">
        <w:rPr>
          <w:rFonts w:ascii="Times New Roman" w:hAnsi="Times New Roman"/>
          <w:sz w:val="20"/>
        </w:rPr>
        <w:t>Statement of Comprehensive Income</w:t>
      </w:r>
      <w:r w:rsidR="000B2E98" w:rsidRPr="009170B8">
        <w:rPr>
          <w:rFonts w:ascii="Times New Roman" w:hAnsi="Times New Roman"/>
          <w:sz w:val="20"/>
        </w:rPr>
        <w:t xml:space="preserve"> of the Fund</w:t>
      </w:r>
      <w:r w:rsidR="00DF7B9E" w:rsidRPr="009170B8">
        <w:rPr>
          <w:rFonts w:ascii="Times New Roman" w:hAnsi="Times New Roman"/>
          <w:sz w:val="20"/>
        </w:rPr>
        <w:tab/>
      </w:r>
      <w:r w:rsidR="00C15FA7">
        <w:rPr>
          <w:rFonts w:ascii="Times New Roman" w:hAnsi="Times New Roman"/>
          <w:sz w:val="20"/>
        </w:rPr>
        <w:t>3</w:t>
      </w:r>
      <w:r w:rsidR="00140415">
        <w:rPr>
          <w:rFonts w:ascii="Times New Roman" w:hAnsi="Times New Roman"/>
          <w:sz w:val="20"/>
        </w:rPr>
        <w:t>6</w:t>
      </w:r>
    </w:p>
    <w:p w:rsidR="0008270C" w:rsidRPr="009170B8" w:rsidRDefault="0008270C">
      <w:pPr>
        <w:tabs>
          <w:tab w:val="right" w:pos="8222"/>
        </w:tabs>
        <w:rPr>
          <w:rFonts w:ascii="Times New Roman" w:hAnsi="Times New Roman"/>
          <w:sz w:val="20"/>
        </w:rPr>
      </w:pPr>
    </w:p>
    <w:p w:rsidR="0008270C" w:rsidRPr="009170B8" w:rsidRDefault="0008270C">
      <w:pPr>
        <w:tabs>
          <w:tab w:val="right" w:pos="8222"/>
        </w:tabs>
        <w:rPr>
          <w:rFonts w:ascii="Times New Roman" w:hAnsi="Times New Roman"/>
          <w:sz w:val="20"/>
        </w:rPr>
      </w:pPr>
      <w:r w:rsidRPr="009170B8">
        <w:rPr>
          <w:rFonts w:ascii="Times New Roman" w:hAnsi="Times New Roman"/>
          <w:sz w:val="20"/>
        </w:rPr>
        <w:t xml:space="preserve">Statement of Changes in Redeemable Participating Preference Shareholders’ </w:t>
      </w:r>
    </w:p>
    <w:p w:rsidR="0008270C" w:rsidRPr="009170B8" w:rsidRDefault="00DF7B9E">
      <w:pPr>
        <w:tabs>
          <w:tab w:val="right" w:pos="8222"/>
        </w:tabs>
        <w:rPr>
          <w:rFonts w:ascii="Times New Roman" w:hAnsi="Times New Roman"/>
          <w:sz w:val="20"/>
        </w:rPr>
      </w:pPr>
      <w:r w:rsidRPr="009170B8">
        <w:rPr>
          <w:rFonts w:ascii="Times New Roman" w:hAnsi="Times New Roman"/>
          <w:sz w:val="20"/>
        </w:rPr>
        <w:t>Equity</w:t>
      </w:r>
      <w:r w:rsidR="000B2E98" w:rsidRPr="009170B8">
        <w:rPr>
          <w:rFonts w:ascii="Times New Roman" w:hAnsi="Times New Roman"/>
          <w:sz w:val="20"/>
        </w:rPr>
        <w:t xml:space="preserve"> of the Fund</w:t>
      </w:r>
      <w:r w:rsidRPr="009170B8">
        <w:rPr>
          <w:rFonts w:ascii="Times New Roman" w:hAnsi="Times New Roman"/>
          <w:sz w:val="20"/>
        </w:rPr>
        <w:tab/>
      </w:r>
      <w:r w:rsidR="008A5F83">
        <w:rPr>
          <w:rFonts w:ascii="Times New Roman" w:hAnsi="Times New Roman"/>
          <w:sz w:val="20"/>
        </w:rPr>
        <w:t>3</w:t>
      </w:r>
      <w:r w:rsidR="00140415">
        <w:rPr>
          <w:rFonts w:ascii="Times New Roman" w:hAnsi="Times New Roman"/>
          <w:sz w:val="20"/>
        </w:rPr>
        <w:t>7</w:t>
      </w:r>
    </w:p>
    <w:p w:rsidR="0008270C" w:rsidRPr="009170B8" w:rsidRDefault="0008270C">
      <w:pPr>
        <w:tabs>
          <w:tab w:val="right" w:pos="8222"/>
        </w:tabs>
        <w:rPr>
          <w:rFonts w:ascii="Times New Roman" w:hAnsi="Times New Roman"/>
          <w:sz w:val="20"/>
        </w:rPr>
      </w:pPr>
    </w:p>
    <w:p w:rsidR="0008270C" w:rsidRPr="009170B8" w:rsidRDefault="00DF7B9E">
      <w:pPr>
        <w:tabs>
          <w:tab w:val="right" w:pos="8222"/>
        </w:tabs>
        <w:rPr>
          <w:rFonts w:ascii="Times New Roman" w:hAnsi="Times New Roman"/>
          <w:sz w:val="20"/>
        </w:rPr>
      </w:pPr>
      <w:r w:rsidRPr="009170B8">
        <w:rPr>
          <w:rFonts w:ascii="Times New Roman" w:hAnsi="Times New Roman"/>
          <w:sz w:val="20"/>
        </w:rPr>
        <w:t>Statement</w:t>
      </w:r>
      <w:r w:rsidR="000B2E98" w:rsidRPr="009170B8">
        <w:rPr>
          <w:rFonts w:ascii="Times New Roman" w:hAnsi="Times New Roman"/>
          <w:sz w:val="20"/>
        </w:rPr>
        <w:t xml:space="preserve"> of</w:t>
      </w:r>
      <w:r w:rsidR="00616390">
        <w:rPr>
          <w:rFonts w:ascii="Times New Roman" w:hAnsi="Times New Roman"/>
          <w:sz w:val="20"/>
        </w:rPr>
        <w:t xml:space="preserve"> Cash Flow</w:t>
      </w:r>
      <w:r w:rsidR="00E54387">
        <w:rPr>
          <w:rFonts w:ascii="Times New Roman" w:hAnsi="Times New Roman"/>
          <w:sz w:val="20"/>
        </w:rPr>
        <w:t>s</w:t>
      </w:r>
      <w:r w:rsidR="00616390">
        <w:rPr>
          <w:rFonts w:ascii="Times New Roman" w:hAnsi="Times New Roman"/>
          <w:sz w:val="20"/>
        </w:rPr>
        <w:t xml:space="preserve"> of </w:t>
      </w:r>
      <w:r w:rsidR="000B2E98" w:rsidRPr="009170B8">
        <w:rPr>
          <w:rFonts w:ascii="Times New Roman" w:hAnsi="Times New Roman"/>
          <w:sz w:val="20"/>
        </w:rPr>
        <w:t>the Fund</w:t>
      </w:r>
      <w:r w:rsidRPr="009170B8">
        <w:rPr>
          <w:rFonts w:ascii="Times New Roman" w:hAnsi="Times New Roman"/>
          <w:sz w:val="20"/>
        </w:rPr>
        <w:tab/>
      </w:r>
      <w:r w:rsidR="00916D00">
        <w:rPr>
          <w:rFonts w:ascii="Times New Roman" w:hAnsi="Times New Roman"/>
          <w:sz w:val="20"/>
        </w:rPr>
        <w:t>3</w:t>
      </w:r>
      <w:r w:rsidR="00140415">
        <w:rPr>
          <w:rFonts w:ascii="Times New Roman" w:hAnsi="Times New Roman"/>
          <w:sz w:val="20"/>
        </w:rPr>
        <w:t>8</w:t>
      </w:r>
    </w:p>
    <w:p w:rsidR="0008270C" w:rsidRPr="009170B8" w:rsidRDefault="0008270C">
      <w:pPr>
        <w:tabs>
          <w:tab w:val="right" w:pos="8222"/>
        </w:tabs>
        <w:rPr>
          <w:rFonts w:ascii="Times New Roman" w:hAnsi="Times New Roman"/>
          <w:sz w:val="20"/>
        </w:rPr>
      </w:pPr>
    </w:p>
    <w:p w:rsidR="0008270C" w:rsidRPr="009170B8" w:rsidRDefault="0008270C">
      <w:pPr>
        <w:tabs>
          <w:tab w:val="right" w:pos="8222"/>
        </w:tabs>
        <w:rPr>
          <w:rFonts w:ascii="Times New Roman" w:hAnsi="Times New Roman"/>
          <w:sz w:val="20"/>
        </w:rPr>
      </w:pPr>
      <w:r w:rsidRPr="009170B8">
        <w:rPr>
          <w:rFonts w:ascii="Times New Roman" w:hAnsi="Times New Roman"/>
          <w:sz w:val="20"/>
        </w:rPr>
        <w:t>Note</w:t>
      </w:r>
      <w:r w:rsidR="00DF7B9E" w:rsidRPr="009170B8">
        <w:rPr>
          <w:rFonts w:ascii="Times New Roman" w:hAnsi="Times New Roman"/>
          <w:sz w:val="20"/>
        </w:rPr>
        <w:t>s to the Financial Statements</w:t>
      </w:r>
      <w:r w:rsidR="00B20760" w:rsidRPr="009170B8">
        <w:rPr>
          <w:rFonts w:ascii="Times New Roman" w:hAnsi="Times New Roman"/>
          <w:sz w:val="20"/>
        </w:rPr>
        <w:t xml:space="preserve"> of the Fund</w:t>
      </w:r>
      <w:r w:rsidR="00DF7B9E" w:rsidRPr="009170B8">
        <w:rPr>
          <w:rFonts w:ascii="Times New Roman" w:hAnsi="Times New Roman"/>
          <w:sz w:val="20"/>
        </w:rPr>
        <w:tab/>
      </w:r>
      <w:r w:rsidR="00ED2E2D">
        <w:rPr>
          <w:rFonts w:ascii="Times New Roman" w:hAnsi="Times New Roman"/>
          <w:sz w:val="20"/>
        </w:rPr>
        <w:t>3</w:t>
      </w:r>
      <w:r w:rsidR="00140415">
        <w:rPr>
          <w:rFonts w:ascii="Times New Roman" w:hAnsi="Times New Roman"/>
          <w:sz w:val="20"/>
        </w:rPr>
        <w:t>9</w:t>
      </w:r>
    </w:p>
    <w:p w:rsidR="009C49A6" w:rsidRPr="009170B8" w:rsidRDefault="009C49A6">
      <w:pPr>
        <w:tabs>
          <w:tab w:val="right" w:pos="8222"/>
        </w:tabs>
        <w:rPr>
          <w:rFonts w:ascii="Times New Roman" w:hAnsi="Times New Roman"/>
          <w:sz w:val="20"/>
        </w:rPr>
      </w:pPr>
    </w:p>
    <w:p w:rsidR="0072796B" w:rsidRDefault="0072796B">
      <w:pPr>
        <w:tabs>
          <w:tab w:val="right" w:pos="8222"/>
        </w:tabs>
        <w:rPr>
          <w:rFonts w:ascii="Times New Roman" w:hAnsi="Times New Roman"/>
          <w:sz w:val="20"/>
        </w:rPr>
      </w:pPr>
      <w:r w:rsidRPr="0072796B">
        <w:rPr>
          <w:rFonts w:ascii="Times New Roman" w:hAnsi="Times New Roman"/>
          <w:sz w:val="20"/>
        </w:rPr>
        <w:t>Alternative Investment Fund Managers Directive</w:t>
      </w:r>
      <w:r w:rsidR="00A94889">
        <w:rPr>
          <w:rFonts w:ascii="Times New Roman" w:hAnsi="Times New Roman"/>
          <w:sz w:val="20"/>
        </w:rPr>
        <w:tab/>
        <w:t>5</w:t>
      </w:r>
      <w:r w:rsidR="00000F1B">
        <w:rPr>
          <w:rFonts w:ascii="Times New Roman" w:hAnsi="Times New Roman"/>
          <w:sz w:val="20"/>
        </w:rPr>
        <w:t>5</w:t>
      </w:r>
    </w:p>
    <w:p w:rsidR="0072796B" w:rsidRDefault="0072796B">
      <w:pPr>
        <w:tabs>
          <w:tab w:val="right" w:pos="8222"/>
        </w:tabs>
        <w:rPr>
          <w:rFonts w:ascii="Times New Roman" w:hAnsi="Times New Roman"/>
          <w:sz w:val="20"/>
        </w:rPr>
      </w:pPr>
    </w:p>
    <w:p w:rsidR="009C49A6" w:rsidRPr="009170B8" w:rsidRDefault="009C49A6">
      <w:pPr>
        <w:tabs>
          <w:tab w:val="right" w:pos="8222"/>
        </w:tabs>
        <w:rPr>
          <w:rFonts w:ascii="Times New Roman" w:hAnsi="Times New Roman"/>
          <w:sz w:val="20"/>
        </w:rPr>
      </w:pPr>
      <w:r w:rsidRPr="009170B8">
        <w:rPr>
          <w:rFonts w:ascii="Times New Roman" w:hAnsi="Times New Roman"/>
          <w:sz w:val="20"/>
        </w:rPr>
        <w:t>Independent Auditor’s Report</w:t>
      </w:r>
      <w:r w:rsidR="00064FF4" w:rsidRPr="009170B8">
        <w:rPr>
          <w:rFonts w:ascii="Times New Roman" w:hAnsi="Times New Roman"/>
          <w:sz w:val="20"/>
        </w:rPr>
        <w:t xml:space="preserve"> </w:t>
      </w:r>
      <w:r w:rsidR="004639AD" w:rsidRPr="009170B8">
        <w:rPr>
          <w:rFonts w:ascii="Times New Roman" w:hAnsi="Times New Roman"/>
          <w:sz w:val="20"/>
        </w:rPr>
        <w:t>o</w:t>
      </w:r>
      <w:r w:rsidR="00D52BF8" w:rsidRPr="009170B8">
        <w:rPr>
          <w:rFonts w:ascii="Times New Roman" w:hAnsi="Times New Roman"/>
          <w:sz w:val="20"/>
        </w:rPr>
        <w:t>n</w:t>
      </w:r>
      <w:r w:rsidR="00064FF4" w:rsidRPr="009170B8">
        <w:rPr>
          <w:rFonts w:ascii="Times New Roman" w:hAnsi="Times New Roman"/>
          <w:sz w:val="20"/>
        </w:rPr>
        <w:t xml:space="preserve"> the Company</w:t>
      </w:r>
      <w:r w:rsidR="00150D85" w:rsidRPr="009170B8">
        <w:rPr>
          <w:rFonts w:ascii="Times New Roman" w:hAnsi="Times New Roman"/>
          <w:sz w:val="20"/>
        </w:rPr>
        <w:tab/>
      </w:r>
      <w:r w:rsidR="00A94889">
        <w:rPr>
          <w:rFonts w:ascii="Times New Roman" w:hAnsi="Times New Roman"/>
          <w:sz w:val="20"/>
        </w:rPr>
        <w:t>5</w:t>
      </w:r>
      <w:r w:rsidR="00000F1B">
        <w:rPr>
          <w:rFonts w:ascii="Times New Roman" w:hAnsi="Times New Roman"/>
          <w:sz w:val="20"/>
        </w:rPr>
        <w:t>6</w:t>
      </w:r>
    </w:p>
    <w:p w:rsidR="0008270C" w:rsidRPr="009170B8" w:rsidRDefault="0008270C">
      <w:pPr>
        <w:tabs>
          <w:tab w:val="right" w:pos="8222"/>
        </w:tabs>
        <w:rPr>
          <w:rFonts w:ascii="Times New Roman" w:hAnsi="Times New Roman"/>
          <w:sz w:val="20"/>
        </w:rPr>
      </w:pPr>
    </w:p>
    <w:p w:rsidR="00B65BFF" w:rsidRPr="009170B8" w:rsidRDefault="006C5B9F">
      <w:pPr>
        <w:tabs>
          <w:tab w:val="right" w:pos="8222"/>
        </w:tabs>
        <w:rPr>
          <w:rFonts w:ascii="Times New Roman" w:hAnsi="Times New Roman"/>
          <w:sz w:val="20"/>
        </w:rPr>
      </w:pPr>
      <w:r w:rsidRPr="009170B8">
        <w:rPr>
          <w:rFonts w:ascii="Times New Roman" w:hAnsi="Times New Roman"/>
          <w:sz w:val="20"/>
        </w:rPr>
        <w:t xml:space="preserve">Statement of Financial Position </w:t>
      </w:r>
      <w:r w:rsidR="00B65BFF" w:rsidRPr="009170B8">
        <w:rPr>
          <w:rFonts w:ascii="Times New Roman" w:hAnsi="Times New Roman"/>
          <w:sz w:val="20"/>
        </w:rPr>
        <w:t>of the Company</w:t>
      </w:r>
      <w:r w:rsidR="00B65BFF" w:rsidRPr="009170B8">
        <w:rPr>
          <w:rFonts w:ascii="Times New Roman" w:hAnsi="Times New Roman"/>
          <w:sz w:val="20"/>
        </w:rPr>
        <w:tab/>
      </w:r>
      <w:r w:rsidR="00ED2E2D">
        <w:rPr>
          <w:rFonts w:ascii="Times New Roman" w:hAnsi="Times New Roman"/>
          <w:sz w:val="20"/>
        </w:rPr>
        <w:t>5</w:t>
      </w:r>
      <w:r w:rsidR="00000F1B">
        <w:rPr>
          <w:rFonts w:ascii="Times New Roman" w:hAnsi="Times New Roman"/>
          <w:sz w:val="20"/>
        </w:rPr>
        <w:t>8</w:t>
      </w:r>
    </w:p>
    <w:p w:rsidR="00B20760" w:rsidRPr="009170B8" w:rsidRDefault="00B20760">
      <w:pPr>
        <w:tabs>
          <w:tab w:val="right" w:pos="8222"/>
        </w:tabs>
        <w:rPr>
          <w:rFonts w:ascii="Times New Roman" w:hAnsi="Times New Roman"/>
          <w:sz w:val="20"/>
        </w:rPr>
      </w:pPr>
    </w:p>
    <w:p w:rsidR="00B20760" w:rsidRPr="009170B8" w:rsidRDefault="00B20760">
      <w:pPr>
        <w:tabs>
          <w:tab w:val="right" w:pos="8222"/>
        </w:tabs>
        <w:rPr>
          <w:rFonts w:ascii="Times New Roman" w:hAnsi="Times New Roman"/>
          <w:sz w:val="20"/>
        </w:rPr>
      </w:pPr>
      <w:r w:rsidRPr="009170B8">
        <w:rPr>
          <w:rFonts w:ascii="Times New Roman" w:hAnsi="Times New Roman"/>
          <w:sz w:val="20"/>
        </w:rPr>
        <w:t xml:space="preserve">Notes to the </w:t>
      </w:r>
      <w:r w:rsidR="000B2E98" w:rsidRPr="009170B8">
        <w:rPr>
          <w:rFonts w:ascii="Times New Roman" w:hAnsi="Times New Roman"/>
          <w:sz w:val="20"/>
        </w:rPr>
        <w:t>Financial S</w:t>
      </w:r>
      <w:r w:rsidRPr="009170B8">
        <w:rPr>
          <w:rFonts w:ascii="Times New Roman" w:hAnsi="Times New Roman"/>
          <w:sz w:val="20"/>
        </w:rPr>
        <w:t>tatements of the Company</w:t>
      </w:r>
      <w:r w:rsidR="00150D85" w:rsidRPr="009170B8">
        <w:rPr>
          <w:rFonts w:ascii="Times New Roman" w:hAnsi="Times New Roman"/>
          <w:sz w:val="20"/>
        </w:rPr>
        <w:tab/>
      </w:r>
      <w:r w:rsidR="00ED2E2D">
        <w:rPr>
          <w:rFonts w:ascii="Times New Roman" w:hAnsi="Times New Roman"/>
          <w:sz w:val="20"/>
        </w:rPr>
        <w:t>5</w:t>
      </w:r>
      <w:r w:rsidR="00000F1B">
        <w:rPr>
          <w:rFonts w:ascii="Times New Roman" w:hAnsi="Times New Roman"/>
          <w:sz w:val="20"/>
        </w:rPr>
        <w:t>9</w:t>
      </w:r>
    </w:p>
    <w:p w:rsidR="00A5285B" w:rsidRDefault="00A5285B" w:rsidP="00A5285B">
      <w:pPr>
        <w:tabs>
          <w:tab w:val="right" w:pos="8222"/>
        </w:tabs>
        <w:rPr>
          <w:rFonts w:ascii="Times New Roman" w:hAnsi="Times New Roman"/>
          <w:sz w:val="20"/>
        </w:rPr>
      </w:pPr>
    </w:p>
    <w:p w:rsidR="00A5285B" w:rsidRDefault="00A5285B" w:rsidP="00A5285B">
      <w:pPr>
        <w:tabs>
          <w:tab w:val="right" w:pos="8222"/>
        </w:tabs>
        <w:rPr>
          <w:rFonts w:ascii="Times New Roman" w:hAnsi="Times New Roman"/>
          <w:sz w:val="20"/>
        </w:rPr>
      </w:pPr>
      <w:r>
        <w:rPr>
          <w:rFonts w:ascii="Times New Roman" w:hAnsi="Times New Roman"/>
          <w:sz w:val="20"/>
        </w:rPr>
        <w:t>Notices of the Company and Cell</w:t>
      </w:r>
      <w:r w:rsidRPr="009170B8">
        <w:rPr>
          <w:rFonts w:ascii="Times New Roman" w:hAnsi="Times New Roman"/>
          <w:sz w:val="20"/>
        </w:rPr>
        <w:tab/>
      </w:r>
      <w:r w:rsidR="00000F1B">
        <w:rPr>
          <w:rFonts w:ascii="Times New Roman" w:hAnsi="Times New Roman"/>
          <w:sz w:val="20"/>
        </w:rPr>
        <w:t>60</w:t>
      </w:r>
    </w:p>
    <w:p w:rsidR="00B65BFF" w:rsidRPr="009170B8" w:rsidRDefault="00B65BFF">
      <w:pPr>
        <w:tabs>
          <w:tab w:val="right" w:pos="8222"/>
        </w:tabs>
        <w:rPr>
          <w:rFonts w:ascii="Times New Roman" w:hAnsi="Times New Roman"/>
          <w:sz w:val="20"/>
        </w:rPr>
      </w:pPr>
    </w:p>
    <w:p w:rsidR="00C87A19" w:rsidRDefault="004E6C8C" w:rsidP="004E6C8C">
      <w:pPr>
        <w:tabs>
          <w:tab w:val="right" w:pos="8222"/>
        </w:tabs>
        <w:rPr>
          <w:rFonts w:ascii="Times New Roman" w:hAnsi="Times New Roman"/>
          <w:sz w:val="20"/>
        </w:rPr>
      </w:pPr>
      <w:r w:rsidRPr="009170B8">
        <w:rPr>
          <w:rFonts w:ascii="Times New Roman" w:hAnsi="Times New Roman"/>
          <w:sz w:val="20"/>
        </w:rPr>
        <w:t>Management and Administration</w:t>
      </w:r>
      <w:r w:rsidRPr="009170B8">
        <w:rPr>
          <w:rFonts w:ascii="Times New Roman" w:hAnsi="Times New Roman"/>
          <w:sz w:val="20"/>
        </w:rPr>
        <w:tab/>
      </w:r>
      <w:r w:rsidR="008D28E4">
        <w:rPr>
          <w:rFonts w:ascii="Times New Roman" w:hAnsi="Times New Roman"/>
          <w:sz w:val="20"/>
        </w:rPr>
        <w:t>66</w:t>
      </w:r>
    </w:p>
    <w:p w:rsidR="00C87A19" w:rsidRDefault="00C87A19" w:rsidP="004E6C8C">
      <w:pPr>
        <w:tabs>
          <w:tab w:val="right" w:pos="8222"/>
        </w:tabs>
        <w:rPr>
          <w:rFonts w:ascii="Times New Roman" w:hAnsi="Times New Roman"/>
          <w:b/>
          <w:bCs/>
        </w:rPr>
      </w:pPr>
    </w:p>
    <w:p w:rsidR="00C87A19" w:rsidRDefault="00C87A19" w:rsidP="00C87A19">
      <w:pPr>
        <w:tabs>
          <w:tab w:val="right" w:pos="8222"/>
        </w:tabs>
        <w:rPr>
          <w:rFonts w:ascii="Times New Roman" w:hAnsi="Times New Roman"/>
          <w:sz w:val="20"/>
        </w:rPr>
      </w:pPr>
    </w:p>
    <w:p w:rsidR="00C87A19" w:rsidRPr="009170B8" w:rsidRDefault="00C87A19" w:rsidP="004E6C8C">
      <w:pPr>
        <w:tabs>
          <w:tab w:val="right" w:pos="8222"/>
        </w:tabs>
        <w:rPr>
          <w:rFonts w:ascii="Times New Roman" w:hAnsi="Times New Roman"/>
          <w:b/>
          <w:bCs/>
        </w:rPr>
        <w:sectPr w:rsidR="00C87A19" w:rsidRPr="009170B8" w:rsidSect="009B5227">
          <w:headerReference w:type="default" r:id="rId12"/>
          <w:pgSz w:w="11906" w:h="16838" w:code="9"/>
          <w:pgMar w:top="851" w:right="851" w:bottom="851" w:left="851" w:header="709" w:footer="709" w:gutter="0"/>
          <w:cols w:space="708"/>
          <w:docGrid w:linePitch="360"/>
        </w:sectPr>
      </w:pPr>
    </w:p>
    <w:p w:rsidR="0008270C" w:rsidRPr="002F717A" w:rsidRDefault="0008270C" w:rsidP="00F069F1">
      <w:pPr>
        <w:pStyle w:val="Heading2"/>
        <w:tabs>
          <w:tab w:val="right" w:pos="8222"/>
        </w:tabs>
        <w:rPr>
          <w:rFonts w:ascii="Times New Roman" w:hAnsi="Times New Roman"/>
        </w:rPr>
      </w:pPr>
      <w:r w:rsidRPr="002F717A">
        <w:rPr>
          <w:rFonts w:ascii="Times New Roman" w:hAnsi="Times New Roman"/>
        </w:rPr>
        <w:t>Chairman’s Report</w:t>
      </w:r>
    </w:p>
    <w:p w:rsidR="00B9607C" w:rsidRPr="00702118" w:rsidRDefault="00B9607C" w:rsidP="003F6B8B">
      <w:pPr>
        <w:jc w:val="both"/>
        <w:rPr>
          <w:rFonts w:ascii="Times New Roman" w:eastAsia="Calibri" w:hAnsi="Times New Roman"/>
          <w:strike/>
          <w:sz w:val="20"/>
          <w:szCs w:val="20"/>
        </w:rPr>
      </w:pP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It is my pleasure to introduce the 2018 Annual Financial Report for Middlefield Canadian Income PCC (“MCI” or the “Company”) and its closed-end cell known as Middlefield Canadian Income – GBP PC (the “Fund”).  The Fund invests in a broadly diversified portfolio comprised primarily of Canadian and U.S. equity income securities with the objective of providing shareholders with high dividends as well as capital growth over the longer term.</w:t>
      </w:r>
    </w:p>
    <w:p w:rsidR="0064692C" w:rsidRPr="00E54387" w:rsidRDefault="0064692C" w:rsidP="0064692C">
      <w:pPr>
        <w:spacing w:after="240"/>
        <w:jc w:val="both"/>
        <w:rPr>
          <w:rFonts w:ascii="Times New Roman" w:hAnsi="Times New Roman"/>
          <w:sz w:val="20"/>
          <w:szCs w:val="20"/>
        </w:rPr>
      </w:pPr>
      <w:r>
        <w:rPr>
          <w:rFonts w:ascii="Times New Roman" w:hAnsi="Times New Roman"/>
          <w:sz w:val="20"/>
          <w:szCs w:val="20"/>
        </w:rPr>
        <w:t xml:space="preserve">Due to the broader market correction in the fourth quarter of 2018, the net asset value total return performance for the year was disappointing.  At the portfolio level, the Company’s positioning resulted in outperformance against the benchmark. However, this outperformance was reduced to a modest 0.4% primarily as a result of the negative contribution from gearing. </w:t>
      </w:r>
      <w:r w:rsidRPr="00E54387">
        <w:rPr>
          <w:rFonts w:ascii="Times New Roman" w:hAnsi="Times New Roman"/>
          <w:sz w:val="20"/>
          <w:szCs w:val="20"/>
        </w:rPr>
        <w:t xml:space="preserve">Since inception in 2006, the Fund has generated a cumulative return of 100.8% in GBP, outperforming its benchmark, the S&amp;P TSX Composite High Dividend Index, as well as the broader S&amp;P/TSX Composite Index, which have generated cumulative period returns of 74.3% and 64.7%, respectively.  The Fund remains focused on investing in income-oriented issuers with proven management teams, good balance sheets and growing dividends that are well positioned to benefit from the strength and diversity of the North American economy.  </w:t>
      </w:r>
    </w:p>
    <w:p w:rsidR="00D67909" w:rsidRDefault="00D67909" w:rsidP="00D67909">
      <w:pPr>
        <w:autoSpaceDE w:val="0"/>
        <w:autoSpaceDN w:val="0"/>
        <w:spacing w:line="360" w:lineRule="auto"/>
        <w:jc w:val="both"/>
        <w:rPr>
          <w:rFonts w:ascii="Times New Roman" w:hAnsi="Times New Roman"/>
          <w:b/>
          <w:sz w:val="20"/>
          <w:szCs w:val="20"/>
          <w:u w:val="single"/>
        </w:rPr>
      </w:pPr>
      <w:r w:rsidRPr="00E54387">
        <w:rPr>
          <w:rFonts w:ascii="Times New Roman" w:hAnsi="Times New Roman"/>
          <w:b/>
          <w:sz w:val="20"/>
          <w:szCs w:val="20"/>
          <w:u w:val="single"/>
        </w:rPr>
        <w:t>Performance to 31 December 2018</w:t>
      </w:r>
    </w:p>
    <w:p w:rsidR="00D67909" w:rsidRPr="00E54387" w:rsidRDefault="00D67909" w:rsidP="00D67909">
      <w:pPr>
        <w:autoSpaceDE w:val="0"/>
        <w:autoSpaceDN w:val="0"/>
        <w:spacing w:line="360" w:lineRule="auto"/>
        <w:jc w:val="both"/>
        <w:rPr>
          <w:rFonts w:ascii="Times New Roman" w:hAnsi="Times New Roman"/>
          <w:b/>
          <w:sz w:val="20"/>
          <w:szCs w:val="20"/>
          <w:u w:val="single"/>
        </w:rPr>
      </w:pPr>
    </w:p>
    <w:p w:rsidR="00D67909" w:rsidRDefault="00D67909" w:rsidP="00D67909">
      <w:pPr>
        <w:autoSpaceDE w:val="0"/>
        <w:autoSpaceDN w:val="0"/>
        <w:spacing w:after="80" w:line="360" w:lineRule="auto"/>
        <w:jc w:val="both"/>
        <w:rPr>
          <w:sz w:val="12"/>
          <w:szCs w:val="12"/>
        </w:rPr>
      </w:pPr>
      <w:r>
        <w:rPr>
          <w:noProof/>
          <w:lang w:eastAsia="en-GB"/>
        </w:rPr>
        <w:drawing>
          <wp:inline distT="0" distB="0" distL="0" distR="0" wp14:anchorId="2C5D5AD5" wp14:editId="147276B2">
            <wp:extent cx="6469957" cy="3181190"/>
            <wp:effectExtent l="0" t="0" r="762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0282" cy="3181350"/>
                    </a:xfrm>
                    <a:prstGeom prst="rect">
                      <a:avLst/>
                    </a:prstGeom>
                    <a:noFill/>
                    <a:ln>
                      <a:noFill/>
                    </a:ln>
                  </pic:spPr>
                </pic:pic>
              </a:graphicData>
            </a:graphic>
          </wp:inline>
        </w:drawing>
      </w:r>
    </w:p>
    <w:p w:rsidR="00D67909" w:rsidRPr="00E54387" w:rsidRDefault="00D67909" w:rsidP="00D67909">
      <w:pPr>
        <w:autoSpaceDE w:val="0"/>
        <w:autoSpaceDN w:val="0"/>
        <w:spacing w:after="80" w:line="360" w:lineRule="auto"/>
        <w:jc w:val="both"/>
        <w:rPr>
          <w:rFonts w:ascii="Times New Roman" w:hAnsi="Times New Roman"/>
          <w:sz w:val="18"/>
          <w:szCs w:val="18"/>
        </w:rPr>
      </w:pPr>
      <w:r w:rsidRPr="00E54387">
        <w:rPr>
          <w:rFonts w:ascii="Times New Roman" w:hAnsi="Times New Roman"/>
          <w:sz w:val="18"/>
          <w:szCs w:val="18"/>
        </w:rPr>
        <w:t xml:space="preserve">Source: </w:t>
      </w:r>
      <w:r w:rsidR="005D7361">
        <w:rPr>
          <w:rFonts w:ascii="Times New Roman" w:hAnsi="Times New Roman"/>
          <w:sz w:val="18"/>
          <w:szCs w:val="18"/>
        </w:rPr>
        <w:t>Middlefield,</w:t>
      </w:r>
      <w:r w:rsidRPr="00E54387">
        <w:rPr>
          <w:rFonts w:ascii="Times New Roman" w:hAnsi="Times New Roman"/>
          <w:sz w:val="18"/>
          <w:szCs w:val="18"/>
        </w:rPr>
        <w:t xml:space="preserve"> Bloomberg, as at 31 December 2018</w:t>
      </w:r>
    </w:p>
    <w:p w:rsidR="00D67909" w:rsidRPr="00E54387" w:rsidRDefault="00D67909" w:rsidP="00D67909">
      <w:pPr>
        <w:autoSpaceDE w:val="0"/>
        <w:autoSpaceDN w:val="0"/>
        <w:spacing w:line="360" w:lineRule="auto"/>
        <w:jc w:val="both"/>
        <w:rPr>
          <w:rFonts w:ascii="Times New Roman" w:hAnsi="Times New Roman"/>
          <w:b/>
          <w:sz w:val="18"/>
          <w:szCs w:val="18"/>
        </w:rPr>
      </w:pPr>
      <w:r w:rsidRPr="00E54387">
        <w:rPr>
          <w:rFonts w:ascii="Times New Roman" w:hAnsi="Times New Roman"/>
          <w:b/>
          <w:sz w:val="18"/>
          <w:szCs w:val="18"/>
        </w:rPr>
        <w:t>Notes:</w:t>
      </w:r>
    </w:p>
    <w:p w:rsidR="00D67909" w:rsidRPr="00E54387" w:rsidRDefault="00D67909" w:rsidP="00D67909">
      <w:pPr>
        <w:pStyle w:val="ListParagraph"/>
        <w:numPr>
          <w:ilvl w:val="0"/>
          <w:numId w:val="31"/>
        </w:numPr>
        <w:autoSpaceDE w:val="0"/>
        <w:autoSpaceDN w:val="0"/>
        <w:spacing w:line="360" w:lineRule="auto"/>
        <w:jc w:val="both"/>
        <w:rPr>
          <w:rFonts w:ascii="Times New Roman" w:hAnsi="Times New Roman"/>
          <w:sz w:val="18"/>
          <w:szCs w:val="18"/>
        </w:rPr>
      </w:pPr>
      <w:r w:rsidRPr="00E54387">
        <w:rPr>
          <w:rFonts w:ascii="Times New Roman" w:hAnsi="Times New Roman"/>
          <w:sz w:val="18"/>
          <w:szCs w:val="18"/>
        </w:rPr>
        <w:t>Total net asset value returns (net of fees and including the reinvestment of dividends).</w:t>
      </w:r>
    </w:p>
    <w:p w:rsidR="00D67909" w:rsidRPr="00E54387" w:rsidRDefault="00D67909" w:rsidP="00D67909">
      <w:pPr>
        <w:pStyle w:val="ListParagraph"/>
        <w:numPr>
          <w:ilvl w:val="0"/>
          <w:numId w:val="31"/>
        </w:numPr>
        <w:autoSpaceDE w:val="0"/>
        <w:autoSpaceDN w:val="0"/>
        <w:spacing w:line="360" w:lineRule="auto"/>
        <w:jc w:val="both"/>
        <w:rPr>
          <w:rFonts w:ascii="Times New Roman" w:hAnsi="Times New Roman"/>
          <w:sz w:val="18"/>
          <w:szCs w:val="18"/>
        </w:rPr>
      </w:pPr>
      <w:r w:rsidRPr="00E54387">
        <w:rPr>
          <w:rFonts w:ascii="Times New Roman" w:hAnsi="Times New Roman"/>
          <w:sz w:val="18"/>
          <w:szCs w:val="18"/>
        </w:rPr>
        <w:t>The Fund’s benchmark, the S&amp;P/TSX High Dividend Index, has been currency adjusted to reflect CAD$ returns from inception to October 2011 (while the Fund was CAD$ hedged) and GBP returns thereafter.</w:t>
      </w:r>
    </w:p>
    <w:p w:rsidR="00D67909" w:rsidRDefault="00D67909" w:rsidP="00D67909">
      <w:pPr>
        <w:autoSpaceDE w:val="0"/>
        <w:autoSpaceDN w:val="0"/>
        <w:spacing w:line="360" w:lineRule="auto"/>
        <w:jc w:val="both"/>
        <w:rPr>
          <w:szCs w:val="22"/>
        </w:rPr>
      </w:pP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The Fund is primarily focused on Canadian companies but also has exposure to U.S. markets with a particular emphasis on sectors that are underrepresented in Canada.  During 2018, the Fund had an average weighting of 17% in U.S. listed securities. </w:t>
      </w:r>
    </w:p>
    <w:p w:rsidR="00D67909" w:rsidRDefault="00D67909" w:rsidP="00D67909">
      <w:pPr>
        <w:autoSpaceDE w:val="0"/>
        <w:autoSpaceDN w:val="0"/>
        <w:spacing w:line="360" w:lineRule="auto"/>
        <w:jc w:val="both"/>
      </w:pPr>
    </w:p>
    <w:p w:rsidR="00D67909" w:rsidRDefault="00D67909" w:rsidP="00D67909">
      <w:pPr>
        <w:autoSpaceDE w:val="0"/>
        <w:autoSpaceDN w:val="0"/>
        <w:spacing w:line="360" w:lineRule="auto"/>
        <w:jc w:val="both"/>
      </w:pPr>
    </w:p>
    <w:p w:rsidR="00D67909" w:rsidRDefault="00D67909" w:rsidP="00D67909">
      <w:pPr>
        <w:autoSpaceDE w:val="0"/>
        <w:autoSpaceDN w:val="0"/>
        <w:spacing w:line="360" w:lineRule="auto"/>
        <w:jc w:val="both"/>
      </w:pPr>
    </w:p>
    <w:p w:rsidR="00D67909" w:rsidRDefault="00D67909" w:rsidP="00D67909">
      <w:pPr>
        <w:autoSpaceDE w:val="0"/>
        <w:autoSpaceDN w:val="0"/>
        <w:spacing w:line="360" w:lineRule="auto"/>
        <w:jc w:val="both"/>
      </w:pPr>
    </w:p>
    <w:p w:rsidR="00D67909" w:rsidRDefault="00D67909" w:rsidP="00D67909">
      <w:pPr>
        <w:autoSpaceDE w:val="0"/>
        <w:autoSpaceDN w:val="0"/>
        <w:spacing w:line="360" w:lineRule="auto"/>
        <w:jc w:val="both"/>
      </w:pPr>
    </w:p>
    <w:p w:rsidR="00D67909" w:rsidRDefault="00D67909" w:rsidP="00D67909">
      <w:pPr>
        <w:autoSpaceDE w:val="0"/>
        <w:autoSpaceDN w:val="0"/>
        <w:spacing w:line="360" w:lineRule="auto"/>
        <w:jc w:val="both"/>
      </w:pPr>
    </w:p>
    <w:p w:rsidR="00D67909" w:rsidRPr="002F717A" w:rsidRDefault="00D67909" w:rsidP="00D67909">
      <w:pPr>
        <w:pStyle w:val="Heading2"/>
        <w:tabs>
          <w:tab w:val="right" w:pos="8222"/>
        </w:tabs>
        <w:rPr>
          <w:rFonts w:ascii="Times New Roman" w:hAnsi="Times New Roman"/>
        </w:rPr>
      </w:pPr>
      <w:r w:rsidRPr="002F717A">
        <w:rPr>
          <w:rFonts w:ascii="Times New Roman" w:hAnsi="Times New Roman"/>
        </w:rPr>
        <w:t>Chairman’s Report</w:t>
      </w:r>
      <w:r>
        <w:rPr>
          <w:rFonts w:ascii="Times New Roman" w:hAnsi="Times New Roman"/>
        </w:rPr>
        <w:t xml:space="preserve"> (contin</w:t>
      </w:r>
      <w:r w:rsidR="00AD47CC">
        <w:rPr>
          <w:rFonts w:ascii="Times New Roman" w:hAnsi="Times New Roman"/>
        </w:rPr>
        <w:t>u</w:t>
      </w:r>
      <w:r>
        <w:rPr>
          <w:rFonts w:ascii="Times New Roman" w:hAnsi="Times New Roman"/>
        </w:rPr>
        <w:t>ed)</w:t>
      </w:r>
    </w:p>
    <w:p w:rsidR="00D67909" w:rsidRDefault="00D67909" w:rsidP="00D67909">
      <w:pPr>
        <w:autoSpaceDE w:val="0"/>
        <w:autoSpaceDN w:val="0"/>
        <w:spacing w:line="360" w:lineRule="auto"/>
        <w:jc w:val="both"/>
      </w:pPr>
    </w:p>
    <w:p w:rsidR="00D67909" w:rsidRPr="00E54387" w:rsidRDefault="00D67909" w:rsidP="00D67909">
      <w:pPr>
        <w:autoSpaceDE w:val="0"/>
        <w:autoSpaceDN w:val="0"/>
        <w:spacing w:line="360" w:lineRule="auto"/>
        <w:jc w:val="both"/>
        <w:rPr>
          <w:rFonts w:ascii="Times New Roman" w:hAnsi="Times New Roman"/>
          <w:b/>
          <w:sz w:val="20"/>
          <w:szCs w:val="20"/>
          <w:u w:val="single"/>
        </w:rPr>
      </w:pPr>
      <w:r w:rsidRPr="00E54387">
        <w:rPr>
          <w:rFonts w:ascii="Times New Roman" w:hAnsi="Times New Roman"/>
          <w:b/>
          <w:sz w:val="20"/>
          <w:szCs w:val="20"/>
          <w:u w:val="single"/>
        </w:rPr>
        <w:t>Fund Sector Weights Compared to Benchmark</w:t>
      </w:r>
    </w:p>
    <w:tbl>
      <w:tblPr>
        <w:tblW w:w="8237" w:type="dxa"/>
        <w:tblInd w:w="93" w:type="dxa"/>
        <w:tblLayout w:type="fixed"/>
        <w:tblLook w:val="04A0" w:firstRow="1" w:lastRow="0" w:firstColumn="1" w:lastColumn="0" w:noHBand="0" w:noVBand="1"/>
      </w:tblPr>
      <w:tblGrid>
        <w:gridCol w:w="3556"/>
        <w:gridCol w:w="850"/>
        <w:gridCol w:w="295"/>
        <w:gridCol w:w="1551"/>
        <w:gridCol w:w="572"/>
        <w:gridCol w:w="1413"/>
      </w:tblGrid>
      <w:tr w:rsidR="00D67909" w:rsidTr="00E54387">
        <w:trPr>
          <w:trHeight w:val="600"/>
        </w:trPr>
        <w:tc>
          <w:tcPr>
            <w:tcW w:w="3556" w:type="dxa"/>
            <w:vMerge w:val="restart"/>
            <w:tcBorders>
              <w:top w:val="nil"/>
              <w:left w:val="nil"/>
              <w:bottom w:val="single" w:sz="8" w:space="0" w:color="000000"/>
              <w:right w:val="nil"/>
            </w:tcBorders>
            <w:vAlign w:val="bottom"/>
            <w:hideMark/>
          </w:tcPr>
          <w:p w:rsidR="00D67909" w:rsidRPr="00E54387" w:rsidRDefault="00D67909">
            <w:pPr>
              <w:rPr>
                <w:rFonts w:ascii="Calibri" w:hAnsi="Calibri" w:cs="Calibri"/>
                <w:b/>
                <w:bCs/>
                <w:color w:val="000000"/>
                <w:lang w:eastAsia="en-CA"/>
              </w:rPr>
            </w:pPr>
            <w:r>
              <w:rPr>
                <w:rFonts w:ascii="Calibri" w:hAnsi="Calibri" w:cs="Calibri"/>
                <w:b/>
                <w:bCs/>
                <w:color w:val="000000"/>
                <w:lang w:eastAsia="en-CA"/>
              </w:rPr>
              <w:t>Sector</w:t>
            </w:r>
          </w:p>
        </w:tc>
        <w:tc>
          <w:tcPr>
            <w:tcW w:w="850" w:type="dxa"/>
            <w:vMerge w:val="restart"/>
            <w:tcBorders>
              <w:top w:val="nil"/>
              <w:left w:val="nil"/>
              <w:bottom w:val="single" w:sz="8" w:space="0" w:color="000000"/>
              <w:right w:val="nil"/>
            </w:tcBorders>
            <w:vAlign w:val="bottom"/>
            <w:hideMark/>
          </w:tcPr>
          <w:p w:rsidR="00D67909" w:rsidRPr="00E54387" w:rsidRDefault="00D67909" w:rsidP="00E54387">
            <w:pPr>
              <w:jc w:val="right"/>
              <w:rPr>
                <w:rFonts w:ascii="Calibri" w:hAnsi="Calibri" w:cs="Calibri"/>
                <w:b/>
                <w:bCs/>
                <w:color w:val="000000"/>
                <w:lang w:eastAsia="en-CA"/>
              </w:rPr>
            </w:pPr>
            <w:r>
              <w:rPr>
                <w:rFonts w:ascii="Calibri" w:hAnsi="Calibri" w:cs="Calibri"/>
                <w:b/>
                <w:bCs/>
                <w:color w:val="000000"/>
                <w:lang w:eastAsia="en-CA"/>
              </w:rPr>
              <w:t>Fund</w:t>
            </w:r>
          </w:p>
        </w:tc>
        <w:tc>
          <w:tcPr>
            <w:tcW w:w="295" w:type="dxa"/>
            <w:vMerge w:val="restart"/>
            <w:tcBorders>
              <w:top w:val="nil"/>
              <w:left w:val="nil"/>
              <w:bottom w:val="single" w:sz="8" w:space="0" w:color="000000"/>
              <w:right w:val="nil"/>
            </w:tcBorders>
            <w:vAlign w:val="bottom"/>
            <w:hideMark/>
          </w:tcPr>
          <w:p w:rsidR="00D67909" w:rsidRPr="00E54387" w:rsidRDefault="00D67909" w:rsidP="00E54387">
            <w:pPr>
              <w:spacing w:line="276" w:lineRule="auto"/>
              <w:jc w:val="right"/>
              <w:rPr>
                <w:rFonts w:ascii="Calibri" w:hAnsi="Calibri" w:cs="Calibri"/>
                <w:b/>
                <w:bCs/>
                <w:color w:val="000000"/>
                <w:lang w:eastAsia="en-CA"/>
              </w:rPr>
            </w:pPr>
          </w:p>
        </w:tc>
        <w:tc>
          <w:tcPr>
            <w:tcW w:w="1551" w:type="dxa"/>
            <w:vMerge w:val="restart"/>
            <w:tcBorders>
              <w:top w:val="nil"/>
              <w:left w:val="nil"/>
              <w:bottom w:val="single" w:sz="8" w:space="0" w:color="000000"/>
              <w:right w:val="nil"/>
            </w:tcBorders>
            <w:vAlign w:val="bottom"/>
            <w:hideMark/>
          </w:tcPr>
          <w:p w:rsidR="00D67909" w:rsidRPr="00E54387" w:rsidRDefault="00D67909" w:rsidP="00E54387">
            <w:pPr>
              <w:jc w:val="right"/>
              <w:rPr>
                <w:rFonts w:ascii="Calibri" w:hAnsi="Calibri" w:cs="Calibri"/>
                <w:b/>
                <w:bCs/>
                <w:color w:val="000000"/>
                <w:lang w:eastAsia="en-CA"/>
              </w:rPr>
            </w:pPr>
            <w:r>
              <w:rPr>
                <w:rFonts w:ascii="Calibri" w:hAnsi="Calibri" w:cs="Calibri"/>
                <w:b/>
                <w:bCs/>
                <w:color w:val="000000"/>
                <w:lang w:eastAsia="en-CA"/>
              </w:rPr>
              <w:t>Benchmark</w:t>
            </w:r>
          </w:p>
        </w:tc>
        <w:tc>
          <w:tcPr>
            <w:tcW w:w="572" w:type="dxa"/>
            <w:vMerge w:val="restart"/>
            <w:tcBorders>
              <w:top w:val="nil"/>
              <w:left w:val="nil"/>
              <w:bottom w:val="single" w:sz="8" w:space="0" w:color="000000"/>
              <w:right w:val="nil"/>
            </w:tcBorders>
            <w:vAlign w:val="bottom"/>
            <w:hideMark/>
          </w:tcPr>
          <w:p w:rsidR="00D67909" w:rsidRPr="00E54387" w:rsidRDefault="00D67909" w:rsidP="00E54387">
            <w:pPr>
              <w:spacing w:line="276" w:lineRule="auto"/>
              <w:jc w:val="right"/>
              <w:rPr>
                <w:rFonts w:ascii="Calibri" w:hAnsi="Calibri" w:cs="Calibri"/>
                <w:b/>
                <w:bCs/>
                <w:color w:val="000000"/>
                <w:lang w:eastAsia="en-CA"/>
              </w:rPr>
            </w:pPr>
          </w:p>
        </w:tc>
        <w:tc>
          <w:tcPr>
            <w:tcW w:w="1413" w:type="dxa"/>
            <w:vAlign w:val="bottom"/>
            <w:hideMark/>
          </w:tcPr>
          <w:p w:rsidR="00D67909" w:rsidRPr="00E54387" w:rsidRDefault="00D67909" w:rsidP="00E54387">
            <w:pPr>
              <w:jc w:val="right"/>
              <w:rPr>
                <w:rFonts w:ascii="Calibri" w:hAnsi="Calibri" w:cs="Calibri"/>
                <w:b/>
                <w:bCs/>
                <w:color w:val="000000"/>
                <w:lang w:eastAsia="en-CA"/>
              </w:rPr>
            </w:pPr>
            <w:r>
              <w:rPr>
                <w:rFonts w:ascii="Calibri" w:hAnsi="Calibri" w:cs="Calibri"/>
                <w:b/>
                <w:bCs/>
                <w:color w:val="000000"/>
                <w:lang w:eastAsia="en-CA"/>
              </w:rPr>
              <w:t>Over/Under</w:t>
            </w:r>
          </w:p>
        </w:tc>
      </w:tr>
      <w:tr w:rsidR="00D67909" w:rsidTr="00E54387">
        <w:trPr>
          <w:trHeight w:val="315"/>
        </w:trPr>
        <w:tc>
          <w:tcPr>
            <w:tcW w:w="3556" w:type="dxa"/>
            <w:vMerge/>
            <w:tcBorders>
              <w:top w:val="nil"/>
              <w:left w:val="nil"/>
              <w:bottom w:val="single" w:sz="8" w:space="0" w:color="000000"/>
              <w:right w:val="nil"/>
            </w:tcBorders>
            <w:vAlign w:val="bottom"/>
            <w:hideMark/>
          </w:tcPr>
          <w:p w:rsidR="00D67909" w:rsidRPr="00E54387" w:rsidRDefault="00D67909">
            <w:pPr>
              <w:rPr>
                <w:rFonts w:ascii="Calibri" w:hAnsi="Calibri" w:cs="Calibri"/>
                <w:b/>
                <w:bCs/>
                <w:color w:val="000000"/>
                <w:lang w:eastAsia="en-CA"/>
              </w:rPr>
            </w:pPr>
          </w:p>
        </w:tc>
        <w:tc>
          <w:tcPr>
            <w:tcW w:w="850" w:type="dxa"/>
            <w:vMerge/>
            <w:tcBorders>
              <w:top w:val="nil"/>
              <w:left w:val="nil"/>
              <w:bottom w:val="single" w:sz="8" w:space="0" w:color="000000"/>
              <w:right w:val="nil"/>
            </w:tcBorders>
            <w:vAlign w:val="bottom"/>
            <w:hideMark/>
          </w:tcPr>
          <w:p w:rsidR="00D67909" w:rsidRPr="00E54387" w:rsidRDefault="00D67909" w:rsidP="00E54387">
            <w:pPr>
              <w:jc w:val="right"/>
              <w:rPr>
                <w:rFonts w:ascii="Calibri" w:hAnsi="Calibri" w:cs="Calibri"/>
                <w:b/>
                <w:bCs/>
                <w:color w:val="000000"/>
                <w:lang w:eastAsia="en-CA"/>
              </w:rPr>
            </w:pPr>
          </w:p>
        </w:tc>
        <w:tc>
          <w:tcPr>
            <w:tcW w:w="295" w:type="dxa"/>
            <w:vMerge/>
            <w:tcBorders>
              <w:top w:val="nil"/>
              <w:left w:val="nil"/>
              <w:bottom w:val="single" w:sz="8" w:space="0" w:color="000000"/>
              <w:right w:val="nil"/>
            </w:tcBorders>
            <w:vAlign w:val="bottom"/>
            <w:hideMark/>
          </w:tcPr>
          <w:p w:rsidR="00D67909" w:rsidRPr="00E54387" w:rsidRDefault="00D67909" w:rsidP="00E54387">
            <w:pPr>
              <w:jc w:val="right"/>
              <w:rPr>
                <w:rFonts w:ascii="Calibri" w:hAnsi="Calibri" w:cs="Calibri"/>
                <w:b/>
                <w:bCs/>
                <w:color w:val="000000"/>
                <w:lang w:eastAsia="en-CA"/>
              </w:rPr>
            </w:pPr>
          </w:p>
        </w:tc>
        <w:tc>
          <w:tcPr>
            <w:tcW w:w="1551" w:type="dxa"/>
            <w:vMerge/>
            <w:tcBorders>
              <w:top w:val="nil"/>
              <w:left w:val="nil"/>
              <w:bottom w:val="single" w:sz="8" w:space="0" w:color="000000"/>
              <w:right w:val="nil"/>
            </w:tcBorders>
            <w:vAlign w:val="bottom"/>
            <w:hideMark/>
          </w:tcPr>
          <w:p w:rsidR="00D67909" w:rsidRPr="00E54387" w:rsidRDefault="00D67909" w:rsidP="00E54387">
            <w:pPr>
              <w:jc w:val="right"/>
              <w:rPr>
                <w:rFonts w:ascii="Calibri" w:hAnsi="Calibri" w:cs="Calibri"/>
                <w:b/>
                <w:bCs/>
                <w:color w:val="000000"/>
                <w:lang w:eastAsia="en-CA"/>
              </w:rPr>
            </w:pPr>
          </w:p>
        </w:tc>
        <w:tc>
          <w:tcPr>
            <w:tcW w:w="572" w:type="dxa"/>
            <w:vMerge/>
            <w:tcBorders>
              <w:top w:val="nil"/>
              <w:left w:val="nil"/>
              <w:bottom w:val="single" w:sz="8" w:space="0" w:color="000000"/>
              <w:right w:val="nil"/>
            </w:tcBorders>
            <w:vAlign w:val="bottom"/>
            <w:hideMark/>
          </w:tcPr>
          <w:p w:rsidR="00D67909" w:rsidRPr="00E54387" w:rsidRDefault="00D67909" w:rsidP="00E54387">
            <w:pPr>
              <w:jc w:val="right"/>
              <w:rPr>
                <w:rFonts w:ascii="Calibri" w:hAnsi="Calibri" w:cs="Calibri"/>
                <w:b/>
                <w:bCs/>
                <w:color w:val="000000"/>
                <w:lang w:eastAsia="en-CA"/>
              </w:rPr>
            </w:pPr>
          </w:p>
        </w:tc>
        <w:tc>
          <w:tcPr>
            <w:tcW w:w="1413" w:type="dxa"/>
            <w:vAlign w:val="bottom"/>
            <w:hideMark/>
          </w:tcPr>
          <w:p w:rsidR="00D67909" w:rsidRPr="00E54387" w:rsidRDefault="00D67909" w:rsidP="00E54387">
            <w:pPr>
              <w:jc w:val="right"/>
              <w:rPr>
                <w:rFonts w:ascii="Calibri" w:hAnsi="Calibri" w:cs="Calibri"/>
                <w:b/>
                <w:bCs/>
                <w:color w:val="000000"/>
                <w:lang w:eastAsia="en-CA"/>
              </w:rPr>
            </w:pPr>
            <w:r>
              <w:rPr>
                <w:rFonts w:ascii="Calibri" w:hAnsi="Calibri" w:cs="Calibri"/>
                <w:b/>
                <w:bCs/>
                <w:color w:val="000000"/>
                <w:lang w:eastAsia="en-CA"/>
              </w:rPr>
              <w:t>Weight</w:t>
            </w:r>
          </w:p>
        </w:tc>
      </w:tr>
      <w:tr w:rsidR="00D67909" w:rsidTr="00E54387">
        <w:trPr>
          <w:trHeight w:val="300"/>
        </w:trPr>
        <w:tc>
          <w:tcPr>
            <w:tcW w:w="3556" w:type="dxa"/>
            <w:noWrap/>
            <w:vAlign w:val="center"/>
            <w:hideMark/>
          </w:tcPr>
          <w:p w:rsidR="00D67909" w:rsidRDefault="00D67909">
            <w:pPr>
              <w:jc w:val="center"/>
              <w:rPr>
                <w:rFonts w:ascii="Calibri" w:hAnsi="Calibri" w:cs="Calibri"/>
                <w:color w:val="000000"/>
                <w:szCs w:val="22"/>
                <w:lang w:val="en-CA" w:eastAsia="en-CA"/>
              </w:rPr>
            </w:pPr>
            <w:r>
              <w:rPr>
                <w:rFonts w:ascii="Calibri" w:hAnsi="Calibri" w:cs="Calibri"/>
                <w:color w:val="000000"/>
                <w:lang w:eastAsia="en-CA"/>
              </w:rPr>
              <w:t> </w:t>
            </w:r>
          </w:p>
        </w:tc>
        <w:tc>
          <w:tcPr>
            <w:tcW w:w="850" w:type="dxa"/>
            <w:noWrap/>
            <w:vAlign w:val="center"/>
            <w:hideMark/>
          </w:tcPr>
          <w:p w:rsidR="00D67909" w:rsidRDefault="00D67909">
            <w:pPr>
              <w:jc w:val="center"/>
              <w:rPr>
                <w:rFonts w:ascii="Calibri" w:hAnsi="Calibri" w:cs="Calibri"/>
                <w:color w:val="000000"/>
                <w:szCs w:val="22"/>
                <w:lang w:val="en-CA" w:eastAsia="en-CA"/>
              </w:rPr>
            </w:pPr>
            <w:r>
              <w:rPr>
                <w:rFonts w:ascii="Calibri" w:hAnsi="Calibri" w:cs="Calibri"/>
                <w:color w:val="000000"/>
                <w:lang w:eastAsia="en-CA"/>
              </w:rPr>
              <w:t> </w:t>
            </w:r>
          </w:p>
        </w:tc>
        <w:tc>
          <w:tcPr>
            <w:tcW w:w="295" w:type="dxa"/>
            <w:noWrap/>
            <w:vAlign w:val="center"/>
            <w:hideMark/>
          </w:tcPr>
          <w:p w:rsidR="00D67909" w:rsidRDefault="00D67909">
            <w:pPr>
              <w:jc w:val="center"/>
              <w:rPr>
                <w:rFonts w:ascii="Calibri" w:hAnsi="Calibri" w:cs="Calibri"/>
                <w:color w:val="000000"/>
                <w:szCs w:val="22"/>
                <w:lang w:val="en-CA" w:eastAsia="en-CA"/>
              </w:rPr>
            </w:pPr>
            <w:r>
              <w:rPr>
                <w:rFonts w:ascii="Calibri" w:hAnsi="Calibri" w:cs="Calibri"/>
                <w:color w:val="000000"/>
                <w:lang w:eastAsia="en-CA"/>
              </w:rPr>
              <w:t> </w:t>
            </w:r>
          </w:p>
        </w:tc>
        <w:tc>
          <w:tcPr>
            <w:tcW w:w="1551" w:type="dxa"/>
            <w:noWrap/>
            <w:vAlign w:val="center"/>
            <w:hideMark/>
          </w:tcPr>
          <w:p w:rsidR="00D67909" w:rsidRDefault="00D67909">
            <w:pPr>
              <w:jc w:val="center"/>
              <w:rPr>
                <w:rFonts w:ascii="Calibri" w:hAnsi="Calibri" w:cs="Calibri"/>
                <w:color w:val="000000"/>
                <w:szCs w:val="22"/>
                <w:lang w:val="en-CA" w:eastAsia="en-CA"/>
              </w:rPr>
            </w:pPr>
            <w:r>
              <w:rPr>
                <w:rFonts w:ascii="Calibri" w:hAnsi="Calibri" w:cs="Calibri"/>
                <w:color w:val="000000"/>
                <w:lang w:eastAsia="en-CA"/>
              </w:rPr>
              <w:t> </w:t>
            </w:r>
          </w:p>
        </w:tc>
        <w:tc>
          <w:tcPr>
            <w:tcW w:w="572" w:type="dxa"/>
            <w:noWrap/>
            <w:vAlign w:val="center"/>
            <w:hideMark/>
          </w:tcPr>
          <w:p w:rsidR="00D67909" w:rsidRDefault="00D67909">
            <w:pPr>
              <w:jc w:val="center"/>
              <w:rPr>
                <w:rFonts w:ascii="Calibri" w:hAnsi="Calibri" w:cs="Calibri"/>
                <w:color w:val="000000"/>
                <w:szCs w:val="22"/>
                <w:lang w:val="en-CA" w:eastAsia="en-CA"/>
              </w:rPr>
            </w:pPr>
            <w:r>
              <w:rPr>
                <w:rFonts w:ascii="Calibri" w:hAnsi="Calibri" w:cs="Calibri"/>
                <w:color w:val="000000"/>
                <w:lang w:eastAsia="en-CA"/>
              </w:rPr>
              <w:t> </w:t>
            </w:r>
          </w:p>
        </w:tc>
        <w:tc>
          <w:tcPr>
            <w:tcW w:w="1413" w:type="dxa"/>
            <w:tcBorders>
              <w:top w:val="single" w:sz="8" w:space="0" w:color="auto"/>
              <w:left w:val="nil"/>
              <w:bottom w:val="nil"/>
              <w:right w:val="nil"/>
            </w:tcBorders>
            <w:noWrap/>
            <w:vAlign w:val="center"/>
            <w:hideMark/>
          </w:tcPr>
          <w:p w:rsidR="00D67909" w:rsidRDefault="00D67909">
            <w:pPr>
              <w:jc w:val="center"/>
              <w:rPr>
                <w:rFonts w:ascii="Calibri" w:hAnsi="Calibri" w:cs="Calibri"/>
                <w:color w:val="000000"/>
                <w:szCs w:val="22"/>
                <w:lang w:val="en-CA" w:eastAsia="en-CA"/>
              </w:rPr>
            </w:pPr>
            <w:r>
              <w:rPr>
                <w:rFonts w:ascii="Calibri" w:hAnsi="Calibri" w:cs="Calibri"/>
                <w:color w:val="000000"/>
                <w:lang w:eastAsia="en-CA"/>
              </w:rPr>
              <w:t> </w:t>
            </w:r>
          </w:p>
        </w:tc>
      </w:tr>
      <w:tr w:rsidR="00D67909" w:rsidTr="00E54387">
        <w:trPr>
          <w:trHeight w:val="340"/>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Real Estate</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20.0%</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9.6%</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10.4%</w:t>
            </w:r>
          </w:p>
        </w:tc>
      </w:tr>
      <w:tr w:rsidR="00D67909" w:rsidTr="00E54387">
        <w:trPr>
          <w:trHeight w:val="417"/>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Pipelines</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17.7%</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21.6%</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-3.9%</w:t>
            </w:r>
          </w:p>
        </w:tc>
      </w:tr>
      <w:tr w:rsidR="00D67909" w:rsidTr="00E54387">
        <w:trPr>
          <w:trHeight w:val="423"/>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Financials</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16.6%</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30.3%</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-13.7%</w:t>
            </w:r>
          </w:p>
        </w:tc>
      </w:tr>
      <w:tr w:rsidR="00D67909" w:rsidTr="00E54387">
        <w:trPr>
          <w:trHeight w:val="429"/>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Power and Utilities</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13.7%</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15.2%</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-1.5%</w:t>
            </w:r>
          </w:p>
        </w:tc>
      </w:tr>
      <w:tr w:rsidR="00D67909" w:rsidTr="00E54387">
        <w:trPr>
          <w:trHeight w:val="421"/>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Industrials</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9.6%</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1.2%</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8.4%</w:t>
            </w:r>
          </w:p>
        </w:tc>
      </w:tr>
      <w:tr w:rsidR="00D67909" w:rsidTr="00E54387">
        <w:trPr>
          <w:trHeight w:val="426"/>
        </w:trPr>
        <w:tc>
          <w:tcPr>
            <w:tcW w:w="3556" w:type="dxa"/>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Energy</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8.6%</w:t>
            </w:r>
          </w:p>
        </w:tc>
        <w:tc>
          <w:tcPr>
            <w:tcW w:w="295" w:type="dxa"/>
            <w:vMerge w:val="restart"/>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7.7%</w:t>
            </w:r>
          </w:p>
        </w:tc>
        <w:tc>
          <w:tcPr>
            <w:tcW w:w="572" w:type="dxa"/>
            <w:vMerge w:val="restart"/>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0.9%</w:t>
            </w:r>
          </w:p>
        </w:tc>
      </w:tr>
      <w:tr w:rsidR="00D67909" w:rsidTr="00E54387">
        <w:trPr>
          <w:trHeight w:val="418"/>
        </w:trPr>
        <w:tc>
          <w:tcPr>
            <w:tcW w:w="3556" w:type="dxa"/>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Healthcare</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6.1%</w:t>
            </w:r>
          </w:p>
        </w:tc>
        <w:tc>
          <w:tcPr>
            <w:tcW w:w="295" w:type="dxa"/>
            <w:vMerge/>
            <w:vAlign w:val="bottom"/>
            <w:hideMark/>
          </w:tcPr>
          <w:p w:rsidR="00D67909" w:rsidRPr="00E54387" w:rsidRDefault="00D67909" w:rsidP="00E54387">
            <w:pPr>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0.0%</w:t>
            </w:r>
          </w:p>
        </w:tc>
        <w:tc>
          <w:tcPr>
            <w:tcW w:w="572" w:type="dxa"/>
            <w:vMerge/>
            <w:vAlign w:val="bottom"/>
            <w:hideMark/>
          </w:tcPr>
          <w:p w:rsidR="00D67909" w:rsidRPr="00E54387" w:rsidRDefault="00D67909" w:rsidP="00E54387">
            <w:pPr>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6.1%</w:t>
            </w:r>
          </w:p>
        </w:tc>
      </w:tr>
      <w:tr w:rsidR="00D67909" w:rsidTr="00E54387">
        <w:trPr>
          <w:trHeight w:val="439"/>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Communication Services</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3.4%</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10.1%</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-6.7%</w:t>
            </w:r>
          </w:p>
        </w:tc>
      </w:tr>
      <w:tr w:rsidR="00D67909" w:rsidTr="00E54387">
        <w:trPr>
          <w:trHeight w:val="431"/>
        </w:trPr>
        <w:tc>
          <w:tcPr>
            <w:tcW w:w="3556" w:type="dxa"/>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Materials</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1.8%</w:t>
            </w:r>
          </w:p>
        </w:tc>
        <w:tc>
          <w:tcPr>
            <w:tcW w:w="295" w:type="dxa"/>
            <w:vMerge w:val="restart"/>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1.3%</w:t>
            </w:r>
          </w:p>
        </w:tc>
        <w:tc>
          <w:tcPr>
            <w:tcW w:w="572" w:type="dxa"/>
            <w:vMerge w:val="restart"/>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0.5%</w:t>
            </w:r>
          </w:p>
        </w:tc>
      </w:tr>
      <w:tr w:rsidR="00D67909" w:rsidTr="00E54387">
        <w:trPr>
          <w:trHeight w:val="409"/>
        </w:trPr>
        <w:tc>
          <w:tcPr>
            <w:tcW w:w="3556" w:type="dxa"/>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Bonds/Convertible Debs./</w:t>
            </w:r>
            <w:proofErr w:type="spellStart"/>
            <w:r w:rsidRPr="00E54387">
              <w:rPr>
                <w:rFonts w:ascii="Times New Roman" w:hAnsi="Times New Roman"/>
                <w:color w:val="000000"/>
                <w:sz w:val="20"/>
                <w:szCs w:val="20"/>
                <w:lang w:eastAsia="en-CA"/>
              </w:rPr>
              <w:t>Preferreds</w:t>
            </w:r>
            <w:proofErr w:type="spellEnd"/>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2.5%</w:t>
            </w:r>
          </w:p>
        </w:tc>
        <w:tc>
          <w:tcPr>
            <w:tcW w:w="295" w:type="dxa"/>
            <w:vMerge/>
            <w:vAlign w:val="bottom"/>
            <w:hideMark/>
          </w:tcPr>
          <w:p w:rsidR="00D67909" w:rsidRPr="00E54387" w:rsidRDefault="00D67909" w:rsidP="00E54387">
            <w:pPr>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0.0%</w:t>
            </w:r>
          </w:p>
        </w:tc>
        <w:tc>
          <w:tcPr>
            <w:tcW w:w="572" w:type="dxa"/>
            <w:vMerge/>
            <w:vAlign w:val="bottom"/>
            <w:hideMark/>
          </w:tcPr>
          <w:p w:rsidR="00D67909" w:rsidRPr="00E54387" w:rsidRDefault="00D67909" w:rsidP="00E54387">
            <w:pPr>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2.5%</w:t>
            </w:r>
          </w:p>
        </w:tc>
      </w:tr>
      <w:tr w:rsidR="00D67909" w:rsidTr="00E54387">
        <w:trPr>
          <w:trHeight w:val="428"/>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Consumer Discretionary</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2.5%</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-2.5%</w:t>
            </w:r>
          </w:p>
        </w:tc>
      </w:tr>
      <w:tr w:rsidR="00D67909" w:rsidTr="00E54387">
        <w:trPr>
          <w:trHeight w:val="435"/>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Consumer Staples</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0.3%</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-0.3%</w:t>
            </w:r>
          </w:p>
        </w:tc>
      </w:tr>
      <w:tr w:rsidR="00D67909" w:rsidTr="00E54387">
        <w:trPr>
          <w:trHeight w:val="427"/>
        </w:trPr>
        <w:tc>
          <w:tcPr>
            <w:tcW w:w="3556" w:type="dxa"/>
            <w:noWrap/>
            <w:vAlign w:val="bottom"/>
            <w:hideMark/>
          </w:tcPr>
          <w:p w:rsidR="00D67909" w:rsidRPr="00E54387" w:rsidRDefault="00D67909">
            <w:pPr>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Technology</w:t>
            </w:r>
          </w:p>
        </w:tc>
        <w:tc>
          <w:tcPr>
            <w:tcW w:w="850"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w:t>
            </w:r>
          </w:p>
        </w:tc>
        <w:tc>
          <w:tcPr>
            <w:tcW w:w="295"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551"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0.2%</w:t>
            </w:r>
          </w:p>
        </w:tc>
        <w:tc>
          <w:tcPr>
            <w:tcW w:w="572" w:type="dxa"/>
            <w:noWrap/>
            <w:vAlign w:val="bottom"/>
            <w:hideMark/>
          </w:tcPr>
          <w:p w:rsidR="00D67909" w:rsidRPr="00E54387" w:rsidRDefault="00D67909" w:rsidP="00E54387">
            <w:pPr>
              <w:spacing w:line="276" w:lineRule="auto"/>
              <w:jc w:val="right"/>
              <w:rPr>
                <w:rFonts w:ascii="Times New Roman" w:hAnsi="Times New Roman"/>
                <w:sz w:val="20"/>
                <w:szCs w:val="20"/>
                <w:lang w:val="en-CA"/>
              </w:rPr>
            </w:pPr>
          </w:p>
        </w:tc>
        <w:tc>
          <w:tcPr>
            <w:tcW w:w="1413" w:type="dxa"/>
            <w:vAlign w:val="bottom"/>
            <w:hideMark/>
          </w:tcPr>
          <w:p w:rsidR="00D67909" w:rsidRPr="00E54387" w:rsidRDefault="00D67909">
            <w:pPr>
              <w:jc w:val="right"/>
              <w:rPr>
                <w:rFonts w:ascii="Times New Roman" w:hAnsi="Times New Roman"/>
                <w:color w:val="000000"/>
                <w:sz w:val="20"/>
                <w:szCs w:val="20"/>
                <w:lang w:val="en-CA" w:eastAsia="en-CA"/>
              </w:rPr>
            </w:pPr>
            <w:r w:rsidRPr="00E54387">
              <w:rPr>
                <w:rFonts w:ascii="Times New Roman" w:hAnsi="Times New Roman"/>
                <w:color w:val="000000"/>
                <w:sz w:val="20"/>
                <w:szCs w:val="20"/>
                <w:lang w:eastAsia="en-CA"/>
              </w:rPr>
              <w:t>-0.2%</w:t>
            </w:r>
          </w:p>
        </w:tc>
      </w:tr>
    </w:tbl>
    <w:p w:rsidR="00D67909" w:rsidRDefault="00D67909" w:rsidP="00D67909">
      <w:pPr>
        <w:autoSpaceDE w:val="0"/>
        <w:autoSpaceDN w:val="0"/>
        <w:spacing w:line="360" w:lineRule="auto"/>
        <w:jc w:val="both"/>
        <w:rPr>
          <w:rFonts w:asciiTheme="minorHAnsi" w:hAnsiTheme="minorHAnsi" w:cstheme="minorBidi"/>
          <w:sz w:val="12"/>
          <w:szCs w:val="12"/>
          <w:lang w:val="en-CA"/>
        </w:rPr>
      </w:pPr>
    </w:p>
    <w:p w:rsidR="00D67909" w:rsidRDefault="00D67909" w:rsidP="00D67909">
      <w:pPr>
        <w:autoSpaceDE w:val="0"/>
        <w:autoSpaceDN w:val="0"/>
        <w:spacing w:line="360" w:lineRule="auto"/>
        <w:jc w:val="both"/>
        <w:rPr>
          <w:szCs w:val="22"/>
        </w:rPr>
      </w:pPr>
      <w:r w:rsidRPr="00E54387">
        <w:rPr>
          <w:rFonts w:ascii="Times New Roman" w:hAnsi="Times New Roman"/>
          <w:sz w:val="18"/>
          <w:szCs w:val="18"/>
        </w:rPr>
        <w:t xml:space="preserve">Source:  </w:t>
      </w:r>
      <w:r w:rsidR="005D7361">
        <w:rPr>
          <w:rFonts w:ascii="Times New Roman" w:hAnsi="Times New Roman"/>
          <w:sz w:val="18"/>
          <w:szCs w:val="18"/>
        </w:rPr>
        <w:t xml:space="preserve">Middlefield, </w:t>
      </w:r>
      <w:r w:rsidRPr="00E54387">
        <w:rPr>
          <w:rFonts w:ascii="Times New Roman" w:hAnsi="Times New Roman"/>
          <w:sz w:val="18"/>
          <w:szCs w:val="18"/>
        </w:rPr>
        <w:t>Bloomberg, as at 31 December 2018</w:t>
      </w: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In addition, as global economic growth began to slow in the second half of the year, the Fund’s asset mix tilted to a more defensive position. The chart below depicts a year over year comparison of the Fund’s allocation to more defensive market sectors including real estate, pipelines, utilities and healthcare, which, in aggregate, represented 58% of the portfolio as at </w:t>
      </w:r>
      <w:r w:rsidR="00E54387">
        <w:rPr>
          <w:rFonts w:ascii="Times New Roman" w:hAnsi="Times New Roman"/>
          <w:sz w:val="20"/>
          <w:szCs w:val="20"/>
        </w:rPr>
        <w:t xml:space="preserve">31 </w:t>
      </w:r>
      <w:r w:rsidRPr="00E54387">
        <w:rPr>
          <w:rFonts w:ascii="Times New Roman" w:hAnsi="Times New Roman"/>
          <w:sz w:val="20"/>
          <w:szCs w:val="20"/>
        </w:rPr>
        <w:t xml:space="preserve">December 2018 versus 47% as at </w:t>
      </w:r>
      <w:r w:rsidR="00E54387">
        <w:rPr>
          <w:rFonts w:ascii="Times New Roman" w:hAnsi="Times New Roman"/>
          <w:sz w:val="20"/>
          <w:szCs w:val="20"/>
        </w:rPr>
        <w:t xml:space="preserve">31 </w:t>
      </w:r>
      <w:r w:rsidRPr="00E54387">
        <w:rPr>
          <w:rFonts w:ascii="Times New Roman" w:hAnsi="Times New Roman"/>
          <w:sz w:val="20"/>
          <w:szCs w:val="20"/>
        </w:rPr>
        <w:t>December 2017.</w:t>
      </w: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AD47CC" w:rsidRPr="002F717A" w:rsidRDefault="00AD47CC" w:rsidP="00AD47CC">
      <w:pPr>
        <w:pStyle w:val="Heading2"/>
        <w:tabs>
          <w:tab w:val="right" w:pos="8222"/>
        </w:tabs>
        <w:rPr>
          <w:rFonts w:ascii="Times New Roman" w:hAnsi="Times New Roman"/>
        </w:rPr>
      </w:pPr>
      <w:r w:rsidRPr="002F717A">
        <w:rPr>
          <w:rFonts w:ascii="Times New Roman" w:hAnsi="Times New Roman"/>
        </w:rPr>
        <w:t>Chairman’s Report</w:t>
      </w:r>
      <w:r>
        <w:rPr>
          <w:rFonts w:ascii="Times New Roman" w:hAnsi="Times New Roman"/>
        </w:rPr>
        <w:t xml:space="preserve"> (continued)</w:t>
      </w:r>
    </w:p>
    <w:p w:rsidR="00AD47CC" w:rsidRDefault="00AD47CC" w:rsidP="00D67909">
      <w:pPr>
        <w:autoSpaceDE w:val="0"/>
        <w:autoSpaceDN w:val="0"/>
        <w:spacing w:line="360" w:lineRule="auto"/>
        <w:jc w:val="both"/>
        <w:rPr>
          <w:rFonts w:ascii="Times New Roman" w:hAnsi="Times New Roman"/>
          <w:b/>
          <w:u w:val="single"/>
        </w:rPr>
      </w:pPr>
    </w:p>
    <w:p w:rsidR="0064692C" w:rsidRPr="00E54387" w:rsidRDefault="0064692C" w:rsidP="0064692C">
      <w:pPr>
        <w:autoSpaceDE w:val="0"/>
        <w:autoSpaceDN w:val="0"/>
        <w:spacing w:line="360" w:lineRule="auto"/>
        <w:jc w:val="both"/>
        <w:rPr>
          <w:rFonts w:ascii="Times New Roman" w:hAnsi="Times New Roman"/>
          <w:noProof/>
          <w:lang w:eastAsia="en-CA"/>
        </w:rPr>
      </w:pPr>
      <w:r w:rsidRPr="00E54387">
        <w:rPr>
          <w:rFonts w:ascii="Times New Roman" w:hAnsi="Times New Roman"/>
          <w:b/>
          <w:u w:val="single"/>
        </w:rPr>
        <w:t>Year Over Year Change in Asset Mix</w:t>
      </w:r>
      <w:r>
        <w:rPr>
          <w:rFonts w:ascii="Times New Roman" w:hAnsi="Times New Roman"/>
          <w:b/>
          <w:u w:val="single"/>
        </w:rPr>
        <w:t xml:space="preserve"> – </w:t>
      </w:r>
      <w:r w:rsidR="00547E68">
        <w:rPr>
          <w:rFonts w:ascii="Times New Roman" w:hAnsi="Times New Roman"/>
          <w:b/>
          <w:u w:val="single"/>
        </w:rPr>
        <w:t>“</w:t>
      </w:r>
      <w:r>
        <w:rPr>
          <w:rFonts w:ascii="Times New Roman" w:hAnsi="Times New Roman"/>
          <w:b/>
          <w:u w:val="single"/>
        </w:rPr>
        <w:t>Shift to More Defensive Positioning”</w:t>
      </w:r>
      <w:r w:rsidRPr="00E54387">
        <w:rPr>
          <w:rFonts w:ascii="Times New Roman" w:hAnsi="Times New Roman"/>
          <w:noProof/>
          <w:lang w:eastAsia="en-CA"/>
        </w:rPr>
        <w:t xml:space="preserve"> </w:t>
      </w:r>
    </w:p>
    <w:p w:rsidR="00D67909" w:rsidRDefault="00D67909" w:rsidP="00D67909">
      <w:pPr>
        <w:autoSpaceDE w:val="0"/>
        <w:autoSpaceDN w:val="0"/>
        <w:spacing w:line="360" w:lineRule="auto"/>
        <w:jc w:val="both"/>
        <w:rPr>
          <w:b/>
          <w:u w:val="single"/>
        </w:rPr>
      </w:pPr>
    </w:p>
    <w:p w:rsidR="00D67909" w:rsidRDefault="00D67909" w:rsidP="00D67909">
      <w:pPr>
        <w:autoSpaceDE w:val="0"/>
        <w:autoSpaceDN w:val="0"/>
        <w:spacing w:line="360" w:lineRule="auto"/>
        <w:jc w:val="both"/>
        <w:rPr>
          <w:sz w:val="12"/>
          <w:szCs w:val="12"/>
        </w:rPr>
      </w:pPr>
      <w:r>
        <w:rPr>
          <w:noProof/>
          <w:lang w:eastAsia="en-GB"/>
        </w:rPr>
        <mc:AlternateContent>
          <mc:Choice Requires="wps">
            <w:drawing>
              <wp:anchor distT="0" distB="0" distL="114300" distR="114300" simplePos="0" relativeHeight="251709440" behindDoc="0" locked="0" layoutInCell="1" allowOverlap="1" wp14:anchorId="064051ED" wp14:editId="6C939A9B">
                <wp:simplePos x="0" y="0"/>
                <wp:positionH relativeFrom="column">
                  <wp:posOffset>1116965</wp:posOffset>
                </wp:positionH>
                <wp:positionV relativeFrom="paragraph">
                  <wp:posOffset>651510</wp:posOffset>
                </wp:positionV>
                <wp:extent cx="658495" cy="21844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658495" cy="21844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D67909" w:rsidRDefault="00D67909" w:rsidP="00D67909">
                            <w:pPr>
                              <w:pStyle w:val="NormalWeb"/>
                              <w:spacing w:before="0" w:beforeAutospacing="0" w:after="0" w:afterAutospacing="0"/>
                            </w:pPr>
                            <w:r>
                              <w:rPr>
                                <w:rFonts w:asciiTheme="minorHAnsi" w:hAnsi="Calibri" w:cstheme="minorBidi"/>
                                <w:b/>
                                <w:bCs/>
                                <w:color w:val="000000" w:themeColor="dark1"/>
                                <w:sz w:val="16"/>
                                <w:szCs w:val="16"/>
                              </w:rPr>
                              <w:t>Total 47%</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87.95pt;margin-top:51.3pt;width:51.85pt;height:1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" fillcolor="white [3201]" stroked="f">
                <v:textbox>
                  <w:txbxContent>
                    <w:p w:rsidR="00D67909" w:rsidRDefault="00D67909" w:rsidP="00D67909">
                      <w:pPr>
                        <w:pStyle w:val="NormalWeb"/>
                        <w:spacing w:before="0" w:beforeAutospacing="0" w:after="0" w:afterAutospacing="0"/>
                      </w:pPr>
                      <w:r>
                        <w:rPr>
                          <w:rFonts w:asciiTheme="minorHAnsi" w:hAnsi="Calibri" w:cstheme="minorBidi"/>
                          <w:b/>
                          <w:bCs/>
                          <w:color w:val="000000" w:themeColor="dark1"/>
                          <w:sz w:val="16"/>
                          <w:szCs w:val="16"/>
                        </w:rPr>
                        <w:t>Total 47%</w:t>
                      </w:r>
                    </w:p>
                  </w:txbxContent>
                </v:textbox>
              </v:shape>
            </w:pict>
          </mc:Fallback>
        </mc:AlternateContent>
      </w:r>
      <w:r w:rsidR="003F2E35" w:rsidRPr="003F2E35">
        <w:rPr>
          <w:noProof/>
          <w:lang w:eastAsia="en-GB"/>
        </w:rPr>
        <w:t xml:space="preserve"> </w:t>
      </w:r>
      <w:r w:rsidR="003F2E35">
        <w:rPr>
          <w:noProof/>
          <w:lang w:eastAsia="en-GB"/>
        </w:rPr>
        <w:drawing>
          <wp:inline distT="0" distB="0" distL="0" distR="0" wp14:anchorId="759F1E46" wp14:editId="745947E8">
            <wp:extent cx="5330952" cy="2743200"/>
            <wp:effectExtent l="0" t="0" r="31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67909" w:rsidRPr="00E54387" w:rsidRDefault="00D67909" w:rsidP="00E54387">
      <w:pPr>
        <w:spacing w:after="240"/>
        <w:jc w:val="both"/>
        <w:rPr>
          <w:rFonts w:ascii="Times New Roman" w:hAnsi="Times New Roman"/>
          <w:sz w:val="18"/>
          <w:szCs w:val="18"/>
        </w:rPr>
      </w:pPr>
      <w:r w:rsidRPr="00E54387">
        <w:rPr>
          <w:rFonts w:ascii="Times New Roman" w:hAnsi="Times New Roman"/>
          <w:sz w:val="18"/>
          <w:szCs w:val="18"/>
        </w:rPr>
        <w:t>Source:  Middlefield, as at 31 December 2018</w:t>
      </w:r>
    </w:p>
    <w:p w:rsidR="0064692C" w:rsidRPr="00E54387" w:rsidRDefault="0064692C" w:rsidP="0064692C">
      <w:pPr>
        <w:spacing w:after="240"/>
        <w:jc w:val="both"/>
        <w:rPr>
          <w:rFonts w:ascii="Times New Roman" w:hAnsi="Times New Roman"/>
          <w:sz w:val="20"/>
          <w:szCs w:val="20"/>
        </w:rPr>
      </w:pPr>
      <w:r w:rsidRPr="00E54387">
        <w:rPr>
          <w:rFonts w:ascii="Times New Roman" w:hAnsi="Times New Roman"/>
          <w:sz w:val="20"/>
          <w:szCs w:val="20"/>
        </w:rPr>
        <w:t>The share register remained stable throughout 2018, supported by long term institutional investors and a growing base of retail investors.  We view the latter as particularly important to the growth of the Fund over time and are increasing our efforts to broaden the Fund’s awareness among retail investors.</w:t>
      </w:r>
      <w:r>
        <w:rPr>
          <w:rFonts w:ascii="Times New Roman" w:hAnsi="Times New Roman"/>
          <w:sz w:val="20"/>
          <w:szCs w:val="20"/>
        </w:rPr>
        <w:t xml:space="preserve"> The Fund’s shares traded at an average discount of 12.2% over the year against a backdrop dominated by Brexit uncertainty and slowing global economic growth.</w:t>
      </w:r>
      <w:r w:rsidRPr="00E54387">
        <w:rPr>
          <w:rFonts w:ascii="Times New Roman" w:hAnsi="Times New Roman"/>
          <w:sz w:val="20"/>
          <w:szCs w:val="20"/>
        </w:rPr>
        <w:t xml:space="preserve"> </w:t>
      </w:r>
      <w:r>
        <w:rPr>
          <w:rFonts w:ascii="Times New Roman" w:hAnsi="Times New Roman"/>
          <w:sz w:val="20"/>
          <w:szCs w:val="20"/>
        </w:rPr>
        <w:t xml:space="preserve">The Fund has the authority to conduct share buybacks at a discount to the net asset value. However, given considerations as to the size and liquidity of the Fund, it did </w:t>
      </w:r>
      <w:r w:rsidRPr="00E54387">
        <w:rPr>
          <w:rFonts w:ascii="Times New Roman" w:hAnsi="Times New Roman"/>
          <w:sz w:val="20"/>
          <w:szCs w:val="20"/>
        </w:rPr>
        <w:t xml:space="preserve">not repurchase any </w:t>
      </w:r>
      <w:r>
        <w:rPr>
          <w:rFonts w:ascii="Times New Roman" w:hAnsi="Times New Roman"/>
          <w:sz w:val="20"/>
          <w:szCs w:val="20"/>
        </w:rPr>
        <w:t xml:space="preserve">of its own </w:t>
      </w:r>
      <w:r w:rsidRPr="00E54387">
        <w:rPr>
          <w:rFonts w:ascii="Times New Roman" w:hAnsi="Times New Roman"/>
          <w:sz w:val="20"/>
          <w:szCs w:val="20"/>
        </w:rPr>
        <w:t>shares</w:t>
      </w:r>
      <w:r>
        <w:rPr>
          <w:rFonts w:ascii="Times New Roman" w:hAnsi="Times New Roman"/>
          <w:sz w:val="20"/>
          <w:szCs w:val="20"/>
        </w:rPr>
        <w:t>. T</w:t>
      </w:r>
      <w:r w:rsidRPr="00E54387">
        <w:rPr>
          <w:rFonts w:ascii="Times New Roman" w:hAnsi="Times New Roman"/>
          <w:sz w:val="20"/>
          <w:szCs w:val="20"/>
        </w:rPr>
        <w:t>he number of shares with voting rights in issue remains at approximately 106.5 million.</w:t>
      </w:r>
    </w:p>
    <w:p w:rsidR="00D67909"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We tactically manage the amount of gearing employed in the Fund. Based on the relative strength and stability of the markets up until </w:t>
      </w:r>
      <w:r w:rsidR="00E54387">
        <w:rPr>
          <w:rFonts w:ascii="Times New Roman" w:hAnsi="Times New Roman"/>
          <w:sz w:val="20"/>
          <w:szCs w:val="20"/>
        </w:rPr>
        <w:t xml:space="preserve">30 </w:t>
      </w:r>
      <w:r w:rsidRPr="00E54387">
        <w:rPr>
          <w:rFonts w:ascii="Times New Roman" w:hAnsi="Times New Roman"/>
          <w:sz w:val="20"/>
          <w:szCs w:val="20"/>
        </w:rPr>
        <w:t>September 2018 gearing remained in the 15% to 20% range of total assets during this period. As markets became more volatile in the fourth quarter, net gearing was scaled back from approximately 18% at the end of the third quarter to 10% to finish the year. The Fund aims to effectively increase gearing to invest in securities that are attractively valued, and reduce gearing with proceeds from positions that are overvalued.</w:t>
      </w:r>
    </w:p>
    <w:p w:rsidR="00D67909" w:rsidRPr="00E54387" w:rsidRDefault="00D67909" w:rsidP="00D67909">
      <w:pPr>
        <w:autoSpaceDE w:val="0"/>
        <w:autoSpaceDN w:val="0"/>
        <w:spacing w:line="360" w:lineRule="auto"/>
        <w:jc w:val="both"/>
        <w:rPr>
          <w:rFonts w:ascii="Times New Roman" w:hAnsi="Times New Roman"/>
          <w:b/>
          <w:szCs w:val="22"/>
          <w:u w:val="single"/>
        </w:rPr>
      </w:pPr>
      <w:r w:rsidRPr="00E54387">
        <w:rPr>
          <w:rFonts w:ascii="Times New Roman" w:hAnsi="Times New Roman"/>
          <w:b/>
          <w:szCs w:val="22"/>
          <w:u w:val="single"/>
        </w:rPr>
        <w:t>Dividends</w:t>
      </w: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Since July 2017, the Fund has paid dividends on a quarterly basis at a rate of 1.275p per quarter, equating to 5.1p per annum. Total dividends since inception as at the end of 2018 were 66.4p. The Company does not currently intend to make adjustments to the dividend, and continues to generate a healthy level of income. </w:t>
      </w:r>
    </w:p>
    <w:p w:rsidR="00D67909" w:rsidRPr="00E54387" w:rsidRDefault="00D67909" w:rsidP="00D67909">
      <w:pPr>
        <w:autoSpaceDE w:val="0"/>
        <w:autoSpaceDN w:val="0"/>
        <w:spacing w:line="360" w:lineRule="auto"/>
        <w:jc w:val="both"/>
        <w:rPr>
          <w:rFonts w:ascii="Times New Roman" w:hAnsi="Times New Roman"/>
          <w:b/>
          <w:szCs w:val="22"/>
          <w:u w:val="single"/>
        </w:rPr>
      </w:pPr>
      <w:r w:rsidRPr="00E54387">
        <w:rPr>
          <w:rFonts w:ascii="Times New Roman" w:hAnsi="Times New Roman"/>
          <w:b/>
          <w:szCs w:val="22"/>
          <w:u w:val="single"/>
        </w:rPr>
        <w:t>Board Composition</w:t>
      </w:r>
    </w:p>
    <w:p w:rsidR="00133242" w:rsidRPr="00E54387" w:rsidRDefault="00133242" w:rsidP="00133242">
      <w:pPr>
        <w:spacing w:after="240"/>
        <w:jc w:val="both"/>
        <w:rPr>
          <w:rFonts w:ascii="Times New Roman" w:hAnsi="Times New Roman"/>
          <w:sz w:val="20"/>
          <w:szCs w:val="20"/>
        </w:rPr>
      </w:pPr>
      <w:r w:rsidRPr="00E54387">
        <w:rPr>
          <w:rFonts w:ascii="Times New Roman" w:hAnsi="Times New Roman"/>
          <w:sz w:val="20"/>
          <w:szCs w:val="20"/>
        </w:rPr>
        <w:t xml:space="preserve">As discussed in the 2017 Annual Financial Report, the Board has been actively engaged in refreshing its composition. In this regard, Mr. </w:t>
      </w:r>
      <w:proofErr w:type="spellStart"/>
      <w:r w:rsidRPr="00E54387">
        <w:rPr>
          <w:rFonts w:ascii="Times New Roman" w:hAnsi="Times New Roman"/>
          <w:sz w:val="20"/>
          <w:szCs w:val="20"/>
        </w:rPr>
        <w:t>Apsey</w:t>
      </w:r>
      <w:proofErr w:type="spellEnd"/>
      <w:r w:rsidRPr="00E54387">
        <w:rPr>
          <w:rFonts w:ascii="Times New Roman" w:hAnsi="Times New Roman"/>
          <w:sz w:val="20"/>
          <w:szCs w:val="20"/>
        </w:rPr>
        <w:t xml:space="preserve">, a Jersey non-executive director and former Chairman of the Company, has advised the Board of his willingness to retire as a director of the Company and the Fund at the upcoming Company and Cell meeting in June 2019.  The Board would like to thank Mr. </w:t>
      </w:r>
      <w:proofErr w:type="spellStart"/>
      <w:r w:rsidRPr="00E54387">
        <w:rPr>
          <w:rFonts w:ascii="Times New Roman" w:hAnsi="Times New Roman"/>
          <w:sz w:val="20"/>
          <w:szCs w:val="20"/>
        </w:rPr>
        <w:t>Apsey</w:t>
      </w:r>
      <w:proofErr w:type="spellEnd"/>
      <w:r w:rsidRPr="00E54387">
        <w:rPr>
          <w:rFonts w:ascii="Times New Roman" w:hAnsi="Times New Roman"/>
          <w:sz w:val="20"/>
          <w:szCs w:val="20"/>
        </w:rPr>
        <w:t xml:space="preserve"> for his invaluable contributions during his tenure and wishes him well for the future.  </w:t>
      </w:r>
    </w:p>
    <w:p w:rsidR="00133242" w:rsidRPr="00E54387" w:rsidRDefault="00133242" w:rsidP="00133242">
      <w:pPr>
        <w:spacing w:after="240"/>
        <w:jc w:val="both"/>
        <w:rPr>
          <w:rFonts w:ascii="Times New Roman" w:hAnsi="Times New Roman"/>
          <w:sz w:val="20"/>
          <w:szCs w:val="20"/>
        </w:rPr>
      </w:pPr>
      <w:r w:rsidRPr="00E54387">
        <w:rPr>
          <w:rFonts w:ascii="Times New Roman" w:hAnsi="Times New Roman"/>
          <w:sz w:val="20"/>
          <w:szCs w:val="20"/>
        </w:rPr>
        <w:t xml:space="preserve">The Board is in the process of identifying a new Jersey-resident director to be appointed in place of Mr. </w:t>
      </w:r>
      <w:proofErr w:type="spellStart"/>
      <w:r w:rsidRPr="00E54387">
        <w:rPr>
          <w:rFonts w:ascii="Times New Roman" w:hAnsi="Times New Roman"/>
          <w:sz w:val="20"/>
          <w:szCs w:val="20"/>
        </w:rPr>
        <w:t>Apsey</w:t>
      </w:r>
      <w:proofErr w:type="spellEnd"/>
      <w:r w:rsidRPr="00E54387">
        <w:rPr>
          <w:rFonts w:ascii="Times New Roman" w:hAnsi="Times New Roman"/>
          <w:sz w:val="20"/>
          <w:szCs w:val="20"/>
        </w:rPr>
        <w:t xml:space="preserve"> and further announcements providing details of changes to the Board</w:t>
      </w:r>
      <w:r>
        <w:rPr>
          <w:rFonts w:ascii="Times New Roman" w:hAnsi="Times New Roman"/>
          <w:sz w:val="20"/>
          <w:szCs w:val="20"/>
        </w:rPr>
        <w:t xml:space="preserve"> including the proposed appointment of a new UK resident non-executive director</w:t>
      </w:r>
      <w:r w:rsidRPr="00E54387">
        <w:rPr>
          <w:rFonts w:ascii="Times New Roman" w:hAnsi="Times New Roman"/>
          <w:sz w:val="20"/>
          <w:szCs w:val="20"/>
        </w:rPr>
        <w:t xml:space="preserve"> will be released in due course. These changes follow the appointment of UK-resident non-executive director, Mr. Richard Hughes, in July 2018.</w:t>
      </w:r>
    </w:p>
    <w:p w:rsidR="00F91ACC" w:rsidRPr="00F9062B" w:rsidRDefault="00F91ACC" w:rsidP="00F9062B">
      <w:pPr>
        <w:spacing w:after="240"/>
        <w:jc w:val="both"/>
        <w:rPr>
          <w:rFonts w:ascii="Times New Roman" w:hAnsi="Times New Roman"/>
          <w:sz w:val="20"/>
          <w:szCs w:val="20"/>
        </w:rPr>
      </w:pPr>
      <w:r w:rsidRPr="00F9062B">
        <w:rPr>
          <w:rFonts w:ascii="Times New Roman" w:hAnsi="Times New Roman"/>
          <w:sz w:val="20"/>
          <w:szCs w:val="20"/>
        </w:rPr>
        <w:t xml:space="preserve">Furthermore, as described in the Company’s half-yearly report for the six months ended 30 June 2018, the Company has been consulting with certain of its largest shareholders to discuss, </w:t>
      </w:r>
      <w:r w:rsidRPr="00F9062B">
        <w:rPr>
          <w:rFonts w:ascii="Times New Roman" w:hAnsi="Times New Roman"/>
          <w:i/>
          <w:sz w:val="20"/>
          <w:szCs w:val="20"/>
        </w:rPr>
        <w:t>inter alia</w:t>
      </w:r>
      <w:r w:rsidRPr="00F9062B">
        <w:rPr>
          <w:rFonts w:ascii="Times New Roman" w:hAnsi="Times New Roman"/>
          <w:sz w:val="20"/>
          <w:szCs w:val="20"/>
        </w:rPr>
        <w:t xml:space="preserve">, plans for future board succession and measures to be taken by the Company to ensure compliance with the UK standards of good corporate governance.  </w:t>
      </w:r>
    </w:p>
    <w:p w:rsidR="00871823" w:rsidRPr="00F9062B" w:rsidRDefault="00871823">
      <w:pPr>
        <w:pStyle w:val="Heading2"/>
        <w:tabs>
          <w:tab w:val="right" w:pos="8222"/>
        </w:tabs>
        <w:rPr>
          <w:rFonts w:ascii="Times New Roman" w:hAnsi="Times New Roman"/>
        </w:rPr>
      </w:pPr>
      <w:r w:rsidRPr="00F9062B">
        <w:rPr>
          <w:rFonts w:ascii="Times New Roman" w:hAnsi="Times New Roman"/>
        </w:rPr>
        <w:t>Chairman’s Report (continued)</w:t>
      </w:r>
    </w:p>
    <w:p w:rsidR="00F91ACC" w:rsidRPr="00F9062B" w:rsidRDefault="00F91ACC" w:rsidP="00F9062B">
      <w:pPr>
        <w:autoSpaceDE w:val="0"/>
        <w:autoSpaceDN w:val="0"/>
        <w:spacing w:line="360" w:lineRule="auto"/>
        <w:jc w:val="both"/>
        <w:rPr>
          <w:rFonts w:ascii="Times New Roman" w:hAnsi="Times New Roman"/>
          <w:szCs w:val="22"/>
          <w:u w:val="single"/>
        </w:rPr>
      </w:pPr>
    </w:p>
    <w:p w:rsidR="00F91ACC" w:rsidRPr="00E54387" w:rsidRDefault="00F91ACC" w:rsidP="00F91ACC">
      <w:pPr>
        <w:autoSpaceDE w:val="0"/>
        <w:autoSpaceDN w:val="0"/>
        <w:spacing w:line="360" w:lineRule="auto"/>
        <w:jc w:val="both"/>
        <w:rPr>
          <w:rFonts w:ascii="Times New Roman" w:hAnsi="Times New Roman"/>
          <w:b/>
          <w:szCs w:val="22"/>
          <w:u w:val="single"/>
        </w:rPr>
      </w:pPr>
      <w:r w:rsidRPr="00E54387">
        <w:rPr>
          <w:rFonts w:ascii="Times New Roman" w:hAnsi="Times New Roman"/>
          <w:b/>
          <w:szCs w:val="22"/>
          <w:u w:val="single"/>
        </w:rPr>
        <w:t>Board Composition</w:t>
      </w:r>
      <w:r>
        <w:rPr>
          <w:rFonts w:ascii="Times New Roman" w:hAnsi="Times New Roman"/>
          <w:b/>
          <w:szCs w:val="22"/>
          <w:u w:val="single"/>
        </w:rPr>
        <w:t xml:space="preserve"> (continued)</w:t>
      </w:r>
    </w:p>
    <w:p w:rsidR="00F91ACC" w:rsidRPr="00F9062B" w:rsidRDefault="00F91ACC" w:rsidP="00F9062B">
      <w:pPr>
        <w:spacing w:after="240"/>
        <w:jc w:val="both"/>
        <w:rPr>
          <w:rFonts w:ascii="Times New Roman" w:hAnsi="Times New Roman"/>
          <w:sz w:val="20"/>
          <w:szCs w:val="20"/>
        </w:rPr>
      </w:pPr>
      <w:r w:rsidRPr="00F9062B">
        <w:rPr>
          <w:rFonts w:ascii="Times New Roman" w:hAnsi="Times New Roman"/>
          <w:sz w:val="20"/>
          <w:szCs w:val="20"/>
        </w:rPr>
        <w:t xml:space="preserve">The Board has been particularly keen to understand shareholders’ views on the continued appointment of Mr. Dean </w:t>
      </w:r>
      <w:proofErr w:type="spellStart"/>
      <w:r w:rsidRPr="00F9062B">
        <w:rPr>
          <w:rFonts w:ascii="Times New Roman" w:hAnsi="Times New Roman"/>
          <w:sz w:val="20"/>
          <w:szCs w:val="20"/>
        </w:rPr>
        <w:t>Orrico</w:t>
      </w:r>
      <w:proofErr w:type="spellEnd"/>
      <w:r w:rsidRPr="00F9062B">
        <w:rPr>
          <w:rFonts w:ascii="Times New Roman" w:hAnsi="Times New Roman"/>
          <w:sz w:val="20"/>
          <w:szCs w:val="20"/>
        </w:rPr>
        <w:t xml:space="preserve">, President of the investment advisor, Middlefield International Limited, as a director of the Company and the Fund.  The Board has always viewed Mr. </w:t>
      </w:r>
      <w:proofErr w:type="spellStart"/>
      <w:r w:rsidRPr="00F9062B">
        <w:rPr>
          <w:rFonts w:ascii="Times New Roman" w:hAnsi="Times New Roman"/>
          <w:sz w:val="20"/>
          <w:szCs w:val="20"/>
        </w:rPr>
        <w:t>Orrico</w:t>
      </w:r>
      <w:proofErr w:type="spellEnd"/>
      <w:r w:rsidRPr="00F9062B">
        <w:rPr>
          <w:rFonts w:ascii="Times New Roman" w:hAnsi="Times New Roman"/>
          <w:sz w:val="20"/>
          <w:szCs w:val="20"/>
        </w:rPr>
        <w:t xml:space="preserve"> as independently minded in his approach in his role as a director of the Company and of the Fund, providing thorough intellectual input to the Board.  Furthermore, the Board believes that Mr. </w:t>
      </w:r>
      <w:proofErr w:type="spellStart"/>
      <w:r w:rsidRPr="00F9062B">
        <w:rPr>
          <w:rFonts w:ascii="Times New Roman" w:hAnsi="Times New Roman"/>
          <w:sz w:val="20"/>
          <w:szCs w:val="20"/>
        </w:rPr>
        <w:t>Orrico’s</w:t>
      </w:r>
      <w:proofErr w:type="spellEnd"/>
      <w:r w:rsidRPr="00F9062B">
        <w:rPr>
          <w:rFonts w:ascii="Times New Roman" w:hAnsi="Times New Roman"/>
          <w:sz w:val="20"/>
          <w:szCs w:val="20"/>
        </w:rPr>
        <w:t xml:space="preserve"> investment management experience adds considerable value to the Board.  All of the shareholders who were consulted expressed their understanding of and support for the continued role of Mr. </w:t>
      </w:r>
      <w:proofErr w:type="spellStart"/>
      <w:r w:rsidRPr="00F9062B">
        <w:rPr>
          <w:rFonts w:ascii="Times New Roman" w:hAnsi="Times New Roman"/>
          <w:sz w:val="20"/>
          <w:szCs w:val="20"/>
        </w:rPr>
        <w:t>Orrico</w:t>
      </w:r>
      <w:proofErr w:type="spellEnd"/>
      <w:r w:rsidRPr="00F9062B">
        <w:rPr>
          <w:rFonts w:ascii="Times New Roman" w:hAnsi="Times New Roman"/>
          <w:sz w:val="20"/>
          <w:szCs w:val="20"/>
        </w:rPr>
        <w:t xml:space="preserve"> on the board.  Furthermore, in order to command continued and more widespread shareholder support, Mr. </w:t>
      </w:r>
      <w:proofErr w:type="spellStart"/>
      <w:r w:rsidRPr="00F9062B">
        <w:rPr>
          <w:rFonts w:ascii="Times New Roman" w:hAnsi="Times New Roman"/>
          <w:sz w:val="20"/>
          <w:szCs w:val="20"/>
        </w:rPr>
        <w:t>Orrico</w:t>
      </w:r>
      <w:proofErr w:type="spellEnd"/>
      <w:r w:rsidRPr="00F9062B">
        <w:rPr>
          <w:rFonts w:ascii="Times New Roman" w:hAnsi="Times New Roman"/>
          <w:sz w:val="20"/>
          <w:szCs w:val="20"/>
        </w:rPr>
        <w:t xml:space="preserve"> has agreed to stand down from the Nomination and Remuneration Committee and from the Management Engagement Committee with effect from 1 July 2019.  Mr. </w:t>
      </w:r>
      <w:proofErr w:type="spellStart"/>
      <w:r w:rsidRPr="00F9062B">
        <w:rPr>
          <w:rFonts w:ascii="Times New Roman" w:hAnsi="Times New Roman"/>
          <w:sz w:val="20"/>
          <w:szCs w:val="20"/>
        </w:rPr>
        <w:t>Orrico</w:t>
      </w:r>
      <w:proofErr w:type="spellEnd"/>
      <w:r w:rsidRPr="00F9062B">
        <w:rPr>
          <w:rFonts w:ascii="Times New Roman" w:hAnsi="Times New Roman"/>
          <w:sz w:val="20"/>
          <w:szCs w:val="20"/>
        </w:rPr>
        <w:t xml:space="preserve"> will continue to take no part in any board discussions concerning the contractual arrangements between the Company and the investment advisor, or any affiliate thereof, and will continue to be excluded from any decision making which might affect the investment advisor in its role as advisor to the Company.  It continues to be the case that neither the investment advisor (nor any affiliate thereof), nor Mr. </w:t>
      </w:r>
      <w:proofErr w:type="spellStart"/>
      <w:r w:rsidRPr="00F9062B">
        <w:rPr>
          <w:rFonts w:ascii="Times New Roman" w:hAnsi="Times New Roman"/>
          <w:sz w:val="20"/>
          <w:szCs w:val="20"/>
        </w:rPr>
        <w:t>Orrico</w:t>
      </w:r>
      <w:proofErr w:type="spellEnd"/>
      <w:r w:rsidRPr="00F9062B">
        <w:rPr>
          <w:rFonts w:ascii="Times New Roman" w:hAnsi="Times New Roman"/>
          <w:sz w:val="20"/>
          <w:szCs w:val="20"/>
        </w:rPr>
        <w:t xml:space="preserve"> himself, receives any remuneration for Mr. </w:t>
      </w:r>
      <w:proofErr w:type="spellStart"/>
      <w:r w:rsidRPr="00F9062B">
        <w:rPr>
          <w:rFonts w:ascii="Times New Roman" w:hAnsi="Times New Roman"/>
          <w:sz w:val="20"/>
          <w:szCs w:val="20"/>
        </w:rPr>
        <w:t>Orrico’s</w:t>
      </w:r>
      <w:proofErr w:type="spellEnd"/>
      <w:r w:rsidRPr="00F9062B">
        <w:rPr>
          <w:rFonts w:ascii="Times New Roman" w:hAnsi="Times New Roman"/>
          <w:sz w:val="20"/>
          <w:szCs w:val="20"/>
        </w:rPr>
        <w:t xml:space="preserve"> role as a director of the Company and of the Fund.</w:t>
      </w:r>
    </w:p>
    <w:p w:rsidR="00F91ACC" w:rsidRPr="00F9062B" w:rsidRDefault="00F91ACC" w:rsidP="00F9062B">
      <w:pPr>
        <w:spacing w:after="240"/>
        <w:jc w:val="both"/>
        <w:rPr>
          <w:rFonts w:ascii="Times New Roman" w:hAnsi="Times New Roman"/>
          <w:sz w:val="20"/>
          <w:szCs w:val="20"/>
        </w:rPr>
      </w:pPr>
      <w:r w:rsidRPr="00F9062B">
        <w:rPr>
          <w:rFonts w:ascii="Times New Roman" w:hAnsi="Times New Roman"/>
          <w:sz w:val="20"/>
          <w:szCs w:val="20"/>
        </w:rPr>
        <w:t>In terms of additional measures to be taken by the Company and the Fund to ensure continued compliance with the highest standards of good corporate governance, the Company and Fund will be considering the nomination of a senior independent director following the forthcoming Annual General Meeting and have decided to limit the tenure of any director appointed in 2018 or thereafter to a maximum of nine years before being required to retire from office.</w:t>
      </w:r>
    </w:p>
    <w:p w:rsidR="00D67909" w:rsidRPr="00E54387" w:rsidRDefault="00D67909" w:rsidP="00D67909">
      <w:pPr>
        <w:autoSpaceDE w:val="0"/>
        <w:autoSpaceDN w:val="0"/>
        <w:spacing w:line="360" w:lineRule="auto"/>
        <w:jc w:val="both"/>
        <w:rPr>
          <w:rFonts w:ascii="Times New Roman" w:hAnsi="Times New Roman"/>
          <w:b/>
          <w:szCs w:val="22"/>
          <w:u w:val="single"/>
        </w:rPr>
      </w:pPr>
      <w:r w:rsidRPr="00E54387">
        <w:rPr>
          <w:rFonts w:ascii="Times New Roman" w:hAnsi="Times New Roman"/>
          <w:b/>
          <w:szCs w:val="22"/>
          <w:u w:val="single"/>
        </w:rPr>
        <w:t>Annual General Meeting</w:t>
      </w: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This year’s Annual General Meeting will be held on 20 June 2019 at 12:00 p.m., at </w:t>
      </w:r>
      <w:r w:rsidR="006A6718" w:rsidRPr="00F9062B">
        <w:rPr>
          <w:rFonts w:ascii="Times New Roman" w:hAnsi="Times New Roman"/>
          <w:sz w:val="20"/>
          <w:szCs w:val="20"/>
        </w:rPr>
        <w:t>Green Room 3</w:t>
      </w:r>
      <w:r w:rsidR="006A6718">
        <w:rPr>
          <w:rFonts w:ascii="Times New Roman" w:hAnsi="Times New Roman"/>
          <w:sz w:val="20"/>
          <w:szCs w:val="20"/>
        </w:rPr>
        <w:t xml:space="preserve">, </w:t>
      </w:r>
      <w:r w:rsidR="006A6718" w:rsidRPr="00F9062B">
        <w:rPr>
          <w:rFonts w:ascii="Times New Roman" w:hAnsi="Times New Roman"/>
          <w:sz w:val="20"/>
          <w:szCs w:val="20"/>
        </w:rPr>
        <w:t>The Cumberland Hotel, Great Cumberland Place, Marble Arch, London</w:t>
      </w:r>
      <w:r w:rsidR="006A6718">
        <w:rPr>
          <w:rFonts w:ascii="Times New Roman" w:hAnsi="Times New Roman"/>
          <w:sz w:val="20"/>
          <w:szCs w:val="20"/>
        </w:rPr>
        <w:t>,</w:t>
      </w:r>
      <w:r w:rsidR="006A6718" w:rsidRPr="00F9062B">
        <w:rPr>
          <w:rFonts w:ascii="Times New Roman" w:hAnsi="Times New Roman"/>
          <w:sz w:val="20"/>
          <w:szCs w:val="20"/>
        </w:rPr>
        <w:t xml:space="preserve"> W1H 7DL</w:t>
      </w:r>
      <w:r w:rsidR="006A6718">
        <w:rPr>
          <w:rFonts w:ascii="Times New Roman" w:hAnsi="Times New Roman"/>
          <w:sz w:val="20"/>
          <w:szCs w:val="20"/>
        </w:rPr>
        <w:t>.</w:t>
      </w:r>
    </w:p>
    <w:p w:rsidR="00D67909" w:rsidRPr="00E54387" w:rsidRDefault="00D67909" w:rsidP="00D67909">
      <w:pPr>
        <w:autoSpaceDE w:val="0"/>
        <w:autoSpaceDN w:val="0"/>
        <w:spacing w:line="360" w:lineRule="auto"/>
        <w:jc w:val="both"/>
        <w:rPr>
          <w:rFonts w:ascii="Times New Roman" w:hAnsi="Times New Roman"/>
          <w:b/>
          <w:szCs w:val="22"/>
          <w:u w:val="single"/>
        </w:rPr>
      </w:pPr>
      <w:r w:rsidRPr="00E54387">
        <w:rPr>
          <w:rFonts w:ascii="Times New Roman" w:hAnsi="Times New Roman"/>
          <w:b/>
          <w:szCs w:val="22"/>
          <w:u w:val="single"/>
        </w:rPr>
        <w:t>Outlook</w:t>
      </w:r>
    </w:p>
    <w:p w:rsidR="00133242" w:rsidRPr="00E54387" w:rsidRDefault="00133242" w:rsidP="00133242">
      <w:pPr>
        <w:spacing w:after="240"/>
        <w:jc w:val="both"/>
        <w:rPr>
          <w:rFonts w:ascii="Times New Roman" w:hAnsi="Times New Roman"/>
          <w:sz w:val="20"/>
          <w:szCs w:val="20"/>
        </w:rPr>
      </w:pPr>
      <w:r w:rsidRPr="00E54387">
        <w:rPr>
          <w:rFonts w:ascii="Times New Roman" w:hAnsi="Times New Roman"/>
          <w:sz w:val="20"/>
          <w:szCs w:val="20"/>
        </w:rPr>
        <w:t>North American GDP growth is expected to be relatively healthy in the 1.5% to 2.5% range</w:t>
      </w:r>
      <w:r>
        <w:rPr>
          <w:rFonts w:ascii="Times New Roman" w:hAnsi="Times New Roman"/>
          <w:sz w:val="20"/>
          <w:szCs w:val="20"/>
        </w:rPr>
        <w:t xml:space="preserve"> in 2019</w:t>
      </w:r>
      <w:r w:rsidRPr="00E54387">
        <w:rPr>
          <w:rFonts w:ascii="Times New Roman" w:hAnsi="Times New Roman"/>
          <w:sz w:val="20"/>
          <w:szCs w:val="20"/>
        </w:rPr>
        <w:t xml:space="preserve">. While global economic activity is slowing this year, we do not expect a recession in the near term. Canada should benefit from recovering commodity prices, strong labour markets and unprecedented levels of immigration. In the U.S., consumer spending is robust and interest rates, which rose throughout and contributed to the fourth quarter equity market correction, are expected to remain low. NAFTA negotiations have completed and the new </w:t>
      </w:r>
      <w:r>
        <w:rPr>
          <w:rFonts w:ascii="Times New Roman" w:hAnsi="Times New Roman"/>
          <w:sz w:val="20"/>
          <w:szCs w:val="20"/>
        </w:rPr>
        <w:t>United States-Mexico-Canada Agreement (“</w:t>
      </w:r>
      <w:r w:rsidRPr="00E54387">
        <w:rPr>
          <w:rFonts w:ascii="Times New Roman" w:hAnsi="Times New Roman"/>
          <w:sz w:val="20"/>
          <w:szCs w:val="20"/>
        </w:rPr>
        <w:t>USMCA</w:t>
      </w:r>
      <w:r>
        <w:rPr>
          <w:rFonts w:ascii="Times New Roman" w:hAnsi="Times New Roman"/>
          <w:sz w:val="20"/>
          <w:szCs w:val="20"/>
        </w:rPr>
        <w:t>”)</w:t>
      </w:r>
      <w:r w:rsidRPr="00E54387">
        <w:rPr>
          <w:rFonts w:ascii="Times New Roman" w:hAnsi="Times New Roman"/>
          <w:sz w:val="20"/>
          <w:szCs w:val="20"/>
        </w:rPr>
        <w:t xml:space="preserve"> is expected to be ratified by the member countries in the coming months. U.S.-China trade negotiations are also expected to be resolved shortly and this should support investor sentiment. </w:t>
      </w:r>
    </w:p>
    <w:p w:rsidR="00133242" w:rsidRPr="00E54387" w:rsidRDefault="00133242" w:rsidP="00133242">
      <w:pPr>
        <w:spacing w:after="240"/>
        <w:jc w:val="both"/>
        <w:rPr>
          <w:rFonts w:ascii="Times New Roman" w:hAnsi="Times New Roman"/>
          <w:sz w:val="20"/>
          <w:szCs w:val="20"/>
        </w:rPr>
      </w:pPr>
      <w:r w:rsidRPr="00E54387">
        <w:rPr>
          <w:rFonts w:ascii="Times New Roman" w:hAnsi="Times New Roman"/>
          <w:sz w:val="20"/>
          <w:szCs w:val="20"/>
        </w:rPr>
        <w:t>As a result of a relatively constructive economic and market backdrop, we believe investors should remain exposed to equities with a particular focus on dividend paying stocks. Since we are in the later stages of the current economic cycle, we prefer a portfolio tilt toward more defensive sectors, especially given the expectation of interest rates remaining low for the foreseeable future. In light of the discount to NAV and the favourable outlook for North American equities, we believe the Fund currently represents excellent value for investors</w:t>
      </w:r>
      <w:r>
        <w:rPr>
          <w:rFonts w:ascii="Times New Roman" w:hAnsi="Times New Roman"/>
          <w:sz w:val="20"/>
          <w:szCs w:val="20"/>
        </w:rPr>
        <w:t>. In particular, we are pleased to report that in the first quarter of 2019 the net asset value total return performance has recovered by 15.4%</w:t>
      </w:r>
      <w:r w:rsidR="00E7124B">
        <w:rPr>
          <w:rFonts w:ascii="Times New Roman" w:hAnsi="Times New Roman"/>
          <w:sz w:val="20"/>
          <w:szCs w:val="20"/>
        </w:rPr>
        <w:t>.</w:t>
      </w:r>
      <w:r w:rsidRPr="00E54387">
        <w:rPr>
          <w:rFonts w:ascii="Times New Roman" w:hAnsi="Times New Roman"/>
          <w:sz w:val="20"/>
          <w:szCs w:val="20"/>
        </w:rPr>
        <w:t xml:space="preserve">    </w:t>
      </w:r>
    </w:p>
    <w:p w:rsidR="00133242" w:rsidRPr="00E54387" w:rsidRDefault="00133242" w:rsidP="00F9062B">
      <w:pPr>
        <w:spacing w:after="240"/>
        <w:jc w:val="both"/>
        <w:rPr>
          <w:rFonts w:ascii="Times New Roman" w:hAnsi="Times New Roman"/>
          <w:sz w:val="20"/>
          <w:szCs w:val="20"/>
        </w:rPr>
      </w:pPr>
      <w:r w:rsidRPr="00E54387">
        <w:rPr>
          <w:rFonts w:ascii="Times New Roman" w:hAnsi="Times New Roman"/>
          <w:sz w:val="20"/>
          <w:szCs w:val="20"/>
        </w:rPr>
        <w:t>We thank you for your continued support.</w:t>
      </w:r>
    </w:p>
    <w:p w:rsidR="00D67909" w:rsidRPr="00E54387" w:rsidRDefault="00D67909" w:rsidP="00D67909">
      <w:pPr>
        <w:autoSpaceDE w:val="0"/>
        <w:autoSpaceDN w:val="0"/>
        <w:spacing w:line="360" w:lineRule="auto"/>
        <w:jc w:val="both"/>
        <w:rPr>
          <w:rFonts w:ascii="Times New Roman" w:hAnsi="Times New Roman"/>
          <w:sz w:val="20"/>
          <w:szCs w:val="20"/>
        </w:rPr>
      </w:pPr>
    </w:p>
    <w:p w:rsidR="00D67909" w:rsidRDefault="00D67909" w:rsidP="00D67909">
      <w:pPr>
        <w:autoSpaceDE w:val="0"/>
        <w:autoSpaceDN w:val="0"/>
        <w:spacing w:line="360" w:lineRule="auto"/>
        <w:jc w:val="both"/>
      </w:pPr>
    </w:p>
    <w:p w:rsidR="00D67909" w:rsidRDefault="00D67909" w:rsidP="00D67909">
      <w:pPr>
        <w:autoSpaceDE w:val="0"/>
        <w:autoSpaceDN w:val="0"/>
        <w:spacing w:line="360" w:lineRule="auto"/>
        <w:jc w:val="both"/>
      </w:pPr>
    </w:p>
    <w:p w:rsidR="00D67909" w:rsidRDefault="00D67909" w:rsidP="00D67909">
      <w:pPr>
        <w:autoSpaceDE w:val="0"/>
        <w:autoSpaceDN w:val="0"/>
        <w:spacing w:line="360" w:lineRule="auto"/>
        <w:jc w:val="both"/>
      </w:pPr>
    </w:p>
    <w:p w:rsidR="002820C6" w:rsidRPr="00E54387" w:rsidRDefault="00735183" w:rsidP="00171C7E">
      <w:pPr>
        <w:jc w:val="both"/>
        <w:rPr>
          <w:rFonts w:ascii="Times New Roman" w:hAnsi="Times New Roman"/>
          <w:sz w:val="20"/>
          <w:szCs w:val="20"/>
        </w:rPr>
      </w:pPr>
      <w:r w:rsidRPr="00E54387">
        <w:rPr>
          <w:rFonts w:ascii="Times New Roman" w:hAnsi="Times New Roman"/>
          <w:sz w:val="20"/>
          <w:szCs w:val="20"/>
        </w:rPr>
        <w:t>Nicholas Villiers</w:t>
      </w:r>
    </w:p>
    <w:p w:rsidR="00735183" w:rsidRPr="00E54387" w:rsidRDefault="00735183" w:rsidP="00171C7E">
      <w:pPr>
        <w:jc w:val="both"/>
        <w:rPr>
          <w:rFonts w:ascii="Times New Roman" w:hAnsi="Times New Roman"/>
          <w:sz w:val="20"/>
          <w:szCs w:val="20"/>
        </w:rPr>
      </w:pPr>
      <w:r w:rsidRPr="00E54387">
        <w:rPr>
          <w:rFonts w:ascii="Times New Roman" w:hAnsi="Times New Roman"/>
          <w:sz w:val="20"/>
          <w:szCs w:val="20"/>
        </w:rPr>
        <w:t>Chairman</w:t>
      </w:r>
    </w:p>
    <w:p w:rsidR="002820C6" w:rsidRPr="00AC5183" w:rsidRDefault="00C87A19" w:rsidP="00171C7E">
      <w:pPr>
        <w:jc w:val="both"/>
        <w:rPr>
          <w:b/>
          <w:i/>
          <w:strike/>
        </w:rPr>
      </w:pPr>
      <w:r w:rsidRPr="00E54387">
        <w:rPr>
          <w:rFonts w:ascii="Times New Roman" w:hAnsi="Times New Roman"/>
          <w:sz w:val="20"/>
          <w:szCs w:val="20"/>
        </w:rPr>
        <w:t>1</w:t>
      </w:r>
      <w:r w:rsidR="00476BB8">
        <w:rPr>
          <w:rFonts w:ascii="Times New Roman" w:hAnsi="Times New Roman"/>
          <w:sz w:val="20"/>
          <w:szCs w:val="20"/>
        </w:rPr>
        <w:t>1</w:t>
      </w:r>
      <w:r w:rsidRPr="00E54387">
        <w:rPr>
          <w:rFonts w:ascii="Times New Roman" w:hAnsi="Times New Roman"/>
          <w:sz w:val="20"/>
          <w:szCs w:val="20"/>
        </w:rPr>
        <w:t xml:space="preserve"> April 201</w:t>
      </w:r>
      <w:r w:rsidR="00476BB8">
        <w:rPr>
          <w:rFonts w:ascii="Times New Roman" w:hAnsi="Times New Roman"/>
          <w:sz w:val="20"/>
          <w:szCs w:val="20"/>
        </w:rPr>
        <w:t>9</w:t>
      </w:r>
      <w:r w:rsidR="002820C6" w:rsidRPr="00AC5183">
        <w:rPr>
          <w:b/>
          <w:i/>
          <w:strike/>
        </w:rPr>
        <w:br w:type="page"/>
      </w:r>
    </w:p>
    <w:p w:rsidR="002820C6" w:rsidRDefault="002820C6" w:rsidP="002820C6">
      <w:pPr>
        <w:rPr>
          <w:rFonts w:ascii="Times New Roman" w:hAnsi="Times New Roman"/>
          <w:b/>
        </w:rPr>
      </w:pPr>
      <w:r w:rsidRPr="00C87A19">
        <w:rPr>
          <w:rFonts w:ascii="Times New Roman" w:hAnsi="Times New Roman"/>
          <w:b/>
        </w:rPr>
        <w:t>Investment Manager’s Report</w:t>
      </w:r>
    </w:p>
    <w:p w:rsidR="002820C6" w:rsidRPr="00C87A19" w:rsidRDefault="002820C6" w:rsidP="002820C6">
      <w:pPr>
        <w:rPr>
          <w:rFonts w:ascii="Times New Roman" w:hAnsi="Times New Roman"/>
          <w:b/>
        </w:rPr>
      </w:pP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2018 ended on a very turbulent note.  </w:t>
      </w:r>
      <w:bookmarkStart w:id="3" w:name="Volatility"/>
      <w:r w:rsidRPr="00E54387">
        <w:rPr>
          <w:rFonts w:ascii="Times New Roman" w:hAnsi="Times New Roman"/>
          <w:sz w:val="20"/>
          <w:szCs w:val="20"/>
        </w:rPr>
        <w:t xml:space="preserve">Growing concerns about slowing economic growth, falling oil prices and trade wars translated into extreme market volatility in Q4 2018. </w:t>
      </w:r>
      <w:bookmarkEnd w:id="3"/>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The announcement of the United States-Mexico-Canada Agreement, formerly known as NAFTA, alleviated some uncertainty for North American investors but the ongoing negotiations with China dominated the headlines and exacerbated market volatility. On September 20th, the S&amp;P 500 Index closed at an all-time high before declining by some 20% to end the year down 6.2%. Similarly, the S&amp;P/TSX Total Return Index and S&amp;P/TSX Composite High Dividend Index were down </w:t>
      </w:r>
      <w:r w:rsidR="00E54387">
        <w:rPr>
          <w:rFonts w:ascii="Times New Roman" w:hAnsi="Times New Roman"/>
          <w:sz w:val="20"/>
          <w:szCs w:val="20"/>
        </w:rPr>
        <w:t>11</w:t>
      </w:r>
      <w:r w:rsidRPr="00E54387">
        <w:rPr>
          <w:rFonts w:ascii="Times New Roman" w:hAnsi="Times New Roman"/>
          <w:sz w:val="20"/>
          <w:szCs w:val="20"/>
        </w:rPr>
        <w:t>.</w:t>
      </w:r>
      <w:r w:rsidR="00E54387">
        <w:rPr>
          <w:rFonts w:ascii="Times New Roman" w:hAnsi="Times New Roman"/>
          <w:sz w:val="20"/>
          <w:szCs w:val="20"/>
        </w:rPr>
        <w:t>1</w:t>
      </w:r>
      <w:r w:rsidRPr="00E54387">
        <w:rPr>
          <w:rFonts w:ascii="Times New Roman" w:hAnsi="Times New Roman"/>
          <w:sz w:val="20"/>
          <w:szCs w:val="20"/>
        </w:rPr>
        <w:t>% and 1</w:t>
      </w:r>
      <w:r w:rsidR="00E54387">
        <w:rPr>
          <w:rFonts w:ascii="Times New Roman" w:hAnsi="Times New Roman"/>
          <w:sz w:val="20"/>
          <w:szCs w:val="20"/>
        </w:rPr>
        <w:t>2</w:t>
      </w:r>
      <w:r w:rsidRPr="00E54387">
        <w:rPr>
          <w:rFonts w:ascii="Times New Roman" w:hAnsi="Times New Roman"/>
          <w:sz w:val="20"/>
          <w:szCs w:val="20"/>
        </w:rPr>
        <w:t>.</w:t>
      </w:r>
      <w:r w:rsidR="00E54387">
        <w:rPr>
          <w:rFonts w:ascii="Times New Roman" w:hAnsi="Times New Roman"/>
          <w:sz w:val="20"/>
          <w:szCs w:val="20"/>
        </w:rPr>
        <w:t>9</w:t>
      </w:r>
      <w:r w:rsidRPr="00E54387">
        <w:rPr>
          <w:rFonts w:ascii="Times New Roman" w:hAnsi="Times New Roman"/>
          <w:sz w:val="20"/>
          <w:szCs w:val="20"/>
        </w:rPr>
        <w:t>%, respectively. Canadian equities lagged other developed markets partly due to Canada’s exposure to the energy sector, which had a negative return of 18.3% and comprises 18% of the S&amp;P/TSX Composite Index.</w:t>
      </w: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Although the year end pullback was initially triggered by statements from Fed Chairman Powell regarding continued interest rate increases, it became clearer as year-end approached that the market was being de-rated based on weakening global economic momentum and, by extension, the expectation of lower future earnings. As a result, investors rotated into more defensive sectors such as utilities, real estate and consumer staples as well as U.S. 10-year treasuries, driving yields from a high of 3.24% in November to 2.68% at year end.</w:t>
      </w: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The extreme year end volatility notwithstanding, we think the pullback was more an equity valuation correction than a foreshadowing of imminent recession. Employment data remains strong across developed markets.  </w:t>
      </w:r>
      <w:bookmarkStart w:id="4" w:name="USGeneric"/>
      <w:r w:rsidRPr="00E54387">
        <w:rPr>
          <w:rFonts w:ascii="Times New Roman" w:hAnsi="Times New Roman"/>
          <w:sz w:val="20"/>
          <w:szCs w:val="20"/>
        </w:rPr>
        <w:t xml:space="preserve">In the U.S., the consumer, representing about two-thirds of economic activity, continues to spend.  Sales during the 2018 holiday season averaged $2.1 billion, up 16.5% year over year.  In addition, short-term borrowing rates remain at historically low levels.  </w:t>
      </w:r>
      <w:bookmarkEnd w:id="4"/>
    </w:p>
    <w:p w:rsidR="00D67909" w:rsidRPr="00E54387" w:rsidRDefault="00D67909" w:rsidP="00E54387">
      <w:pPr>
        <w:spacing w:after="240"/>
        <w:jc w:val="both"/>
        <w:rPr>
          <w:rFonts w:ascii="Times New Roman" w:hAnsi="Times New Roman"/>
          <w:sz w:val="20"/>
          <w:szCs w:val="20"/>
        </w:rPr>
      </w:pPr>
      <w:bookmarkStart w:id="5" w:name="GlobalGeneric"/>
      <w:r w:rsidRPr="00E54387">
        <w:rPr>
          <w:rFonts w:ascii="Times New Roman" w:hAnsi="Times New Roman"/>
          <w:sz w:val="20"/>
          <w:szCs w:val="20"/>
        </w:rPr>
        <w:t xml:space="preserve">In late December </w:t>
      </w:r>
      <w:r w:rsidR="00E54387">
        <w:rPr>
          <w:rFonts w:ascii="Times New Roman" w:hAnsi="Times New Roman"/>
          <w:sz w:val="20"/>
          <w:szCs w:val="20"/>
        </w:rPr>
        <w:t xml:space="preserve">2018 </w:t>
      </w:r>
      <w:r w:rsidRPr="00E54387">
        <w:rPr>
          <w:rFonts w:ascii="Times New Roman" w:hAnsi="Times New Roman"/>
          <w:sz w:val="20"/>
          <w:szCs w:val="20"/>
        </w:rPr>
        <w:t>and</w:t>
      </w:r>
      <w:r w:rsidR="00E54387">
        <w:rPr>
          <w:rFonts w:ascii="Times New Roman" w:hAnsi="Times New Roman"/>
          <w:sz w:val="20"/>
          <w:szCs w:val="20"/>
        </w:rPr>
        <w:t xml:space="preserve"> </w:t>
      </w:r>
      <w:r w:rsidRPr="00E54387">
        <w:rPr>
          <w:rFonts w:ascii="Times New Roman" w:hAnsi="Times New Roman"/>
          <w:sz w:val="20"/>
          <w:szCs w:val="20"/>
        </w:rPr>
        <w:t>January</w:t>
      </w:r>
      <w:r w:rsidR="00E54387">
        <w:rPr>
          <w:rFonts w:ascii="Times New Roman" w:hAnsi="Times New Roman"/>
          <w:sz w:val="20"/>
          <w:szCs w:val="20"/>
        </w:rPr>
        <w:t xml:space="preserve"> 2019</w:t>
      </w:r>
      <w:r w:rsidRPr="00E54387">
        <w:rPr>
          <w:rFonts w:ascii="Times New Roman" w:hAnsi="Times New Roman"/>
          <w:sz w:val="20"/>
          <w:szCs w:val="20"/>
        </w:rPr>
        <w:t>, central banks across most developed markets adopted a more dovish tone regarding future monetary policy. Specifically, the market is now pricing in zero interest rate hikes in 2019 from the Fed, which has taken its quantitative easing program off autopilot. The European Central Bank has indicated short-term borrowing rates will remain at current levels at least through the summer while the Bank of Japan has decided to leave their stimulus settings unchanged at its final policy meeting of last year. Moreover, the Bank of Canada has followed suit by stating in March that it is in no rush to resume monetary tightening and the path back to a neutral range remains both data dependent and uncertain. As a result, the risk of the sort of monetary policy headwinds which impacted investor sentiment in 2018 has largely dissipated.</w:t>
      </w:r>
      <w:bookmarkEnd w:id="5"/>
      <w:r w:rsidRPr="00E54387">
        <w:rPr>
          <w:rFonts w:ascii="Times New Roman" w:hAnsi="Times New Roman"/>
          <w:sz w:val="20"/>
          <w:szCs w:val="20"/>
        </w:rPr>
        <w:t xml:space="preserve"> These developments bode well for dividend paying equities, which offer attractive relative yields compared to fixed income alternatives.</w:t>
      </w: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The Bank of Canada expects economic growth of 1.7% in 2019</w:t>
      </w:r>
      <w:bookmarkStart w:id="6" w:name="CanadaGeneric"/>
      <w:r w:rsidRPr="00E54387">
        <w:rPr>
          <w:rFonts w:ascii="Times New Roman" w:hAnsi="Times New Roman"/>
          <w:sz w:val="20"/>
          <w:szCs w:val="20"/>
        </w:rPr>
        <w:t xml:space="preserve"> which is attractive relative to other developed nations. Canadian unemployment is at a multi-decade low of 5.8% and wage growth has been positive in select provinces. The residential real estate market is undergoing a soft landing, which alleviates recent fears of a major housing correction. The resolution of North American trade agreements and recovering commodity prices provide broad-based economic stability.</w:t>
      </w:r>
      <w:bookmarkStart w:id="7" w:name="Energy"/>
      <w:bookmarkEnd w:id="6"/>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After a 40% sell-off in oil prices at the end of 2018, there is reason for optimism within the Canadian energy sector and pipelines. Realized pricing for Canadian oil producers has improved significantly due to narrowing differentials and companies have streamlined their operations in the context of a challenging macro environment. Enbridge Inc. received regulatory approval from the Minnesota Public Utilities Commission for their Line 3 expansion project in June 2018 and the company has a strong growth profile with greater clarity on the project’s permitting timelines. In addition, the CAD $40 billion LNG Canada project led by Shell Canada received a final investment decision in October 2018 and represents the largest infrastructure project in Canadian history. The LNG terminal will require a 670 km pipeline and approximately 4 </w:t>
      </w:r>
      <w:proofErr w:type="spellStart"/>
      <w:r w:rsidRPr="00E54387">
        <w:rPr>
          <w:rFonts w:ascii="Times New Roman" w:hAnsi="Times New Roman"/>
          <w:sz w:val="20"/>
          <w:szCs w:val="20"/>
        </w:rPr>
        <w:t>bcf</w:t>
      </w:r>
      <w:proofErr w:type="spellEnd"/>
      <w:r w:rsidRPr="00E54387">
        <w:rPr>
          <w:rFonts w:ascii="Times New Roman" w:hAnsi="Times New Roman"/>
          <w:sz w:val="20"/>
          <w:szCs w:val="20"/>
        </w:rPr>
        <w:t xml:space="preserve"> per day of natural gas once completed, providing much needed access to international commodity markets for Canadian gas producers. </w:t>
      </w:r>
    </w:p>
    <w:p w:rsidR="00D67909" w:rsidRDefault="00D67909" w:rsidP="00E54387">
      <w:pPr>
        <w:spacing w:after="240"/>
        <w:jc w:val="both"/>
        <w:rPr>
          <w:rFonts w:ascii="Times New Roman" w:hAnsi="Times New Roman"/>
          <w:sz w:val="20"/>
          <w:szCs w:val="20"/>
        </w:rPr>
      </w:pPr>
      <w:bookmarkStart w:id="8" w:name="REITs"/>
      <w:bookmarkEnd w:id="7"/>
      <w:r w:rsidRPr="00E54387">
        <w:rPr>
          <w:rFonts w:ascii="Times New Roman" w:hAnsi="Times New Roman"/>
          <w:sz w:val="20"/>
          <w:szCs w:val="20"/>
        </w:rPr>
        <w:t xml:space="preserve">Canadian real estate investment trusts offer growing levels of income and various sub-groups within the sector possess compelling fundamentals. Specifically, unprecedented levels of immigration into Canada  and lagging household formation among millennials has led to a surge in rental demand and low vacancy rates in the multi-unit/apartment sector.  Supply is expected to lag demand in major urban </w:t>
      </w:r>
      <w:proofErr w:type="spellStart"/>
      <w:r w:rsidRPr="00E54387">
        <w:rPr>
          <w:rFonts w:ascii="Times New Roman" w:hAnsi="Times New Roman"/>
          <w:sz w:val="20"/>
          <w:szCs w:val="20"/>
        </w:rPr>
        <w:t>centers</w:t>
      </w:r>
      <w:proofErr w:type="spellEnd"/>
      <w:r w:rsidRPr="00E54387">
        <w:rPr>
          <w:rFonts w:ascii="Times New Roman" w:hAnsi="Times New Roman"/>
          <w:sz w:val="20"/>
          <w:szCs w:val="20"/>
        </w:rPr>
        <w:t xml:space="preserve"> for several years, which should drive apartment rental rates higher. We are equally constructive on industrial real estate, which is poised to outperform as a result of the secular growth in E-Commerce and the corresponding demand for warehouse space to accommodate logistics and distribution services.</w:t>
      </w:r>
      <w:bookmarkEnd w:id="8"/>
      <w:r w:rsidRPr="00E54387">
        <w:rPr>
          <w:rFonts w:ascii="Times New Roman" w:hAnsi="Times New Roman"/>
          <w:sz w:val="20"/>
          <w:szCs w:val="20"/>
        </w:rPr>
        <w:t xml:space="preserve"> This led to Pure Industrial REIT, a long-time core holding and a leading real estate company in Canada, receiving an acquisition offer from Blackstone Property Partners at a 27% premium early in 2018, reflecting the growing demand for industrial properties in Canada among institutional investors. Industrial real estate currently represents the largest sub-sector within the Fund’s real estate</w:t>
      </w:r>
      <w:r>
        <w:rPr>
          <w:rFonts w:ascii="Times New Roman" w:hAnsi="Times New Roman"/>
          <w:sz w:val="20"/>
          <w:szCs w:val="20"/>
        </w:rPr>
        <w:t xml:space="preserve"> </w:t>
      </w:r>
      <w:r w:rsidRPr="00E54387">
        <w:rPr>
          <w:rFonts w:ascii="Times New Roman" w:hAnsi="Times New Roman"/>
          <w:sz w:val="20"/>
          <w:szCs w:val="20"/>
        </w:rPr>
        <w:t xml:space="preserve">weighting. </w:t>
      </w:r>
    </w:p>
    <w:p w:rsidR="00D67909" w:rsidRDefault="00D67909" w:rsidP="00E54387">
      <w:pPr>
        <w:spacing w:after="240"/>
        <w:jc w:val="both"/>
        <w:rPr>
          <w:rFonts w:ascii="Times New Roman" w:hAnsi="Times New Roman"/>
          <w:sz w:val="20"/>
          <w:szCs w:val="20"/>
        </w:rPr>
      </w:pPr>
    </w:p>
    <w:p w:rsidR="00D67909" w:rsidRDefault="00D67909" w:rsidP="00E54387">
      <w:pPr>
        <w:spacing w:after="240"/>
        <w:jc w:val="both"/>
        <w:rPr>
          <w:rFonts w:ascii="Times New Roman" w:hAnsi="Times New Roman"/>
          <w:sz w:val="20"/>
          <w:szCs w:val="20"/>
        </w:rPr>
      </w:pPr>
    </w:p>
    <w:p w:rsidR="00D67909" w:rsidRDefault="00D67909" w:rsidP="00D67909">
      <w:pPr>
        <w:rPr>
          <w:rFonts w:ascii="Times New Roman" w:hAnsi="Times New Roman"/>
          <w:b/>
        </w:rPr>
      </w:pPr>
      <w:r w:rsidRPr="00C87A19">
        <w:rPr>
          <w:rFonts w:ascii="Times New Roman" w:hAnsi="Times New Roman"/>
          <w:b/>
        </w:rPr>
        <w:t>Investment Manager’s Report</w:t>
      </w:r>
      <w:r>
        <w:rPr>
          <w:rFonts w:ascii="Times New Roman" w:hAnsi="Times New Roman"/>
          <w:b/>
        </w:rPr>
        <w:t xml:space="preserve"> (continued)</w:t>
      </w:r>
    </w:p>
    <w:p w:rsidR="00D67909" w:rsidRPr="00E54387" w:rsidRDefault="00D67909" w:rsidP="00E54387">
      <w:pPr>
        <w:rPr>
          <w:rFonts w:ascii="Times New Roman" w:hAnsi="Times New Roman"/>
          <w:b/>
        </w:rPr>
      </w:pPr>
    </w:p>
    <w:p w:rsidR="00D67909" w:rsidRPr="00E54387" w:rsidRDefault="00D67909" w:rsidP="00E54387">
      <w:pPr>
        <w:spacing w:after="240"/>
        <w:jc w:val="both"/>
        <w:rPr>
          <w:rFonts w:ascii="Times New Roman" w:hAnsi="Times New Roman"/>
          <w:sz w:val="20"/>
          <w:szCs w:val="20"/>
        </w:rPr>
      </w:pPr>
      <w:r w:rsidRPr="00E54387">
        <w:rPr>
          <w:rFonts w:ascii="Times New Roman" w:hAnsi="Times New Roman"/>
          <w:sz w:val="20"/>
          <w:szCs w:val="20"/>
        </w:rPr>
        <w:t xml:space="preserve">The Fund remains exposed to several of Canada’s leading banks as well as JP Morgan, who represents one of the highest quality financial institutions globally. Canadian banks operate in an industry with high barriers to entry and strong cash flow margins. In the wake of the financial crisis, Canada’s banks were praised by nations around the world for their strong balance sheets and prudent business strategies. They provide diversification benefits through their multi-faceted business units and global operations, in addition to generating attractive income for shareholders. While the recent reduction in long-term interest rates affects sentiment towards the banking sector, we are focused on a select number of financial institutions whose business models are sufficiently diversified away from earnings derived from net interest margins.  </w:t>
      </w:r>
    </w:p>
    <w:p w:rsidR="00D67909" w:rsidRPr="00E54387" w:rsidRDefault="00D67909" w:rsidP="00D67909">
      <w:pPr>
        <w:autoSpaceDE w:val="0"/>
        <w:autoSpaceDN w:val="0"/>
        <w:spacing w:after="80" w:line="360" w:lineRule="auto"/>
        <w:jc w:val="both"/>
        <w:rPr>
          <w:rFonts w:ascii="Times New Roman" w:hAnsi="Times New Roman"/>
          <w:b/>
          <w:szCs w:val="22"/>
          <w:u w:val="single"/>
        </w:rPr>
      </w:pPr>
      <w:r w:rsidRPr="00E54387">
        <w:rPr>
          <w:rFonts w:ascii="Times New Roman" w:hAnsi="Times New Roman"/>
          <w:b/>
          <w:szCs w:val="22"/>
          <w:u w:val="single"/>
        </w:rPr>
        <w:t>Top Holdings</w:t>
      </w:r>
    </w:p>
    <w:p w:rsidR="00D67909" w:rsidRDefault="00D67909" w:rsidP="00D67909">
      <w:pPr>
        <w:autoSpaceDE w:val="0"/>
        <w:autoSpaceDN w:val="0"/>
        <w:jc w:val="both"/>
        <w:rPr>
          <w:rFonts w:ascii="Times New Roman" w:hAnsi="Times New Roman"/>
          <w:sz w:val="20"/>
          <w:szCs w:val="20"/>
        </w:rPr>
      </w:pPr>
      <w:r w:rsidRPr="00E54387">
        <w:rPr>
          <w:rFonts w:ascii="Times New Roman" w:hAnsi="Times New Roman"/>
          <w:sz w:val="20"/>
          <w:szCs w:val="20"/>
        </w:rPr>
        <w:t>The table below shows the largest ten positions held within the Fund’s portfolio as at 31 December 2018:</w:t>
      </w:r>
    </w:p>
    <w:p w:rsidR="00D67909" w:rsidRPr="00E54387" w:rsidRDefault="00D67909" w:rsidP="00D67909">
      <w:pPr>
        <w:autoSpaceDE w:val="0"/>
        <w:autoSpaceDN w:val="0"/>
        <w:jc w:val="both"/>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126"/>
        <w:gridCol w:w="1246"/>
      </w:tblGrid>
      <w:tr w:rsidR="00D67909" w:rsidRPr="00D67909" w:rsidTr="00E54387">
        <w:trPr>
          <w:trHeight w:val="938"/>
        </w:trPr>
        <w:tc>
          <w:tcPr>
            <w:tcW w:w="6204" w:type="dxa"/>
            <w:tcBorders>
              <w:top w:val="nil"/>
              <w:left w:val="nil"/>
              <w:bottom w:val="single" w:sz="12" w:space="0" w:color="auto"/>
              <w:right w:val="nil"/>
            </w:tcBorders>
            <w:vAlign w:val="center"/>
            <w:hideMark/>
          </w:tcPr>
          <w:p w:rsidR="00D67909" w:rsidRPr="00E54387" w:rsidRDefault="00D67909">
            <w:pPr>
              <w:autoSpaceDE w:val="0"/>
              <w:autoSpaceDN w:val="0"/>
              <w:spacing w:line="360" w:lineRule="auto"/>
              <w:rPr>
                <w:rFonts w:ascii="Times New Roman" w:hAnsi="Times New Roman"/>
                <w:b/>
                <w:sz w:val="20"/>
                <w:szCs w:val="20"/>
                <w:lang w:val="en-CA"/>
              </w:rPr>
            </w:pPr>
            <w:r w:rsidRPr="00E54387">
              <w:rPr>
                <w:rFonts w:ascii="Times New Roman" w:hAnsi="Times New Roman"/>
                <w:b/>
                <w:sz w:val="20"/>
                <w:szCs w:val="20"/>
              </w:rPr>
              <w:t>Company</w:t>
            </w:r>
          </w:p>
        </w:tc>
        <w:tc>
          <w:tcPr>
            <w:tcW w:w="2126" w:type="dxa"/>
            <w:tcBorders>
              <w:top w:val="nil"/>
              <w:left w:val="nil"/>
              <w:bottom w:val="single" w:sz="12" w:space="0" w:color="auto"/>
              <w:right w:val="nil"/>
            </w:tcBorders>
            <w:vAlign w:val="center"/>
            <w:hideMark/>
          </w:tcPr>
          <w:p w:rsidR="00D67909" w:rsidRPr="00E54387" w:rsidRDefault="00D67909">
            <w:pPr>
              <w:autoSpaceDE w:val="0"/>
              <w:autoSpaceDN w:val="0"/>
              <w:spacing w:line="360" w:lineRule="auto"/>
              <w:ind w:left="186" w:hanging="90"/>
              <w:rPr>
                <w:rFonts w:ascii="Times New Roman" w:hAnsi="Times New Roman"/>
                <w:b/>
                <w:sz w:val="20"/>
                <w:szCs w:val="20"/>
                <w:lang w:val="en-CA"/>
              </w:rPr>
            </w:pPr>
            <w:r w:rsidRPr="00E54387">
              <w:rPr>
                <w:rFonts w:ascii="Times New Roman" w:hAnsi="Times New Roman"/>
                <w:b/>
                <w:sz w:val="20"/>
                <w:szCs w:val="20"/>
              </w:rPr>
              <w:t>Sector</w:t>
            </w:r>
          </w:p>
        </w:tc>
        <w:tc>
          <w:tcPr>
            <w:tcW w:w="1246" w:type="dxa"/>
            <w:tcBorders>
              <w:top w:val="nil"/>
              <w:left w:val="nil"/>
              <w:bottom w:val="single" w:sz="12" w:space="0" w:color="auto"/>
              <w:right w:val="nil"/>
            </w:tcBorders>
            <w:vAlign w:val="center"/>
            <w:hideMark/>
          </w:tcPr>
          <w:p w:rsidR="00D67909" w:rsidRPr="00E54387" w:rsidRDefault="00D67909">
            <w:pPr>
              <w:autoSpaceDE w:val="0"/>
              <w:autoSpaceDN w:val="0"/>
              <w:spacing w:line="360" w:lineRule="auto"/>
              <w:jc w:val="center"/>
              <w:rPr>
                <w:rFonts w:ascii="Times New Roman" w:hAnsi="Times New Roman"/>
                <w:b/>
                <w:sz w:val="20"/>
                <w:szCs w:val="20"/>
                <w:lang w:val="en-CA"/>
              </w:rPr>
            </w:pPr>
            <w:r w:rsidRPr="00E54387">
              <w:rPr>
                <w:rFonts w:ascii="Times New Roman" w:hAnsi="Times New Roman"/>
                <w:b/>
                <w:sz w:val="20"/>
                <w:szCs w:val="20"/>
              </w:rPr>
              <w:t>% of Portfolio</w:t>
            </w:r>
          </w:p>
        </w:tc>
      </w:tr>
      <w:tr w:rsidR="00D67909" w:rsidRPr="00D67909" w:rsidTr="00D67909">
        <w:tc>
          <w:tcPr>
            <w:tcW w:w="6204" w:type="dxa"/>
            <w:tcBorders>
              <w:top w:val="single" w:sz="12" w:space="0" w:color="auto"/>
              <w:left w:val="nil"/>
              <w:bottom w:val="single" w:sz="4" w:space="0" w:color="A6A6A6" w:themeColor="background1" w:themeShade="A6"/>
              <w:right w:val="nil"/>
            </w:tcBorders>
            <w:vAlign w:val="center"/>
            <w:hideMark/>
          </w:tcPr>
          <w:p w:rsidR="00D67909" w:rsidRPr="00E54387" w:rsidRDefault="00D67909">
            <w:pPr>
              <w:autoSpaceDE w:val="0"/>
              <w:autoSpaceDN w:val="0"/>
              <w:adjustRightInd w:val="0"/>
              <w:jc w:val="both"/>
              <w:rPr>
                <w:rFonts w:ascii="Times New Roman" w:hAnsi="Times New Roman"/>
                <w:b/>
                <w:sz w:val="20"/>
                <w:szCs w:val="20"/>
              </w:rPr>
            </w:pPr>
            <w:r w:rsidRPr="00E54387">
              <w:rPr>
                <w:rFonts w:ascii="Times New Roman" w:hAnsi="Times New Roman"/>
                <w:b/>
                <w:sz w:val="20"/>
                <w:szCs w:val="20"/>
              </w:rPr>
              <w:t>Enbridge Inc.</w:t>
            </w:r>
          </w:p>
          <w:p w:rsidR="00D67909" w:rsidRPr="00E54387" w:rsidRDefault="00D67909">
            <w:pPr>
              <w:autoSpaceDE w:val="0"/>
              <w:autoSpaceDN w:val="0"/>
              <w:adjustRightInd w:val="0"/>
              <w:jc w:val="both"/>
              <w:rPr>
                <w:rFonts w:ascii="Times New Roman" w:hAnsi="Times New Roman"/>
                <w:sz w:val="20"/>
                <w:szCs w:val="20"/>
                <w:highlight w:val="yellow"/>
                <w:lang w:val="en-CA"/>
              </w:rPr>
            </w:pPr>
            <w:r w:rsidRPr="00E54387">
              <w:rPr>
                <w:rFonts w:ascii="Times New Roman" w:hAnsi="Times New Roman"/>
                <w:sz w:val="20"/>
                <w:szCs w:val="20"/>
              </w:rPr>
              <w:t xml:space="preserve">Enbridge is North America’s largest energy infrastructure company with dominant, integrated crude oil and natural gas transportation platforms. The company has been executing on its strategic initiatives of de-leveraging in addition to reaffirming guidance for 10% dividend growth through 2020. </w:t>
            </w:r>
          </w:p>
        </w:tc>
        <w:tc>
          <w:tcPr>
            <w:tcW w:w="2126" w:type="dxa"/>
            <w:tcBorders>
              <w:top w:val="single" w:sz="12" w:space="0" w:color="auto"/>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ind w:left="186" w:hanging="90"/>
              <w:rPr>
                <w:rFonts w:ascii="Times New Roman" w:hAnsi="Times New Roman"/>
                <w:sz w:val="20"/>
                <w:szCs w:val="20"/>
                <w:lang w:val="en-CA"/>
              </w:rPr>
            </w:pPr>
            <w:r w:rsidRPr="00E54387">
              <w:rPr>
                <w:rFonts w:ascii="Times New Roman" w:hAnsi="Times New Roman"/>
                <w:sz w:val="20"/>
                <w:szCs w:val="20"/>
              </w:rPr>
              <w:t>Pipelines</w:t>
            </w:r>
          </w:p>
        </w:tc>
        <w:tc>
          <w:tcPr>
            <w:tcW w:w="1246" w:type="dxa"/>
            <w:tcBorders>
              <w:top w:val="single" w:sz="12" w:space="0" w:color="auto"/>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jc w:val="center"/>
              <w:rPr>
                <w:rFonts w:ascii="Times New Roman" w:hAnsi="Times New Roman"/>
                <w:sz w:val="20"/>
                <w:szCs w:val="20"/>
                <w:lang w:val="en-CA"/>
              </w:rPr>
            </w:pPr>
            <w:r w:rsidRPr="00E54387">
              <w:rPr>
                <w:rFonts w:ascii="Times New Roman" w:hAnsi="Times New Roman"/>
                <w:sz w:val="20"/>
                <w:szCs w:val="20"/>
              </w:rPr>
              <w:t>6.4%</w:t>
            </w:r>
          </w:p>
        </w:tc>
      </w:tr>
      <w:tr w:rsidR="00D67909" w:rsidRPr="00D67909" w:rsidTr="00D67909">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adjustRightInd w:val="0"/>
              <w:jc w:val="both"/>
              <w:rPr>
                <w:rFonts w:ascii="Times New Roman" w:hAnsi="Times New Roman"/>
                <w:b/>
                <w:sz w:val="20"/>
                <w:szCs w:val="20"/>
              </w:rPr>
            </w:pPr>
            <w:r w:rsidRPr="00E54387">
              <w:rPr>
                <w:rFonts w:ascii="Times New Roman" w:hAnsi="Times New Roman"/>
                <w:b/>
                <w:sz w:val="20"/>
                <w:szCs w:val="20"/>
              </w:rPr>
              <w:t>JPMorgan Chase &amp; Co.</w:t>
            </w:r>
          </w:p>
          <w:p w:rsidR="00D67909" w:rsidRPr="00E54387" w:rsidRDefault="00D67909">
            <w:pPr>
              <w:autoSpaceDE w:val="0"/>
              <w:autoSpaceDN w:val="0"/>
              <w:adjustRightInd w:val="0"/>
              <w:jc w:val="both"/>
              <w:rPr>
                <w:rFonts w:ascii="Times New Roman" w:hAnsi="Times New Roman"/>
                <w:sz w:val="20"/>
                <w:szCs w:val="20"/>
                <w:highlight w:val="yellow"/>
                <w:lang w:val="en-CA"/>
              </w:rPr>
            </w:pPr>
            <w:r w:rsidRPr="00E54387">
              <w:rPr>
                <w:rFonts w:ascii="Times New Roman" w:hAnsi="Times New Roman"/>
                <w:sz w:val="20"/>
                <w:szCs w:val="20"/>
              </w:rPr>
              <w:t>JP Morgan is a leading global financial services firm headquartered in New York. The company is the largest banking institution in the U.S. with $2.5 trillion in assets and over 5,000 branches nationwide. It is among the largest six financial institutions in the world and has operations in more than 60 countries.</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ind w:left="186" w:hanging="90"/>
              <w:rPr>
                <w:rFonts w:ascii="Times New Roman" w:hAnsi="Times New Roman"/>
                <w:sz w:val="20"/>
                <w:szCs w:val="20"/>
                <w:lang w:val="en-CA"/>
              </w:rPr>
            </w:pPr>
            <w:r w:rsidRPr="00E54387">
              <w:rPr>
                <w:rFonts w:ascii="Times New Roman" w:hAnsi="Times New Roman"/>
                <w:sz w:val="20"/>
                <w:szCs w:val="20"/>
              </w:rPr>
              <w:t>Financials</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jc w:val="center"/>
              <w:rPr>
                <w:rFonts w:ascii="Times New Roman" w:hAnsi="Times New Roman"/>
                <w:sz w:val="20"/>
                <w:szCs w:val="20"/>
                <w:lang w:val="en-CA"/>
              </w:rPr>
            </w:pPr>
            <w:r w:rsidRPr="00E54387">
              <w:rPr>
                <w:rFonts w:ascii="Times New Roman" w:hAnsi="Times New Roman"/>
                <w:sz w:val="20"/>
                <w:szCs w:val="20"/>
              </w:rPr>
              <w:t>5.0%</w:t>
            </w:r>
          </w:p>
        </w:tc>
      </w:tr>
      <w:tr w:rsidR="00D67909" w:rsidRPr="00D67909" w:rsidTr="00D67909">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adjustRightInd w:val="0"/>
              <w:jc w:val="both"/>
              <w:rPr>
                <w:rFonts w:ascii="Times New Roman" w:hAnsi="Times New Roman"/>
                <w:b/>
                <w:sz w:val="20"/>
                <w:szCs w:val="20"/>
              </w:rPr>
            </w:pPr>
            <w:r w:rsidRPr="00E54387">
              <w:rPr>
                <w:rFonts w:ascii="Times New Roman" w:hAnsi="Times New Roman"/>
                <w:b/>
                <w:sz w:val="20"/>
                <w:szCs w:val="20"/>
              </w:rPr>
              <w:t>Parkland Fuel Corp.</w:t>
            </w:r>
          </w:p>
          <w:p w:rsidR="00D67909" w:rsidRPr="00E54387" w:rsidRDefault="00D67909">
            <w:pPr>
              <w:autoSpaceDE w:val="0"/>
              <w:autoSpaceDN w:val="0"/>
              <w:adjustRightInd w:val="0"/>
              <w:jc w:val="both"/>
              <w:rPr>
                <w:rFonts w:ascii="Times New Roman" w:hAnsi="Times New Roman"/>
                <w:sz w:val="20"/>
                <w:szCs w:val="20"/>
                <w:highlight w:val="yellow"/>
                <w:lang w:val="en-CA"/>
              </w:rPr>
            </w:pPr>
            <w:r w:rsidRPr="00E54387">
              <w:rPr>
                <w:rFonts w:ascii="Times New Roman" w:hAnsi="Times New Roman"/>
                <w:sz w:val="20"/>
                <w:szCs w:val="20"/>
              </w:rPr>
              <w:t>Parkland Fuel is one of North America’s fastest growing independent marketers of fuel and petroleum products. The company delivers gasoline, diesel, propane, lubricants, heating oil and other petroleum products to motorists, households, businesses and wholesale customers in Canada and the United States.</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ind w:left="186" w:hanging="90"/>
              <w:rPr>
                <w:rFonts w:ascii="Times New Roman" w:hAnsi="Times New Roman"/>
                <w:sz w:val="20"/>
                <w:szCs w:val="20"/>
                <w:lang w:val="en-CA"/>
              </w:rPr>
            </w:pPr>
            <w:r w:rsidRPr="00E54387">
              <w:rPr>
                <w:rFonts w:ascii="Times New Roman" w:hAnsi="Times New Roman"/>
                <w:sz w:val="20"/>
                <w:szCs w:val="20"/>
              </w:rPr>
              <w:t>Industrials</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jc w:val="center"/>
              <w:rPr>
                <w:rFonts w:ascii="Times New Roman" w:hAnsi="Times New Roman"/>
                <w:sz w:val="20"/>
                <w:szCs w:val="20"/>
                <w:lang w:val="en-CA"/>
              </w:rPr>
            </w:pPr>
            <w:r w:rsidRPr="00E54387">
              <w:rPr>
                <w:rFonts w:ascii="Times New Roman" w:hAnsi="Times New Roman"/>
                <w:sz w:val="20"/>
                <w:szCs w:val="20"/>
              </w:rPr>
              <w:t>4.9%</w:t>
            </w:r>
          </w:p>
        </w:tc>
      </w:tr>
      <w:tr w:rsidR="00D67909" w:rsidRPr="00D67909" w:rsidTr="00D67909">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adjustRightInd w:val="0"/>
              <w:jc w:val="both"/>
              <w:rPr>
                <w:rFonts w:ascii="Times New Roman" w:hAnsi="Times New Roman"/>
                <w:b/>
                <w:sz w:val="20"/>
                <w:szCs w:val="20"/>
              </w:rPr>
            </w:pPr>
            <w:r w:rsidRPr="00E54387">
              <w:rPr>
                <w:rFonts w:ascii="Times New Roman" w:hAnsi="Times New Roman"/>
                <w:b/>
                <w:sz w:val="20"/>
                <w:szCs w:val="20"/>
              </w:rPr>
              <w:t>Northland Power</w:t>
            </w:r>
          </w:p>
          <w:p w:rsidR="00D67909" w:rsidRPr="00E54387" w:rsidRDefault="00D67909">
            <w:pPr>
              <w:autoSpaceDE w:val="0"/>
              <w:autoSpaceDN w:val="0"/>
              <w:adjustRightInd w:val="0"/>
              <w:jc w:val="both"/>
              <w:rPr>
                <w:rFonts w:ascii="Times New Roman" w:hAnsi="Times New Roman"/>
                <w:b/>
                <w:sz w:val="20"/>
                <w:szCs w:val="20"/>
                <w:lang w:val="en-CA"/>
              </w:rPr>
            </w:pPr>
            <w:r w:rsidRPr="00E54387">
              <w:rPr>
                <w:rFonts w:ascii="Times New Roman" w:hAnsi="Times New Roman"/>
                <w:sz w:val="20"/>
                <w:szCs w:val="20"/>
              </w:rPr>
              <w:t>Northland Power is a diversified independent power producer which develops, owns and operates power generation facilities in Canada, the United States and Europe. The company’s facilities produce electricity from clean natural gas and renewable energy sources such as biomass, wind and solar.</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ind w:left="186" w:hanging="90"/>
              <w:rPr>
                <w:rFonts w:ascii="Times New Roman" w:hAnsi="Times New Roman"/>
                <w:sz w:val="20"/>
                <w:szCs w:val="20"/>
                <w:lang w:val="en-CA"/>
              </w:rPr>
            </w:pPr>
            <w:r w:rsidRPr="00E54387">
              <w:rPr>
                <w:rFonts w:ascii="Times New Roman" w:hAnsi="Times New Roman"/>
                <w:sz w:val="20"/>
                <w:szCs w:val="20"/>
              </w:rPr>
              <w:t>Power and Utilities</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jc w:val="center"/>
              <w:rPr>
                <w:rFonts w:ascii="Times New Roman" w:hAnsi="Times New Roman"/>
                <w:sz w:val="20"/>
                <w:szCs w:val="20"/>
                <w:lang w:val="en-CA"/>
              </w:rPr>
            </w:pPr>
            <w:r w:rsidRPr="00E54387">
              <w:rPr>
                <w:rFonts w:ascii="Times New Roman" w:hAnsi="Times New Roman"/>
                <w:sz w:val="20"/>
                <w:szCs w:val="20"/>
              </w:rPr>
              <w:t>3.9%</w:t>
            </w:r>
          </w:p>
        </w:tc>
      </w:tr>
      <w:tr w:rsidR="00D67909" w:rsidRPr="00D67909" w:rsidTr="00D67909">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adjustRightInd w:val="0"/>
              <w:jc w:val="both"/>
              <w:rPr>
                <w:rFonts w:ascii="Times New Roman" w:hAnsi="Times New Roman"/>
                <w:b/>
                <w:sz w:val="20"/>
                <w:szCs w:val="20"/>
              </w:rPr>
            </w:pPr>
            <w:r w:rsidRPr="00E54387">
              <w:rPr>
                <w:rFonts w:ascii="Times New Roman" w:hAnsi="Times New Roman"/>
                <w:b/>
                <w:sz w:val="20"/>
                <w:szCs w:val="20"/>
              </w:rPr>
              <w:t>Pembina Pipeline Corporation</w:t>
            </w:r>
          </w:p>
          <w:p w:rsidR="00D67909" w:rsidRPr="00E54387" w:rsidRDefault="00D67909">
            <w:pPr>
              <w:autoSpaceDE w:val="0"/>
              <w:autoSpaceDN w:val="0"/>
              <w:adjustRightInd w:val="0"/>
              <w:jc w:val="both"/>
              <w:rPr>
                <w:rFonts w:ascii="Times New Roman" w:hAnsi="Times New Roman"/>
                <w:sz w:val="20"/>
                <w:szCs w:val="20"/>
                <w:highlight w:val="yellow"/>
                <w:lang w:val="en-CA"/>
              </w:rPr>
            </w:pPr>
            <w:r w:rsidRPr="00E54387">
              <w:rPr>
                <w:rFonts w:ascii="Times New Roman" w:hAnsi="Times New Roman"/>
                <w:sz w:val="20"/>
                <w:szCs w:val="20"/>
              </w:rPr>
              <w:t xml:space="preserve">Pembina Pipeline is a pipeline and midstream company that operates oil and natural gas liquids (“NGL”) pipelines, gas gathering and processing facilities and oil and NGL infrastructure and logistics business. </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ind w:left="186" w:hanging="90"/>
              <w:rPr>
                <w:rFonts w:ascii="Times New Roman" w:hAnsi="Times New Roman"/>
                <w:sz w:val="20"/>
                <w:szCs w:val="20"/>
                <w:lang w:val="en-CA"/>
              </w:rPr>
            </w:pPr>
            <w:r w:rsidRPr="00E54387">
              <w:rPr>
                <w:rFonts w:ascii="Times New Roman" w:hAnsi="Times New Roman"/>
                <w:sz w:val="20"/>
                <w:szCs w:val="20"/>
              </w:rPr>
              <w:t>Pipelines</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jc w:val="center"/>
              <w:rPr>
                <w:rFonts w:ascii="Times New Roman" w:hAnsi="Times New Roman"/>
                <w:sz w:val="20"/>
                <w:szCs w:val="20"/>
                <w:lang w:val="en-CA"/>
              </w:rPr>
            </w:pPr>
            <w:r w:rsidRPr="00E54387">
              <w:rPr>
                <w:rFonts w:ascii="Times New Roman" w:hAnsi="Times New Roman"/>
                <w:sz w:val="20"/>
                <w:szCs w:val="20"/>
              </w:rPr>
              <w:t>3.7%</w:t>
            </w:r>
          </w:p>
        </w:tc>
      </w:tr>
      <w:tr w:rsidR="00D67909" w:rsidRPr="00D67909" w:rsidTr="00D67909">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adjustRightInd w:val="0"/>
              <w:jc w:val="both"/>
              <w:rPr>
                <w:rFonts w:ascii="Times New Roman" w:hAnsi="Times New Roman"/>
                <w:b/>
                <w:sz w:val="20"/>
                <w:szCs w:val="20"/>
              </w:rPr>
            </w:pPr>
            <w:r w:rsidRPr="00E54387">
              <w:rPr>
                <w:rFonts w:ascii="Times New Roman" w:hAnsi="Times New Roman"/>
                <w:b/>
                <w:sz w:val="20"/>
                <w:szCs w:val="20"/>
              </w:rPr>
              <w:t>Bank of Nova Scotia</w:t>
            </w:r>
          </w:p>
          <w:p w:rsidR="00D67909" w:rsidRPr="00E54387" w:rsidRDefault="00D67909">
            <w:pPr>
              <w:autoSpaceDE w:val="0"/>
              <w:autoSpaceDN w:val="0"/>
              <w:adjustRightInd w:val="0"/>
              <w:jc w:val="both"/>
              <w:rPr>
                <w:rFonts w:ascii="Times New Roman" w:hAnsi="Times New Roman"/>
                <w:sz w:val="20"/>
                <w:szCs w:val="20"/>
                <w:highlight w:val="yellow"/>
                <w:lang w:val="en-CA"/>
              </w:rPr>
            </w:pPr>
            <w:r w:rsidRPr="00E54387">
              <w:rPr>
                <w:rFonts w:ascii="Times New Roman" w:hAnsi="Times New Roman"/>
                <w:sz w:val="20"/>
                <w:szCs w:val="20"/>
              </w:rPr>
              <w:t>The Bank of Nova Scotia provides retail, corporate and investment banking services primarily in Canada and Latin America. Its main operating arm, Scotia bank, has nearly 1,000 Canadian branches and over 1,800 additional offices throughout the world.</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ind w:left="186" w:hanging="90"/>
              <w:rPr>
                <w:rFonts w:ascii="Times New Roman" w:hAnsi="Times New Roman"/>
                <w:sz w:val="20"/>
                <w:szCs w:val="20"/>
                <w:lang w:val="en-CA"/>
              </w:rPr>
            </w:pPr>
            <w:r w:rsidRPr="00E54387">
              <w:rPr>
                <w:rFonts w:ascii="Times New Roman" w:hAnsi="Times New Roman"/>
                <w:sz w:val="20"/>
                <w:szCs w:val="20"/>
              </w:rPr>
              <w:t>Financials</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jc w:val="center"/>
              <w:rPr>
                <w:rFonts w:ascii="Times New Roman" w:hAnsi="Times New Roman"/>
                <w:sz w:val="20"/>
                <w:szCs w:val="20"/>
                <w:lang w:val="en-CA"/>
              </w:rPr>
            </w:pPr>
            <w:r w:rsidRPr="00E54387">
              <w:rPr>
                <w:rFonts w:ascii="Times New Roman" w:hAnsi="Times New Roman"/>
                <w:sz w:val="20"/>
                <w:szCs w:val="20"/>
              </w:rPr>
              <w:t>3.4%</w:t>
            </w:r>
          </w:p>
        </w:tc>
      </w:tr>
      <w:tr w:rsidR="00D67909" w:rsidRPr="00D67909" w:rsidTr="00D67909">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adjustRightInd w:val="0"/>
              <w:jc w:val="both"/>
              <w:rPr>
                <w:rFonts w:ascii="Times New Roman" w:hAnsi="Times New Roman"/>
                <w:b/>
                <w:sz w:val="20"/>
                <w:szCs w:val="20"/>
              </w:rPr>
            </w:pPr>
            <w:r w:rsidRPr="00E54387">
              <w:rPr>
                <w:rFonts w:ascii="Times New Roman" w:hAnsi="Times New Roman"/>
                <w:b/>
                <w:sz w:val="20"/>
                <w:szCs w:val="20"/>
              </w:rPr>
              <w:t>Canadian Imperial Bank of Commerce</w:t>
            </w:r>
          </w:p>
          <w:p w:rsidR="00D67909" w:rsidRPr="00E54387" w:rsidRDefault="00D67909">
            <w:pPr>
              <w:autoSpaceDE w:val="0"/>
              <w:autoSpaceDN w:val="0"/>
              <w:adjustRightInd w:val="0"/>
              <w:jc w:val="both"/>
              <w:rPr>
                <w:rFonts w:ascii="Times New Roman" w:hAnsi="Times New Roman"/>
                <w:sz w:val="20"/>
                <w:szCs w:val="20"/>
                <w:highlight w:val="yellow"/>
                <w:lang w:val="en-CA"/>
              </w:rPr>
            </w:pPr>
            <w:r w:rsidRPr="00E54387">
              <w:rPr>
                <w:rFonts w:ascii="Times New Roman" w:hAnsi="Times New Roman"/>
                <w:sz w:val="20"/>
                <w:szCs w:val="20"/>
              </w:rPr>
              <w:t xml:space="preserve">CIBC has assets worth more than CAD$ 400 billion and is one of Canada’s largest banks. It serves more than 11 million clients globally and has recently increased its footprint in the U.S. through its $5 billion acquisition of </w:t>
            </w:r>
            <w:proofErr w:type="spellStart"/>
            <w:r w:rsidRPr="00E54387">
              <w:rPr>
                <w:rFonts w:ascii="Times New Roman" w:hAnsi="Times New Roman"/>
                <w:sz w:val="20"/>
                <w:szCs w:val="20"/>
              </w:rPr>
              <w:t>PrivateBancorp</w:t>
            </w:r>
            <w:proofErr w:type="spellEnd"/>
            <w:r w:rsidRPr="00E54387">
              <w:rPr>
                <w:rFonts w:ascii="Times New Roman" w:hAnsi="Times New Roman"/>
                <w:sz w:val="20"/>
                <w:szCs w:val="20"/>
              </w:rPr>
              <w:t xml:space="preserve"> Inc.</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ind w:left="186" w:hanging="90"/>
              <w:rPr>
                <w:rFonts w:ascii="Times New Roman" w:hAnsi="Times New Roman"/>
                <w:sz w:val="20"/>
                <w:szCs w:val="20"/>
                <w:lang w:val="en-CA"/>
              </w:rPr>
            </w:pPr>
            <w:r w:rsidRPr="00E54387">
              <w:rPr>
                <w:rFonts w:ascii="Times New Roman" w:hAnsi="Times New Roman"/>
                <w:sz w:val="20"/>
                <w:szCs w:val="20"/>
              </w:rPr>
              <w:t>Financials</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jc w:val="center"/>
              <w:rPr>
                <w:rFonts w:ascii="Times New Roman" w:hAnsi="Times New Roman"/>
                <w:sz w:val="20"/>
                <w:szCs w:val="20"/>
                <w:lang w:val="en-CA"/>
              </w:rPr>
            </w:pPr>
            <w:r w:rsidRPr="00E54387">
              <w:rPr>
                <w:rFonts w:ascii="Times New Roman" w:hAnsi="Times New Roman"/>
                <w:sz w:val="20"/>
                <w:szCs w:val="20"/>
              </w:rPr>
              <w:t>3.3%</w:t>
            </w:r>
          </w:p>
        </w:tc>
      </w:tr>
      <w:tr w:rsidR="00D67909" w:rsidRPr="00D67909" w:rsidTr="00D67909">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adjustRightInd w:val="0"/>
              <w:jc w:val="both"/>
              <w:rPr>
                <w:rFonts w:ascii="Times New Roman" w:hAnsi="Times New Roman"/>
                <w:b/>
                <w:sz w:val="20"/>
                <w:szCs w:val="20"/>
              </w:rPr>
            </w:pPr>
            <w:r w:rsidRPr="00E54387">
              <w:rPr>
                <w:rFonts w:ascii="Times New Roman" w:hAnsi="Times New Roman"/>
                <w:b/>
                <w:sz w:val="20"/>
                <w:szCs w:val="20"/>
              </w:rPr>
              <w:t>Brookfield Property Partners LP</w:t>
            </w:r>
          </w:p>
          <w:p w:rsidR="00D67909" w:rsidRPr="00E54387" w:rsidRDefault="00D67909">
            <w:pPr>
              <w:autoSpaceDE w:val="0"/>
              <w:autoSpaceDN w:val="0"/>
              <w:adjustRightInd w:val="0"/>
              <w:jc w:val="both"/>
              <w:rPr>
                <w:rFonts w:ascii="Times New Roman" w:hAnsi="Times New Roman"/>
                <w:sz w:val="20"/>
                <w:szCs w:val="20"/>
                <w:highlight w:val="yellow"/>
                <w:lang w:val="en-CA"/>
              </w:rPr>
            </w:pPr>
            <w:r w:rsidRPr="00E54387">
              <w:rPr>
                <w:rFonts w:ascii="Times New Roman" w:hAnsi="Times New Roman"/>
                <w:sz w:val="20"/>
                <w:szCs w:val="20"/>
                <w:lang w:val="en-US"/>
              </w:rPr>
              <w:t xml:space="preserve">Brookfield Property Partners LP owns, operates and invests in commercial real estate properties. Brookfield focuses on properties located in developed economies throughout North America, Europe, Australia and Brazil. </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ind w:left="186" w:hanging="90"/>
              <w:rPr>
                <w:rFonts w:ascii="Times New Roman" w:hAnsi="Times New Roman"/>
                <w:sz w:val="20"/>
                <w:szCs w:val="20"/>
                <w:lang w:val="en-CA"/>
              </w:rPr>
            </w:pPr>
            <w:r w:rsidRPr="00E54387">
              <w:rPr>
                <w:rFonts w:ascii="Times New Roman" w:hAnsi="Times New Roman"/>
                <w:sz w:val="20"/>
                <w:szCs w:val="20"/>
              </w:rPr>
              <w:t>Real Estate</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54387" w:rsidRDefault="00D67909">
            <w:pPr>
              <w:autoSpaceDE w:val="0"/>
              <w:autoSpaceDN w:val="0"/>
              <w:spacing w:line="360" w:lineRule="auto"/>
              <w:jc w:val="center"/>
              <w:rPr>
                <w:rFonts w:ascii="Times New Roman" w:hAnsi="Times New Roman"/>
                <w:sz w:val="20"/>
                <w:szCs w:val="20"/>
                <w:lang w:val="en-CA"/>
              </w:rPr>
            </w:pPr>
            <w:r w:rsidRPr="00E54387">
              <w:rPr>
                <w:rFonts w:ascii="Times New Roman" w:hAnsi="Times New Roman"/>
                <w:sz w:val="20"/>
                <w:szCs w:val="20"/>
              </w:rPr>
              <w:t>3.3%</w:t>
            </w:r>
          </w:p>
        </w:tc>
      </w:tr>
    </w:tbl>
    <w:p w:rsidR="00D67909" w:rsidRDefault="00D67909" w:rsidP="00D67909">
      <w:pPr>
        <w:autoSpaceDE w:val="0"/>
        <w:autoSpaceDN w:val="0"/>
        <w:spacing w:line="360" w:lineRule="auto"/>
        <w:jc w:val="both"/>
        <w:rPr>
          <w:rFonts w:ascii="Times New Roman" w:hAnsi="Times New Roman"/>
          <w:sz w:val="20"/>
          <w:szCs w:val="20"/>
          <w:lang w:val="en-CA"/>
        </w:rPr>
      </w:pPr>
    </w:p>
    <w:p w:rsidR="00D67909" w:rsidRDefault="00D67909" w:rsidP="00E54387">
      <w:pPr>
        <w:rPr>
          <w:rFonts w:ascii="Times New Roman" w:hAnsi="Times New Roman"/>
          <w:b/>
        </w:rPr>
      </w:pPr>
      <w:r w:rsidRPr="00C87A19">
        <w:rPr>
          <w:rFonts w:ascii="Times New Roman" w:hAnsi="Times New Roman"/>
          <w:b/>
        </w:rPr>
        <w:t>Investment Manager’s Report</w:t>
      </w:r>
      <w:r>
        <w:rPr>
          <w:rFonts w:ascii="Times New Roman" w:hAnsi="Times New Roman"/>
          <w:b/>
        </w:rPr>
        <w:t xml:space="preserve"> (continued)</w:t>
      </w:r>
    </w:p>
    <w:p w:rsidR="00D67909" w:rsidRPr="00E54387" w:rsidRDefault="00D67909" w:rsidP="00E54387">
      <w:pPr>
        <w:rPr>
          <w:rFonts w:ascii="Times New Roman" w:hAnsi="Times New Roman"/>
          <w:b/>
        </w:rPr>
      </w:pPr>
    </w:p>
    <w:p w:rsidR="00D67909" w:rsidRPr="00D67909" w:rsidRDefault="00D67909" w:rsidP="00E54387">
      <w:pPr>
        <w:spacing w:after="240"/>
        <w:jc w:val="both"/>
        <w:rPr>
          <w:rFonts w:ascii="Times New Roman" w:hAnsi="Times New Roman"/>
          <w:b/>
          <w:szCs w:val="22"/>
          <w:u w:val="single"/>
        </w:rPr>
      </w:pPr>
      <w:r w:rsidRPr="00D67909">
        <w:rPr>
          <w:rFonts w:ascii="Times New Roman" w:hAnsi="Times New Roman"/>
          <w:b/>
          <w:szCs w:val="22"/>
          <w:u w:val="single"/>
        </w:rPr>
        <w:t>Top Holdings</w:t>
      </w:r>
      <w:r w:rsidRPr="00E54387">
        <w:rPr>
          <w:rFonts w:ascii="Times New Roman" w:hAnsi="Times New Roman"/>
          <w:b/>
          <w:szCs w:val="22"/>
          <w:u w:val="single"/>
        </w:rPr>
        <w:t xml:space="preserve">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126"/>
        <w:gridCol w:w="1246"/>
      </w:tblGrid>
      <w:tr w:rsidR="00D67909" w:rsidRPr="00E05EDC" w:rsidTr="00E05EDC">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05EDC" w:rsidRDefault="00D67909" w:rsidP="00E05EDC">
            <w:pPr>
              <w:autoSpaceDE w:val="0"/>
              <w:autoSpaceDN w:val="0"/>
              <w:adjustRightInd w:val="0"/>
              <w:jc w:val="both"/>
              <w:rPr>
                <w:rFonts w:ascii="Times New Roman" w:hAnsi="Times New Roman"/>
                <w:b/>
                <w:sz w:val="20"/>
                <w:szCs w:val="20"/>
              </w:rPr>
            </w:pPr>
            <w:r w:rsidRPr="00E05EDC">
              <w:rPr>
                <w:rFonts w:ascii="Times New Roman" w:hAnsi="Times New Roman"/>
                <w:b/>
                <w:sz w:val="20"/>
                <w:szCs w:val="20"/>
              </w:rPr>
              <w:t>Bristol-Myers Squibb</w:t>
            </w:r>
          </w:p>
          <w:p w:rsidR="00D67909" w:rsidRPr="00E05EDC" w:rsidRDefault="00D67909" w:rsidP="00E05EDC">
            <w:pPr>
              <w:autoSpaceDE w:val="0"/>
              <w:autoSpaceDN w:val="0"/>
              <w:adjustRightInd w:val="0"/>
              <w:jc w:val="both"/>
              <w:rPr>
                <w:rFonts w:ascii="Times New Roman" w:hAnsi="Times New Roman"/>
                <w:sz w:val="20"/>
                <w:szCs w:val="20"/>
                <w:lang w:val="en-CA"/>
              </w:rPr>
            </w:pPr>
            <w:r w:rsidRPr="00E05EDC">
              <w:rPr>
                <w:rFonts w:ascii="Times New Roman" w:hAnsi="Times New Roman"/>
                <w:sz w:val="20"/>
                <w:szCs w:val="20"/>
              </w:rPr>
              <w:t>Bristol-Myers is a global biopharmaceutical company. The company develops, licenses, manufactures and sells pharmaceutical and nutritional products. Bristol is research focused and develops experimental therapies to address critical illnesses such as cancer, heart disease, HIV and AIDS, diabetes and hepatitis.</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05EDC" w:rsidRDefault="00D67909" w:rsidP="00E05EDC">
            <w:pPr>
              <w:autoSpaceDE w:val="0"/>
              <w:autoSpaceDN w:val="0"/>
              <w:spacing w:line="360" w:lineRule="auto"/>
              <w:ind w:left="186" w:hanging="90"/>
              <w:rPr>
                <w:rFonts w:ascii="Times New Roman" w:hAnsi="Times New Roman"/>
                <w:sz w:val="20"/>
                <w:szCs w:val="20"/>
                <w:lang w:val="en-CA"/>
              </w:rPr>
            </w:pPr>
            <w:r w:rsidRPr="00E05EDC">
              <w:rPr>
                <w:rFonts w:ascii="Times New Roman" w:hAnsi="Times New Roman"/>
                <w:sz w:val="20"/>
                <w:szCs w:val="20"/>
              </w:rPr>
              <w:t>Healthcare</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05EDC" w:rsidRDefault="00D67909" w:rsidP="00E05EDC">
            <w:pPr>
              <w:autoSpaceDE w:val="0"/>
              <w:autoSpaceDN w:val="0"/>
              <w:spacing w:line="360" w:lineRule="auto"/>
              <w:jc w:val="center"/>
              <w:rPr>
                <w:rFonts w:ascii="Times New Roman" w:hAnsi="Times New Roman"/>
                <w:sz w:val="20"/>
                <w:szCs w:val="20"/>
                <w:lang w:val="en-CA"/>
              </w:rPr>
            </w:pPr>
            <w:r w:rsidRPr="00E05EDC">
              <w:rPr>
                <w:rFonts w:ascii="Times New Roman" w:hAnsi="Times New Roman"/>
                <w:sz w:val="20"/>
                <w:szCs w:val="20"/>
              </w:rPr>
              <w:t>3.2%</w:t>
            </w:r>
          </w:p>
        </w:tc>
      </w:tr>
      <w:tr w:rsidR="00D67909" w:rsidRPr="00E05EDC" w:rsidTr="00E05EDC">
        <w:tc>
          <w:tcPr>
            <w:tcW w:w="6204"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05EDC" w:rsidRDefault="00D67909" w:rsidP="00E05EDC">
            <w:pPr>
              <w:autoSpaceDE w:val="0"/>
              <w:autoSpaceDN w:val="0"/>
              <w:adjustRightInd w:val="0"/>
              <w:jc w:val="both"/>
              <w:rPr>
                <w:rFonts w:ascii="Times New Roman" w:hAnsi="Times New Roman"/>
                <w:b/>
                <w:sz w:val="20"/>
                <w:szCs w:val="20"/>
              </w:rPr>
            </w:pPr>
            <w:r w:rsidRPr="00E05EDC">
              <w:rPr>
                <w:rFonts w:ascii="Times New Roman" w:hAnsi="Times New Roman"/>
                <w:b/>
                <w:sz w:val="20"/>
                <w:szCs w:val="20"/>
              </w:rPr>
              <w:t>Granite Real Estate Trust</w:t>
            </w:r>
          </w:p>
          <w:p w:rsidR="00D67909" w:rsidRPr="00E05EDC" w:rsidRDefault="00D67909" w:rsidP="00E05EDC">
            <w:pPr>
              <w:autoSpaceDE w:val="0"/>
              <w:autoSpaceDN w:val="0"/>
              <w:adjustRightInd w:val="0"/>
              <w:jc w:val="both"/>
              <w:rPr>
                <w:rFonts w:ascii="Times New Roman" w:hAnsi="Times New Roman"/>
                <w:sz w:val="20"/>
                <w:szCs w:val="20"/>
                <w:highlight w:val="yellow"/>
                <w:lang w:val="en-CA"/>
              </w:rPr>
            </w:pPr>
            <w:r w:rsidRPr="00E05EDC">
              <w:rPr>
                <w:rFonts w:ascii="Times New Roman" w:hAnsi="Times New Roman"/>
                <w:sz w:val="20"/>
                <w:szCs w:val="20"/>
                <w:lang w:val="en-US"/>
              </w:rPr>
              <w:t xml:space="preserve">Granite REIT is engaged in the acquisition, development, construction, leasing, management and ownership of industrial properties. Granite has a strong balance sheet and is well positioned to diversify its tenant base by actively acquiring new properties and selling non-core assets. The Company’s assets are poised to benefit from the secular growth trend in E-commerce. </w:t>
            </w:r>
          </w:p>
        </w:tc>
        <w:tc>
          <w:tcPr>
            <w:tcW w:w="212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05EDC" w:rsidRDefault="00D67909" w:rsidP="00E05EDC">
            <w:pPr>
              <w:autoSpaceDE w:val="0"/>
              <w:autoSpaceDN w:val="0"/>
              <w:spacing w:line="360" w:lineRule="auto"/>
              <w:ind w:left="186" w:hanging="90"/>
              <w:rPr>
                <w:rFonts w:ascii="Times New Roman" w:hAnsi="Times New Roman"/>
                <w:sz w:val="20"/>
                <w:szCs w:val="20"/>
                <w:lang w:val="en-CA"/>
              </w:rPr>
            </w:pPr>
            <w:r w:rsidRPr="00E05EDC">
              <w:rPr>
                <w:rFonts w:ascii="Times New Roman" w:hAnsi="Times New Roman"/>
                <w:sz w:val="20"/>
                <w:szCs w:val="20"/>
              </w:rPr>
              <w:t>Real Estate</w:t>
            </w:r>
          </w:p>
        </w:tc>
        <w:tc>
          <w:tcPr>
            <w:tcW w:w="1246" w:type="dxa"/>
            <w:tcBorders>
              <w:top w:val="single" w:sz="4" w:space="0" w:color="A6A6A6" w:themeColor="background1" w:themeShade="A6"/>
              <w:left w:val="nil"/>
              <w:bottom w:val="single" w:sz="4" w:space="0" w:color="A6A6A6" w:themeColor="background1" w:themeShade="A6"/>
              <w:right w:val="nil"/>
            </w:tcBorders>
            <w:vAlign w:val="center"/>
            <w:hideMark/>
          </w:tcPr>
          <w:p w:rsidR="00D67909" w:rsidRPr="00E05EDC" w:rsidRDefault="00D67909" w:rsidP="00E05EDC">
            <w:pPr>
              <w:autoSpaceDE w:val="0"/>
              <w:autoSpaceDN w:val="0"/>
              <w:spacing w:line="360" w:lineRule="auto"/>
              <w:jc w:val="center"/>
              <w:rPr>
                <w:rFonts w:ascii="Times New Roman" w:hAnsi="Times New Roman"/>
                <w:sz w:val="20"/>
                <w:szCs w:val="20"/>
                <w:lang w:val="en-CA"/>
              </w:rPr>
            </w:pPr>
            <w:r w:rsidRPr="00E05EDC">
              <w:rPr>
                <w:rFonts w:ascii="Times New Roman" w:hAnsi="Times New Roman"/>
                <w:sz w:val="20"/>
                <w:szCs w:val="20"/>
              </w:rPr>
              <w:t>3.1%</w:t>
            </w:r>
          </w:p>
        </w:tc>
      </w:tr>
      <w:tr w:rsidR="00D67909" w:rsidRPr="00E05EDC" w:rsidTr="00E05EDC">
        <w:tc>
          <w:tcPr>
            <w:tcW w:w="6204" w:type="dxa"/>
            <w:tcBorders>
              <w:top w:val="single" w:sz="4" w:space="0" w:color="auto"/>
              <w:left w:val="nil"/>
              <w:bottom w:val="single" w:sz="12" w:space="0" w:color="auto"/>
              <w:right w:val="nil"/>
            </w:tcBorders>
            <w:vAlign w:val="center"/>
            <w:hideMark/>
          </w:tcPr>
          <w:p w:rsidR="00D67909" w:rsidRPr="00E05EDC" w:rsidRDefault="00D67909" w:rsidP="00E05EDC">
            <w:pPr>
              <w:autoSpaceDE w:val="0"/>
              <w:autoSpaceDN w:val="0"/>
              <w:spacing w:line="360" w:lineRule="auto"/>
              <w:rPr>
                <w:rFonts w:ascii="Times New Roman" w:hAnsi="Times New Roman"/>
                <w:b/>
                <w:sz w:val="20"/>
                <w:szCs w:val="20"/>
                <w:highlight w:val="yellow"/>
                <w:lang w:val="en-CA"/>
              </w:rPr>
            </w:pPr>
            <w:r w:rsidRPr="00E05EDC">
              <w:rPr>
                <w:rFonts w:ascii="Times New Roman" w:hAnsi="Times New Roman"/>
                <w:b/>
                <w:sz w:val="20"/>
                <w:szCs w:val="20"/>
              </w:rPr>
              <w:t>Top Ten Investments</w:t>
            </w:r>
          </w:p>
        </w:tc>
        <w:tc>
          <w:tcPr>
            <w:tcW w:w="2126" w:type="dxa"/>
            <w:tcBorders>
              <w:top w:val="single" w:sz="4" w:space="0" w:color="auto"/>
              <w:left w:val="nil"/>
              <w:bottom w:val="single" w:sz="12" w:space="0" w:color="auto"/>
              <w:right w:val="nil"/>
            </w:tcBorders>
            <w:vAlign w:val="center"/>
          </w:tcPr>
          <w:p w:rsidR="00D67909" w:rsidRPr="00E05EDC" w:rsidRDefault="00D67909" w:rsidP="00E05EDC">
            <w:pPr>
              <w:autoSpaceDE w:val="0"/>
              <w:autoSpaceDN w:val="0"/>
              <w:spacing w:line="360" w:lineRule="auto"/>
              <w:ind w:left="186" w:hanging="90"/>
              <w:rPr>
                <w:rFonts w:ascii="Times New Roman" w:hAnsi="Times New Roman"/>
                <w:sz w:val="20"/>
                <w:szCs w:val="20"/>
                <w:lang w:val="en-CA"/>
              </w:rPr>
            </w:pPr>
          </w:p>
        </w:tc>
        <w:tc>
          <w:tcPr>
            <w:tcW w:w="1246" w:type="dxa"/>
            <w:tcBorders>
              <w:top w:val="single" w:sz="4" w:space="0" w:color="auto"/>
              <w:left w:val="nil"/>
              <w:bottom w:val="single" w:sz="12" w:space="0" w:color="auto"/>
              <w:right w:val="nil"/>
            </w:tcBorders>
            <w:vAlign w:val="center"/>
            <w:hideMark/>
          </w:tcPr>
          <w:p w:rsidR="00D67909" w:rsidRPr="00E05EDC" w:rsidRDefault="00D67909" w:rsidP="00E05EDC">
            <w:pPr>
              <w:autoSpaceDE w:val="0"/>
              <w:autoSpaceDN w:val="0"/>
              <w:spacing w:line="360" w:lineRule="auto"/>
              <w:jc w:val="center"/>
              <w:rPr>
                <w:rFonts w:ascii="Times New Roman" w:hAnsi="Times New Roman"/>
                <w:b/>
                <w:sz w:val="20"/>
                <w:szCs w:val="20"/>
                <w:lang w:val="en-CA"/>
              </w:rPr>
            </w:pPr>
            <w:r w:rsidRPr="00E05EDC">
              <w:rPr>
                <w:rFonts w:ascii="Times New Roman" w:hAnsi="Times New Roman"/>
                <w:b/>
                <w:sz w:val="20"/>
                <w:szCs w:val="20"/>
              </w:rPr>
              <w:t>40.2%</w:t>
            </w:r>
          </w:p>
        </w:tc>
      </w:tr>
    </w:tbl>
    <w:p w:rsidR="00D67909" w:rsidRPr="00E54387" w:rsidRDefault="00D67909" w:rsidP="00D67909">
      <w:pPr>
        <w:autoSpaceDE w:val="0"/>
        <w:autoSpaceDN w:val="0"/>
        <w:spacing w:line="360" w:lineRule="auto"/>
        <w:jc w:val="both"/>
        <w:rPr>
          <w:rFonts w:ascii="Times New Roman" w:hAnsi="Times New Roman"/>
          <w:sz w:val="20"/>
          <w:szCs w:val="20"/>
          <w:lang w:val="en-CA"/>
        </w:rPr>
      </w:pPr>
    </w:p>
    <w:p w:rsidR="00D67909" w:rsidRPr="00E54387" w:rsidRDefault="00D67909" w:rsidP="00D67909">
      <w:pPr>
        <w:autoSpaceDE w:val="0"/>
        <w:autoSpaceDN w:val="0"/>
        <w:spacing w:after="80" w:line="360" w:lineRule="auto"/>
        <w:jc w:val="both"/>
        <w:rPr>
          <w:rFonts w:ascii="Times New Roman" w:hAnsi="Times New Roman"/>
          <w:b/>
          <w:szCs w:val="22"/>
          <w:u w:val="single"/>
        </w:rPr>
      </w:pPr>
      <w:r w:rsidRPr="00E54387">
        <w:rPr>
          <w:rFonts w:ascii="Times New Roman" w:hAnsi="Times New Roman"/>
          <w:b/>
          <w:szCs w:val="22"/>
          <w:u w:val="single"/>
        </w:rPr>
        <w:t>Outlook</w:t>
      </w:r>
    </w:p>
    <w:p w:rsidR="00133242" w:rsidRDefault="00133242" w:rsidP="00133242">
      <w:pPr>
        <w:spacing w:after="240"/>
        <w:jc w:val="both"/>
        <w:rPr>
          <w:rFonts w:ascii="Times New Roman" w:hAnsi="Times New Roman"/>
          <w:sz w:val="20"/>
          <w:szCs w:val="20"/>
        </w:rPr>
      </w:pPr>
      <w:r w:rsidRPr="00E54387">
        <w:rPr>
          <w:rFonts w:ascii="Times New Roman" w:hAnsi="Times New Roman"/>
          <w:sz w:val="20"/>
          <w:szCs w:val="20"/>
        </w:rPr>
        <w:t xml:space="preserve">Looking forward, we are positive on North American equities in light of a dovish tone from central banks, recovering commodity prices and stable fundamental data such as employment and inflation rates. The market correction experienced in Q4 2018, in our view, was a valuation correction rather than a fundamental signal of recession. We expect GDP growth in Canada of approximately 1.5%, while growth in the U.S. is expected to be approximately 2.5% in 2019. However, due to the slowdown in economic activity globally over recent months and the corresponding decrease in interest rates, the Fund’s portfolio is tilted more defensively to pipelines, REITs and utilities. </w:t>
      </w:r>
    </w:p>
    <w:p w:rsidR="00133242" w:rsidRPr="00E54387" w:rsidRDefault="00133242" w:rsidP="00133242">
      <w:pPr>
        <w:spacing w:after="240"/>
        <w:jc w:val="both"/>
        <w:rPr>
          <w:rFonts w:ascii="Times New Roman" w:hAnsi="Times New Roman"/>
          <w:sz w:val="20"/>
          <w:szCs w:val="20"/>
        </w:rPr>
      </w:pPr>
      <w:r>
        <w:rPr>
          <w:rFonts w:ascii="Times New Roman" w:hAnsi="Times New Roman"/>
          <w:sz w:val="20"/>
          <w:szCs w:val="20"/>
        </w:rPr>
        <w:t xml:space="preserve">Since January 1, 2019, the macro factors overlaying the market have lessened. Specifically, as mentioned earlier, interest rates in the U.S. and E.U. are expected to remain lower for longer and U.S.-China trade negotiations are making significant progress. The markets have reacted positively to these developments, resulting in a meaningful bounce back from the lows in December 2018. </w:t>
      </w:r>
      <w:r w:rsidRPr="00E54387">
        <w:rPr>
          <w:rFonts w:ascii="Times New Roman" w:hAnsi="Times New Roman"/>
          <w:sz w:val="20"/>
          <w:szCs w:val="20"/>
        </w:rPr>
        <w:t xml:space="preserve">As active managers, we believe the current environment provides excellent opportunities for superior total returns. Our continued focus on dividend paying and dividend growing equities provides an effective method for dampening varying levels of economic, trade and political risk. As demonstrated by our longstanding track record, Middlefield is focused on constructing portfolios comprised of high quality issuers with proven management teams, strong balance sheets and a history of dividend growth. We believe the Fund is well positioned to deliver superior risk-adjusted returns in 2019 on a relative and absolute basis. </w:t>
      </w:r>
    </w:p>
    <w:p w:rsidR="00735183" w:rsidRPr="00E54387" w:rsidRDefault="00735183" w:rsidP="00735183">
      <w:pPr>
        <w:jc w:val="both"/>
        <w:rPr>
          <w:rFonts w:ascii="Times New Roman" w:hAnsi="Times New Roman"/>
          <w:b/>
          <w:sz w:val="20"/>
          <w:szCs w:val="20"/>
        </w:rPr>
      </w:pPr>
    </w:p>
    <w:p w:rsidR="00735183" w:rsidRPr="00E54387" w:rsidRDefault="00735183" w:rsidP="00735183">
      <w:pPr>
        <w:jc w:val="both"/>
        <w:rPr>
          <w:rFonts w:ascii="Times New Roman" w:hAnsi="Times New Roman"/>
          <w:b/>
          <w:sz w:val="20"/>
          <w:szCs w:val="20"/>
        </w:rPr>
      </w:pPr>
    </w:p>
    <w:p w:rsidR="00735183" w:rsidRPr="00E54387" w:rsidRDefault="00735183" w:rsidP="00735183">
      <w:pPr>
        <w:jc w:val="both"/>
        <w:rPr>
          <w:rFonts w:ascii="Times New Roman" w:hAnsi="Times New Roman"/>
          <w:b/>
          <w:sz w:val="20"/>
          <w:szCs w:val="20"/>
        </w:rPr>
      </w:pPr>
      <w:r w:rsidRPr="00E54387">
        <w:rPr>
          <w:rFonts w:ascii="Times New Roman" w:hAnsi="Times New Roman"/>
          <w:b/>
          <w:sz w:val="20"/>
          <w:szCs w:val="20"/>
        </w:rPr>
        <w:t>Middlefield Limited</w:t>
      </w:r>
    </w:p>
    <w:p w:rsidR="00735183" w:rsidRPr="00E54387" w:rsidRDefault="00735183" w:rsidP="00735183">
      <w:pPr>
        <w:jc w:val="both"/>
        <w:rPr>
          <w:rFonts w:ascii="Times New Roman" w:hAnsi="Times New Roman"/>
          <w:sz w:val="20"/>
          <w:szCs w:val="20"/>
        </w:rPr>
      </w:pPr>
    </w:p>
    <w:p w:rsidR="00735183" w:rsidRPr="00E54387" w:rsidRDefault="00735183" w:rsidP="00735183">
      <w:pPr>
        <w:jc w:val="both"/>
        <w:rPr>
          <w:rFonts w:ascii="Times New Roman" w:eastAsia="Calibri" w:hAnsi="Times New Roman"/>
          <w:sz w:val="20"/>
          <w:szCs w:val="20"/>
        </w:rPr>
      </w:pPr>
      <w:r w:rsidRPr="00E54387">
        <w:rPr>
          <w:rFonts w:ascii="Times New Roman" w:hAnsi="Times New Roman"/>
          <w:sz w:val="20"/>
          <w:szCs w:val="20"/>
        </w:rPr>
        <w:t>Date: 1</w:t>
      </w:r>
      <w:r w:rsidR="00476BB8">
        <w:rPr>
          <w:rFonts w:ascii="Times New Roman" w:hAnsi="Times New Roman"/>
          <w:sz w:val="20"/>
          <w:szCs w:val="20"/>
        </w:rPr>
        <w:t>1</w:t>
      </w:r>
      <w:r w:rsidRPr="00E54387">
        <w:rPr>
          <w:rFonts w:ascii="Times New Roman" w:hAnsi="Times New Roman"/>
          <w:sz w:val="20"/>
          <w:szCs w:val="20"/>
        </w:rPr>
        <w:t xml:space="preserve"> April 201</w:t>
      </w:r>
      <w:r w:rsidR="00476BB8">
        <w:rPr>
          <w:rFonts w:ascii="Times New Roman" w:hAnsi="Times New Roman"/>
          <w:sz w:val="20"/>
          <w:szCs w:val="20"/>
        </w:rPr>
        <w:t>9</w:t>
      </w:r>
    </w:p>
    <w:p w:rsidR="00B9607C" w:rsidRPr="00D67909" w:rsidRDefault="00B9607C" w:rsidP="00C87A19">
      <w:pPr>
        <w:spacing w:after="240"/>
        <w:jc w:val="both"/>
        <w:rPr>
          <w:rFonts w:ascii="Times New Roman" w:hAnsi="Times New Roman"/>
          <w:sz w:val="20"/>
          <w:szCs w:val="20"/>
        </w:rPr>
      </w:pPr>
    </w:p>
    <w:p w:rsidR="00B9607C" w:rsidRPr="00C87A19" w:rsidRDefault="00B9607C" w:rsidP="00C87A19">
      <w:pPr>
        <w:spacing w:after="240"/>
        <w:jc w:val="both"/>
        <w:rPr>
          <w:rFonts w:ascii="Times New Roman" w:hAnsi="Times New Roman"/>
          <w:sz w:val="20"/>
          <w:szCs w:val="20"/>
        </w:rPr>
      </w:pPr>
    </w:p>
    <w:p w:rsidR="00B9607C" w:rsidRPr="00C87A19" w:rsidRDefault="00B9607C" w:rsidP="00C87A19">
      <w:pPr>
        <w:spacing w:after="240"/>
        <w:jc w:val="both"/>
        <w:rPr>
          <w:rFonts w:ascii="Times New Roman" w:hAnsi="Times New Roman"/>
          <w:sz w:val="20"/>
          <w:szCs w:val="20"/>
        </w:rPr>
      </w:pPr>
    </w:p>
    <w:p w:rsidR="00B9607C" w:rsidRPr="00C87A19" w:rsidRDefault="00B9607C" w:rsidP="00C87A19">
      <w:pPr>
        <w:spacing w:after="240"/>
        <w:jc w:val="both"/>
        <w:rPr>
          <w:rFonts w:ascii="Times New Roman" w:hAnsi="Times New Roman"/>
          <w:sz w:val="20"/>
          <w:szCs w:val="20"/>
        </w:rPr>
      </w:pPr>
    </w:p>
    <w:p w:rsidR="00B9607C" w:rsidRPr="00C87A19" w:rsidRDefault="00B9607C" w:rsidP="00C87A19">
      <w:pPr>
        <w:spacing w:after="240"/>
        <w:jc w:val="both"/>
        <w:rPr>
          <w:rFonts w:ascii="Times New Roman" w:hAnsi="Times New Roman"/>
          <w:sz w:val="20"/>
          <w:szCs w:val="20"/>
        </w:rPr>
      </w:pPr>
    </w:p>
    <w:p w:rsidR="00B9607C" w:rsidRDefault="00B9607C" w:rsidP="00B9607C">
      <w:pPr>
        <w:rPr>
          <w:b/>
          <w:i/>
        </w:rPr>
      </w:pPr>
    </w:p>
    <w:p w:rsidR="00B9607C" w:rsidRDefault="00B9607C" w:rsidP="00B9607C">
      <w:pPr>
        <w:rPr>
          <w:b/>
          <w:i/>
        </w:rPr>
      </w:pPr>
    </w:p>
    <w:p w:rsidR="00B9607C" w:rsidRDefault="00B9607C" w:rsidP="00B9607C">
      <w:pPr>
        <w:rPr>
          <w:b/>
          <w:i/>
        </w:rPr>
      </w:pPr>
    </w:p>
    <w:p w:rsidR="00B9607C" w:rsidRDefault="00B9607C" w:rsidP="00B9607C">
      <w:pPr>
        <w:rPr>
          <w:b/>
          <w:i/>
        </w:rPr>
      </w:pPr>
    </w:p>
    <w:p w:rsidR="00E15ADE" w:rsidRDefault="00E15ADE" w:rsidP="00B9607C">
      <w:pPr>
        <w:rPr>
          <w:b/>
          <w:i/>
        </w:rPr>
      </w:pPr>
    </w:p>
    <w:p w:rsidR="00E15ADE" w:rsidRDefault="00E15ADE" w:rsidP="00B9607C">
      <w:pPr>
        <w:rPr>
          <w:b/>
          <w:i/>
        </w:rPr>
      </w:pPr>
    </w:p>
    <w:p w:rsidR="00E15ADE" w:rsidRDefault="00E15ADE" w:rsidP="00B9607C">
      <w:pPr>
        <w:rPr>
          <w:b/>
          <w:i/>
        </w:rPr>
      </w:pPr>
    </w:p>
    <w:p w:rsidR="007B59D7" w:rsidRPr="00E5676A" w:rsidRDefault="00A13FD4" w:rsidP="00E5676A">
      <w:pPr>
        <w:rPr>
          <w:rFonts w:ascii="Times New Roman" w:hAnsi="Times New Roman"/>
          <w:szCs w:val="22"/>
        </w:rPr>
      </w:pPr>
      <w:bookmarkStart w:id="9" w:name="OLE_LINK3"/>
      <w:bookmarkStart w:id="10" w:name="OLE_LINK4"/>
      <w:r w:rsidRPr="00E5676A">
        <w:rPr>
          <w:rFonts w:ascii="Times New Roman" w:hAnsi="Times New Roman"/>
          <w:b/>
          <w:szCs w:val="22"/>
        </w:rPr>
        <w:t>Directors</w:t>
      </w:r>
      <w:r w:rsidR="006C5B9F" w:rsidRPr="00E5676A">
        <w:rPr>
          <w:rFonts w:ascii="Times New Roman" w:hAnsi="Times New Roman"/>
          <w:b/>
          <w:szCs w:val="22"/>
        </w:rPr>
        <w:t>’</w:t>
      </w:r>
      <w:r w:rsidRPr="00E5676A">
        <w:rPr>
          <w:rFonts w:ascii="Times New Roman" w:hAnsi="Times New Roman"/>
          <w:b/>
          <w:szCs w:val="22"/>
        </w:rPr>
        <w:t xml:space="preserve"> Report</w:t>
      </w:r>
    </w:p>
    <w:p w:rsidR="00B44D91" w:rsidRPr="009170B8" w:rsidRDefault="00B44D91" w:rsidP="00B44D91">
      <w:pPr>
        <w:rPr>
          <w:rFonts w:ascii="Times New Roman" w:hAnsi="Times New Roman"/>
          <w:sz w:val="20"/>
          <w:szCs w:val="20"/>
        </w:rPr>
      </w:pPr>
    </w:p>
    <w:p w:rsidR="00C94624" w:rsidRDefault="00ED2329" w:rsidP="00C94624">
      <w:pPr>
        <w:autoSpaceDE w:val="0"/>
        <w:autoSpaceDN w:val="0"/>
        <w:adjustRightInd w:val="0"/>
        <w:jc w:val="both"/>
        <w:rPr>
          <w:rFonts w:ascii="Times New Roman" w:hAnsi="Times New Roman"/>
          <w:sz w:val="20"/>
          <w:szCs w:val="20"/>
        </w:rPr>
      </w:pPr>
      <w:r w:rsidRPr="009170B8">
        <w:rPr>
          <w:rFonts w:ascii="Times New Roman" w:hAnsi="Times New Roman"/>
          <w:sz w:val="20"/>
          <w:szCs w:val="20"/>
        </w:rPr>
        <w:t xml:space="preserve">The </w:t>
      </w:r>
      <w:r w:rsidR="004E6C8C">
        <w:rPr>
          <w:rFonts w:ascii="Times New Roman" w:hAnsi="Times New Roman"/>
          <w:sz w:val="20"/>
          <w:szCs w:val="20"/>
        </w:rPr>
        <w:t>d</w:t>
      </w:r>
      <w:r w:rsidRPr="009170B8">
        <w:rPr>
          <w:rFonts w:ascii="Times New Roman" w:hAnsi="Times New Roman"/>
          <w:sz w:val="20"/>
          <w:szCs w:val="20"/>
        </w:rPr>
        <w:t xml:space="preserve">irectors present </w:t>
      </w:r>
      <w:r w:rsidR="00225DD1" w:rsidRPr="00225DD1">
        <w:rPr>
          <w:rFonts w:ascii="Times New Roman" w:hAnsi="Times New Roman"/>
          <w:sz w:val="20"/>
          <w:szCs w:val="20"/>
        </w:rPr>
        <w:t>their annual financial report for the year ended 31</w:t>
      </w:r>
      <w:r w:rsidR="00225DD1">
        <w:rPr>
          <w:rFonts w:ascii="Times New Roman" w:hAnsi="Times New Roman"/>
          <w:sz w:val="20"/>
          <w:szCs w:val="20"/>
        </w:rPr>
        <w:t xml:space="preserve"> </w:t>
      </w:r>
      <w:r w:rsidR="00954949" w:rsidRPr="00B9035E">
        <w:rPr>
          <w:rFonts w:ascii="Times New Roman" w:hAnsi="Times New Roman"/>
          <w:sz w:val="20"/>
          <w:szCs w:val="20"/>
        </w:rPr>
        <w:t>December 201</w:t>
      </w:r>
      <w:r w:rsidR="00C10BEA">
        <w:rPr>
          <w:rFonts w:ascii="Times New Roman" w:hAnsi="Times New Roman"/>
          <w:sz w:val="20"/>
          <w:szCs w:val="20"/>
        </w:rPr>
        <w:t>8</w:t>
      </w:r>
      <w:r w:rsidR="00C94624">
        <w:rPr>
          <w:rFonts w:ascii="Times New Roman" w:hAnsi="Times New Roman"/>
          <w:sz w:val="20"/>
          <w:szCs w:val="20"/>
        </w:rPr>
        <w:t xml:space="preserve"> </w:t>
      </w:r>
      <w:r w:rsidR="00C94624" w:rsidRPr="0042011A">
        <w:rPr>
          <w:rFonts w:ascii="Times New Roman" w:hAnsi="Times New Roman"/>
          <w:sz w:val="20"/>
          <w:szCs w:val="20"/>
        </w:rPr>
        <w:t xml:space="preserve">with comparatives for the year ended 31 December </w:t>
      </w:r>
      <w:r w:rsidR="00C94624">
        <w:rPr>
          <w:rFonts w:ascii="Times New Roman" w:hAnsi="Times New Roman"/>
          <w:sz w:val="20"/>
          <w:szCs w:val="20"/>
        </w:rPr>
        <w:t>201</w:t>
      </w:r>
      <w:r w:rsidR="00C10BEA">
        <w:rPr>
          <w:rFonts w:ascii="Times New Roman" w:hAnsi="Times New Roman"/>
          <w:sz w:val="20"/>
          <w:szCs w:val="20"/>
        </w:rPr>
        <w:t>7</w:t>
      </w:r>
      <w:r w:rsidR="00C94624" w:rsidRPr="0042011A">
        <w:rPr>
          <w:rFonts w:ascii="Times New Roman" w:hAnsi="Times New Roman"/>
          <w:sz w:val="20"/>
          <w:szCs w:val="20"/>
        </w:rPr>
        <w:t>.</w:t>
      </w:r>
      <w:r w:rsidR="00C94624">
        <w:rPr>
          <w:rFonts w:ascii="Times New Roman" w:hAnsi="Times New Roman"/>
          <w:sz w:val="20"/>
          <w:szCs w:val="20"/>
        </w:rPr>
        <w:t xml:space="preserve"> </w:t>
      </w:r>
    </w:p>
    <w:p w:rsidR="00C94624" w:rsidRDefault="00C94624" w:rsidP="00C94624">
      <w:pPr>
        <w:autoSpaceDE w:val="0"/>
        <w:autoSpaceDN w:val="0"/>
        <w:adjustRightInd w:val="0"/>
        <w:jc w:val="both"/>
        <w:rPr>
          <w:rFonts w:ascii="Times New Roman" w:hAnsi="Times New Roman"/>
          <w:sz w:val="20"/>
          <w:szCs w:val="20"/>
        </w:rPr>
      </w:pPr>
    </w:p>
    <w:p w:rsidR="00ED2329" w:rsidRPr="009170B8" w:rsidRDefault="00ED2329" w:rsidP="00ED2329">
      <w:pPr>
        <w:jc w:val="both"/>
        <w:rPr>
          <w:rFonts w:ascii="Times New Roman Bold" w:hAnsi="Times New Roman Bold"/>
          <w:b/>
          <w:sz w:val="20"/>
          <w:szCs w:val="20"/>
        </w:rPr>
      </w:pPr>
      <w:r w:rsidRPr="009170B8">
        <w:rPr>
          <w:rFonts w:ascii="Times New Roman Bold" w:hAnsi="Times New Roman Bold"/>
          <w:b/>
          <w:sz w:val="20"/>
          <w:szCs w:val="20"/>
        </w:rPr>
        <w:t>Status and Activities</w:t>
      </w:r>
    </w:p>
    <w:p w:rsidR="00A318B2" w:rsidRPr="009170B8" w:rsidRDefault="00A318B2" w:rsidP="00A318B2">
      <w:pPr>
        <w:spacing w:after="240"/>
        <w:jc w:val="both"/>
        <w:rPr>
          <w:rFonts w:ascii="Times New Roman" w:hAnsi="Times New Roman"/>
          <w:sz w:val="20"/>
          <w:szCs w:val="20"/>
        </w:rPr>
      </w:pPr>
      <w:r w:rsidRPr="009170B8">
        <w:rPr>
          <w:rFonts w:ascii="Times New Roman" w:hAnsi="Times New Roman"/>
          <w:sz w:val="20"/>
          <w:szCs w:val="20"/>
        </w:rPr>
        <w:t>Middlefield Canadian Income – GBP PC</w:t>
      </w:r>
      <w:r w:rsidR="00C87A19">
        <w:rPr>
          <w:rFonts w:ascii="Times New Roman" w:hAnsi="Times New Roman"/>
          <w:sz w:val="20"/>
          <w:szCs w:val="20"/>
        </w:rPr>
        <w:t xml:space="preserve"> </w:t>
      </w:r>
      <w:r w:rsidRPr="009170B8">
        <w:rPr>
          <w:rFonts w:ascii="Times New Roman" w:hAnsi="Times New Roman"/>
          <w:sz w:val="20"/>
          <w:szCs w:val="20"/>
        </w:rPr>
        <w:t>is a closed-ended protected cell of Middlefield Canadian Income</w:t>
      </w:r>
      <w:r w:rsidR="007B5B87">
        <w:rPr>
          <w:rFonts w:ascii="Times New Roman" w:hAnsi="Times New Roman"/>
          <w:sz w:val="20"/>
          <w:szCs w:val="20"/>
        </w:rPr>
        <w:t xml:space="preserve"> PCC</w:t>
      </w:r>
      <w:r w:rsidRPr="009170B8">
        <w:rPr>
          <w:rFonts w:ascii="Times New Roman" w:hAnsi="Times New Roman"/>
          <w:sz w:val="20"/>
          <w:szCs w:val="20"/>
        </w:rPr>
        <w:t xml:space="preserve">, a </w:t>
      </w:r>
      <w:r w:rsidR="00BE0AEA" w:rsidRPr="009170B8">
        <w:rPr>
          <w:rFonts w:ascii="Times New Roman" w:hAnsi="Times New Roman"/>
          <w:sz w:val="20"/>
          <w:szCs w:val="20"/>
        </w:rPr>
        <w:t>Jersey</w:t>
      </w:r>
      <w:r w:rsidR="00BE0AEA">
        <w:rPr>
          <w:rFonts w:ascii="Times New Roman" w:hAnsi="Times New Roman"/>
          <w:sz w:val="20"/>
          <w:szCs w:val="20"/>
        </w:rPr>
        <w:t>-</w:t>
      </w:r>
      <w:r w:rsidRPr="009170B8">
        <w:rPr>
          <w:rFonts w:ascii="Times New Roman" w:hAnsi="Times New Roman"/>
          <w:sz w:val="20"/>
          <w:szCs w:val="20"/>
        </w:rPr>
        <w:t xml:space="preserve">incorporated protected cell company. </w:t>
      </w:r>
    </w:p>
    <w:p w:rsidR="00A318B2" w:rsidRPr="009170B8" w:rsidRDefault="00A318B2" w:rsidP="00A318B2">
      <w:pPr>
        <w:spacing w:after="240"/>
        <w:jc w:val="both"/>
        <w:rPr>
          <w:rFonts w:ascii="Times New Roman" w:hAnsi="Times New Roman"/>
          <w:sz w:val="20"/>
          <w:szCs w:val="20"/>
        </w:rPr>
      </w:pPr>
      <w:r w:rsidRPr="009170B8">
        <w:rPr>
          <w:rFonts w:ascii="Times New Roman" w:hAnsi="Times New Roman"/>
          <w:sz w:val="20"/>
          <w:szCs w:val="20"/>
        </w:rPr>
        <w:t>The Fund is a closed-ended fund which has been admitted to the</w:t>
      </w:r>
      <w:r w:rsidR="00E62B32">
        <w:rPr>
          <w:rFonts w:ascii="Times New Roman" w:hAnsi="Times New Roman"/>
          <w:sz w:val="20"/>
          <w:szCs w:val="20"/>
        </w:rPr>
        <w:t xml:space="preserve"> premium segment of the</w:t>
      </w:r>
      <w:r w:rsidRPr="009170B8">
        <w:rPr>
          <w:rFonts w:ascii="Times New Roman" w:hAnsi="Times New Roman"/>
          <w:sz w:val="20"/>
          <w:szCs w:val="20"/>
        </w:rPr>
        <w:t xml:space="preserve"> Official List of the UK Listing Authority and to trading on the London Stock Exchange’s </w:t>
      </w:r>
      <w:r w:rsidR="00BE0AEA">
        <w:rPr>
          <w:rFonts w:ascii="Times New Roman" w:hAnsi="Times New Roman"/>
          <w:sz w:val="20"/>
          <w:szCs w:val="20"/>
        </w:rPr>
        <w:t>M</w:t>
      </w:r>
      <w:r w:rsidR="00BE0AEA" w:rsidRPr="009170B8">
        <w:rPr>
          <w:rFonts w:ascii="Times New Roman" w:hAnsi="Times New Roman"/>
          <w:sz w:val="20"/>
          <w:szCs w:val="20"/>
        </w:rPr>
        <w:t xml:space="preserve">ain </w:t>
      </w:r>
      <w:r w:rsidR="00BE0AEA">
        <w:rPr>
          <w:rFonts w:ascii="Times New Roman" w:hAnsi="Times New Roman"/>
          <w:sz w:val="20"/>
          <w:szCs w:val="20"/>
        </w:rPr>
        <w:t>M</w:t>
      </w:r>
      <w:r w:rsidR="00BE0AEA" w:rsidRPr="009170B8">
        <w:rPr>
          <w:rFonts w:ascii="Times New Roman" w:hAnsi="Times New Roman"/>
          <w:sz w:val="20"/>
          <w:szCs w:val="20"/>
        </w:rPr>
        <w:t xml:space="preserve">arket </w:t>
      </w:r>
      <w:r w:rsidRPr="009170B8">
        <w:rPr>
          <w:rFonts w:ascii="Times New Roman" w:hAnsi="Times New Roman"/>
          <w:sz w:val="20"/>
          <w:szCs w:val="20"/>
        </w:rPr>
        <w:t xml:space="preserve">for listed securities. </w:t>
      </w:r>
    </w:p>
    <w:p w:rsidR="00A318B2" w:rsidRPr="009170B8" w:rsidRDefault="00B9035E" w:rsidP="00A318B2">
      <w:pPr>
        <w:spacing w:after="240"/>
        <w:jc w:val="both"/>
        <w:rPr>
          <w:rFonts w:ascii="Times New Roman" w:hAnsi="Times New Roman"/>
          <w:sz w:val="20"/>
          <w:szCs w:val="20"/>
        </w:rPr>
      </w:pPr>
      <w:r w:rsidRPr="00B9035E">
        <w:rPr>
          <w:rFonts w:ascii="Times New Roman" w:hAnsi="Times New Roman"/>
          <w:sz w:val="20"/>
          <w:szCs w:val="20"/>
        </w:rPr>
        <w:t>JTC Fund Solutions (Jersey) Limited</w:t>
      </w:r>
      <w:r w:rsidR="009F7DDD">
        <w:rPr>
          <w:rFonts w:ascii="Times New Roman" w:hAnsi="Times New Roman"/>
          <w:sz w:val="20"/>
          <w:szCs w:val="20"/>
        </w:rPr>
        <w:t xml:space="preserve"> </w:t>
      </w:r>
      <w:r w:rsidR="00A318B2" w:rsidRPr="009170B8">
        <w:rPr>
          <w:rFonts w:ascii="Times New Roman" w:hAnsi="Times New Roman"/>
          <w:sz w:val="20"/>
          <w:szCs w:val="20"/>
        </w:rPr>
        <w:t xml:space="preserve">acts as the Company's secretary and administrator. </w:t>
      </w:r>
      <w:r w:rsidR="00B14322">
        <w:rPr>
          <w:rFonts w:ascii="Times New Roman" w:hAnsi="Times New Roman"/>
          <w:sz w:val="20"/>
          <w:szCs w:val="20"/>
        </w:rPr>
        <w:t xml:space="preserve">JTC Fund Solutions (Guernsey) Limited </w:t>
      </w:r>
      <w:r w:rsidR="00BB06A3">
        <w:rPr>
          <w:rFonts w:ascii="Times New Roman" w:hAnsi="Times New Roman"/>
          <w:sz w:val="20"/>
          <w:szCs w:val="20"/>
        </w:rPr>
        <w:t xml:space="preserve">acts </w:t>
      </w:r>
      <w:r w:rsidR="00B14322">
        <w:rPr>
          <w:rFonts w:ascii="Times New Roman" w:hAnsi="Times New Roman"/>
          <w:sz w:val="20"/>
          <w:szCs w:val="20"/>
        </w:rPr>
        <w:t>as assistant secretary.</w:t>
      </w:r>
      <w:r w:rsidR="00A318B2" w:rsidRPr="009170B8">
        <w:rPr>
          <w:rFonts w:ascii="Times New Roman" w:hAnsi="Times New Roman"/>
          <w:sz w:val="20"/>
          <w:szCs w:val="20"/>
        </w:rPr>
        <w:t xml:space="preserve"> The Fund's net asset value ("NAV") is calculated using the closing prices of the securities held within its portfolio.  The Company publishes the NAV of a share in the Fund on a daily basis.</w:t>
      </w:r>
    </w:p>
    <w:p w:rsidR="00CF78A5" w:rsidRPr="00171C7E" w:rsidRDefault="00ED2329" w:rsidP="00171C7E">
      <w:pPr>
        <w:jc w:val="both"/>
        <w:rPr>
          <w:rFonts w:ascii="Times New Roman" w:hAnsi="Times New Roman"/>
          <w:i/>
          <w:sz w:val="20"/>
          <w:szCs w:val="20"/>
        </w:rPr>
      </w:pPr>
      <w:bookmarkStart w:id="11" w:name="OLE_LINK30"/>
      <w:bookmarkStart w:id="12" w:name="OLE_LINK31"/>
      <w:r w:rsidRPr="00FE3553">
        <w:rPr>
          <w:rFonts w:ascii="Times New Roman" w:hAnsi="Times New Roman"/>
          <w:b/>
          <w:sz w:val="20"/>
          <w:szCs w:val="20"/>
        </w:rPr>
        <w:t xml:space="preserve">Investment Objective and </w:t>
      </w:r>
      <w:r w:rsidR="00945C61" w:rsidRPr="008A0222">
        <w:rPr>
          <w:rFonts w:ascii="Times New Roman" w:hAnsi="Times New Roman"/>
          <w:b/>
          <w:sz w:val="20"/>
          <w:szCs w:val="20"/>
        </w:rPr>
        <w:t>Dividend Policy</w:t>
      </w:r>
      <w:bookmarkEnd w:id="11"/>
      <w:bookmarkEnd w:id="12"/>
    </w:p>
    <w:p w:rsidR="00ED2329" w:rsidRPr="009170B8" w:rsidRDefault="00ED2329" w:rsidP="00171C7E">
      <w:pPr>
        <w:jc w:val="both"/>
        <w:rPr>
          <w:rFonts w:ascii="Times New Roman" w:hAnsi="Times New Roman"/>
          <w:sz w:val="20"/>
          <w:szCs w:val="20"/>
        </w:rPr>
      </w:pPr>
      <w:r w:rsidRPr="00CF78A5">
        <w:rPr>
          <w:rFonts w:ascii="Times New Roman" w:hAnsi="Times New Roman"/>
          <w:sz w:val="20"/>
          <w:szCs w:val="20"/>
        </w:rPr>
        <w:t>The Fund seeks to provide shareholders with a high level of dividends as well as capital growth over the longer term. The Fund intends to</w:t>
      </w:r>
      <w:r w:rsidRPr="001F5EE5">
        <w:rPr>
          <w:rFonts w:ascii="Times New Roman" w:hAnsi="Times New Roman"/>
          <w:sz w:val="20"/>
          <w:szCs w:val="20"/>
        </w:rPr>
        <w:t xml:space="preserve"> pay dividends on a quarterly basis each year.  </w:t>
      </w:r>
      <w:r w:rsidR="00D453BF" w:rsidRPr="001F5EE5">
        <w:rPr>
          <w:rFonts w:ascii="Times New Roman" w:hAnsi="Times New Roman"/>
          <w:sz w:val="20"/>
          <w:szCs w:val="20"/>
        </w:rPr>
        <w:t>S</w:t>
      </w:r>
      <w:r w:rsidRPr="001F5EE5">
        <w:rPr>
          <w:rFonts w:ascii="Times New Roman" w:hAnsi="Times New Roman"/>
          <w:sz w:val="20"/>
          <w:szCs w:val="20"/>
        </w:rPr>
        <w:t xml:space="preserve">ubject to unforeseen circumstances, the Fund intends to maintain its current dividend rate of </w:t>
      </w:r>
      <w:r w:rsidR="007540EE">
        <w:rPr>
          <w:rFonts w:ascii="Times New Roman" w:hAnsi="Times New Roman"/>
          <w:sz w:val="20"/>
          <w:szCs w:val="20"/>
        </w:rPr>
        <w:t xml:space="preserve">at least </w:t>
      </w:r>
      <w:r w:rsidR="00556416">
        <w:rPr>
          <w:rFonts w:ascii="Times New Roman" w:hAnsi="Times New Roman"/>
          <w:sz w:val="20"/>
          <w:szCs w:val="20"/>
        </w:rPr>
        <w:t>5.1</w:t>
      </w:r>
      <w:r w:rsidRPr="001F5EE5">
        <w:rPr>
          <w:rFonts w:ascii="Times New Roman" w:hAnsi="Times New Roman"/>
          <w:sz w:val="20"/>
          <w:szCs w:val="20"/>
        </w:rPr>
        <w:t xml:space="preserve"> pence per share per annum payable on a quarterly basis in equal instalments.</w:t>
      </w:r>
      <w:r w:rsidR="00D453BF" w:rsidRPr="001F5EE5">
        <w:rPr>
          <w:rFonts w:ascii="Times New Roman" w:hAnsi="Times New Roman"/>
          <w:sz w:val="20"/>
          <w:szCs w:val="20"/>
        </w:rPr>
        <w:t xml:space="preserve">  The </w:t>
      </w:r>
      <w:r w:rsidR="00DD3656" w:rsidRPr="001F5EE5">
        <w:rPr>
          <w:rFonts w:ascii="Times New Roman" w:hAnsi="Times New Roman"/>
          <w:sz w:val="20"/>
          <w:szCs w:val="20"/>
        </w:rPr>
        <w:t xml:space="preserve">current </w:t>
      </w:r>
      <w:r w:rsidR="00D453BF" w:rsidRPr="001F5EE5">
        <w:rPr>
          <w:rFonts w:ascii="Times New Roman" w:hAnsi="Times New Roman"/>
          <w:sz w:val="20"/>
          <w:szCs w:val="20"/>
        </w:rPr>
        <w:t>dividend rate is expected to be</w:t>
      </w:r>
      <w:r w:rsidR="00F353C4">
        <w:rPr>
          <w:rFonts w:ascii="Times New Roman" w:hAnsi="Times New Roman"/>
          <w:sz w:val="20"/>
          <w:szCs w:val="20"/>
        </w:rPr>
        <w:t xml:space="preserve"> </w:t>
      </w:r>
      <w:r w:rsidR="00D453BF" w:rsidRPr="001F5EE5">
        <w:rPr>
          <w:rFonts w:ascii="Times New Roman" w:hAnsi="Times New Roman"/>
          <w:sz w:val="20"/>
          <w:szCs w:val="20"/>
        </w:rPr>
        <w:t>supported by an increase in dividend and interest income earned by the Fund as well as the expected increase in the</w:t>
      </w:r>
      <w:r w:rsidR="004E6C8C">
        <w:rPr>
          <w:rFonts w:ascii="Times New Roman" w:hAnsi="Times New Roman"/>
          <w:sz w:val="20"/>
          <w:szCs w:val="20"/>
        </w:rPr>
        <w:t xml:space="preserve"> value of the </w:t>
      </w:r>
      <w:r w:rsidR="00D453BF" w:rsidRPr="001F5EE5">
        <w:rPr>
          <w:rFonts w:ascii="Times New Roman" w:hAnsi="Times New Roman"/>
          <w:sz w:val="20"/>
          <w:szCs w:val="20"/>
        </w:rPr>
        <w:t>Canadian dollar versus GBP over time.</w:t>
      </w:r>
      <w:r w:rsidR="005C1E06" w:rsidRPr="005C1E06">
        <w:rPr>
          <w:color w:val="1F497D"/>
          <w:lang w:val="en-CA"/>
        </w:rPr>
        <w:t xml:space="preserve"> </w:t>
      </w:r>
      <w:r w:rsidR="005C1E06" w:rsidRPr="005C1E06">
        <w:rPr>
          <w:rFonts w:ascii="Times New Roman" w:hAnsi="Times New Roman"/>
          <w:sz w:val="20"/>
          <w:szCs w:val="20"/>
        </w:rPr>
        <w:t>We believe that Canada will benefit from the</w:t>
      </w:r>
      <w:r w:rsidR="00883DF2">
        <w:rPr>
          <w:rFonts w:ascii="Times New Roman" w:hAnsi="Times New Roman"/>
          <w:sz w:val="20"/>
          <w:szCs w:val="20"/>
        </w:rPr>
        <w:t xml:space="preserve"> increase</w:t>
      </w:r>
      <w:r w:rsidR="00C87A19">
        <w:rPr>
          <w:rFonts w:ascii="Times New Roman" w:hAnsi="Times New Roman"/>
          <w:sz w:val="20"/>
          <w:szCs w:val="20"/>
        </w:rPr>
        <w:t>d</w:t>
      </w:r>
      <w:r w:rsidR="00883DF2">
        <w:rPr>
          <w:rFonts w:ascii="Times New Roman" w:hAnsi="Times New Roman"/>
          <w:sz w:val="20"/>
          <w:szCs w:val="20"/>
        </w:rPr>
        <w:t xml:space="preserve"> economic</w:t>
      </w:r>
      <w:r w:rsidR="005C1E06" w:rsidRPr="005C1E06">
        <w:rPr>
          <w:rFonts w:ascii="Times New Roman" w:hAnsi="Times New Roman"/>
          <w:sz w:val="20"/>
          <w:szCs w:val="20"/>
        </w:rPr>
        <w:t xml:space="preserve"> </w:t>
      </w:r>
      <w:r w:rsidR="00883DF2">
        <w:rPr>
          <w:rFonts w:ascii="Times New Roman" w:hAnsi="Times New Roman"/>
          <w:sz w:val="20"/>
          <w:szCs w:val="20"/>
        </w:rPr>
        <w:t xml:space="preserve">diversification, </w:t>
      </w:r>
      <w:r w:rsidR="005C1E06" w:rsidRPr="005C1E06">
        <w:rPr>
          <w:rFonts w:ascii="Times New Roman" w:hAnsi="Times New Roman"/>
          <w:sz w:val="20"/>
          <w:szCs w:val="20"/>
        </w:rPr>
        <w:t>recovery in energy markets and the relative strength in the U.S. economy</w:t>
      </w:r>
      <w:r w:rsidR="00883DF2">
        <w:rPr>
          <w:rFonts w:ascii="Times New Roman" w:hAnsi="Times New Roman"/>
          <w:sz w:val="20"/>
          <w:szCs w:val="20"/>
        </w:rPr>
        <w:t>.</w:t>
      </w:r>
      <w:r w:rsidR="005C1E06" w:rsidRPr="005C1E06">
        <w:rPr>
          <w:rFonts w:ascii="Times New Roman" w:hAnsi="Times New Roman"/>
          <w:sz w:val="20"/>
          <w:szCs w:val="20"/>
        </w:rPr>
        <w:t xml:space="preserve"> </w:t>
      </w:r>
    </w:p>
    <w:p w:rsidR="00CF78A5" w:rsidRDefault="00CF78A5" w:rsidP="00ED2329">
      <w:pPr>
        <w:jc w:val="both"/>
        <w:rPr>
          <w:rFonts w:ascii="Times New Roman" w:hAnsi="Times New Roman"/>
          <w:i/>
          <w:sz w:val="20"/>
          <w:szCs w:val="20"/>
        </w:rPr>
      </w:pPr>
    </w:p>
    <w:p w:rsidR="00ED2329" w:rsidRPr="009170B8" w:rsidRDefault="00ED2329" w:rsidP="00ED2329">
      <w:pPr>
        <w:jc w:val="both"/>
        <w:rPr>
          <w:rFonts w:ascii="Times New Roman" w:hAnsi="Times New Roman"/>
          <w:i/>
          <w:sz w:val="20"/>
          <w:szCs w:val="20"/>
        </w:rPr>
      </w:pPr>
      <w:r w:rsidRPr="009170B8">
        <w:rPr>
          <w:rFonts w:ascii="Times New Roman" w:hAnsi="Times New Roman"/>
          <w:i/>
          <w:sz w:val="20"/>
          <w:szCs w:val="20"/>
        </w:rPr>
        <w:t>Investment Portfolio</w:t>
      </w:r>
    </w:p>
    <w:p w:rsidR="00335CE9" w:rsidRPr="009170B8" w:rsidRDefault="00335CE9" w:rsidP="00335CE9">
      <w:pPr>
        <w:spacing w:after="240"/>
        <w:jc w:val="both"/>
        <w:rPr>
          <w:rFonts w:ascii="Times New Roman" w:hAnsi="Times New Roman"/>
          <w:sz w:val="20"/>
          <w:szCs w:val="20"/>
        </w:rPr>
      </w:pPr>
      <w:r w:rsidRPr="009170B8">
        <w:rPr>
          <w:rFonts w:ascii="Times New Roman" w:hAnsi="Times New Roman"/>
          <w:sz w:val="20"/>
          <w:szCs w:val="20"/>
        </w:rPr>
        <w:t xml:space="preserve">The Fund seeks to achieve its investment objective by investing predominantly in the securities of companies and REITs domiciled in Canada </w:t>
      </w:r>
      <w:r w:rsidR="000620E4">
        <w:rPr>
          <w:rFonts w:ascii="Times New Roman" w:hAnsi="Times New Roman"/>
          <w:sz w:val="20"/>
          <w:szCs w:val="20"/>
        </w:rPr>
        <w:t>as well as the U.S</w:t>
      </w:r>
      <w:r w:rsidR="00CA5A90">
        <w:rPr>
          <w:rFonts w:ascii="Times New Roman" w:hAnsi="Times New Roman"/>
          <w:sz w:val="20"/>
          <w:szCs w:val="20"/>
        </w:rPr>
        <w:t>.</w:t>
      </w:r>
      <w:r w:rsidR="006546C6">
        <w:rPr>
          <w:rFonts w:ascii="Times New Roman" w:hAnsi="Times New Roman"/>
          <w:sz w:val="20"/>
          <w:szCs w:val="20"/>
        </w:rPr>
        <w:t xml:space="preserve"> </w:t>
      </w:r>
      <w:r w:rsidR="00FD77FA">
        <w:rPr>
          <w:rFonts w:ascii="Times New Roman" w:hAnsi="Times New Roman"/>
          <w:sz w:val="20"/>
          <w:szCs w:val="20"/>
        </w:rPr>
        <w:t>that</w:t>
      </w:r>
      <w:r w:rsidRPr="009170B8">
        <w:rPr>
          <w:rFonts w:ascii="Times New Roman" w:hAnsi="Times New Roman"/>
          <w:sz w:val="20"/>
          <w:szCs w:val="20"/>
        </w:rPr>
        <w:t xml:space="preserve"> the Investment Manager believes will provide an attractive level of distributions, together with the prospect for capital growth. It is expected that the Fund’s portfolio will generally comprise between 40</w:t>
      </w:r>
      <w:r>
        <w:rPr>
          <w:rFonts w:ascii="Times New Roman" w:hAnsi="Times New Roman"/>
          <w:sz w:val="20"/>
          <w:szCs w:val="20"/>
        </w:rPr>
        <w:t>-</w:t>
      </w:r>
      <w:r w:rsidR="00883DF2">
        <w:rPr>
          <w:rFonts w:ascii="Times New Roman" w:hAnsi="Times New Roman"/>
          <w:sz w:val="20"/>
          <w:szCs w:val="20"/>
        </w:rPr>
        <w:t>6</w:t>
      </w:r>
      <w:r w:rsidRPr="009170B8">
        <w:rPr>
          <w:rFonts w:ascii="Times New Roman" w:hAnsi="Times New Roman"/>
          <w:sz w:val="20"/>
          <w:szCs w:val="20"/>
        </w:rPr>
        <w:t>0 investments.</w:t>
      </w:r>
    </w:p>
    <w:p w:rsidR="00ED2329" w:rsidRPr="009170B8" w:rsidRDefault="00ED2329" w:rsidP="00ED2329">
      <w:pPr>
        <w:spacing w:after="240"/>
        <w:jc w:val="both"/>
        <w:rPr>
          <w:rFonts w:ascii="Times New Roman" w:hAnsi="Times New Roman"/>
          <w:sz w:val="20"/>
          <w:szCs w:val="20"/>
        </w:rPr>
      </w:pPr>
      <w:r w:rsidRPr="009170B8">
        <w:rPr>
          <w:rFonts w:ascii="Times New Roman" w:hAnsi="Times New Roman"/>
          <w:sz w:val="20"/>
          <w:szCs w:val="20"/>
        </w:rPr>
        <w:t>The Fund may also hold cash or cash equivalents.</w:t>
      </w:r>
    </w:p>
    <w:p w:rsidR="00ED2329" w:rsidRPr="009170B8" w:rsidRDefault="00ED2329" w:rsidP="00ED2329">
      <w:pPr>
        <w:spacing w:after="240"/>
        <w:jc w:val="both"/>
        <w:rPr>
          <w:rFonts w:ascii="Times New Roman" w:hAnsi="Times New Roman"/>
          <w:sz w:val="20"/>
          <w:szCs w:val="20"/>
        </w:rPr>
      </w:pPr>
      <w:r w:rsidRPr="009170B8">
        <w:rPr>
          <w:rFonts w:ascii="Times New Roman" w:hAnsi="Times New Roman"/>
          <w:sz w:val="20"/>
          <w:szCs w:val="20"/>
        </w:rPr>
        <w:t>The Fund may utilise derivative instruments including index-linked notes, contracts for differences, covered options and other equity-related derivative instruments for the purposes of efficient portfolio management.</w:t>
      </w:r>
    </w:p>
    <w:p w:rsidR="00ED2329" w:rsidRPr="009170B8" w:rsidRDefault="00ED2329" w:rsidP="00ED2329">
      <w:pPr>
        <w:tabs>
          <w:tab w:val="left" w:pos="10204"/>
        </w:tabs>
        <w:spacing w:after="240"/>
        <w:jc w:val="both"/>
        <w:rPr>
          <w:rFonts w:ascii="Times New Roman" w:hAnsi="Times New Roman"/>
          <w:sz w:val="20"/>
          <w:szCs w:val="20"/>
        </w:rPr>
      </w:pPr>
      <w:r w:rsidRPr="009170B8">
        <w:rPr>
          <w:rFonts w:ascii="Times New Roman" w:hAnsi="Times New Roman"/>
          <w:sz w:val="20"/>
          <w:szCs w:val="20"/>
        </w:rPr>
        <w:t>The Fund will at all times invest and manage its assets in a manner which is consistent with the objective of spreading investment risk.</w:t>
      </w:r>
    </w:p>
    <w:p w:rsidR="00ED2329" w:rsidRPr="009170B8" w:rsidRDefault="00ED2329" w:rsidP="00ED2329">
      <w:pPr>
        <w:jc w:val="both"/>
        <w:rPr>
          <w:rFonts w:ascii="Times New Roman" w:hAnsi="Times New Roman"/>
          <w:i/>
          <w:sz w:val="20"/>
          <w:szCs w:val="20"/>
        </w:rPr>
      </w:pPr>
      <w:r w:rsidRPr="009170B8">
        <w:rPr>
          <w:rFonts w:ascii="Times New Roman" w:hAnsi="Times New Roman"/>
          <w:i/>
          <w:sz w:val="20"/>
          <w:szCs w:val="20"/>
        </w:rPr>
        <w:t>Investment restrictions</w:t>
      </w:r>
    </w:p>
    <w:p w:rsidR="00ED2329" w:rsidRPr="009170B8" w:rsidRDefault="00ED2329" w:rsidP="00ED2329">
      <w:pPr>
        <w:spacing w:after="240"/>
        <w:jc w:val="both"/>
        <w:rPr>
          <w:rFonts w:ascii="Times New Roman" w:hAnsi="Times New Roman"/>
          <w:sz w:val="20"/>
          <w:szCs w:val="20"/>
        </w:rPr>
      </w:pPr>
      <w:r w:rsidRPr="009170B8">
        <w:rPr>
          <w:rFonts w:ascii="Times New Roman" w:hAnsi="Times New Roman"/>
          <w:sz w:val="20"/>
          <w:szCs w:val="20"/>
        </w:rPr>
        <w:t>The Fund will not at the time of making an investment:</w:t>
      </w:r>
    </w:p>
    <w:p w:rsidR="00335CE9" w:rsidRPr="009170B8" w:rsidRDefault="00335CE9" w:rsidP="00335CE9">
      <w:pPr>
        <w:ind w:left="720"/>
        <w:jc w:val="both"/>
        <w:rPr>
          <w:rFonts w:ascii="Times New Roman" w:hAnsi="Times New Roman"/>
          <w:sz w:val="20"/>
          <w:szCs w:val="20"/>
        </w:rPr>
      </w:pPr>
      <w:r w:rsidRPr="009170B8">
        <w:rPr>
          <w:rFonts w:ascii="Times New Roman" w:hAnsi="Times New Roman"/>
          <w:sz w:val="20"/>
          <w:szCs w:val="20"/>
        </w:rPr>
        <w:t>(a) have more than 10 per cent. of the value of its portfolio assets invested in the securities of any single issuer;</w:t>
      </w:r>
      <w:r w:rsidR="0016075F">
        <w:rPr>
          <w:rFonts w:ascii="Times New Roman" w:hAnsi="Times New Roman"/>
          <w:sz w:val="20"/>
          <w:szCs w:val="20"/>
        </w:rPr>
        <w:t xml:space="preserve"> or</w:t>
      </w:r>
    </w:p>
    <w:p w:rsidR="00335CE9" w:rsidRPr="009170B8" w:rsidRDefault="00335CE9" w:rsidP="00335CE9">
      <w:pPr>
        <w:ind w:left="993" w:hanging="273"/>
        <w:jc w:val="both"/>
        <w:rPr>
          <w:rFonts w:ascii="Times New Roman" w:hAnsi="Times New Roman"/>
          <w:sz w:val="20"/>
          <w:szCs w:val="20"/>
        </w:rPr>
      </w:pPr>
      <w:r w:rsidRPr="009170B8">
        <w:rPr>
          <w:rFonts w:ascii="Times New Roman" w:hAnsi="Times New Roman"/>
          <w:sz w:val="20"/>
          <w:szCs w:val="20"/>
        </w:rPr>
        <w:t>(b) have more than 50 per cent. of the value of its portfolio assets comprised of its ten largest security investments by value; or</w:t>
      </w:r>
    </w:p>
    <w:p w:rsidR="00335CE9" w:rsidRPr="009170B8" w:rsidRDefault="00335CE9" w:rsidP="00335CE9">
      <w:pPr>
        <w:ind w:left="993" w:hanging="273"/>
        <w:jc w:val="both"/>
        <w:rPr>
          <w:rFonts w:ascii="Times New Roman" w:hAnsi="Times New Roman"/>
          <w:sz w:val="20"/>
          <w:szCs w:val="20"/>
        </w:rPr>
      </w:pPr>
      <w:r w:rsidRPr="009170B8">
        <w:rPr>
          <w:rFonts w:ascii="Times New Roman" w:hAnsi="Times New Roman"/>
          <w:sz w:val="20"/>
          <w:szCs w:val="20"/>
        </w:rPr>
        <w:t xml:space="preserve">(c) have more than </w:t>
      </w:r>
      <w:r>
        <w:rPr>
          <w:rFonts w:ascii="Times New Roman" w:hAnsi="Times New Roman"/>
          <w:sz w:val="20"/>
          <w:szCs w:val="20"/>
        </w:rPr>
        <w:t>4</w:t>
      </w:r>
      <w:r w:rsidRPr="009170B8">
        <w:rPr>
          <w:rFonts w:ascii="Times New Roman" w:hAnsi="Times New Roman"/>
          <w:sz w:val="20"/>
          <w:szCs w:val="20"/>
        </w:rPr>
        <w:t>0 per cent. of the value of its portfolio assets invested in securities listed on a recognised stock exchange outside Canada; or</w:t>
      </w:r>
    </w:p>
    <w:p w:rsidR="00335CE9" w:rsidRDefault="00335CE9" w:rsidP="00335CE9">
      <w:pPr>
        <w:ind w:left="993" w:hanging="273"/>
        <w:jc w:val="both"/>
        <w:rPr>
          <w:rFonts w:ascii="Times New Roman" w:hAnsi="Times New Roman"/>
          <w:sz w:val="20"/>
          <w:szCs w:val="20"/>
        </w:rPr>
      </w:pPr>
      <w:r w:rsidRPr="009170B8">
        <w:rPr>
          <w:rFonts w:ascii="Times New Roman" w:hAnsi="Times New Roman"/>
          <w:sz w:val="20"/>
          <w:szCs w:val="20"/>
        </w:rPr>
        <w:t>(d) have more than 10 per cent. of the value of its portfolio assets invested in securities</w:t>
      </w:r>
      <w:r>
        <w:rPr>
          <w:rFonts w:ascii="Times New Roman" w:hAnsi="Times New Roman"/>
          <w:sz w:val="20"/>
          <w:szCs w:val="20"/>
        </w:rPr>
        <w:t xml:space="preserve"> listed on a recognised stock exchange outside Canada and the United States</w:t>
      </w:r>
      <w:r w:rsidRPr="009170B8">
        <w:rPr>
          <w:rFonts w:ascii="Times New Roman" w:hAnsi="Times New Roman"/>
          <w:sz w:val="20"/>
          <w:szCs w:val="20"/>
        </w:rPr>
        <w:t>; or</w:t>
      </w:r>
    </w:p>
    <w:p w:rsidR="00335CE9" w:rsidRPr="009170B8" w:rsidRDefault="00335CE9" w:rsidP="00335CE9">
      <w:pPr>
        <w:ind w:left="720"/>
        <w:jc w:val="both"/>
        <w:rPr>
          <w:rFonts w:ascii="Times New Roman" w:hAnsi="Times New Roman"/>
          <w:sz w:val="20"/>
          <w:szCs w:val="20"/>
        </w:rPr>
      </w:pPr>
      <w:r w:rsidRPr="009170B8">
        <w:rPr>
          <w:rFonts w:ascii="Times New Roman" w:hAnsi="Times New Roman"/>
          <w:sz w:val="20"/>
          <w:szCs w:val="20"/>
        </w:rPr>
        <w:t>(</w:t>
      </w:r>
      <w:r>
        <w:rPr>
          <w:rFonts w:ascii="Times New Roman" w:hAnsi="Times New Roman"/>
          <w:sz w:val="20"/>
          <w:szCs w:val="20"/>
        </w:rPr>
        <w:t>e</w:t>
      </w:r>
      <w:r w:rsidRPr="009170B8">
        <w:rPr>
          <w:rFonts w:ascii="Times New Roman" w:hAnsi="Times New Roman"/>
          <w:sz w:val="20"/>
          <w:szCs w:val="20"/>
        </w:rPr>
        <w:t>) have more than 10 per cent. of the value of its portfolio assets invested in unquoted securities; or</w:t>
      </w:r>
    </w:p>
    <w:p w:rsidR="00C741FB" w:rsidRPr="009170B8" w:rsidRDefault="00335CE9" w:rsidP="00335CE9">
      <w:pPr>
        <w:ind w:left="993" w:hanging="273"/>
        <w:jc w:val="both"/>
        <w:rPr>
          <w:rFonts w:ascii="Times New Roman" w:hAnsi="Times New Roman"/>
          <w:sz w:val="20"/>
          <w:szCs w:val="20"/>
        </w:rPr>
      </w:pPr>
      <w:r w:rsidRPr="009170B8">
        <w:rPr>
          <w:rFonts w:ascii="Times New Roman" w:hAnsi="Times New Roman"/>
          <w:sz w:val="20"/>
          <w:szCs w:val="20"/>
        </w:rPr>
        <w:t>(</w:t>
      </w:r>
      <w:r>
        <w:rPr>
          <w:rFonts w:ascii="Times New Roman" w:hAnsi="Times New Roman"/>
          <w:sz w:val="20"/>
          <w:szCs w:val="20"/>
        </w:rPr>
        <w:t>f</w:t>
      </w:r>
      <w:r w:rsidRPr="009170B8">
        <w:rPr>
          <w:rFonts w:ascii="Times New Roman" w:hAnsi="Times New Roman"/>
          <w:sz w:val="20"/>
          <w:szCs w:val="20"/>
        </w:rPr>
        <w:t xml:space="preserve">) purchase securities on margin or make short sales of securities or maintain short positions in excess of 10 per cent. of the Fund’s </w:t>
      </w:r>
      <w:r w:rsidR="006546C6">
        <w:rPr>
          <w:rFonts w:ascii="Times New Roman" w:hAnsi="Times New Roman"/>
          <w:sz w:val="20"/>
          <w:szCs w:val="20"/>
        </w:rPr>
        <w:t>net asset value</w:t>
      </w:r>
      <w:r w:rsidRPr="009170B8">
        <w:rPr>
          <w:rFonts w:ascii="Times New Roman" w:hAnsi="Times New Roman"/>
          <w:sz w:val="20"/>
          <w:szCs w:val="20"/>
        </w:rPr>
        <w:t>.</w:t>
      </w:r>
    </w:p>
    <w:p w:rsidR="00C50E62" w:rsidRDefault="00C50E62" w:rsidP="00C87A19">
      <w:pPr>
        <w:ind w:left="993" w:hanging="273"/>
        <w:jc w:val="both"/>
      </w:pPr>
    </w:p>
    <w:p w:rsidR="00883DF2" w:rsidRDefault="00883DF2" w:rsidP="00C87A19">
      <w:pPr>
        <w:ind w:left="993" w:hanging="273"/>
        <w:jc w:val="both"/>
      </w:pPr>
    </w:p>
    <w:p w:rsidR="00C87A19" w:rsidRDefault="00C87A19" w:rsidP="00C87A19">
      <w:pPr>
        <w:ind w:left="993" w:hanging="273"/>
        <w:jc w:val="both"/>
      </w:pPr>
    </w:p>
    <w:p w:rsidR="00C87A19" w:rsidRDefault="00C87A19" w:rsidP="00C87A19">
      <w:pPr>
        <w:ind w:left="993" w:hanging="273"/>
        <w:jc w:val="both"/>
      </w:pPr>
    </w:p>
    <w:p w:rsidR="00C87A19" w:rsidRDefault="00C87A19" w:rsidP="00C87A19">
      <w:pPr>
        <w:ind w:left="993" w:hanging="273"/>
        <w:jc w:val="both"/>
      </w:pPr>
    </w:p>
    <w:p w:rsidR="00C87A19" w:rsidRDefault="00C87A19" w:rsidP="00C87A19">
      <w:pPr>
        <w:ind w:left="993" w:hanging="273"/>
        <w:jc w:val="both"/>
      </w:pPr>
    </w:p>
    <w:p w:rsidR="00CF78A5" w:rsidRDefault="00CF78A5" w:rsidP="00C87A19">
      <w:pPr>
        <w:ind w:left="993" w:hanging="273"/>
        <w:jc w:val="both"/>
      </w:pPr>
    </w:p>
    <w:p w:rsidR="00C87A19" w:rsidRDefault="00C87A19" w:rsidP="00C87A19">
      <w:pPr>
        <w:ind w:left="993" w:hanging="273"/>
        <w:jc w:val="both"/>
      </w:pPr>
    </w:p>
    <w:p w:rsidR="006362F8" w:rsidRDefault="006362F8" w:rsidP="00C87A19">
      <w:pPr>
        <w:ind w:left="993" w:hanging="273"/>
        <w:jc w:val="both"/>
      </w:pPr>
    </w:p>
    <w:p w:rsidR="00335CE9" w:rsidRDefault="00335CE9" w:rsidP="00335CE9">
      <w:pPr>
        <w:pStyle w:val="Heading2"/>
        <w:tabs>
          <w:tab w:val="right" w:pos="8222"/>
        </w:tabs>
        <w:rPr>
          <w:rFonts w:ascii="Times New Roman" w:hAnsi="Times New Roman"/>
        </w:rPr>
      </w:pPr>
      <w:r w:rsidRPr="009170B8">
        <w:rPr>
          <w:rFonts w:ascii="Times New Roman" w:hAnsi="Times New Roman"/>
        </w:rPr>
        <w:t>Directors’ Report (continued)</w:t>
      </w:r>
    </w:p>
    <w:p w:rsidR="009A7524" w:rsidRPr="009A7524" w:rsidRDefault="009A7524" w:rsidP="009A7524"/>
    <w:p w:rsidR="00335CE9" w:rsidRPr="009170B8" w:rsidRDefault="00945C61" w:rsidP="00945C61">
      <w:pPr>
        <w:jc w:val="both"/>
        <w:rPr>
          <w:rFonts w:ascii="Times New Roman" w:hAnsi="Times New Roman"/>
          <w:b/>
          <w:bCs/>
          <w:sz w:val="20"/>
          <w:szCs w:val="20"/>
        </w:rPr>
      </w:pPr>
      <w:r w:rsidRPr="009170B8">
        <w:rPr>
          <w:rFonts w:ascii="Times New Roman" w:hAnsi="Times New Roman"/>
          <w:b/>
          <w:bCs/>
          <w:sz w:val="20"/>
          <w:szCs w:val="20"/>
        </w:rPr>
        <w:t xml:space="preserve">Investment Objective and </w:t>
      </w:r>
      <w:r>
        <w:rPr>
          <w:rFonts w:ascii="Times New Roman" w:hAnsi="Times New Roman"/>
          <w:b/>
          <w:bCs/>
          <w:sz w:val="20"/>
          <w:szCs w:val="20"/>
        </w:rPr>
        <w:t xml:space="preserve">Dividend </w:t>
      </w:r>
      <w:r w:rsidRPr="009170B8">
        <w:rPr>
          <w:rFonts w:ascii="Times New Roman" w:hAnsi="Times New Roman"/>
          <w:b/>
          <w:bCs/>
          <w:sz w:val="20"/>
          <w:szCs w:val="20"/>
        </w:rPr>
        <w:t>Policy</w:t>
      </w:r>
      <w:r>
        <w:rPr>
          <w:rFonts w:ascii="Times New Roman" w:hAnsi="Times New Roman"/>
          <w:b/>
          <w:bCs/>
          <w:sz w:val="20"/>
          <w:szCs w:val="20"/>
        </w:rPr>
        <w:t xml:space="preserve"> </w:t>
      </w:r>
      <w:r w:rsidR="00335CE9" w:rsidRPr="009170B8">
        <w:rPr>
          <w:rFonts w:ascii="Times New Roman" w:hAnsi="Times New Roman"/>
          <w:b/>
          <w:bCs/>
          <w:sz w:val="20"/>
          <w:szCs w:val="20"/>
        </w:rPr>
        <w:t>(continued)</w:t>
      </w:r>
    </w:p>
    <w:p w:rsidR="00335CE9" w:rsidRDefault="00335CE9" w:rsidP="00ED2329">
      <w:pPr>
        <w:jc w:val="both"/>
        <w:rPr>
          <w:rFonts w:ascii="Times New Roman" w:hAnsi="Times New Roman"/>
          <w:i/>
          <w:sz w:val="20"/>
          <w:szCs w:val="20"/>
        </w:rPr>
      </w:pPr>
    </w:p>
    <w:p w:rsidR="00AE3C55" w:rsidRPr="00AE3C55" w:rsidRDefault="00AE3C55" w:rsidP="00AE3C55">
      <w:pPr>
        <w:jc w:val="both"/>
        <w:rPr>
          <w:rFonts w:ascii="Times New Roman" w:hAnsi="Times New Roman"/>
          <w:i/>
          <w:sz w:val="20"/>
          <w:szCs w:val="20"/>
        </w:rPr>
      </w:pPr>
      <w:r w:rsidRPr="00AE3C55">
        <w:rPr>
          <w:rFonts w:ascii="Times New Roman" w:hAnsi="Times New Roman"/>
          <w:i/>
          <w:sz w:val="20"/>
          <w:szCs w:val="20"/>
        </w:rPr>
        <w:t>Hedging</w:t>
      </w:r>
    </w:p>
    <w:p w:rsidR="00AE3C55" w:rsidRPr="00AE3C55" w:rsidRDefault="00AE3C55" w:rsidP="00AE3C55">
      <w:pPr>
        <w:jc w:val="both"/>
        <w:rPr>
          <w:rFonts w:ascii="Times New Roman" w:hAnsi="Times New Roman"/>
          <w:sz w:val="20"/>
          <w:szCs w:val="20"/>
        </w:rPr>
      </w:pPr>
      <w:r w:rsidRPr="00AE3C55">
        <w:rPr>
          <w:rFonts w:ascii="Times New Roman" w:hAnsi="Times New Roman"/>
          <w:sz w:val="20"/>
          <w:szCs w:val="20"/>
        </w:rPr>
        <w:t>The Board reserves the right to employ currency hedging but, other than in exceptional circumstances, does not intend to hedge.</w:t>
      </w:r>
    </w:p>
    <w:p w:rsidR="00AE3C55" w:rsidRDefault="00AE3C55" w:rsidP="00ED2329">
      <w:pPr>
        <w:jc w:val="both"/>
        <w:rPr>
          <w:rFonts w:ascii="Times New Roman" w:hAnsi="Times New Roman"/>
          <w:i/>
          <w:sz w:val="20"/>
          <w:szCs w:val="20"/>
        </w:rPr>
      </w:pPr>
    </w:p>
    <w:p w:rsidR="00ED2329" w:rsidRPr="009170B8" w:rsidRDefault="00ED2329" w:rsidP="00ED2329">
      <w:pPr>
        <w:jc w:val="both"/>
        <w:rPr>
          <w:rFonts w:ascii="Times New Roman" w:hAnsi="Times New Roman"/>
          <w:i/>
          <w:sz w:val="20"/>
          <w:szCs w:val="20"/>
        </w:rPr>
      </w:pPr>
      <w:r w:rsidRPr="009170B8">
        <w:rPr>
          <w:rFonts w:ascii="Times New Roman" w:hAnsi="Times New Roman"/>
          <w:i/>
          <w:sz w:val="20"/>
          <w:szCs w:val="20"/>
        </w:rPr>
        <w:t>Gearing</w:t>
      </w:r>
    </w:p>
    <w:p w:rsidR="00695B2D" w:rsidRDefault="00A318B2" w:rsidP="00ED2329">
      <w:pPr>
        <w:jc w:val="both"/>
        <w:rPr>
          <w:rFonts w:ascii="Times New Roman" w:hAnsi="Times New Roman"/>
          <w:sz w:val="20"/>
          <w:szCs w:val="20"/>
        </w:rPr>
      </w:pPr>
      <w:r w:rsidRPr="009170B8">
        <w:rPr>
          <w:rFonts w:ascii="Times New Roman" w:hAnsi="Times New Roman"/>
          <w:sz w:val="20"/>
          <w:szCs w:val="20"/>
        </w:rPr>
        <w:t xml:space="preserve">The Fund has </w:t>
      </w:r>
      <w:r w:rsidR="00E62B32">
        <w:rPr>
          <w:rFonts w:ascii="Times New Roman" w:hAnsi="Times New Roman"/>
          <w:sz w:val="20"/>
          <w:szCs w:val="20"/>
        </w:rPr>
        <w:t xml:space="preserve">the </w:t>
      </w:r>
      <w:r w:rsidRPr="009170B8">
        <w:rPr>
          <w:rFonts w:ascii="Times New Roman" w:hAnsi="Times New Roman"/>
          <w:sz w:val="20"/>
          <w:szCs w:val="20"/>
        </w:rPr>
        <w:t>power to borrow up to 25 per cent</w:t>
      </w:r>
      <w:r w:rsidR="004A5E7B" w:rsidRPr="009170B8">
        <w:rPr>
          <w:rFonts w:ascii="Times New Roman" w:hAnsi="Times New Roman"/>
          <w:sz w:val="20"/>
          <w:szCs w:val="20"/>
        </w:rPr>
        <w:t>.</w:t>
      </w:r>
      <w:r w:rsidRPr="009170B8">
        <w:rPr>
          <w:rFonts w:ascii="Times New Roman" w:hAnsi="Times New Roman"/>
          <w:sz w:val="20"/>
          <w:szCs w:val="20"/>
        </w:rPr>
        <w:t xml:space="preserve"> of the value of its total assets at the time of drawdown. In the normal course of events, and subject to Board oversight, the Fund is expected to employ gearing in the range of 0 to 20 per cent</w:t>
      </w:r>
      <w:r w:rsidR="003F06D8" w:rsidRPr="009170B8">
        <w:rPr>
          <w:rFonts w:ascii="Times New Roman" w:hAnsi="Times New Roman"/>
          <w:sz w:val="20"/>
          <w:szCs w:val="20"/>
        </w:rPr>
        <w:t>.</w:t>
      </w:r>
      <w:r w:rsidRPr="009170B8">
        <w:rPr>
          <w:rFonts w:ascii="Times New Roman" w:hAnsi="Times New Roman"/>
          <w:sz w:val="20"/>
          <w:szCs w:val="20"/>
        </w:rPr>
        <w:t xml:space="preserve"> of the value of its total assets in order to enhance returns. </w:t>
      </w:r>
      <w:r w:rsidR="000620E4">
        <w:rPr>
          <w:rFonts w:ascii="Times New Roman" w:hAnsi="Times New Roman"/>
          <w:sz w:val="20"/>
          <w:szCs w:val="20"/>
        </w:rPr>
        <w:t xml:space="preserve">At year end, the Fund’s gross borrowings were equal to </w:t>
      </w:r>
      <w:r w:rsidR="00D56474">
        <w:rPr>
          <w:rFonts w:ascii="Times New Roman" w:hAnsi="Times New Roman"/>
          <w:sz w:val="20"/>
          <w:szCs w:val="20"/>
        </w:rPr>
        <w:t>1</w:t>
      </w:r>
      <w:r w:rsidR="00762429">
        <w:rPr>
          <w:rFonts w:ascii="Times New Roman" w:hAnsi="Times New Roman"/>
          <w:sz w:val="20"/>
          <w:szCs w:val="20"/>
        </w:rPr>
        <w:t>6</w:t>
      </w:r>
      <w:r w:rsidR="000620E4">
        <w:rPr>
          <w:rFonts w:ascii="Times New Roman" w:hAnsi="Times New Roman"/>
          <w:sz w:val="20"/>
          <w:szCs w:val="20"/>
        </w:rPr>
        <w:t xml:space="preserve"> per cent. </w:t>
      </w:r>
      <w:r w:rsidR="00CA5A90">
        <w:rPr>
          <w:rFonts w:ascii="Times New Roman" w:hAnsi="Times New Roman"/>
          <w:sz w:val="20"/>
          <w:szCs w:val="20"/>
        </w:rPr>
        <w:t>o</w:t>
      </w:r>
      <w:r w:rsidR="000620E4">
        <w:rPr>
          <w:rFonts w:ascii="Times New Roman" w:hAnsi="Times New Roman"/>
          <w:sz w:val="20"/>
          <w:szCs w:val="20"/>
        </w:rPr>
        <w:t>f its total assets.</w:t>
      </w:r>
    </w:p>
    <w:p w:rsidR="00695B2D" w:rsidRDefault="00695B2D" w:rsidP="00ED2329">
      <w:pPr>
        <w:jc w:val="both"/>
        <w:rPr>
          <w:rFonts w:ascii="Times New Roman" w:hAnsi="Times New Roman"/>
          <w:sz w:val="20"/>
          <w:szCs w:val="20"/>
        </w:rPr>
      </w:pPr>
    </w:p>
    <w:p w:rsidR="00ED2329" w:rsidRPr="009170B8" w:rsidRDefault="00ED2329" w:rsidP="00ED2329">
      <w:pPr>
        <w:autoSpaceDE w:val="0"/>
        <w:autoSpaceDN w:val="0"/>
        <w:adjustRightInd w:val="0"/>
        <w:rPr>
          <w:rFonts w:ascii="Times New Roman" w:eastAsia="Calibri" w:hAnsi="Times New Roman"/>
          <w:i/>
          <w:sz w:val="20"/>
          <w:szCs w:val="20"/>
          <w:lang w:eastAsia="en-GB"/>
        </w:rPr>
      </w:pPr>
      <w:r w:rsidRPr="009170B8">
        <w:rPr>
          <w:rFonts w:ascii="Times New Roman" w:eastAsia="Calibri" w:hAnsi="Times New Roman"/>
          <w:i/>
          <w:sz w:val="20"/>
          <w:szCs w:val="20"/>
          <w:lang w:eastAsia="en-GB"/>
        </w:rPr>
        <w:t>Key Performance Indicators</w:t>
      </w:r>
    </w:p>
    <w:p w:rsidR="00ED2329" w:rsidRPr="009170B8" w:rsidRDefault="00ED2329" w:rsidP="00ED2329">
      <w:pPr>
        <w:autoSpaceDE w:val="0"/>
        <w:autoSpaceDN w:val="0"/>
        <w:adjustRightInd w:val="0"/>
        <w:rPr>
          <w:rFonts w:ascii="Times New Roman" w:eastAsia="Calibri" w:hAnsi="Times New Roman"/>
          <w:sz w:val="20"/>
          <w:szCs w:val="20"/>
          <w:lang w:eastAsia="en-GB"/>
        </w:rPr>
      </w:pPr>
      <w:r w:rsidRPr="009170B8">
        <w:rPr>
          <w:rFonts w:ascii="Times New Roman" w:eastAsia="Calibri" w:hAnsi="Times New Roman"/>
          <w:sz w:val="20"/>
          <w:szCs w:val="20"/>
          <w:lang w:eastAsia="en-GB"/>
        </w:rPr>
        <w:t>The Board reviews performance by reference to a number of key performance indicators, which include the following:</w:t>
      </w:r>
    </w:p>
    <w:p w:rsidR="00ED2329" w:rsidRPr="009170B8" w:rsidRDefault="00ED2329" w:rsidP="00ED2329">
      <w:pPr>
        <w:autoSpaceDE w:val="0"/>
        <w:autoSpaceDN w:val="0"/>
        <w:adjustRightInd w:val="0"/>
        <w:rPr>
          <w:rFonts w:ascii="Times New Roman" w:eastAsia="Calibri" w:hAnsi="Times New Roman"/>
          <w:sz w:val="20"/>
          <w:szCs w:val="20"/>
          <w:lang w:eastAsia="en-GB"/>
        </w:rPr>
      </w:pPr>
    </w:p>
    <w:tbl>
      <w:tblPr>
        <w:tblW w:w="10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1751"/>
        <w:gridCol w:w="3032"/>
      </w:tblGrid>
      <w:tr w:rsidR="00EB1CCF" w:rsidRPr="000620E4" w:rsidTr="00E54387">
        <w:trPr>
          <w:trHeight w:val="299"/>
        </w:trPr>
        <w:tc>
          <w:tcPr>
            <w:tcW w:w="5529" w:type="dxa"/>
            <w:vAlign w:val="bottom"/>
          </w:tcPr>
          <w:p w:rsidR="00EB1CCF" w:rsidRDefault="00EB1CCF" w:rsidP="00895DA9">
            <w:pPr>
              <w:pStyle w:val="BodyText"/>
              <w:jc w:val="left"/>
              <w:rPr>
                <w:rFonts w:ascii="Times New Roman" w:hAnsi="Times New Roman"/>
                <w:b/>
                <w:bCs/>
              </w:rPr>
            </w:pPr>
          </w:p>
        </w:tc>
        <w:tc>
          <w:tcPr>
            <w:tcW w:w="1751" w:type="dxa"/>
            <w:vAlign w:val="bottom"/>
          </w:tcPr>
          <w:p w:rsidR="00EB1CCF" w:rsidRDefault="00EB1CCF" w:rsidP="00895DA9">
            <w:pPr>
              <w:pStyle w:val="BodyText"/>
              <w:jc w:val="right"/>
              <w:rPr>
                <w:rFonts w:ascii="Times New Roman" w:hAnsi="Times New Roman"/>
                <w:b/>
                <w:bCs/>
              </w:rPr>
            </w:pPr>
            <w:r>
              <w:rPr>
                <w:rFonts w:ascii="Times New Roman" w:hAnsi="Times New Roman"/>
                <w:b/>
                <w:bCs/>
              </w:rPr>
              <w:t>2018</w:t>
            </w:r>
          </w:p>
        </w:tc>
        <w:tc>
          <w:tcPr>
            <w:tcW w:w="3032" w:type="dxa"/>
          </w:tcPr>
          <w:p w:rsidR="00EB1CCF" w:rsidRDefault="00EB1CCF" w:rsidP="00895DA9">
            <w:pPr>
              <w:pStyle w:val="BodyText"/>
              <w:jc w:val="right"/>
              <w:rPr>
                <w:rFonts w:ascii="Times New Roman" w:hAnsi="Times New Roman"/>
                <w:b/>
                <w:bCs/>
              </w:rPr>
            </w:pPr>
            <w:r>
              <w:rPr>
                <w:rFonts w:ascii="Times New Roman" w:hAnsi="Times New Roman"/>
                <w:b/>
                <w:bCs/>
              </w:rPr>
              <w:t>2017</w:t>
            </w:r>
          </w:p>
        </w:tc>
      </w:tr>
      <w:tr w:rsidR="00EB1CCF" w:rsidRPr="000620E4" w:rsidTr="00E54387">
        <w:trPr>
          <w:trHeight w:val="299"/>
        </w:trPr>
        <w:tc>
          <w:tcPr>
            <w:tcW w:w="5529" w:type="dxa"/>
            <w:vAlign w:val="bottom"/>
          </w:tcPr>
          <w:p w:rsidR="00EB1CCF" w:rsidRPr="000620E4" w:rsidRDefault="00EB1CCF" w:rsidP="00895DA9">
            <w:pPr>
              <w:pStyle w:val="BodyText"/>
              <w:jc w:val="left"/>
              <w:rPr>
                <w:rFonts w:ascii="Times New Roman" w:hAnsi="Times New Roman"/>
                <w:b/>
                <w:bCs/>
              </w:rPr>
            </w:pPr>
            <w:r>
              <w:rPr>
                <w:rFonts w:ascii="Times New Roman" w:hAnsi="Times New Roman"/>
                <w:b/>
                <w:bCs/>
              </w:rPr>
              <w:t>Key performance indicator</w:t>
            </w:r>
          </w:p>
        </w:tc>
        <w:tc>
          <w:tcPr>
            <w:tcW w:w="1751" w:type="dxa"/>
            <w:vAlign w:val="bottom"/>
          </w:tcPr>
          <w:p w:rsidR="00EB1CCF" w:rsidRPr="000620E4" w:rsidRDefault="00EB1CCF" w:rsidP="00895DA9">
            <w:pPr>
              <w:pStyle w:val="BodyText"/>
              <w:jc w:val="right"/>
              <w:rPr>
                <w:rFonts w:ascii="Times New Roman" w:hAnsi="Times New Roman"/>
                <w:b/>
                <w:bCs/>
              </w:rPr>
            </w:pPr>
            <w:r>
              <w:rPr>
                <w:rFonts w:ascii="Times New Roman" w:hAnsi="Times New Roman"/>
                <w:b/>
                <w:bCs/>
              </w:rPr>
              <w:t>Value</w:t>
            </w:r>
          </w:p>
        </w:tc>
        <w:tc>
          <w:tcPr>
            <w:tcW w:w="3032" w:type="dxa"/>
          </w:tcPr>
          <w:p w:rsidR="00EB1CCF" w:rsidRDefault="00EB1CCF" w:rsidP="00895DA9">
            <w:pPr>
              <w:pStyle w:val="BodyText"/>
              <w:jc w:val="right"/>
              <w:rPr>
                <w:rFonts w:ascii="Times New Roman" w:hAnsi="Times New Roman"/>
                <w:b/>
                <w:bCs/>
              </w:rPr>
            </w:pPr>
            <w:r>
              <w:rPr>
                <w:rFonts w:ascii="Times New Roman" w:hAnsi="Times New Roman"/>
                <w:b/>
                <w:bCs/>
              </w:rPr>
              <w:t>Value</w:t>
            </w:r>
          </w:p>
        </w:tc>
      </w:tr>
      <w:tr w:rsidR="0064692C" w:rsidRPr="002D7247" w:rsidTr="00E54387">
        <w:trPr>
          <w:trHeight w:val="239"/>
        </w:trPr>
        <w:tc>
          <w:tcPr>
            <w:tcW w:w="5529" w:type="dxa"/>
            <w:vAlign w:val="bottom"/>
          </w:tcPr>
          <w:p w:rsidR="0064692C" w:rsidRPr="00D54AA3" w:rsidRDefault="0064692C" w:rsidP="00895DA9">
            <w:pPr>
              <w:autoSpaceDE w:val="0"/>
              <w:autoSpaceDN w:val="0"/>
              <w:adjustRightInd w:val="0"/>
              <w:jc w:val="both"/>
              <w:rPr>
                <w:rFonts w:ascii="Times New Roman" w:eastAsia="Calibri" w:hAnsi="Times New Roman"/>
                <w:sz w:val="20"/>
                <w:szCs w:val="20"/>
                <w:lang w:eastAsia="en-GB"/>
              </w:rPr>
            </w:pPr>
            <w:r>
              <w:rPr>
                <w:rFonts w:ascii="Times New Roman" w:eastAsia="Calibri" w:hAnsi="Times New Roman"/>
                <w:sz w:val="20"/>
                <w:szCs w:val="20"/>
                <w:lang w:eastAsia="en-GB"/>
              </w:rPr>
              <w:t>Net asset value (NAV)</w:t>
            </w:r>
          </w:p>
        </w:tc>
        <w:tc>
          <w:tcPr>
            <w:tcW w:w="1751" w:type="dxa"/>
            <w:vAlign w:val="bottom"/>
          </w:tcPr>
          <w:p w:rsidR="0064692C" w:rsidRPr="002D7247" w:rsidRDefault="0064692C">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95.94</w:t>
            </w:r>
          </w:p>
        </w:tc>
        <w:tc>
          <w:tcPr>
            <w:tcW w:w="3032" w:type="dxa"/>
          </w:tcPr>
          <w:p w:rsidR="0064692C" w:rsidRDefault="0064692C">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114.79</w:t>
            </w:r>
          </w:p>
        </w:tc>
      </w:tr>
      <w:tr w:rsidR="0064692C" w:rsidRPr="002D7247" w:rsidTr="00A50DD8">
        <w:trPr>
          <w:trHeight w:val="239"/>
        </w:trPr>
        <w:tc>
          <w:tcPr>
            <w:tcW w:w="5529" w:type="dxa"/>
            <w:vAlign w:val="bottom"/>
          </w:tcPr>
          <w:p w:rsidR="0064692C" w:rsidRDefault="00D01F77">
            <w:pPr>
              <w:autoSpaceDE w:val="0"/>
              <w:autoSpaceDN w:val="0"/>
              <w:adjustRightInd w:val="0"/>
              <w:jc w:val="both"/>
              <w:rPr>
                <w:rFonts w:ascii="Times New Roman" w:eastAsia="Calibri" w:hAnsi="Times New Roman"/>
                <w:sz w:val="20"/>
                <w:szCs w:val="20"/>
                <w:lang w:eastAsia="en-GB"/>
              </w:rPr>
            </w:pPr>
            <w:r>
              <w:rPr>
                <w:rFonts w:ascii="Times New Roman" w:eastAsia="Calibri" w:hAnsi="Times New Roman"/>
                <w:sz w:val="20"/>
                <w:szCs w:val="20"/>
                <w:lang w:eastAsia="en-GB"/>
              </w:rPr>
              <w:t>NAV</w:t>
            </w:r>
            <w:r w:rsidR="0064692C" w:rsidRPr="009170B8">
              <w:rPr>
                <w:rFonts w:ascii="Times New Roman" w:eastAsia="Calibri" w:hAnsi="Times New Roman"/>
                <w:sz w:val="20"/>
                <w:szCs w:val="20"/>
                <w:lang w:eastAsia="en-GB"/>
              </w:rPr>
              <w:t xml:space="preserve"> </w:t>
            </w:r>
            <w:r w:rsidR="0064692C">
              <w:rPr>
                <w:rFonts w:ascii="Times New Roman" w:eastAsia="Calibri" w:hAnsi="Times New Roman"/>
                <w:sz w:val="20"/>
                <w:szCs w:val="20"/>
                <w:lang w:eastAsia="en-GB"/>
              </w:rPr>
              <w:t xml:space="preserve">total return </w:t>
            </w:r>
            <w:r w:rsidR="0064692C" w:rsidRPr="009170B8">
              <w:rPr>
                <w:rFonts w:ascii="Times New Roman" w:eastAsia="Calibri" w:hAnsi="Times New Roman"/>
                <w:sz w:val="20"/>
                <w:szCs w:val="20"/>
                <w:lang w:eastAsia="en-GB"/>
              </w:rPr>
              <w:t>performance</w:t>
            </w:r>
            <w:r w:rsidR="0064692C">
              <w:rPr>
                <w:rFonts w:ascii="Times New Roman" w:eastAsia="Calibri" w:hAnsi="Times New Roman"/>
                <w:sz w:val="20"/>
                <w:szCs w:val="20"/>
                <w:lang w:eastAsia="en-GB"/>
              </w:rPr>
              <w:t xml:space="preserve"> for the year</w:t>
            </w:r>
          </w:p>
        </w:tc>
        <w:tc>
          <w:tcPr>
            <w:tcW w:w="1751" w:type="dxa"/>
            <w:vAlign w:val="bottom"/>
          </w:tcPr>
          <w:p w:rsidR="0064692C" w:rsidRDefault="0064692C">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(12.48%)</w:t>
            </w:r>
          </w:p>
        </w:tc>
        <w:tc>
          <w:tcPr>
            <w:tcW w:w="3032" w:type="dxa"/>
          </w:tcPr>
          <w:p w:rsidR="0064692C" w:rsidRDefault="0064692C">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1.36%</w:t>
            </w:r>
          </w:p>
        </w:tc>
      </w:tr>
      <w:tr w:rsidR="0064692C" w:rsidRPr="00B74D7C" w:rsidTr="00E54387">
        <w:tc>
          <w:tcPr>
            <w:tcW w:w="5529" w:type="dxa"/>
          </w:tcPr>
          <w:p w:rsidR="0064692C" w:rsidRPr="00905C8B" w:rsidRDefault="0064692C" w:rsidP="00895DA9">
            <w:pPr>
              <w:autoSpaceDE w:val="0"/>
              <w:autoSpaceDN w:val="0"/>
              <w:adjustRightInd w:val="0"/>
              <w:rPr>
                <w:rFonts w:ascii="Times New Roman" w:eastAsia="Calibri" w:hAnsi="Times New Roman"/>
                <w:sz w:val="20"/>
                <w:szCs w:val="20"/>
              </w:rPr>
            </w:pPr>
            <w:r>
              <w:rPr>
                <w:rFonts w:ascii="Times New Roman" w:eastAsia="Calibri" w:hAnsi="Times New Roman"/>
                <w:sz w:val="20"/>
                <w:szCs w:val="20"/>
                <w:lang w:eastAsia="en-GB"/>
              </w:rPr>
              <w:t>S</w:t>
            </w:r>
            <w:r w:rsidRPr="00905C8B">
              <w:rPr>
                <w:rFonts w:ascii="Times New Roman" w:eastAsia="Calibri" w:hAnsi="Times New Roman"/>
                <w:sz w:val="20"/>
                <w:szCs w:val="20"/>
                <w:lang w:eastAsia="en-GB"/>
              </w:rPr>
              <w:t>hare price</w:t>
            </w:r>
          </w:p>
        </w:tc>
        <w:tc>
          <w:tcPr>
            <w:tcW w:w="1751" w:type="dxa"/>
            <w:vAlign w:val="bottom"/>
          </w:tcPr>
          <w:p w:rsidR="0064692C" w:rsidRPr="00B74D7C" w:rsidRDefault="0064692C" w:rsidP="00895DA9">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85.00</w:t>
            </w:r>
          </w:p>
        </w:tc>
        <w:tc>
          <w:tcPr>
            <w:tcW w:w="3032" w:type="dxa"/>
          </w:tcPr>
          <w:p w:rsidR="0064692C" w:rsidRDefault="0064692C" w:rsidP="00895DA9">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101.00</w:t>
            </w:r>
          </w:p>
        </w:tc>
      </w:tr>
      <w:tr w:rsidR="0064692C" w:rsidRPr="002F7CE4" w:rsidTr="00E54387">
        <w:tc>
          <w:tcPr>
            <w:tcW w:w="5529" w:type="dxa"/>
          </w:tcPr>
          <w:p w:rsidR="0064692C" w:rsidRPr="00905C8B" w:rsidRDefault="0064692C" w:rsidP="00895DA9">
            <w:pPr>
              <w:autoSpaceDE w:val="0"/>
              <w:autoSpaceDN w:val="0"/>
              <w:adjustRightInd w:val="0"/>
              <w:rPr>
                <w:rFonts w:ascii="Times New Roman" w:eastAsia="Calibri" w:hAnsi="Times New Roman"/>
                <w:sz w:val="20"/>
                <w:szCs w:val="20"/>
              </w:rPr>
            </w:pPr>
            <w:r>
              <w:rPr>
                <w:rFonts w:ascii="Times New Roman" w:eastAsia="Calibri" w:hAnsi="Times New Roman"/>
                <w:sz w:val="20"/>
                <w:szCs w:val="20"/>
                <w:lang w:eastAsia="en-GB"/>
              </w:rPr>
              <w:t>Discount to NAV</w:t>
            </w:r>
          </w:p>
        </w:tc>
        <w:tc>
          <w:tcPr>
            <w:tcW w:w="1751" w:type="dxa"/>
            <w:vAlign w:val="bottom"/>
          </w:tcPr>
          <w:p w:rsidR="0064692C" w:rsidRPr="002F7CE4" w:rsidRDefault="0064692C" w:rsidP="00895DA9">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(11.40%)</w:t>
            </w:r>
          </w:p>
        </w:tc>
        <w:tc>
          <w:tcPr>
            <w:tcW w:w="3032" w:type="dxa"/>
          </w:tcPr>
          <w:p w:rsidR="0064692C" w:rsidRDefault="0064692C" w:rsidP="00895DA9">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(12.01%)</w:t>
            </w:r>
          </w:p>
        </w:tc>
      </w:tr>
      <w:tr w:rsidR="0064692C" w:rsidRPr="002F7CE4" w:rsidTr="00E54387">
        <w:tc>
          <w:tcPr>
            <w:tcW w:w="5529" w:type="dxa"/>
          </w:tcPr>
          <w:p w:rsidR="0064692C" w:rsidRPr="00905C8B" w:rsidRDefault="0064692C" w:rsidP="00895DA9">
            <w:pPr>
              <w:autoSpaceDE w:val="0"/>
              <w:autoSpaceDN w:val="0"/>
              <w:adjustRightInd w:val="0"/>
              <w:rPr>
                <w:rFonts w:ascii="Times New Roman" w:eastAsia="Calibri" w:hAnsi="Times New Roman"/>
                <w:sz w:val="20"/>
                <w:szCs w:val="20"/>
              </w:rPr>
            </w:pPr>
            <w:r>
              <w:rPr>
                <w:rFonts w:ascii="Times New Roman" w:eastAsia="Calibri" w:hAnsi="Times New Roman"/>
                <w:sz w:val="20"/>
                <w:szCs w:val="20"/>
                <w:lang w:eastAsia="en-GB"/>
              </w:rPr>
              <w:t>Dividend for the year</w:t>
            </w:r>
          </w:p>
        </w:tc>
        <w:tc>
          <w:tcPr>
            <w:tcW w:w="1751" w:type="dxa"/>
            <w:vAlign w:val="bottom"/>
          </w:tcPr>
          <w:p w:rsidR="0064692C" w:rsidRPr="002F7CE4" w:rsidRDefault="0064692C">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5.1 pence</w:t>
            </w:r>
          </w:p>
        </w:tc>
        <w:tc>
          <w:tcPr>
            <w:tcW w:w="3032" w:type="dxa"/>
          </w:tcPr>
          <w:p w:rsidR="0064692C" w:rsidRDefault="0064692C">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5.05 pence</w:t>
            </w:r>
          </w:p>
        </w:tc>
      </w:tr>
      <w:tr w:rsidR="0064692C" w:rsidTr="00E54387">
        <w:tc>
          <w:tcPr>
            <w:tcW w:w="5529" w:type="dxa"/>
          </w:tcPr>
          <w:p w:rsidR="0064692C" w:rsidRDefault="0064692C" w:rsidP="00895DA9">
            <w:pPr>
              <w:autoSpaceDE w:val="0"/>
              <w:autoSpaceDN w:val="0"/>
              <w:adjustRightInd w:val="0"/>
              <w:rPr>
                <w:rFonts w:ascii="Times New Roman" w:eastAsia="Calibri" w:hAnsi="Times New Roman"/>
                <w:sz w:val="20"/>
                <w:szCs w:val="20"/>
                <w:lang w:eastAsia="en-GB"/>
              </w:rPr>
            </w:pPr>
            <w:r>
              <w:rPr>
                <w:rFonts w:ascii="Times New Roman" w:eastAsia="Calibri" w:hAnsi="Times New Roman"/>
                <w:sz w:val="20"/>
                <w:szCs w:val="20"/>
                <w:lang w:eastAsia="en-GB"/>
              </w:rPr>
              <w:t>Ongoing charges*</w:t>
            </w:r>
          </w:p>
        </w:tc>
        <w:tc>
          <w:tcPr>
            <w:tcW w:w="1751" w:type="dxa"/>
            <w:vAlign w:val="bottom"/>
          </w:tcPr>
          <w:p w:rsidR="0064692C" w:rsidRDefault="0064692C">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1.14%</w:t>
            </w:r>
          </w:p>
        </w:tc>
        <w:tc>
          <w:tcPr>
            <w:tcW w:w="3032" w:type="dxa"/>
          </w:tcPr>
          <w:p w:rsidR="0064692C" w:rsidRDefault="0064692C" w:rsidP="00895DA9">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1.03%</w:t>
            </w:r>
          </w:p>
        </w:tc>
      </w:tr>
    </w:tbl>
    <w:p w:rsidR="00762429" w:rsidRPr="00133778" w:rsidRDefault="00762429" w:rsidP="00762429">
      <w:pPr>
        <w:autoSpaceDE w:val="0"/>
        <w:autoSpaceDN w:val="0"/>
        <w:adjustRightInd w:val="0"/>
        <w:jc w:val="both"/>
        <w:rPr>
          <w:rFonts w:ascii="Times New Roman" w:hAnsi="Times New Roman"/>
          <w:bCs/>
          <w:sz w:val="16"/>
          <w:szCs w:val="16"/>
        </w:rPr>
      </w:pPr>
      <w:r w:rsidRPr="00133778">
        <w:rPr>
          <w:rFonts w:ascii="Times New Roman" w:hAnsi="Times New Roman"/>
          <w:bCs/>
          <w:sz w:val="16"/>
          <w:szCs w:val="16"/>
        </w:rPr>
        <w:t>* refer to page 12</w:t>
      </w:r>
    </w:p>
    <w:p w:rsidR="00ED2329" w:rsidRPr="009170B8" w:rsidRDefault="00ED2329" w:rsidP="00ED2329">
      <w:pPr>
        <w:autoSpaceDE w:val="0"/>
        <w:autoSpaceDN w:val="0"/>
        <w:adjustRightInd w:val="0"/>
        <w:jc w:val="both"/>
        <w:rPr>
          <w:rFonts w:ascii="Times New Roman" w:hAnsi="Times New Roman"/>
          <w:b/>
          <w:bCs/>
          <w:sz w:val="20"/>
          <w:szCs w:val="20"/>
        </w:rPr>
      </w:pPr>
    </w:p>
    <w:p w:rsidR="00E75016" w:rsidRPr="009170B8" w:rsidRDefault="00ED2329" w:rsidP="00E75016">
      <w:pPr>
        <w:pStyle w:val="Heading1"/>
        <w:jc w:val="both"/>
        <w:rPr>
          <w:rFonts w:ascii="Times New Roman" w:hAnsi="Times New Roman"/>
          <w:sz w:val="20"/>
          <w:szCs w:val="20"/>
        </w:rPr>
      </w:pPr>
      <w:r w:rsidRPr="009170B8">
        <w:rPr>
          <w:rFonts w:ascii="Times New Roman" w:hAnsi="Times New Roman"/>
          <w:sz w:val="20"/>
          <w:szCs w:val="20"/>
        </w:rPr>
        <w:t>Authorised and Issued Shar</w:t>
      </w:r>
      <w:r w:rsidR="00012E3E">
        <w:rPr>
          <w:rFonts w:ascii="Times New Roman" w:hAnsi="Times New Roman"/>
          <w:sz w:val="20"/>
          <w:szCs w:val="20"/>
        </w:rPr>
        <w:t xml:space="preserve">e Capital as </w:t>
      </w:r>
      <w:r w:rsidR="00702118">
        <w:rPr>
          <w:rFonts w:ascii="Times New Roman" w:hAnsi="Times New Roman"/>
          <w:sz w:val="20"/>
          <w:szCs w:val="20"/>
        </w:rPr>
        <w:t>at 31 December 201</w:t>
      </w:r>
      <w:r w:rsidR="00C10BEA">
        <w:rPr>
          <w:rFonts w:ascii="Times New Roman" w:hAnsi="Times New Roman"/>
          <w:sz w:val="20"/>
          <w:szCs w:val="20"/>
        </w:rPr>
        <w:t>8</w:t>
      </w:r>
    </w:p>
    <w:p w:rsidR="00ED2329" w:rsidRPr="009170B8" w:rsidRDefault="00ED2329" w:rsidP="00ED2329">
      <w:pPr>
        <w:autoSpaceDE w:val="0"/>
        <w:autoSpaceDN w:val="0"/>
        <w:adjustRightInd w:val="0"/>
        <w:spacing w:after="240"/>
        <w:jc w:val="both"/>
        <w:rPr>
          <w:rFonts w:ascii="Times New Roman" w:hAnsi="Times New Roman"/>
          <w:sz w:val="20"/>
          <w:szCs w:val="20"/>
        </w:rPr>
      </w:pPr>
      <w:r w:rsidRPr="009170B8">
        <w:rPr>
          <w:rFonts w:ascii="Times New Roman" w:hAnsi="Times New Roman"/>
          <w:sz w:val="20"/>
          <w:szCs w:val="20"/>
        </w:rPr>
        <w:t xml:space="preserve">The Fund has the power to issue an unlimited number of shares of no par value which may be issued as redeemable participating preference shares or otherwise and which may be denominated in Sterling </w:t>
      </w:r>
      <w:r w:rsidR="00BB783A">
        <w:rPr>
          <w:rFonts w:ascii="Times New Roman" w:hAnsi="Times New Roman"/>
          <w:sz w:val="20"/>
          <w:szCs w:val="20"/>
        </w:rPr>
        <w:t xml:space="preserve">(“GBP”) </w:t>
      </w:r>
      <w:r w:rsidRPr="009170B8">
        <w:rPr>
          <w:rFonts w:ascii="Times New Roman" w:hAnsi="Times New Roman"/>
          <w:sz w:val="20"/>
          <w:szCs w:val="20"/>
        </w:rPr>
        <w:t xml:space="preserve">or any other currency. </w:t>
      </w:r>
    </w:p>
    <w:p w:rsidR="00E75016" w:rsidRPr="009170B8" w:rsidRDefault="00ED2329" w:rsidP="00ED2329">
      <w:pPr>
        <w:autoSpaceDE w:val="0"/>
        <w:autoSpaceDN w:val="0"/>
        <w:adjustRightInd w:val="0"/>
        <w:jc w:val="both"/>
        <w:rPr>
          <w:rFonts w:ascii="Times New Roman" w:hAnsi="Times New Roman"/>
          <w:sz w:val="20"/>
          <w:szCs w:val="20"/>
        </w:rPr>
      </w:pPr>
      <w:r w:rsidRPr="00B9035E">
        <w:rPr>
          <w:rFonts w:ascii="Times New Roman" w:hAnsi="Times New Roman"/>
          <w:sz w:val="20"/>
          <w:szCs w:val="20"/>
        </w:rPr>
        <w:t>There are currently 2 Management Shares of no par value in the Company (issued on incorporation) and 2 Management Shares and 1</w:t>
      </w:r>
      <w:r w:rsidR="00B14322">
        <w:rPr>
          <w:rFonts w:ascii="Times New Roman" w:hAnsi="Times New Roman"/>
          <w:sz w:val="20"/>
          <w:szCs w:val="20"/>
        </w:rPr>
        <w:t>24</w:t>
      </w:r>
      <w:r w:rsidRPr="00B9035E">
        <w:rPr>
          <w:rFonts w:ascii="Times New Roman" w:hAnsi="Times New Roman"/>
          <w:sz w:val="20"/>
          <w:szCs w:val="20"/>
        </w:rPr>
        <w:t>,</w:t>
      </w:r>
      <w:r w:rsidR="00B14322">
        <w:rPr>
          <w:rFonts w:ascii="Times New Roman" w:hAnsi="Times New Roman"/>
          <w:sz w:val="20"/>
          <w:szCs w:val="20"/>
        </w:rPr>
        <w:t>682</w:t>
      </w:r>
      <w:r w:rsidRPr="00B9035E">
        <w:rPr>
          <w:rFonts w:ascii="Times New Roman" w:hAnsi="Times New Roman"/>
          <w:sz w:val="20"/>
          <w:szCs w:val="20"/>
        </w:rPr>
        <w:t>,</w:t>
      </w:r>
      <w:r w:rsidR="00B14322">
        <w:rPr>
          <w:rFonts w:ascii="Times New Roman" w:hAnsi="Times New Roman"/>
          <w:sz w:val="20"/>
          <w:szCs w:val="20"/>
        </w:rPr>
        <w:t>250</w:t>
      </w:r>
      <w:r w:rsidRPr="00B9035E">
        <w:rPr>
          <w:rFonts w:ascii="Times New Roman" w:hAnsi="Times New Roman"/>
          <w:sz w:val="20"/>
          <w:szCs w:val="20"/>
        </w:rPr>
        <w:t xml:space="preserve"> redeemable participating preference shares of no par value (“Fund Shares”) in the Fund i</w:t>
      </w:r>
      <w:r w:rsidR="00012E3E" w:rsidRPr="00B9035E">
        <w:rPr>
          <w:rFonts w:ascii="Times New Roman" w:hAnsi="Times New Roman"/>
          <w:sz w:val="20"/>
          <w:szCs w:val="20"/>
        </w:rPr>
        <w:t xml:space="preserve">n issue.  </w:t>
      </w:r>
      <w:r w:rsidR="00527E25" w:rsidRPr="00B9035E">
        <w:rPr>
          <w:rFonts w:ascii="Times New Roman" w:hAnsi="Times New Roman"/>
          <w:sz w:val="20"/>
          <w:szCs w:val="20"/>
        </w:rPr>
        <w:t xml:space="preserve">As at 31 December </w:t>
      </w:r>
      <w:r w:rsidR="00527E25" w:rsidRPr="000620E4">
        <w:rPr>
          <w:rFonts w:ascii="Times New Roman" w:hAnsi="Times New Roman"/>
          <w:sz w:val="20"/>
          <w:szCs w:val="20"/>
        </w:rPr>
        <w:t>201</w:t>
      </w:r>
      <w:r w:rsidR="00C10BEA">
        <w:rPr>
          <w:rFonts w:ascii="Times New Roman" w:hAnsi="Times New Roman"/>
          <w:sz w:val="20"/>
          <w:szCs w:val="20"/>
        </w:rPr>
        <w:t>8</w:t>
      </w:r>
      <w:r w:rsidR="00527E25" w:rsidRPr="000620E4">
        <w:rPr>
          <w:rFonts w:ascii="Times New Roman" w:hAnsi="Times New Roman"/>
          <w:sz w:val="20"/>
          <w:szCs w:val="20"/>
        </w:rPr>
        <w:t>, 1</w:t>
      </w:r>
      <w:r w:rsidR="00F97E00">
        <w:rPr>
          <w:rFonts w:ascii="Times New Roman" w:hAnsi="Times New Roman"/>
          <w:sz w:val="20"/>
          <w:szCs w:val="20"/>
        </w:rPr>
        <w:t>8</w:t>
      </w:r>
      <w:r w:rsidR="008E0649">
        <w:rPr>
          <w:rFonts w:ascii="Times New Roman" w:hAnsi="Times New Roman"/>
          <w:sz w:val="20"/>
          <w:szCs w:val="20"/>
        </w:rPr>
        <w:t>,</w:t>
      </w:r>
      <w:r w:rsidR="00F97E00">
        <w:rPr>
          <w:rFonts w:ascii="Times New Roman" w:hAnsi="Times New Roman"/>
          <w:sz w:val="20"/>
          <w:szCs w:val="20"/>
        </w:rPr>
        <w:t>19</w:t>
      </w:r>
      <w:r w:rsidR="00B329DA">
        <w:rPr>
          <w:rFonts w:ascii="Times New Roman" w:hAnsi="Times New Roman"/>
          <w:sz w:val="20"/>
          <w:szCs w:val="20"/>
        </w:rPr>
        <w:t>5</w:t>
      </w:r>
      <w:r w:rsidR="00527E25" w:rsidRPr="000620E4">
        <w:rPr>
          <w:rFonts w:ascii="Times New Roman" w:hAnsi="Times New Roman"/>
          <w:sz w:val="20"/>
          <w:szCs w:val="20"/>
        </w:rPr>
        <w:t xml:space="preserve">,000 </w:t>
      </w:r>
      <w:r w:rsidR="00BB783A">
        <w:rPr>
          <w:rFonts w:ascii="Times New Roman" w:hAnsi="Times New Roman"/>
          <w:sz w:val="20"/>
          <w:szCs w:val="20"/>
        </w:rPr>
        <w:t xml:space="preserve">(2017: 18,195,000) </w:t>
      </w:r>
      <w:r w:rsidR="00527E25" w:rsidRPr="000620E4">
        <w:rPr>
          <w:rFonts w:ascii="Times New Roman" w:hAnsi="Times New Roman"/>
          <w:sz w:val="20"/>
          <w:szCs w:val="20"/>
        </w:rPr>
        <w:t xml:space="preserve">Fund Shares were held in treasury.  Since the financial year end and up to the date of this report, </w:t>
      </w:r>
      <w:r w:rsidR="00CA5A90">
        <w:rPr>
          <w:rFonts w:ascii="Times New Roman" w:hAnsi="Times New Roman"/>
          <w:sz w:val="20"/>
          <w:szCs w:val="20"/>
        </w:rPr>
        <w:t xml:space="preserve">the Fund has not sold any Fund </w:t>
      </w:r>
      <w:r w:rsidR="00D56474">
        <w:rPr>
          <w:rFonts w:ascii="Times New Roman" w:hAnsi="Times New Roman"/>
          <w:sz w:val="20"/>
          <w:szCs w:val="20"/>
        </w:rPr>
        <w:t>S</w:t>
      </w:r>
      <w:r w:rsidR="00CA5A90">
        <w:rPr>
          <w:rFonts w:ascii="Times New Roman" w:hAnsi="Times New Roman"/>
          <w:sz w:val="20"/>
          <w:szCs w:val="20"/>
        </w:rPr>
        <w:t xml:space="preserve">hares from treasury and </w:t>
      </w:r>
      <w:r w:rsidR="00F97E00">
        <w:rPr>
          <w:rFonts w:ascii="Times New Roman" w:hAnsi="Times New Roman"/>
          <w:sz w:val="20"/>
          <w:szCs w:val="20"/>
        </w:rPr>
        <w:t xml:space="preserve">has not </w:t>
      </w:r>
      <w:r w:rsidR="00CA5A90">
        <w:rPr>
          <w:rFonts w:ascii="Times New Roman" w:hAnsi="Times New Roman"/>
          <w:sz w:val="20"/>
          <w:szCs w:val="20"/>
        </w:rPr>
        <w:t xml:space="preserve">repurchased </w:t>
      </w:r>
      <w:r w:rsidR="00514A54">
        <w:rPr>
          <w:rFonts w:ascii="Times New Roman" w:hAnsi="Times New Roman"/>
          <w:sz w:val="20"/>
          <w:szCs w:val="20"/>
        </w:rPr>
        <w:t xml:space="preserve">any </w:t>
      </w:r>
      <w:r w:rsidR="00527E25" w:rsidRPr="000620E4">
        <w:rPr>
          <w:rFonts w:ascii="Times New Roman" w:hAnsi="Times New Roman"/>
          <w:sz w:val="20"/>
          <w:szCs w:val="20"/>
        </w:rPr>
        <w:t>Fund Shares</w:t>
      </w:r>
      <w:r w:rsidR="008E0649">
        <w:rPr>
          <w:rFonts w:ascii="Times New Roman" w:hAnsi="Times New Roman"/>
          <w:sz w:val="20"/>
          <w:szCs w:val="20"/>
        </w:rPr>
        <w:t xml:space="preserve"> and</w:t>
      </w:r>
      <w:r w:rsidR="00F97E00">
        <w:rPr>
          <w:rFonts w:ascii="Times New Roman" w:hAnsi="Times New Roman"/>
          <w:sz w:val="20"/>
          <w:szCs w:val="20"/>
        </w:rPr>
        <w:t xml:space="preserve"> there remain </w:t>
      </w:r>
      <w:r w:rsidR="00527E25" w:rsidRPr="000620E4">
        <w:rPr>
          <w:rFonts w:ascii="Times New Roman" w:hAnsi="Times New Roman"/>
          <w:sz w:val="20"/>
          <w:szCs w:val="20"/>
        </w:rPr>
        <w:t>1</w:t>
      </w:r>
      <w:r w:rsidR="00B329DA">
        <w:rPr>
          <w:rFonts w:ascii="Times New Roman" w:hAnsi="Times New Roman"/>
          <w:sz w:val="20"/>
          <w:szCs w:val="20"/>
        </w:rPr>
        <w:t>8</w:t>
      </w:r>
      <w:r w:rsidR="00527E25" w:rsidRPr="000620E4">
        <w:rPr>
          <w:rFonts w:ascii="Times New Roman" w:hAnsi="Times New Roman"/>
          <w:sz w:val="20"/>
          <w:szCs w:val="20"/>
        </w:rPr>
        <w:t>,</w:t>
      </w:r>
      <w:r w:rsidR="00D56474">
        <w:rPr>
          <w:rFonts w:ascii="Times New Roman" w:hAnsi="Times New Roman"/>
          <w:sz w:val="20"/>
          <w:szCs w:val="20"/>
        </w:rPr>
        <w:t>1</w:t>
      </w:r>
      <w:r w:rsidR="00B329DA">
        <w:rPr>
          <w:rFonts w:ascii="Times New Roman" w:hAnsi="Times New Roman"/>
          <w:sz w:val="20"/>
          <w:szCs w:val="20"/>
        </w:rPr>
        <w:t>95</w:t>
      </w:r>
      <w:r w:rsidR="00527E25" w:rsidRPr="000620E4">
        <w:rPr>
          <w:rFonts w:ascii="Times New Roman" w:hAnsi="Times New Roman"/>
          <w:sz w:val="20"/>
          <w:szCs w:val="20"/>
        </w:rPr>
        <w:t>,000 Fund Shares held in treasury, which may in future be sold out of treasury to satisfy market demand</w:t>
      </w:r>
      <w:r w:rsidR="00527E25" w:rsidRPr="00B9035E">
        <w:rPr>
          <w:rFonts w:ascii="Times New Roman" w:hAnsi="Times New Roman"/>
          <w:sz w:val="20"/>
          <w:szCs w:val="20"/>
        </w:rPr>
        <w:t xml:space="preserve">. Accordingly, the number of Fund Shares </w:t>
      </w:r>
      <w:r w:rsidR="00527E25">
        <w:rPr>
          <w:rFonts w:ascii="Times New Roman" w:hAnsi="Times New Roman"/>
          <w:sz w:val="20"/>
          <w:szCs w:val="20"/>
        </w:rPr>
        <w:t xml:space="preserve">in issue and </w:t>
      </w:r>
      <w:r w:rsidR="00527E25" w:rsidRPr="00B9035E">
        <w:rPr>
          <w:rFonts w:ascii="Times New Roman" w:hAnsi="Times New Roman"/>
          <w:sz w:val="20"/>
          <w:szCs w:val="20"/>
        </w:rPr>
        <w:t xml:space="preserve">with voting rights </w:t>
      </w:r>
      <w:r w:rsidR="00527E25">
        <w:rPr>
          <w:rFonts w:ascii="Times New Roman" w:hAnsi="Times New Roman"/>
          <w:sz w:val="20"/>
          <w:szCs w:val="20"/>
        </w:rPr>
        <w:t xml:space="preserve">attached </w:t>
      </w:r>
      <w:r w:rsidR="00527E25" w:rsidRPr="00B9035E">
        <w:rPr>
          <w:rFonts w:ascii="Times New Roman" w:hAnsi="Times New Roman"/>
          <w:sz w:val="20"/>
          <w:szCs w:val="20"/>
        </w:rPr>
        <w:t>is currently 10</w:t>
      </w:r>
      <w:r w:rsidR="00B329DA">
        <w:rPr>
          <w:rFonts w:ascii="Times New Roman" w:hAnsi="Times New Roman"/>
          <w:sz w:val="20"/>
          <w:szCs w:val="20"/>
        </w:rPr>
        <w:t>6</w:t>
      </w:r>
      <w:r w:rsidR="003D2940">
        <w:rPr>
          <w:rFonts w:ascii="Times New Roman" w:hAnsi="Times New Roman"/>
          <w:sz w:val="20"/>
          <w:szCs w:val="20"/>
        </w:rPr>
        <w:t>,</w:t>
      </w:r>
      <w:r w:rsidR="00D56474">
        <w:rPr>
          <w:rFonts w:ascii="Times New Roman" w:hAnsi="Times New Roman"/>
          <w:sz w:val="20"/>
          <w:szCs w:val="20"/>
        </w:rPr>
        <w:t>4</w:t>
      </w:r>
      <w:r w:rsidR="00B329DA">
        <w:rPr>
          <w:rFonts w:ascii="Times New Roman" w:hAnsi="Times New Roman"/>
          <w:sz w:val="20"/>
          <w:szCs w:val="20"/>
        </w:rPr>
        <w:t>87</w:t>
      </w:r>
      <w:r w:rsidR="00527E25" w:rsidRPr="00B9035E">
        <w:rPr>
          <w:rFonts w:ascii="Times New Roman" w:hAnsi="Times New Roman"/>
          <w:sz w:val="20"/>
          <w:szCs w:val="20"/>
        </w:rPr>
        <w:t>,</w:t>
      </w:r>
      <w:r w:rsidR="000620E4">
        <w:rPr>
          <w:rFonts w:ascii="Times New Roman" w:hAnsi="Times New Roman"/>
          <w:sz w:val="20"/>
          <w:szCs w:val="20"/>
        </w:rPr>
        <w:t>250</w:t>
      </w:r>
      <w:r w:rsidR="00B14322">
        <w:rPr>
          <w:rFonts w:ascii="Times New Roman" w:hAnsi="Times New Roman"/>
          <w:sz w:val="20"/>
          <w:szCs w:val="20"/>
        </w:rPr>
        <w:t xml:space="preserve"> </w:t>
      </w:r>
      <w:r w:rsidR="00BB783A">
        <w:rPr>
          <w:rFonts w:ascii="Times New Roman" w:hAnsi="Times New Roman"/>
          <w:sz w:val="20"/>
          <w:szCs w:val="20"/>
        </w:rPr>
        <w:t xml:space="preserve">(2017: </w:t>
      </w:r>
      <w:r w:rsidR="00BB783A" w:rsidRPr="00B9035E">
        <w:rPr>
          <w:rFonts w:ascii="Times New Roman" w:hAnsi="Times New Roman"/>
          <w:sz w:val="20"/>
          <w:szCs w:val="20"/>
        </w:rPr>
        <w:t>10</w:t>
      </w:r>
      <w:r w:rsidR="00BB783A">
        <w:rPr>
          <w:rFonts w:ascii="Times New Roman" w:hAnsi="Times New Roman"/>
          <w:sz w:val="20"/>
          <w:szCs w:val="20"/>
        </w:rPr>
        <w:t>6,487</w:t>
      </w:r>
      <w:r w:rsidR="00BB783A" w:rsidRPr="00B9035E">
        <w:rPr>
          <w:rFonts w:ascii="Times New Roman" w:hAnsi="Times New Roman"/>
          <w:sz w:val="20"/>
          <w:szCs w:val="20"/>
        </w:rPr>
        <w:t>,</w:t>
      </w:r>
      <w:r w:rsidR="00BB783A">
        <w:rPr>
          <w:rFonts w:ascii="Times New Roman" w:hAnsi="Times New Roman"/>
          <w:sz w:val="20"/>
          <w:szCs w:val="20"/>
        </w:rPr>
        <w:t xml:space="preserve">250) </w:t>
      </w:r>
      <w:r w:rsidR="00B14322">
        <w:rPr>
          <w:rFonts w:ascii="Times New Roman" w:hAnsi="Times New Roman"/>
          <w:sz w:val="20"/>
          <w:szCs w:val="20"/>
        </w:rPr>
        <w:t>and this figure may be used by shareholders as the denominator for calculations by which they will determine if they are required to notify their interest in, or a change to their interest in, the Company under FCA’s Disclosure Guidance and Transparency Rules.</w:t>
      </w:r>
      <w:r w:rsidR="00695B2D">
        <w:rPr>
          <w:rFonts w:ascii="Times New Roman" w:hAnsi="Times New Roman"/>
          <w:sz w:val="20"/>
          <w:szCs w:val="20"/>
        </w:rPr>
        <w:t xml:space="preserve">  </w:t>
      </w:r>
    </w:p>
    <w:p w:rsidR="009C09B6" w:rsidRPr="009170B8" w:rsidRDefault="009C09B6" w:rsidP="009C09B6">
      <w:pPr>
        <w:autoSpaceDE w:val="0"/>
        <w:autoSpaceDN w:val="0"/>
        <w:adjustRightInd w:val="0"/>
        <w:jc w:val="both"/>
        <w:rPr>
          <w:rFonts w:ascii="Times New Roman" w:hAnsi="Times New Roman"/>
          <w:sz w:val="20"/>
          <w:szCs w:val="20"/>
        </w:rPr>
      </w:pPr>
    </w:p>
    <w:p w:rsidR="0007188C" w:rsidRPr="00B13363" w:rsidRDefault="00E75016" w:rsidP="00B13363">
      <w:pPr>
        <w:pStyle w:val="Heading7"/>
        <w:jc w:val="left"/>
        <w:rPr>
          <w:rFonts w:ascii="Times New Roman" w:hAnsi="Times New Roman"/>
          <w:bCs w:val="0"/>
          <w:sz w:val="20"/>
          <w:szCs w:val="20"/>
        </w:rPr>
      </w:pPr>
      <w:r w:rsidRPr="009170B8">
        <w:rPr>
          <w:rFonts w:ascii="Times New Roman" w:hAnsi="Times New Roman"/>
          <w:bCs w:val="0"/>
          <w:sz w:val="20"/>
          <w:szCs w:val="20"/>
        </w:rPr>
        <w:t xml:space="preserve">Further issues of </w:t>
      </w:r>
      <w:r w:rsidR="00102569" w:rsidRPr="009170B8">
        <w:rPr>
          <w:rFonts w:ascii="Times New Roman" w:hAnsi="Times New Roman"/>
          <w:bCs w:val="0"/>
          <w:sz w:val="20"/>
          <w:szCs w:val="20"/>
        </w:rPr>
        <w:t xml:space="preserve">Fund </w:t>
      </w:r>
      <w:r w:rsidRPr="009170B8">
        <w:rPr>
          <w:rFonts w:ascii="Times New Roman" w:hAnsi="Times New Roman"/>
          <w:bCs w:val="0"/>
          <w:sz w:val="20"/>
          <w:szCs w:val="20"/>
        </w:rPr>
        <w:t>Shares</w:t>
      </w:r>
    </w:p>
    <w:p w:rsidR="00335CE9" w:rsidRPr="009170B8" w:rsidRDefault="00335CE9" w:rsidP="00335CE9">
      <w:pPr>
        <w:autoSpaceDE w:val="0"/>
        <w:autoSpaceDN w:val="0"/>
        <w:adjustRightInd w:val="0"/>
        <w:jc w:val="both"/>
        <w:rPr>
          <w:rFonts w:ascii="Times New Roman" w:eastAsia="Calibri" w:hAnsi="Times New Roman"/>
          <w:sz w:val="20"/>
          <w:szCs w:val="20"/>
          <w:lang w:eastAsia="en-GB"/>
        </w:rPr>
      </w:pPr>
      <w:r>
        <w:rPr>
          <w:rFonts w:ascii="Times New Roman" w:eastAsia="Calibri" w:hAnsi="Times New Roman"/>
          <w:sz w:val="20"/>
          <w:szCs w:val="20"/>
          <w:lang w:eastAsia="en-GB"/>
        </w:rPr>
        <w:t xml:space="preserve">The Fund’s Articles of Association provide the </w:t>
      </w:r>
      <w:r w:rsidR="00232BF1">
        <w:rPr>
          <w:rFonts w:ascii="Times New Roman" w:eastAsia="Calibri" w:hAnsi="Times New Roman"/>
          <w:sz w:val="20"/>
          <w:szCs w:val="20"/>
          <w:lang w:eastAsia="en-GB"/>
        </w:rPr>
        <w:t xml:space="preserve">Board of directors </w:t>
      </w:r>
      <w:r>
        <w:rPr>
          <w:rFonts w:ascii="Times New Roman" w:eastAsia="Calibri" w:hAnsi="Times New Roman"/>
          <w:sz w:val="20"/>
          <w:szCs w:val="20"/>
          <w:lang w:eastAsia="en-GB"/>
        </w:rPr>
        <w:t xml:space="preserve">with </w:t>
      </w:r>
      <w:r w:rsidR="007A7C6B">
        <w:rPr>
          <w:rFonts w:ascii="Times New Roman" w:eastAsia="Calibri" w:hAnsi="Times New Roman"/>
          <w:sz w:val="20"/>
          <w:szCs w:val="20"/>
          <w:lang w:eastAsia="en-GB"/>
        </w:rPr>
        <w:t xml:space="preserve">authority </w:t>
      </w:r>
      <w:r>
        <w:rPr>
          <w:rFonts w:ascii="Times New Roman" w:eastAsia="Calibri" w:hAnsi="Times New Roman"/>
          <w:sz w:val="20"/>
          <w:szCs w:val="20"/>
          <w:lang w:eastAsia="en-GB"/>
        </w:rPr>
        <w:t>to issue further Fund Shares without seeking shareholders’ approval</w:t>
      </w:r>
      <w:r w:rsidR="007A7C6B">
        <w:rPr>
          <w:rFonts w:ascii="Times New Roman" w:eastAsia="Calibri" w:hAnsi="Times New Roman"/>
          <w:sz w:val="20"/>
          <w:szCs w:val="20"/>
          <w:lang w:eastAsia="en-GB"/>
        </w:rPr>
        <w:t xml:space="preserve"> although, u</w:t>
      </w:r>
      <w:r>
        <w:rPr>
          <w:rFonts w:ascii="Times New Roman" w:eastAsia="Calibri" w:hAnsi="Times New Roman"/>
          <w:sz w:val="20"/>
          <w:szCs w:val="20"/>
          <w:lang w:eastAsia="en-GB"/>
        </w:rPr>
        <w:t xml:space="preserve">nless otherwise authorised by shareholders, </w:t>
      </w:r>
      <w:r w:rsidR="007A7C6B">
        <w:rPr>
          <w:rFonts w:ascii="Times New Roman" w:eastAsia="Calibri" w:hAnsi="Times New Roman"/>
          <w:sz w:val="20"/>
          <w:szCs w:val="20"/>
          <w:lang w:eastAsia="en-GB"/>
        </w:rPr>
        <w:t xml:space="preserve">such </w:t>
      </w:r>
      <w:r>
        <w:rPr>
          <w:rFonts w:ascii="Times New Roman" w:eastAsia="Calibri" w:hAnsi="Times New Roman"/>
          <w:sz w:val="20"/>
          <w:szCs w:val="20"/>
          <w:lang w:eastAsia="en-GB"/>
        </w:rPr>
        <w:t xml:space="preserve">Fund Shares must be issued on a pre-emptive basis.  </w:t>
      </w:r>
      <w:r w:rsidRPr="00B9035E">
        <w:rPr>
          <w:rFonts w:ascii="Times New Roman" w:eastAsia="Calibri" w:hAnsi="Times New Roman"/>
          <w:sz w:val="20"/>
          <w:szCs w:val="20"/>
          <w:lang w:eastAsia="en-GB"/>
        </w:rPr>
        <w:t xml:space="preserve">However, at the </w:t>
      </w:r>
      <w:r w:rsidR="007A7C6B">
        <w:rPr>
          <w:rFonts w:ascii="Times New Roman" w:eastAsia="Calibri" w:hAnsi="Times New Roman"/>
          <w:sz w:val="20"/>
          <w:szCs w:val="20"/>
          <w:lang w:eastAsia="en-GB"/>
        </w:rPr>
        <w:t>Cell A</w:t>
      </w:r>
      <w:r w:rsidR="007A7C6B" w:rsidRPr="00B9035E">
        <w:rPr>
          <w:rFonts w:ascii="Times New Roman" w:eastAsia="Calibri" w:hAnsi="Times New Roman"/>
          <w:sz w:val="20"/>
          <w:szCs w:val="20"/>
          <w:lang w:eastAsia="en-GB"/>
        </w:rPr>
        <w:t xml:space="preserve">nnual </w:t>
      </w:r>
      <w:r w:rsidR="007A7C6B">
        <w:rPr>
          <w:rFonts w:ascii="Times New Roman" w:eastAsia="Calibri" w:hAnsi="Times New Roman"/>
          <w:sz w:val="20"/>
          <w:szCs w:val="20"/>
          <w:lang w:eastAsia="en-GB"/>
        </w:rPr>
        <w:t>G</w:t>
      </w:r>
      <w:r w:rsidR="007A7C6B" w:rsidRPr="00B9035E">
        <w:rPr>
          <w:rFonts w:ascii="Times New Roman" w:eastAsia="Calibri" w:hAnsi="Times New Roman"/>
          <w:sz w:val="20"/>
          <w:szCs w:val="20"/>
          <w:lang w:eastAsia="en-GB"/>
        </w:rPr>
        <w:t xml:space="preserve">eneral </w:t>
      </w:r>
      <w:r w:rsidR="007A7C6B">
        <w:rPr>
          <w:rFonts w:ascii="Times New Roman" w:eastAsia="Calibri" w:hAnsi="Times New Roman"/>
          <w:sz w:val="20"/>
          <w:szCs w:val="20"/>
          <w:lang w:eastAsia="en-GB"/>
        </w:rPr>
        <w:t>M</w:t>
      </w:r>
      <w:r w:rsidR="007A7C6B" w:rsidRPr="00B9035E">
        <w:rPr>
          <w:rFonts w:ascii="Times New Roman" w:eastAsia="Calibri" w:hAnsi="Times New Roman"/>
          <w:sz w:val="20"/>
          <w:szCs w:val="20"/>
          <w:lang w:eastAsia="en-GB"/>
        </w:rPr>
        <w:t xml:space="preserve">eeting </w:t>
      </w:r>
      <w:r w:rsidR="007A7C6B">
        <w:rPr>
          <w:rFonts w:ascii="Times New Roman" w:eastAsia="Calibri" w:hAnsi="Times New Roman"/>
          <w:sz w:val="20"/>
          <w:szCs w:val="20"/>
          <w:lang w:eastAsia="en-GB"/>
        </w:rPr>
        <w:t xml:space="preserve">(the “Cell AGM”) </w:t>
      </w:r>
      <w:r w:rsidRPr="00B9035E">
        <w:rPr>
          <w:rFonts w:ascii="Times New Roman" w:eastAsia="Calibri" w:hAnsi="Times New Roman"/>
          <w:sz w:val="20"/>
          <w:szCs w:val="20"/>
          <w:lang w:eastAsia="en-GB"/>
        </w:rPr>
        <w:t xml:space="preserve">held on </w:t>
      </w:r>
      <w:r w:rsidR="00C10BEA">
        <w:rPr>
          <w:rFonts w:ascii="Times New Roman" w:eastAsia="Calibri" w:hAnsi="Times New Roman"/>
          <w:sz w:val="20"/>
          <w:szCs w:val="20"/>
          <w:lang w:eastAsia="en-GB"/>
        </w:rPr>
        <w:t>14</w:t>
      </w:r>
      <w:r w:rsidR="00012E3E" w:rsidRPr="00B9035E">
        <w:rPr>
          <w:rFonts w:ascii="Times New Roman" w:eastAsia="Calibri" w:hAnsi="Times New Roman"/>
          <w:sz w:val="20"/>
          <w:szCs w:val="20"/>
          <w:lang w:eastAsia="en-GB"/>
        </w:rPr>
        <w:t xml:space="preserve"> </w:t>
      </w:r>
      <w:r w:rsidR="00C10BEA">
        <w:rPr>
          <w:rFonts w:ascii="Times New Roman" w:eastAsia="Calibri" w:hAnsi="Times New Roman"/>
          <w:sz w:val="20"/>
          <w:szCs w:val="20"/>
          <w:lang w:eastAsia="en-GB"/>
        </w:rPr>
        <w:t>June</w:t>
      </w:r>
      <w:r w:rsidR="00012E3E" w:rsidRPr="00B9035E">
        <w:rPr>
          <w:rFonts w:ascii="Times New Roman" w:eastAsia="Calibri" w:hAnsi="Times New Roman"/>
          <w:sz w:val="20"/>
          <w:szCs w:val="20"/>
          <w:lang w:eastAsia="en-GB"/>
        </w:rPr>
        <w:t xml:space="preserve"> 201</w:t>
      </w:r>
      <w:r w:rsidR="00C10BEA">
        <w:rPr>
          <w:rFonts w:ascii="Times New Roman" w:eastAsia="Calibri" w:hAnsi="Times New Roman"/>
          <w:sz w:val="20"/>
          <w:szCs w:val="20"/>
          <w:lang w:eastAsia="en-GB"/>
        </w:rPr>
        <w:t>8</w:t>
      </w:r>
      <w:r w:rsidRPr="00B9035E">
        <w:rPr>
          <w:rFonts w:ascii="Times New Roman" w:eastAsia="Calibri" w:hAnsi="Times New Roman"/>
          <w:sz w:val="20"/>
          <w:szCs w:val="20"/>
          <w:lang w:eastAsia="en-GB"/>
        </w:rPr>
        <w:t xml:space="preserve">, the Fund’s shareholders authorised the issue or sale out of treasury of Fund Shares representing up to 10 per cent. of </w:t>
      </w:r>
      <w:r w:rsidR="007A7C6B">
        <w:rPr>
          <w:rFonts w:ascii="Times New Roman" w:eastAsia="Calibri" w:hAnsi="Times New Roman"/>
          <w:sz w:val="20"/>
          <w:szCs w:val="20"/>
          <w:lang w:eastAsia="en-GB"/>
        </w:rPr>
        <w:t>the Fund’s</w:t>
      </w:r>
      <w:r w:rsidR="007A7C6B" w:rsidRPr="00B9035E">
        <w:rPr>
          <w:rFonts w:ascii="Times New Roman" w:eastAsia="Calibri" w:hAnsi="Times New Roman"/>
          <w:sz w:val="20"/>
          <w:szCs w:val="20"/>
          <w:lang w:eastAsia="en-GB"/>
        </w:rPr>
        <w:t xml:space="preserve"> </w:t>
      </w:r>
      <w:r w:rsidRPr="00B9035E">
        <w:rPr>
          <w:rFonts w:ascii="Times New Roman" w:eastAsia="Calibri" w:hAnsi="Times New Roman"/>
          <w:sz w:val="20"/>
          <w:szCs w:val="20"/>
          <w:lang w:eastAsia="en-GB"/>
        </w:rPr>
        <w:t xml:space="preserve">issued share capital </w:t>
      </w:r>
      <w:r w:rsidR="007A7C6B">
        <w:rPr>
          <w:rFonts w:ascii="Times New Roman" w:eastAsia="Calibri" w:hAnsi="Times New Roman"/>
          <w:sz w:val="20"/>
          <w:szCs w:val="20"/>
          <w:lang w:eastAsia="en-GB"/>
        </w:rPr>
        <w:t>as at the date of the Cell AGM</w:t>
      </w:r>
      <w:r w:rsidR="00871823">
        <w:rPr>
          <w:rFonts w:ascii="Times New Roman" w:eastAsia="Calibri" w:hAnsi="Times New Roman"/>
          <w:sz w:val="20"/>
          <w:szCs w:val="20"/>
          <w:lang w:eastAsia="en-GB"/>
        </w:rPr>
        <w:t xml:space="preserve"> on a non-pre-emptive basis</w:t>
      </w:r>
      <w:r w:rsidR="007A7C6B">
        <w:rPr>
          <w:rFonts w:ascii="Times New Roman" w:eastAsia="Calibri" w:hAnsi="Times New Roman"/>
          <w:sz w:val="20"/>
          <w:szCs w:val="20"/>
          <w:lang w:eastAsia="en-GB"/>
        </w:rPr>
        <w:t xml:space="preserve">.  Such issues or sales will only be effected </w:t>
      </w:r>
      <w:r w:rsidRPr="00B9035E">
        <w:rPr>
          <w:rFonts w:ascii="Times New Roman" w:eastAsia="Calibri" w:hAnsi="Times New Roman"/>
          <w:sz w:val="20"/>
          <w:szCs w:val="20"/>
          <w:lang w:eastAsia="en-GB"/>
        </w:rPr>
        <w:t xml:space="preserve">in the event of investor demand which </w:t>
      </w:r>
      <w:r w:rsidR="00232BF1">
        <w:rPr>
          <w:rFonts w:ascii="Times New Roman" w:eastAsia="Calibri" w:hAnsi="Times New Roman"/>
          <w:sz w:val="20"/>
          <w:szCs w:val="20"/>
          <w:lang w:eastAsia="en-GB"/>
        </w:rPr>
        <w:t>cannot</w:t>
      </w:r>
      <w:r w:rsidRPr="00B9035E">
        <w:rPr>
          <w:rFonts w:ascii="Times New Roman" w:eastAsia="Calibri" w:hAnsi="Times New Roman"/>
          <w:sz w:val="20"/>
          <w:szCs w:val="20"/>
          <w:lang w:eastAsia="en-GB"/>
        </w:rPr>
        <w:t xml:space="preserve"> be met through the market</w:t>
      </w:r>
      <w:r w:rsidR="007A7C6B">
        <w:rPr>
          <w:rFonts w:ascii="Times New Roman" w:eastAsia="Calibri" w:hAnsi="Times New Roman"/>
          <w:sz w:val="20"/>
          <w:szCs w:val="20"/>
          <w:lang w:eastAsia="en-GB"/>
        </w:rPr>
        <w:t xml:space="preserve"> and will </w:t>
      </w:r>
      <w:r w:rsidRPr="00B9035E">
        <w:rPr>
          <w:rFonts w:ascii="Times New Roman" w:eastAsia="Calibri" w:hAnsi="Times New Roman"/>
          <w:sz w:val="20"/>
          <w:szCs w:val="20"/>
          <w:lang w:eastAsia="en-GB"/>
        </w:rPr>
        <w:t>only be conducted at a price equal to or above the prevailing NAV</w:t>
      </w:r>
      <w:r w:rsidRPr="00BB5BFC">
        <w:rPr>
          <w:rFonts w:ascii="Times New Roman" w:eastAsia="Calibri" w:hAnsi="Times New Roman"/>
          <w:sz w:val="20"/>
          <w:szCs w:val="20"/>
          <w:lang w:eastAsia="en-GB"/>
        </w:rPr>
        <w:t>.</w:t>
      </w:r>
    </w:p>
    <w:p w:rsidR="00335CE9" w:rsidRPr="009170B8" w:rsidRDefault="00335CE9" w:rsidP="00335CE9">
      <w:pPr>
        <w:autoSpaceDE w:val="0"/>
        <w:autoSpaceDN w:val="0"/>
        <w:adjustRightInd w:val="0"/>
        <w:jc w:val="both"/>
        <w:rPr>
          <w:rFonts w:ascii="Times New Roman" w:eastAsia="Calibri" w:hAnsi="Times New Roman"/>
          <w:sz w:val="20"/>
          <w:szCs w:val="20"/>
          <w:lang w:eastAsia="en-GB"/>
        </w:rPr>
      </w:pPr>
    </w:p>
    <w:p w:rsidR="00F875CA" w:rsidRPr="001B619B" w:rsidRDefault="00335CE9" w:rsidP="00232BF1">
      <w:pPr>
        <w:autoSpaceDE w:val="0"/>
        <w:autoSpaceDN w:val="0"/>
        <w:adjustRightInd w:val="0"/>
        <w:jc w:val="both"/>
        <w:rPr>
          <w:rFonts w:ascii="Times New Roman" w:eastAsia="Calibri" w:hAnsi="Times New Roman"/>
          <w:bCs/>
          <w:sz w:val="20"/>
          <w:szCs w:val="20"/>
          <w:lang w:eastAsia="en-GB"/>
        </w:rPr>
      </w:pPr>
      <w:r w:rsidRPr="00C93018">
        <w:rPr>
          <w:rFonts w:ascii="Times New Roman" w:eastAsia="Calibri" w:hAnsi="Times New Roman"/>
          <w:bCs/>
          <w:sz w:val="20"/>
          <w:szCs w:val="20"/>
          <w:lang w:eastAsia="en-GB"/>
        </w:rPr>
        <w:t xml:space="preserve">The aforementioned authority expires on the earlier of 30 September </w:t>
      </w:r>
      <w:r w:rsidR="00012E3E" w:rsidRPr="00C93018">
        <w:rPr>
          <w:rFonts w:ascii="Times New Roman" w:eastAsia="Calibri" w:hAnsi="Times New Roman"/>
          <w:bCs/>
          <w:sz w:val="20"/>
          <w:szCs w:val="20"/>
          <w:lang w:eastAsia="en-GB"/>
        </w:rPr>
        <w:t>201</w:t>
      </w:r>
      <w:r w:rsidR="00C10BEA">
        <w:rPr>
          <w:rFonts w:ascii="Times New Roman" w:eastAsia="Calibri" w:hAnsi="Times New Roman"/>
          <w:bCs/>
          <w:sz w:val="20"/>
          <w:szCs w:val="20"/>
          <w:lang w:eastAsia="en-GB"/>
        </w:rPr>
        <w:t>9</w:t>
      </w:r>
      <w:r w:rsidRPr="00C93018">
        <w:rPr>
          <w:rFonts w:ascii="Times New Roman" w:eastAsia="Calibri" w:hAnsi="Times New Roman"/>
          <w:bCs/>
          <w:sz w:val="20"/>
          <w:szCs w:val="20"/>
          <w:lang w:eastAsia="en-GB"/>
        </w:rPr>
        <w:t xml:space="preserve"> or the conclusion of the </w:t>
      </w:r>
      <w:r w:rsidR="00232BF1" w:rsidRPr="00C93018">
        <w:rPr>
          <w:rFonts w:ascii="Times New Roman" w:eastAsia="Calibri" w:hAnsi="Times New Roman"/>
          <w:bCs/>
          <w:sz w:val="20"/>
          <w:szCs w:val="20"/>
          <w:lang w:eastAsia="en-GB"/>
        </w:rPr>
        <w:t xml:space="preserve">next Cell </w:t>
      </w:r>
      <w:r w:rsidRPr="00C93018">
        <w:rPr>
          <w:rFonts w:ascii="Times New Roman" w:eastAsia="Calibri" w:hAnsi="Times New Roman"/>
          <w:bCs/>
          <w:sz w:val="20"/>
          <w:szCs w:val="20"/>
          <w:lang w:eastAsia="en-GB"/>
        </w:rPr>
        <w:t xml:space="preserve">AGM. </w:t>
      </w:r>
      <w:r w:rsidR="00232BF1" w:rsidRPr="00C93018">
        <w:rPr>
          <w:rFonts w:ascii="Times New Roman" w:eastAsia="Calibri" w:hAnsi="Times New Roman"/>
          <w:bCs/>
          <w:sz w:val="20"/>
          <w:szCs w:val="20"/>
          <w:lang w:eastAsia="en-GB"/>
        </w:rPr>
        <w:t>At the next Cell AGM, the notice of which is included at the end of this annual financial report, the Board will be seeking renewal of their authority to issue or sell out of treasury additional Fund Shares and to make market acquisitions of Fund Shares.  If the proposed special resolutions are approved, such authorit</w:t>
      </w:r>
      <w:r w:rsidR="00B14322">
        <w:rPr>
          <w:rFonts w:ascii="Times New Roman" w:eastAsia="Calibri" w:hAnsi="Times New Roman"/>
          <w:bCs/>
          <w:sz w:val="20"/>
          <w:szCs w:val="20"/>
          <w:lang w:eastAsia="en-GB"/>
        </w:rPr>
        <w:t>ies</w:t>
      </w:r>
      <w:r w:rsidR="00232BF1" w:rsidRPr="00C93018">
        <w:rPr>
          <w:rFonts w:ascii="Times New Roman" w:eastAsia="Calibri" w:hAnsi="Times New Roman"/>
          <w:bCs/>
          <w:sz w:val="20"/>
          <w:szCs w:val="20"/>
          <w:lang w:eastAsia="en-GB"/>
        </w:rPr>
        <w:t xml:space="preserve"> will remain valid until the earlier of 30 September 20</w:t>
      </w:r>
      <w:r w:rsidR="00C10BEA">
        <w:rPr>
          <w:rFonts w:ascii="Times New Roman" w:eastAsia="Calibri" w:hAnsi="Times New Roman"/>
          <w:bCs/>
          <w:sz w:val="20"/>
          <w:szCs w:val="20"/>
          <w:lang w:eastAsia="en-GB"/>
        </w:rPr>
        <w:t>20</w:t>
      </w:r>
      <w:r w:rsidR="00232BF1" w:rsidRPr="00C93018">
        <w:rPr>
          <w:rFonts w:ascii="Times New Roman" w:eastAsia="Calibri" w:hAnsi="Times New Roman"/>
          <w:bCs/>
          <w:sz w:val="20"/>
          <w:szCs w:val="20"/>
          <w:lang w:eastAsia="en-GB"/>
        </w:rPr>
        <w:t xml:space="preserve"> or the conclusion of the </w:t>
      </w:r>
      <w:r w:rsidR="00DB4EED">
        <w:rPr>
          <w:rFonts w:ascii="Times New Roman" w:eastAsia="Calibri" w:hAnsi="Times New Roman"/>
          <w:bCs/>
          <w:sz w:val="20"/>
          <w:szCs w:val="20"/>
          <w:lang w:eastAsia="en-GB"/>
        </w:rPr>
        <w:t>following</w:t>
      </w:r>
      <w:r w:rsidR="00232BF1" w:rsidRPr="00C93018">
        <w:rPr>
          <w:rFonts w:ascii="Times New Roman" w:eastAsia="Calibri" w:hAnsi="Times New Roman"/>
          <w:bCs/>
          <w:sz w:val="20"/>
          <w:szCs w:val="20"/>
          <w:lang w:eastAsia="en-GB"/>
        </w:rPr>
        <w:t xml:space="preserve"> Cell AGM.</w:t>
      </w:r>
      <w:r w:rsidR="00232BF1" w:rsidRPr="001B619B">
        <w:rPr>
          <w:rFonts w:ascii="Times New Roman" w:eastAsia="Calibri" w:hAnsi="Times New Roman"/>
          <w:bCs/>
          <w:sz w:val="20"/>
          <w:szCs w:val="20"/>
          <w:lang w:eastAsia="en-GB"/>
        </w:rPr>
        <w:t xml:space="preserve">  </w:t>
      </w:r>
    </w:p>
    <w:p w:rsidR="00F875CA" w:rsidRDefault="00F875CA" w:rsidP="00232BF1">
      <w:pPr>
        <w:autoSpaceDE w:val="0"/>
        <w:autoSpaceDN w:val="0"/>
        <w:adjustRightInd w:val="0"/>
        <w:jc w:val="both"/>
        <w:rPr>
          <w:rFonts w:ascii="Times New Roman" w:eastAsia="Calibri" w:hAnsi="Times New Roman"/>
          <w:bCs/>
          <w:sz w:val="20"/>
          <w:szCs w:val="20"/>
          <w:lang w:eastAsia="en-GB"/>
        </w:rPr>
      </w:pPr>
    </w:p>
    <w:p w:rsidR="00F875CA" w:rsidRPr="009170B8" w:rsidRDefault="00232BF1" w:rsidP="00F875CA">
      <w:pPr>
        <w:autoSpaceDE w:val="0"/>
        <w:autoSpaceDN w:val="0"/>
        <w:adjustRightInd w:val="0"/>
        <w:jc w:val="both"/>
        <w:rPr>
          <w:rFonts w:ascii="Times New Roman" w:hAnsi="Times New Roman"/>
          <w:color w:val="000000"/>
          <w:sz w:val="20"/>
          <w:szCs w:val="20"/>
        </w:rPr>
      </w:pPr>
      <w:r>
        <w:rPr>
          <w:rFonts w:ascii="Times New Roman" w:eastAsia="Calibri" w:hAnsi="Times New Roman"/>
          <w:bCs/>
          <w:sz w:val="20"/>
          <w:szCs w:val="20"/>
          <w:lang w:eastAsia="en-GB"/>
        </w:rPr>
        <w:t xml:space="preserve">The full text of the proposed special resolutions is included in the </w:t>
      </w:r>
      <w:r>
        <w:rPr>
          <w:rFonts w:ascii="Times New Roman" w:hAnsi="Times New Roman"/>
          <w:sz w:val="20"/>
          <w:szCs w:val="20"/>
        </w:rPr>
        <w:t>notice of the Cell AGM.</w:t>
      </w:r>
      <w:r w:rsidR="00F875CA">
        <w:rPr>
          <w:rFonts w:ascii="Times New Roman" w:hAnsi="Times New Roman"/>
          <w:sz w:val="20"/>
          <w:szCs w:val="20"/>
        </w:rPr>
        <w:t xml:space="preserve">  </w:t>
      </w:r>
      <w:r w:rsidR="00F875CA" w:rsidRPr="00BB5BFC">
        <w:rPr>
          <w:rFonts w:ascii="Times New Roman" w:eastAsia="Calibri" w:hAnsi="Times New Roman"/>
          <w:bCs/>
          <w:sz w:val="20"/>
          <w:szCs w:val="20"/>
          <w:lang w:eastAsia="en-GB"/>
        </w:rPr>
        <w:t xml:space="preserve">The Board considers that each of the proposed </w:t>
      </w:r>
      <w:r w:rsidR="00F875CA">
        <w:rPr>
          <w:rFonts w:ascii="Times New Roman" w:eastAsia="Calibri" w:hAnsi="Times New Roman"/>
          <w:bCs/>
          <w:sz w:val="20"/>
          <w:szCs w:val="20"/>
          <w:lang w:eastAsia="en-GB"/>
        </w:rPr>
        <w:t xml:space="preserve">special </w:t>
      </w:r>
      <w:r w:rsidR="00F875CA" w:rsidRPr="00BB5BFC">
        <w:rPr>
          <w:rFonts w:ascii="Times New Roman" w:eastAsia="Calibri" w:hAnsi="Times New Roman"/>
          <w:bCs/>
          <w:sz w:val="20"/>
          <w:szCs w:val="20"/>
          <w:lang w:eastAsia="en-GB"/>
        </w:rPr>
        <w:t>resolutions is in the interests of the Company, the Fund and its shareholders as a whole.  The authority to issue additional shares</w:t>
      </w:r>
      <w:r w:rsidR="00F875CA" w:rsidRPr="009170B8">
        <w:rPr>
          <w:rFonts w:ascii="Times New Roman" w:eastAsia="Calibri" w:hAnsi="Times New Roman"/>
          <w:bCs/>
          <w:sz w:val="20"/>
          <w:szCs w:val="20"/>
          <w:lang w:eastAsia="en-GB"/>
        </w:rPr>
        <w:t xml:space="preserve"> or sell shares out of treasury</w:t>
      </w:r>
      <w:r w:rsidR="00F875CA" w:rsidRPr="00BB5BFC">
        <w:rPr>
          <w:rFonts w:ascii="Times New Roman" w:eastAsia="Calibri" w:hAnsi="Times New Roman"/>
          <w:bCs/>
          <w:sz w:val="20"/>
          <w:szCs w:val="20"/>
          <w:lang w:eastAsia="en-GB"/>
        </w:rPr>
        <w:t xml:space="preserve"> will permit the directors to grow the Company, thereby reducing the total expense ratio, as costs will be spread across a larger number of issued shares, and will also enable further diversification of the Company’s portfolio.  Accordingly, the directors unanimously recommend that you vote in favour of the proposed </w:t>
      </w:r>
      <w:r w:rsidR="00F875CA">
        <w:rPr>
          <w:rFonts w:ascii="Times New Roman" w:eastAsia="Calibri" w:hAnsi="Times New Roman"/>
          <w:bCs/>
          <w:sz w:val="20"/>
          <w:szCs w:val="20"/>
          <w:lang w:eastAsia="en-GB"/>
        </w:rPr>
        <w:t xml:space="preserve">special </w:t>
      </w:r>
      <w:r w:rsidR="00F875CA" w:rsidRPr="00BB5BFC">
        <w:rPr>
          <w:rFonts w:ascii="Times New Roman" w:eastAsia="Calibri" w:hAnsi="Times New Roman"/>
          <w:bCs/>
          <w:sz w:val="20"/>
          <w:szCs w:val="20"/>
          <w:lang w:eastAsia="en-GB"/>
        </w:rPr>
        <w:t>resolutions, as they intend to do in respect of their own beneficial holdings</w:t>
      </w:r>
      <w:r w:rsidR="00F875CA" w:rsidRPr="009170B8">
        <w:rPr>
          <w:rFonts w:ascii="Times New Roman" w:hAnsi="Times New Roman"/>
          <w:color w:val="000000"/>
          <w:sz w:val="20"/>
          <w:szCs w:val="20"/>
        </w:rPr>
        <w:t>.</w:t>
      </w:r>
    </w:p>
    <w:p w:rsidR="00BA22D4" w:rsidRDefault="00BA22D4" w:rsidP="00BA22D4">
      <w:pPr>
        <w:pStyle w:val="Heading2"/>
        <w:tabs>
          <w:tab w:val="right" w:pos="8222"/>
        </w:tabs>
        <w:rPr>
          <w:rFonts w:ascii="Times New Roman" w:hAnsi="Times New Roman"/>
        </w:rPr>
      </w:pPr>
      <w:r w:rsidRPr="009170B8">
        <w:rPr>
          <w:rFonts w:ascii="Times New Roman" w:hAnsi="Times New Roman"/>
        </w:rPr>
        <w:t>Directors’ Report (continued)</w:t>
      </w:r>
    </w:p>
    <w:p w:rsidR="00BA22D4" w:rsidRDefault="00BA22D4">
      <w:pPr>
        <w:rPr>
          <w:rFonts w:ascii="Times New Roman" w:hAnsi="Times New Roman"/>
          <w:color w:val="000000"/>
          <w:sz w:val="20"/>
          <w:szCs w:val="20"/>
        </w:rPr>
      </w:pPr>
    </w:p>
    <w:p w:rsidR="000E7D08" w:rsidRPr="008E7530" w:rsidRDefault="000E7D08" w:rsidP="000E7D08">
      <w:pPr>
        <w:rPr>
          <w:rFonts w:ascii="Times New Roman" w:hAnsi="Times New Roman"/>
          <w:b/>
          <w:color w:val="000000"/>
          <w:sz w:val="20"/>
          <w:szCs w:val="20"/>
        </w:rPr>
      </w:pPr>
      <w:r w:rsidRPr="008E7530">
        <w:rPr>
          <w:rFonts w:ascii="Times New Roman" w:hAnsi="Times New Roman"/>
          <w:b/>
          <w:color w:val="000000"/>
          <w:sz w:val="20"/>
          <w:szCs w:val="20"/>
        </w:rPr>
        <w:t>Future Trends</w:t>
      </w:r>
    </w:p>
    <w:p w:rsidR="000E7D08" w:rsidRDefault="000E7D08" w:rsidP="00F9062B">
      <w:pPr>
        <w:jc w:val="both"/>
        <w:rPr>
          <w:rFonts w:ascii="Times New Roman" w:hAnsi="Times New Roman"/>
          <w:color w:val="000000"/>
          <w:sz w:val="20"/>
          <w:szCs w:val="20"/>
        </w:rPr>
      </w:pPr>
      <w:r w:rsidRPr="008E7530">
        <w:rPr>
          <w:rFonts w:ascii="Times New Roman" w:hAnsi="Times New Roman"/>
          <w:color w:val="000000"/>
          <w:sz w:val="20"/>
          <w:szCs w:val="20"/>
        </w:rPr>
        <w:t xml:space="preserve">Details of the main trends and factors likely to affect the future development, performance and position of the Company’s business can be found in the Investment Managers’ Report on pages </w:t>
      </w:r>
      <w:r w:rsidR="00000F1B">
        <w:rPr>
          <w:rFonts w:ascii="Times New Roman" w:hAnsi="Times New Roman"/>
          <w:color w:val="000000"/>
          <w:sz w:val="20"/>
          <w:szCs w:val="20"/>
        </w:rPr>
        <w:t>7</w:t>
      </w:r>
      <w:r w:rsidRPr="008E7530">
        <w:rPr>
          <w:rFonts w:ascii="Times New Roman" w:hAnsi="Times New Roman"/>
          <w:color w:val="000000"/>
          <w:sz w:val="20"/>
          <w:szCs w:val="20"/>
        </w:rPr>
        <w:t xml:space="preserve"> to </w:t>
      </w:r>
      <w:r w:rsidR="00000F1B">
        <w:rPr>
          <w:rFonts w:ascii="Times New Roman" w:hAnsi="Times New Roman"/>
          <w:color w:val="000000"/>
          <w:sz w:val="20"/>
          <w:szCs w:val="20"/>
        </w:rPr>
        <w:t>9</w:t>
      </w:r>
      <w:r w:rsidRPr="008E7530">
        <w:rPr>
          <w:rFonts w:ascii="Times New Roman" w:hAnsi="Times New Roman"/>
          <w:color w:val="000000"/>
          <w:sz w:val="20"/>
          <w:szCs w:val="20"/>
        </w:rPr>
        <w:t>.  Further details as to the risks affecting the Company are set out on page</w:t>
      </w:r>
      <w:r w:rsidR="008E7530">
        <w:rPr>
          <w:rFonts w:ascii="Times New Roman" w:hAnsi="Times New Roman"/>
          <w:color w:val="000000"/>
          <w:sz w:val="20"/>
          <w:szCs w:val="20"/>
        </w:rPr>
        <w:t>s</w:t>
      </w:r>
      <w:r w:rsidRPr="008E7530">
        <w:rPr>
          <w:rFonts w:ascii="Times New Roman" w:hAnsi="Times New Roman"/>
          <w:color w:val="000000"/>
          <w:sz w:val="20"/>
          <w:szCs w:val="20"/>
        </w:rPr>
        <w:t xml:space="preserve"> 1</w:t>
      </w:r>
      <w:r w:rsidR="00000F1B">
        <w:rPr>
          <w:rFonts w:ascii="Times New Roman" w:hAnsi="Times New Roman"/>
          <w:color w:val="000000"/>
          <w:sz w:val="20"/>
          <w:szCs w:val="20"/>
        </w:rPr>
        <w:t>5</w:t>
      </w:r>
      <w:r w:rsidR="008E7530">
        <w:rPr>
          <w:rFonts w:ascii="Times New Roman" w:hAnsi="Times New Roman"/>
          <w:color w:val="000000"/>
          <w:sz w:val="20"/>
          <w:szCs w:val="20"/>
        </w:rPr>
        <w:t xml:space="preserve"> </w:t>
      </w:r>
      <w:r w:rsidR="008D28E4">
        <w:rPr>
          <w:rFonts w:ascii="Times New Roman" w:hAnsi="Times New Roman"/>
          <w:color w:val="000000"/>
          <w:sz w:val="20"/>
          <w:szCs w:val="20"/>
        </w:rPr>
        <w:t>to</w:t>
      </w:r>
      <w:r w:rsidR="008E7530">
        <w:rPr>
          <w:rFonts w:ascii="Times New Roman" w:hAnsi="Times New Roman"/>
          <w:color w:val="000000"/>
          <w:sz w:val="20"/>
          <w:szCs w:val="20"/>
        </w:rPr>
        <w:t xml:space="preserve"> 1</w:t>
      </w:r>
      <w:r w:rsidR="00000F1B">
        <w:rPr>
          <w:rFonts w:ascii="Times New Roman" w:hAnsi="Times New Roman"/>
          <w:color w:val="000000"/>
          <w:sz w:val="20"/>
          <w:szCs w:val="20"/>
        </w:rPr>
        <w:t>6</w:t>
      </w:r>
      <w:r w:rsidRPr="008E7530">
        <w:rPr>
          <w:rFonts w:ascii="Times New Roman" w:hAnsi="Times New Roman"/>
          <w:color w:val="000000"/>
          <w:sz w:val="20"/>
          <w:szCs w:val="20"/>
        </w:rPr>
        <w:t>.</w:t>
      </w:r>
    </w:p>
    <w:p w:rsidR="00335CE9" w:rsidRDefault="00335CE9" w:rsidP="00335CE9">
      <w:pPr>
        <w:pStyle w:val="Heading2"/>
        <w:tabs>
          <w:tab w:val="right" w:pos="8222"/>
        </w:tabs>
        <w:rPr>
          <w:rFonts w:ascii="Times New Roman" w:hAnsi="Times New Roman"/>
        </w:rPr>
      </w:pPr>
    </w:p>
    <w:p w:rsidR="00E75016" w:rsidRPr="009170B8" w:rsidRDefault="00E75016" w:rsidP="00E75016">
      <w:pPr>
        <w:pStyle w:val="Heading4"/>
        <w:rPr>
          <w:rFonts w:ascii="Times New Roman" w:hAnsi="Times New Roman"/>
        </w:rPr>
      </w:pPr>
      <w:bookmarkStart w:id="13" w:name="OLE_LINK18"/>
      <w:bookmarkStart w:id="14" w:name="OLE_LINK19"/>
      <w:bookmarkStart w:id="15" w:name="OLE_LINK42"/>
      <w:r w:rsidRPr="00EC04F9">
        <w:rPr>
          <w:rFonts w:ascii="Times New Roman" w:hAnsi="Times New Roman"/>
        </w:rPr>
        <w:t>Substantial shareholding in the Fund</w:t>
      </w:r>
    </w:p>
    <w:p w:rsidR="00514A54" w:rsidRPr="00D54AA3" w:rsidRDefault="00514A54" w:rsidP="00F9062B">
      <w:pPr>
        <w:jc w:val="both"/>
        <w:rPr>
          <w:rFonts w:ascii="Times New Roman" w:eastAsia="Calibri" w:hAnsi="Times New Roman"/>
          <w:sz w:val="20"/>
          <w:szCs w:val="20"/>
          <w:lang w:eastAsia="en-GB"/>
        </w:rPr>
      </w:pPr>
      <w:r w:rsidRPr="00D54AA3">
        <w:rPr>
          <w:rFonts w:ascii="Times New Roman" w:eastAsia="Calibri" w:hAnsi="Times New Roman"/>
          <w:sz w:val="20"/>
          <w:szCs w:val="20"/>
          <w:lang w:eastAsia="en-GB"/>
        </w:rPr>
        <w:t xml:space="preserve">As at the year end and as at </w:t>
      </w:r>
      <w:r w:rsidR="00F10A32">
        <w:rPr>
          <w:rFonts w:ascii="Times New Roman" w:eastAsia="Calibri" w:hAnsi="Times New Roman"/>
          <w:sz w:val="20"/>
          <w:szCs w:val="20"/>
          <w:lang w:eastAsia="en-GB"/>
        </w:rPr>
        <w:t>31</w:t>
      </w:r>
      <w:r w:rsidRPr="00D54AA3">
        <w:rPr>
          <w:rFonts w:ascii="Times New Roman" w:eastAsia="Calibri" w:hAnsi="Times New Roman"/>
          <w:sz w:val="20"/>
          <w:szCs w:val="20"/>
          <w:lang w:eastAsia="en-GB"/>
        </w:rPr>
        <w:t xml:space="preserve"> March 201</w:t>
      </w:r>
      <w:r w:rsidR="00C10BEA">
        <w:rPr>
          <w:rFonts w:ascii="Times New Roman" w:eastAsia="Calibri" w:hAnsi="Times New Roman"/>
          <w:sz w:val="20"/>
          <w:szCs w:val="20"/>
          <w:lang w:eastAsia="en-GB"/>
        </w:rPr>
        <w:t>9</w:t>
      </w:r>
      <w:r>
        <w:rPr>
          <w:rFonts w:ascii="Times New Roman" w:eastAsia="Calibri" w:hAnsi="Times New Roman"/>
          <w:sz w:val="20"/>
          <w:szCs w:val="20"/>
          <w:lang w:eastAsia="en-GB"/>
        </w:rPr>
        <w:t>,</w:t>
      </w:r>
      <w:r w:rsidRPr="00D54AA3">
        <w:rPr>
          <w:rFonts w:ascii="Times New Roman" w:eastAsia="Calibri" w:hAnsi="Times New Roman"/>
          <w:sz w:val="20"/>
          <w:szCs w:val="20"/>
          <w:lang w:eastAsia="en-GB"/>
        </w:rPr>
        <w:t xml:space="preserve"> being the most recent practicable date prior to the publication of this </w:t>
      </w:r>
      <w:r>
        <w:rPr>
          <w:rFonts w:ascii="Times New Roman" w:eastAsia="Calibri" w:hAnsi="Times New Roman"/>
          <w:sz w:val="20"/>
          <w:szCs w:val="20"/>
          <w:lang w:eastAsia="en-GB"/>
        </w:rPr>
        <w:t xml:space="preserve">annual financial </w:t>
      </w:r>
      <w:r w:rsidRPr="00D54AA3">
        <w:rPr>
          <w:rFonts w:ascii="Times New Roman" w:eastAsia="Calibri" w:hAnsi="Times New Roman"/>
          <w:sz w:val="20"/>
          <w:szCs w:val="20"/>
          <w:lang w:eastAsia="en-GB"/>
        </w:rPr>
        <w:t xml:space="preserve">report, the </w:t>
      </w:r>
      <w:r w:rsidR="00762429">
        <w:rPr>
          <w:rFonts w:ascii="Times New Roman" w:eastAsia="Calibri" w:hAnsi="Times New Roman"/>
          <w:sz w:val="20"/>
          <w:szCs w:val="20"/>
          <w:lang w:eastAsia="en-GB"/>
        </w:rPr>
        <w:t>below</w:t>
      </w:r>
      <w:r w:rsidR="00762429" w:rsidRPr="00D54AA3">
        <w:rPr>
          <w:rFonts w:ascii="Times New Roman" w:eastAsia="Calibri" w:hAnsi="Times New Roman"/>
          <w:sz w:val="20"/>
          <w:szCs w:val="20"/>
          <w:lang w:eastAsia="en-GB"/>
        </w:rPr>
        <w:t xml:space="preserve"> </w:t>
      </w:r>
      <w:r w:rsidRPr="00D54AA3">
        <w:rPr>
          <w:rFonts w:ascii="Times New Roman" w:eastAsia="Calibri" w:hAnsi="Times New Roman"/>
          <w:sz w:val="20"/>
          <w:szCs w:val="20"/>
          <w:lang w:eastAsia="en-GB"/>
        </w:rPr>
        <w:t>shareholders were recorded on the Company’s share register as holding 5 per cent. or more of the Fund’s issued share capital with voting rights attached or had otherwise notified the Company of such notifiable interests.</w:t>
      </w:r>
    </w:p>
    <w:p w:rsidR="001146A2" w:rsidRPr="000620E4" w:rsidRDefault="001146A2" w:rsidP="00E75016">
      <w:pPr>
        <w:pStyle w:val="BodyText"/>
        <w:rPr>
          <w:rFonts w:ascii="Times New Roman" w:hAnsi="Times New Roman"/>
          <w:szCs w:val="20"/>
        </w:rPr>
      </w:pPr>
    </w:p>
    <w:tbl>
      <w:tblPr>
        <w:tblW w:w="10456" w:type="dxa"/>
        <w:tblLook w:val="0000" w:firstRow="0" w:lastRow="0" w:firstColumn="0" w:lastColumn="0" w:noHBand="0" w:noVBand="0"/>
      </w:tblPr>
      <w:tblGrid>
        <w:gridCol w:w="2802"/>
        <w:gridCol w:w="2551"/>
        <w:gridCol w:w="2552"/>
        <w:gridCol w:w="2551"/>
      </w:tblGrid>
      <w:tr w:rsidR="00E15ADE" w:rsidRPr="009170B8" w:rsidTr="007E7402">
        <w:tc>
          <w:tcPr>
            <w:tcW w:w="2802" w:type="dxa"/>
            <w:vAlign w:val="bottom"/>
          </w:tcPr>
          <w:p w:rsidR="00D54AA3" w:rsidRPr="000620E4" w:rsidRDefault="00D54AA3" w:rsidP="00CA1FC3">
            <w:pPr>
              <w:pStyle w:val="BodyText"/>
              <w:jc w:val="left"/>
              <w:rPr>
                <w:rFonts w:ascii="Times New Roman" w:hAnsi="Times New Roman"/>
                <w:b/>
                <w:bCs/>
              </w:rPr>
            </w:pPr>
            <w:r w:rsidRPr="000620E4">
              <w:rPr>
                <w:rFonts w:ascii="Times New Roman" w:hAnsi="Times New Roman"/>
                <w:b/>
                <w:bCs/>
              </w:rPr>
              <w:t>Name</w:t>
            </w:r>
          </w:p>
        </w:tc>
        <w:tc>
          <w:tcPr>
            <w:tcW w:w="2551" w:type="dxa"/>
          </w:tcPr>
          <w:p w:rsidR="00D54AA3" w:rsidRDefault="00D54AA3" w:rsidP="00E75016">
            <w:pPr>
              <w:pStyle w:val="BodyText"/>
              <w:jc w:val="right"/>
              <w:rPr>
                <w:rFonts w:ascii="Times New Roman" w:hAnsi="Times New Roman"/>
                <w:b/>
                <w:bCs/>
              </w:rPr>
            </w:pPr>
            <w:r w:rsidRPr="000620E4">
              <w:rPr>
                <w:rFonts w:ascii="Times New Roman" w:hAnsi="Times New Roman"/>
                <w:b/>
                <w:bCs/>
              </w:rPr>
              <w:t>Redeemable Participating Preference Shares</w:t>
            </w:r>
          </w:p>
          <w:p w:rsidR="00D54AA3" w:rsidRPr="000620E4" w:rsidRDefault="00D54AA3">
            <w:pPr>
              <w:pStyle w:val="BodyText"/>
              <w:jc w:val="right"/>
              <w:rPr>
                <w:rFonts w:ascii="Times New Roman" w:hAnsi="Times New Roman"/>
                <w:b/>
                <w:bCs/>
              </w:rPr>
            </w:pPr>
            <w:r>
              <w:rPr>
                <w:rFonts w:ascii="Times New Roman" w:hAnsi="Times New Roman"/>
                <w:b/>
                <w:bCs/>
              </w:rPr>
              <w:t>31 December 201</w:t>
            </w:r>
            <w:r w:rsidR="002F7CE4">
              <w:rPr>
                <w:rFonts w:ascii="Times New Roman" w:hAnsi="Times New Roman"/>
                <w:b/>
                <w:bCs/>
              </w:rPr>
              <w:t>8</w:t>
            </w:r>
          </w:p>
        </w:tc>
        <w:tc>
          <w:tcPr>
            <w:tcW w:w="2552" w:type="dxa"/>
          </w:tcPr>
          <w:p w:rsidR="00BC574D" w:rsidRDefault="00BC574D" w:rsidP="00BC574D">
            <w:pPr>
              <w:pStyle w:val="BodyText"/>
              <w:jc w:val="right"/>
              <w:rPr>
                <w:rFonts w:ascii="Times New Roman" w:hAnsi="Times New Roman"/>
                <w:b/>
                <w:bCs/>
              </w:rPr>
            </w:pPr>
            <w:r w:rsidRPr="000620E4">
              <w:rPr>
                <w:rFonts w:ascii="Times New Roman" w:hAnsi="Times New Roman"/>
                <w:b/>
                <w:bCs/>
              </w:rPr>
              <w:t>Redeemable Participating Preference Shares</w:t>
            </w:r>
          </w:p>
          <w:p w:rsidR="00D54AA3" w:rsidRPr="009170B8" w:rsidRDefault="00BC574D">
            <w:pPr>
              <w:pStyle w:val="BodyText"/>
              <w:jc w:val="right"/>
              <w:rPr>
                <w:rFonts w:ascii="Times New Roman" w:hAnsi="Times New Roman"/>
                <w:b/>
                <w:bCs/>
              </w:rPr>
            </w:pPr>
            <w:r>
              <w:rPr>
                <w:rFonts w:ascii="Times New Roman" w:hAnsi="Times New Roman"/>
                <w:b/>
                <w:bCs/>
              </w:rPr>
              <w:t>31 December 201</w:t>
            </w:r>
            <w:r w:rsidR="002F5A09">
              <w:rPr>
                <w:rFonts w:ascii="Times New Roman" w:hAnsi="Times New Roman"/>
                <w:b/>
                <w:bCs/>
              </w:rPr>
              <w:t>8</w:t>
            </w:r>
          </w:p>
        </w:tc>
        <w:tc>
          <w:tcPr>
            <w:tcW w:w="2551" w:type="dxa"/>
          </w:tcPr>
          <w:p w:rsidR="00D54AA3" w:rsidRPr="00C87A19" w:rsidRDefault="00D54AA3">
            <w:pPr>
              <w:pStyle w:val="BodyText"/>
              <w:jc w:val="right"/>
              <w:rPr>
                <w:rFonts w:ascii="Times New Roman" w:hAnsi="Times New Roman"/>
                <w:b/>
                <w:bCs/>
              </w:rPr>
            </w:pPr>
            <w:r w:rsidRPr="00C87A19">
              <w:rPr>
                <w:rFonts w:ascii="Times New Roman" w:hAnsi="Times New Roman"/>
                <w:b/>
                <w:bCs/>
              </w:rPr>
              <w:t>Redeemable</w:t>
            </w:r>
            <w:r w:rsidR="00BC574D" w:rsidRPr="00C87A19">
              <w:rPr>
                <w:rFonts w:ascii="Times New Roman" w:hAnsi="Times New Roman"/>
                <w:b/>
                <w:bCs/>
              </w:rPr>
              <w:t xml:space="preserve"> </w:t>
            </w:r>
            <w:r w:rsidRPr="00C87A19">
              <w:rPr>
                <w:rFonts w:ascii="Times New Roman" w:hAnsi="Times New Roman"/>
                <w:b/>
                <w:bCs/>
              </w:rPr>
              <w:t>Participating Preference Shares</w:t>
            </w:r>
          </w:p>
          <w:p w:rsidR="00D54AA3" w:rsidRPr="00C87A19" w:rsidRDefault="00F6073E" w:rsidP="00AD47CC">
            <w:pPr>
              <w:pStyle w:val="BodyText"/>
              <w:jc w:val="right"/>
              <w:rPr>
                <w:rFonts w:ascii="Times New Roman" w:hAnsi="Times New Roman"/>
                <w:b/>
                <w:bCs/>
              </w:rPr>
            </w:pPr>
            <w:r>
              <w:rPr>
                <w:rFonts w:ascii="Times New Roman" w:hAnsi="Times New Roman"/>
                <w:b/>
                <w:bCs/>
              </w:rPr>
              <w:t>31</w:t>
            </w:r>
            <w:r w:rsidRPr="00171C7E">
              <w:rPr>
                <w:rFonts w:ascii="Times New Roman" w:hAnsi="Times New Roman"/>
                <w:b/>
                <w:bCs/>
              </w:rPr>
              <w:t xml:space="preserve"> </w:t>
            </w:r>
            <w:r w:rsidR="00D54AA3" w:rsidRPr="00171C7E">
              <w:rPr>
                <w:rFonts w:ascii="Times New Roman" w:hAnsi="Times New Roman"/>
                <w:b/>
                <w:bCs/>
              </w:rPr>
              <w:t>March 201</w:t>
            </w:r>
            <w:r w:rsidR="002F7CE4">
              <w:rPr>
                <w:rFonts w:ascii="Times New Roman" w:hAnsi="Times New Roman"/>
                <w:b/>
                <w:bCs/>
              </w:rPr>
              <w:t>9</w:t>
            </w:r>
          </w:p>
        </w:tc>
      </w:tr>
      <w:tr w:rsidR="00BC574D" w:rsidRPr="009170B8" w:rsidTr="007E7402">
        <w:tc>
          <w:tcPr>
            <w:tcW w:w="2802" w:type="dxa"/>
          </w:tcPr>
          <w:p w:rsidR="00D54AA3" w:rsidRPr="009170B8" w:rsidRDefault="00D54AA3" w:rsidP="00E75016">
            <w:pPr>
              <w:pStyle w:val="BodyText"/>
              <w:rPr>
                <w:rFonts w:ascii="Times New Roman" w:hAnsi="Times New Roman"/>
              </w:rPr>
            </w:pPr>
          </w:p>
        </w:tc>
        <w:tc>
          <w:tcPr>
            <w:tcW w:w="2551" w:type="dxa"/>
          </w:tcPr>
          <w:p w:rsidR="00D54AA3" w:rsidRPr="009170B8" w:rsidRDefault="00D54AA3" w:rsidP="00E75016">
            <w:pPr>
              <w:pStyle w:val="BodyText"/>
              <w:jc w:val="right"/>
              <w:rPr>
                <w:rFonts w:ascii="Times New Roman" w:hAnsi="Times New Roman"/>
                <w:b/>
              </w:rPr>
            </w:pPr>
            <w:r>
              <w:rPr>
                <w:rFonts w:ascii="Times New Roman" w:hAnsi="Times New Roman"/>
                <w:b/>
              </w:rPr>
              <w:t>Number of Shares</w:t>
            </w:r>
          </w:p>
        </w:tc>
        <w:tc>
          <w:tcPr>
            <w:tcW w:w="2552" w:type="dxa"/>
          </w:tcPr>
          <w:p w:rsidR="00D54AA3" w:rsidRPr="009170B8" w:rsidRDefault="00D54AA3" w:rsidP="009C210C">
            <w:pPr>
              <w:pStyle w:val="BodyText"/>
              <w:jc w:val="right"/>
              <w:rPr>
                <w:rFonts w:ascii="Times New Roman" w:hAnsi="Times New Roman"/>
                <w:b/>
              </w:rPr>
            </w:pPr>
            <w:r w:rsidRPr="009170B8">
              <w:rPr>
                <w:rFonts w:ascii="Times New Roman" w:hAnsi="Times New Roman"/>
                <w:b/>
              </w:rPr>
              <w:t>% of Shares in issue</w:t>
            </w:r>
          </w:p>
        </w:tc>
        <w:tc>
          <w:tcPr>
            <w:tcW w:w="2551" w:type="dxa"/>
          </w:tcPr>
          <w:p w:rsidR="00D54AA3" w:rsidRPr="00C87A19" w:rsidRDefault="00D54AA3" w:rsidP="003B01CA">
            <w:pPr>
              <w:pStyle w:val="BodyText"/>
              <w:jc w:val="right"/>
              <w:rPr>
                <w:rFonts w:ascii="Times New Roman" w:hAnsi="Times New Roman"/>
                <w:b/>
              </w:rPr>
            </w:pPr>
            <w:r w:rsidRPr="00C87A19">
              <w:rPr>
                <w:rFonts w:ascii="Times New Roman" w:hAnsi="Times New Roman"/>
                <w:b/>
              </w:rPr>
              <w:t>Number of Shares</w:t>
            </w:r>
          </w:p>
        </w:tc>
      </w:tr>
      <w:tr w:rsidR="002F7CE4" w:rsidRPr="00702118" w:rsidTr="007E7402">
        <w:trPr>
          <w:trHeight w:val="239"/>
        </w:trPr>
        <w:tc>
          <w:tcPr>
            <w:tcW w:w="2802" w:type="dxa"/>
            <w:vAlign w:val="bottom"/>
          </w:tcPr>
          <w:p w:rsidR="002F7CE4" w:rsidRPr="00D54AA3" w:rsidRDefault="002F7CE4" w:rsidP="00A454FC">
            <w:pPr>
              <w:autoSpaceDE w:val="0"/>
              <w:autoSpaceDN w:val="0"/>
              <w:adjustRightInd w:val="0"/>
              <w:jc w:val="both"/>
              <w:rPr>
                <w:rFonts w:ascii="Times New Roman" w:eastAsia="Calibri" w:hAnsi="Times New Roman"/>
                <w:sz w:val="20"/>
                <w:szCs w:val="20"/>
                <w:lang w:eastAsia="en-GB"/>
              </w:rPr>
            </w:pPr>
            <w:bookmarkStart w:id="16" w:name="_Hlk510623785"/>
            <w:bookmarkStart w:id="17" w:name="_Hlk536804612"/>
            <w:r w:rsidRPr="00D54AA3">
              <w:rPr>
                <w:rFonts w:ascii="Times New Roman" w:eastAsia="Calibri" w:hAnsi="Times New Roman"/>
                <w:sz w:val="20"/>
                <w:szCs w:val="20"/>
                <w:lang w:eastAsia="en-GB"/>
              </w:rPr>
              <w:t>State Street Nominees Limited</w:t>
            </w:r>
          </w:p>
        </w:tc>
        <w:tc>
          <w:tcPr>
            <w:tcW w:w="2551" w:type="dxa"/>
            <w:vAlign w:val="bottom"/>
          </w:tcPr>
          <w:p w:rsidR="002F7CE4" w:rsidRPr="002D7247" w:rsidRDefault="002F7CE4">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14</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658</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730</w:t>
            </w:r>
          </w:p>
        </w:tc>
        <w:tc>
          <w:tcPr>
            <w:tcW w:w="2552" w:type="dxa"/>
            <w:vAlign w:val="bottom"/>
          </w:tcPr>
          <w:p w:rsidR="002F7CE4" w:rsidRPr="002D7247" w:rsidRDefault="002F7CE4">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13.7</w:t>
            </w:r>
            <w:r>
              <w:rPr>
                <w:rFonts w:ascii="Times New Roman" w:eastAsia="Calibri" w:hAnsi="Times New Roman"/>
                <w:sz w:val="20"/>
                <w:szCs w:val="20"/>
                <w:lang w:eastAsia="en-GB"/>
              </w:rPr>
              <w:t>7</w:t>
            </w:r>
            <w:r w:rsidRPr="00B74D7C">
              <w:rPr>
                <w:rFonts w:ascii="Times New Roman" w:eastAsia="Calibri" w:hAnsi="Times New Roman"/>
                <w:sz w:val="20"/>
                <w:szCs w:val="20"/>
                <w:lang w:eastAsia="en-GB"/>
              </w:rPr>
              <w:t>%</w:t>
            </w:r>
          </w:p>
        </w:tc>
        <w:tc>
          <w:tcPr>
            <w:tcW w:w="2551" w:type="dxa"/>
            <w:vAlign w:val="bottom"/>
          </w:tcPr>
          <w:p w:rsidR="002F7CE4" w:rsidRPr="00E54387" w:rsidRDefault="002F7CE4">
            <w:pPr>
              <w:autoSpaceDE w:val="0"/>
              <w:autoSpaceDN w:val="0"/>
              <w:adjustRightInd w:val="0"/>
              <w:jc w:val="right"/>
              <w:rPr>
                <w:rFonts w:ascii="Times New Roman" w:eastAsia="Calibri" w:hAnsi="Times New Roman"/>
                <w:sz w:val="20"/>
                <w:szCs w:val="20"/>
                <w:lang w:eastAsia="en-GB"/>
              </w:rPr>
            </w:pPr>
            <w:r w:rsidRPr="00E54387">
              <w:rPr>
                <w:rFonts w:ascii="Times New Roman" w:eastAsia="Calibri" w:hAnsi="Times New Roman"/>
                <w:sz w:val="20"/>
                <w:szCs w:val="20"/>
                <w:lang w:eastAsia="en-GB"/>
              </w:rPr>
              <w:t>14,658,</w:t>
            </w:r>
            <w:r w:rsidR="0094717C" w:rsidRPr="00E54387">
              <w:rPr>
                <w:rFonts w:ascii="Times New Roman" w:eastAsia="Calibri" w:hAnsi="Times New Roman"/>
                <w:sz w:val="20"/>
                <w:szCs w:val="20"/>
                <w:lang w:eastAsia="en-GB"/>
              </w:rPr>
              <w:t>495</w:t>
            </w:r>
          </w:p>
        </w:tc>
      </w:tr>
      <w:tr w:rsidR="002F7CE4" w:rsidRPr="00702118" w:rsidTr="007E7402">
        <w:tc>
          <w:tcPr>
            <w:tcW w:w="2802" w:type="dxa"/>
            <w:vAlign w:val="bottom"/>
          </w:tcPr>
          <w:p w:rsidR="002F7CE4" w:rsidRPr="00D54AA3" w:rsidRDefault="002F7CE4">
            <w:pPr>
              <w:autoSpaceDE w:val="0"/>
              <w:autoSpaceDN w:val="0"/>
              <w:adjustRightInd w:val="0"/>
              <w:jc w:val="both"/>
              <w:rPr>
                <w:rFonts w:ascii="Times New Roman" w:eastAsia="Calibri" w:hAnsi="Times New Roman"/>
                <w:sz w:val="20"/>
                <w:szCs w:val="20"/>
                <w:lang w:eastAsia="en-GB"/>
              </w:rPr>
            </w:pPr>
            <w:proofErr w:type="spellStart"/>
            <w:r>
              <w:rPr>
                <w:rFonts w:ascii="Times New Roman" w:eastAsia="Calibri" w:hAnsi="Times New Roman"/>
                <w:sz w:val="20"/>
                <w:szCs w:val="20"/>
                <w:lang w:eastAsia="en-GB"/>
              </w:rPr>
              <w:t>Nortrust</w:t>
            </w:r>
            <w:proofErr w:type="spellEnd"/>
            <w:r>
              <w:rPr>
                <w:rFonts w:ascii="Times New Roman" w:eastAsia="Calibri" w:hAnsi="Times New Roman"/>
                <w:sz w:val="20"/>
                <w:szCs w:val="20"/>
                <w:lang w:eastAsia="en-GB"/>
              </w:rPr>
              <w:t xml:space="preserve"> Nominees</w:t>
            </w:r>
          </w:p>
        </w:tc>
        <w:tc>
          <w:tcPr>
            <w:tcW w:w="2551" w:type="dxa"/>
            <w:vAlign w:val="bottom"/>
          </w:tcPr>
          <w:p w:rsidR="002F7CE4" w:rsidRPr="002D7247" w:rsidRDefault="002F7CE4">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13</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057</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749</w:t>
            </w:r>
          </w:p>
        </w:tc>
        <w:tc>
          <w:tcPr>
            <w:tcW w:w="2552" w:type="dxa"/>
            <w:vAlign w:val="bottom"/>
          </w:tcPr>
          <w:p w:rsidR="002F7CE4" w:rsidRPr="002D7247" w:rsidRDefault="002F7CE4">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12.26</w:t>
            </w:r>
            <w:r w:rsidRPr="00B74D7C">
              <w:rPr>
                <w:rFonts w:ascii="Times New Roman" w:eastAsia="Calibri" w:hAnsi="Times New Roman"/>
                <w:sz w:val="20"/>
                <w:szCs w:val="20"/>
                <w:lang w:eastAsia="en-GB"/>
              </w:rPr>
              <w:t>%</w:t>
            </w:r>
          </w:p>
        </w:tc>
        <w:tc>
          <w:tcPr>
            <w:tcW w:w="2551" w:type="dxa"/>
            <w:vAlign w:val="bottom"/>
          </w:tcPr>
          <w:p w:rsidR="002F7CE4" w:rsidRPr="00E54387" w:rsidRDefault="002F7CE4">
            <w:pPr>
              <w:autoSpaceDE w:val="0"/>
              <w:autoSpaceDN w:val="0"/>
              <w:adjustRightInd w:val="0"/>
              <w:jc w:val="right"/>
              <w:rPr>
                <w:rFonts w:ascii="Times New Roman" w:eastAsia="Calibri" w:hAnsi="Times New Roman"/>
                <w:sz w:val="20"/>
                <w:szCs w:val="20"/>
                <w:lang w:eastAsia="en-GB"/>
              </w:rPr>
            </w:pPr>
            <w:r w:rsidRPr="00E54387">
              <w:rPr>
                <w:rFonts w:ascii="Times New Roman" w:eastAsia="Calibri" w:hAnsi="Times New Roman"/>
                <w:sz w:val="20"/>
                <w:szCs w:val="20"/>
                <w:lang w:eastAsia="en-GB"/>
              </w:rPr>
              <w:t>13,</w:t>
            </w:r>
            <w:r w:rsidR="0094717C" w:rsidRPr="00E54387">
              <w:rPr>
                <w:rFonts w:ascii="Times New Roman" w:eastAsia="Calibri" w:hAnsi="Times New Roman"/>
                <w:sz w:val="20"/>
                <w:szCs w:val="20"/>
                <w:lang w:eastAsia="en-GB"/>
              </w:rPr>
              <w:t>460</w:t>
            </w:r>
            <w:r w:rsidRPr="00E54387">
              <w:rPr>
                <w:rFonts w:ascii="Times New Roman" w:eastAsia="Calibri" w:hAnsi="Times New Roman"/>
                <w:sz w:val="20"/>
                <w:szCs w:val="20"/>
                <w:lang w:eastAsia="en-GB"/>
              </w:rPr>
              <w:t>,</w:t>
            </w:r>
            <w:r w:rsidR="0094717C" w:rsidRPr="00E54387">
              <w:rPr>
                <w:rFonts w:ascii="Times New Roman" w:eastAsia="Calibri" w:hAnsi="Times New Roman"/>
                <w:sz w:val="20"/>
                <w:szCs w:val="20"/>
                <w:lang w:eastAsia="en-GB"/>
              </w:rPr>
              <w:t>962</w:t>
            </w:r>
          </w:p>
        </w:tc>
      </w:tr>
      <w:tr w:rsidR="002F7CE4" w:rsidRPr="00702118" w:rsidTr="007E7402">
        <w:tc>
          <w:tcPr>
            <w:tcW w:w="2802" w:type="dxa"/>
            <w:vAlign w:val="bottom"/>
          </w:tcPr>
          <w:p w:rsidR="002F7CE4" w:rsidRPr="00D54AA3" w:rsidRDefault="002F7CE4" w:rsidP="00B74D7C">
            <w:pPr>
              <w:autoSpaceDE w:val="0"/>
              <w:autoSpaceDN w:val="0"/>
              <w:adjustRightInd w:val="0"/>
              <w:rPr>
                <w:rFonts w:ascii="Times New Roman" w:eastAsia="Calibri" w:hAnsi="Times New Roman"/>
                <w:sz w:val="20"/>
                <w:szCs w:val="20"/>
                <w:lang w:eastAsia="en-GB"/>
              </w:rPr>
            </w:pPr>
            <w:r w:rsidRPr="00D54AA3">
              <w:rPr>
                <w:rFonts w:ascii="Times New Roman" w:eastAsia="Calibri" w:hAnsi="Times New Roman"/>
                <w:sz w:val="20"/>
                <w:szCs w:val="20"/>
                <w:lang w:eastAsia="en-GB"/>
              </w:rPr>
              <w:t>Brewin Nominees Limited</w:t>
            </w:r>
          </w:p>
        </w:tc>
        <w:tc>
          <w:tcPr>
            <w:tcW w:w="2551" w:type="dxa"/>
            <w:vAlign w:val="bottom"/>
          </w:tcPr>
          <w:p w:rsidR="002F7CE4" w:rsidRPr="00B74D7C" w:rsidRDefault="002F7CE4" w:rsidP="002D7247">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10</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429</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756</w:t>
            </w:r>
          </w:p>
        </w:tc>
        <w:tc>
          <w:tcPr>
            <w:tcW w:w="2552" w:type="dxa"/>
            <w:vAlign w:val="bottom"/>
          </w:tcPr>
          <w:p w:rsidR="002F7CE4" w:rsidRPr="00B74D7C" w:rsidRDefault="002F7CE4" w:rsidP="002D7247">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9.79</w:t>
            </w:r>
            <w:r w:rsidRPr="002D7247">
              <w:rPr>
                <w:rFonts w:ascii="Times New Roman" w:eastAsia="Calibri" w:hAnsi="Times New Roman"/>
                <w:sz w:val="20"/>
                <w:szCs w:val="20"/>
                <w:lang w:eastAsia="en-GB"/>
              </w:rPr>
              <w:t>%</w:t>
            </w:r>
          </w:p>
        </w:tc>
        <w:tc>
          <w:tcPr>
            <w:tcW w:w="2551" w:type="dxa"/>
            <w:vAlign w:val="bottom"/>
          </w:tcPr>
          <w:p w:rsidR="002F7CE4" w:rsidRPr="00E54387" w:rsidRDefault="00F6073E">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10,108,996</w:t>
            </w:r>
          </w:p>
        </w:tc>
      </w:tr>
      <w:tr w:rsidR="002F7CE4" w:rsidRPr="00702118" w:rsidTr="007E7402">
        <w:tc>
          <w:tcPr>
            <w:tcW w:w="2802" w:type="dxa"/>
            <w:vAlign w:val="bottom"/>
          </w:tcPr>
          <w:p w:rsidR="002F7CE4" w:rsidRDefault="002F7CE4" w:rsidP="00B74D7C">
            <w:pPr>
              <w:autoSpaceDE w:val="0"/>
              <w:autoSpaceDN w:val="0"/>
              <w:adjustRightInd w:val="0"/>
              <w:rPr>
                <w:rFonts w:ascii="Times New Roman" w:eastAsia="Calibri" w:hAnsi="Times New Roman"/>
                <w:sz w:val="20"/>
                <w:szCs w:val="20"/>
                <w:lang w:eastAsia="en-GB"/>
              </w:rPr>
            </w:pPr>
            <w:r w:rsidRPr="00D54AA3">
              <w:rPr>
                <w:rFonts w:ascii="Times New Roman" w:eastAsia="Calibri" w:hAnsi="Times New Roman"/>
                <w:sz w:val="20"/>
                <w:szCs w:val="20"/>
                <w:lang w:eastAsia="en-GB"/>
              </w:rPr>
              <w:t>Rock (Nominees) Limited</w:t>
            </w:r>
          </w:p>
        </w:tc>
        <w:tc>
          <w:tcPr>
            <w:tcW w:w="2551" w:type="dxa"/>
            <w:vAlign w:val="bottom"/>
          </w:tcPr>
          <w:p w:rsidR="002F7CE4" w:rsidRPr="002F7CE4" w:rsidRDefault="002F7CE4" w:rsidP="002D7247">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8</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431</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795</w:t>
            </w:r>
          </w:p>
        </w:tc>
        <w:tc>
          <w:tcPr>
            <w:tcW w:w="2552" w:type="dxa"/>
            <w:vAlign w:val="bottom"/>
          </w:tcPr>
          <w:p w:rsidR="002F7CE4" w:rsidRPr="002F7CE4" w:rsidRDefault="002F7CE4" w:rsidP="002D7247">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7.9</w:t>
            </w:r>
            <w:r>
              <w:rPr>
                <w:rFonts w:ascii="Times New Roman" w:eastAsia="Calibri" w:hAnsi="Times New Roman"/>
                <w:sz w:val="20"/>
                <w:szCs w:val="20"/>
                <w:lang w:eastAsia="en-GB"/>
              </w:rPr>
              <w:t>2</w:t>
            </w:r>
            <w:r w:rsidRPr="00B74D7C">
              <w:rPr>
                <w:rFonts w:ascii="Times New Roman" w:eastAsia="Calibri" w:hAnsi="Times New Roman"/>
                <w:sz w:val="20"/>
                <w:szCs w:val="20"/>
                <w:lang w:eastAsia="en-GB"/>
              </w:rPr>
              <w:t>%</w:t>
            </w:r>
          </w:p>
        </w:tc>
        <w:tc>
          <w:tcPr>
            <w:tcW w:w="2551" w:type="dxa"/>
            <w:vAlign w:val="bottom"/>
          </w:tcPr>
          <w:p w:rsidR="002F7CE4" w:rsidRPr="00E54387" w:rsidRDefault="00F6073E">
            <w:pPr>
              <w:autoSpaceDE w:val="0"/>
              <w:autoSpaceDN w:val="0"/>
              <w:adjustRightInd w:val="0"/>
              <w:jc w:val="right"/>
              <w:rPr>
                <w:rFonts w:ascii="Times New Roman" w:eastAsia="Calibri" w:hAnsi="Times New Roman"/>
                <w:sz w:val="20"/>
                <w:szCs w:val="20"/>
                <w:lang w:eastAsia="en-GB"/>
              </w:rPr>
            </w:pPr>
            <w:r>
              <w:rPr>
                <w:rFonts w:ascii="Times New Roman" w:eastAsia="Calibri" w:hAnsi="Times New Roman"/>
                <w:sz w:val="20"/>
                <w:szCs w:val="20"/>
                <w:lang w:eastAsia="en-GB"/>
              </w:rPr>
              <w:t>7,701,480</w:t>
            </w:r>
          </w:p>
        </w:tc>
      </w:tr>
      <w:tr w:rsidR="002F7CE4" w:rsidRPr="00702118" w:rsidTr="007E7402">
        <w:tc>
          <w:tcPr>
            <w:tcW w:w="2802" w:type="dxa"/>
            <w:vAlign w:val="bottom"/>
          </w:tcPr>
          <w:p w:rsidR="002F7CE4" w:rsidRDefault="002F7CE4" w:rsidP="00B74D7C">
            <w:pPr>
              <w:autoSpaceDE w:val="0"/>
              <w:autoSpaceDN w:val="0"/>
              <w:adjustRightInd w:val="0"/>
              <w:rPr>
                <w:rFonts w:ascii="Times New Roman" w:eastAsia="Calibri" w:hAnsi="Times New Roman"/>
                <w:sz w:val="20"/>
                <w:szCs w:val="20"/>
                <w:lang w:eastAsia="en-GB"/>
              </w:rPr>
            </w:pPr>
            <w:r>
              <w:rPr>
                <w:rFonts w:ascii="Times New Roman" w:eastAsia="Calibri" w:hAnsi="Times New Roman"/>
                <w:sz w:val="20"/>
                <w:szCs w:val="20"/>
                <w:lang w:eastAsia="en-GB"/>
              </w:rPr>
              <w:t>The Bank of New York Nominees</w:t>
            </w:r>
          </w:p>
        </w:tc>
        <w:tc>
          <w:tcPr>
            <w:tcW w:w="2551" w:type="dxa"/>
            <w:vAlign w:val="bottom"/>
          </w:tcPr>
          <w:p w:rsidR="002F7CE4" w:rsidRPr="002F7CE4" w:rsidRDefault="002F7CE4" w:rsidP="002D7247">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8</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170</w:t>
            </w:r>
            <w:r>
              <w:rPr>
                <w:rFonts w:ascii="Times New Roman" w:eastAsia="Calibri" w:hAnsi="Times New Roman"/>
                <w:sz w:val="20"/>
                <w:szCs w:val="20"/>
                <w:lang w:eastAsia="en-GB"/>
              </w:rPr>
              <w:t>,</w:t>
            </w:r>
            <w:r w:rsidRPr="002F7CE4">
              <w:rPr>
                <w:rFonts w:ascii="Times New Roman" w:eastAsia="Calibri" w:hAnsi="Times New Roman"/>
                <w:sz w:val="20"/>
                <w:szCs w:val="20"/>
                <w:lang w:eastAsia="en-GB"/>
              </w:rPr>
              <w:t>637</w:t>
            </w:r>
          </w:p>
        </w:tc>
        <w:tc>
          <w:tcPr>
            <w:tcW w:w="2552" w:type="dxa"/>
            <w:vAlign w:val="bottom"/>
          </w:tcPr>
          <w:p w:rsidR="002F7CE4" w:rsidRPr="002F7CE4" w:rsidRDefault="002F7CE4" w:rsidP="002D7247">
            <w:pPr>
              <w:autoSpaceDE w:val="0"/>
              <w:autoSpaceDN w:val="0"/>
              <w:adjustRightInd w:val="0"/>
              <w:jc w:val="right"/>
              <w:rPr>
                <w:rFonts w:ascii="Times New Roman" w:eastAsia="Calibri" w:hAnsi="Times New Roman"/>
                <w:sz w:val="20"/>
                <w:szCs w:val="20"/>
                <w:lang w:eastAsia="en-GB"/>
              </w:rPr>
            </w:pPr>
            <w:r w:rsidRPr="002F7CE4">
              <w:rPr>
                <w:rFonts w:ascii="Times New Roman" w:eastAsia="Calibri" w:hAnsi="Times New Roman"/>
                <w:sz w:val="20"/>
                <w:szCs w:val="20"/>
                <w:lang w:eastAsia="en-GB"/>
              </w:rPr>
              <w:t>7.67</w:t>
            </w:r>
            <w:r w:rsidRPr="00B74D7C">
              <w:rPr>
                <w:rFonts w:ascii="Times New Roman" w:eastAsia="Calibri" w:hAnsi="Times New Roman"/>
                <w:sz w:val="20"/>
                <w:szCs w:val="20"/>
                <w:lang w:eastAsia="en-GB"/>
              </w:rPr>
              <w:t>%</w:t>
            </w:r>
          </w:p>
        </w:tc>
        <w:tc>
          <w:tcPr>
            <w:tcW w:w="2551" w:type="dxa"/>
            <w:vAlign w:val="bottom"/>
          </w:tcPr>
          <w:p w:rsidR="002F7CE4" w:rsidRPr="00E54387" w:rsidRDefault="002F7CE4">
            <w:pPr>
              <w:autoSpaceDE w:val="0"/>
              <w:autoSpaceDN w:val="0"/>
              <w:adjustRightInd w:val="0"/>
              <w:jc w:val="right"/>
              <w:rPr>
                <w:rFonts w:ascii="Times New Roman" w:eastAsia="Calibri" w:hAnsi="Times New Roman"/>
                <w:sz w:val="20"/>
                <w:szCs w:val="20"/>
                <w:lang w:eastAsia="en-GB"/>
              </w:rPr>
            </w:pPr>
            <w:r w:rsidRPr="00E54387">
              <w:rPr>
                <w:rFonts w:ascii="Times New Roman" w:eastAsia="Calibri" w:hAnsi="Times New Roman"/>
                <w:sz w:val="20"/>
                <w:szCs w:val="20"/>
                <w:lang w:eastAsia="en-GB"/>
              </w:rPr>
              <w:t>8,</w:t>
            </w:r>
            <w:r w:rsidR="0094717C" w:rsidRPr="00E54387">
              <w:rPr>
                <w:rFonts w:ascii="Times New Roman" w:eastAsia="Calibri" w:hAnsi="Times New Roman"/>
                <w:sz w:val="20"/>
                <w:szCs w:val="20"/>
                <w:lang w:eastAsia="en-GB"/>
              </w:rPr>
              <w:t>272</w:t>
            </w:r>
            <w:r w:rsidRPr="00E54387">
              <w:rPr>
                <w:rFonts w:ascii="Times New Roman" w:eastAsia="Calibri" w:hAnsi="Times New Roman"/>
                <w:sz w:val="20"/>
                <w:szCs w:val="20"/>
                <w:lang w:eastAsia="en-GB"/>
              </w:rPr>
              <w:t>,</w:t>
            </w:r>
            <w:r w:rsidR="0094717C" w:rsidRPr="00E54387">
              <w:rPr>
                <w:rFonts w:ascii="Times New Roman" w:eastAsia="Calibri" w:hAnsi="Times New Roman"/>
                <w:sz w:val="20"/>
                <w:szCs w:val="20"/>
                <w:lang w:eastAsia="en-GB"/>
              </w:rPr>
              <w:t>484</w:t>
            </w:r>
          </w:p>
        </w:tc>
      </w:tr>
      <w:bookmarkEnd w:id="16"/>
      <w:bookmarkEnd w:id="17"/>
      <w:bookmarkEnd w:id="13"/>
      <w:bookmarkEnd w:id="14"/>
      <w:bookmarkEnd w:id="15"/>
    </w:tbl>
    <w:p w:rsidR="004C2C2A" w:rsidRPr="00A60442" w:rsidRDefault="004C2C2A" w:rsidP="00A60442">
      <w:pPr>
        <w:autoSpaceDE w:val="0"/>
        <w:autoSpaceDN w:val="0"/>
        <w:adjustRightInd w:val="0"/>
        <w:rPr>
          <w:rFonts w:ascii="Times New Roman" w:eastAsia="Calibri" w:hAnsi="Times New Roman"/>
          <w:sz w:val="20"/>
          <w:szCs w:val="20"/>
          <w:lang w:eastAsia="en-GB"/>
        </w:rPr>
      </w:pPr>
    </w:p>
    <w:p w:rsidR="00ED2329" w:rsidRPr="009170B8" w:rsidRDefault="00ED2329" w:rsidP="00ED2329">
      <w:pPr>
        <w:autoSpaceDE w:val="0"/>
        <w:autoSpaceDN w:val="0"/>
        <w:adjustRightInd w:val="0"/>
        <w:rPr>
          <w:rFonts w:ascii="Times New Roman" w:eastAsia="Calibri" w:hAnsi="Times New Roman"/>
          <w:b/>
          <w:sz w:val="20"/>
          <w:szCs w:val="20"/>
          <w:lang w:eastAsia="en-GB"/>
        </w:rPr>
      </w:pPr>
      <w:r w:rsidRPr="009170B8">
        <w:rPr>
          <w:rFonts w:ascii="Times New Roman" w:eastAsia="Calibri" w:hAnsi="Times New Roman"/>
          <w:b/>
          <w:sz w:val="20"/>
          <w:szCs w:val="20"/>
          <w:lang w:eastAsia="en-GB"/>
        </w:rPr>
        <w:t>Shareholder Relations</w:t>
      </w:r>
    </w:p>
    <w:p w:rsidR="00335CE9" w:rsidRPr="009170B8" w:rsidRDefault="00335CE9" w:rsidP="00335CE9">
      <w:pPr>
        <w:autoSpaceDE w:val="0"/>
        <w:autoSpaceDN w:val="0"/>
        <w:adjustRightInd w:val="0"/>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 xml:space="preserve">Shareholder relations are given a high priority by the Board, Investment Manager and Secretary. The primary medium through which the Company communicates with its shareholders is through the annual and half-yearly financial reports, which aim to provide shareholders with a full understanding of the Company’s activities and results. The information is supplemented by the daily publication of the NAV of the Fund Shares, monthly factsheets and information on the </w:t>
      </w:r>
      <w:r>
        <w:rPr>
          <w:rFonts w:ascii="Times New Roman" w:eastAsia="Calibri" w:hAnsi="Times New Roman"/>
          <w:sz w:val="20"/>
          <w:szCs w:val="20"/>
          <w:lang w:eastAsia="en-GB"/>
        </w:rPr>
        <w:t>Company</w:t>
      </w:r>
      <w:r w:rsidRPr="009170B8">
        <w:rPr>
          <w:rFonts w:ascii="Times New Roman" w:eastAsia="Calibri" w:hAnsi="Times New Roman"/>
          <w:sz w:val="20"/>
          <w:szCs w:val="20"/>
          <w:lang w:eastAsia="en-GB"/>
        </w:rPr>
        <w:t>’s website</w:t>
      </w:r>
      <w:r>
        <w:rPr>
          <w:rFonts w:ascii="Times New Roman" w:eastAsia="Calibri" w:hAnsi="Times New Roman"/>
          <w:sz w:val="20"/>
          <w:szCs w:val="20"/>
          <w:lang w:eastAsia="en-GB"/>
        </w:rPr>
        <w:t xml:space="preserve"> operated by the Investment Manager</w:t>
      </w:r>
      <w:r w:rsidRPr="009170B8">
        <w:rPr>
          <w:rFonts w:ascii="Times New Roman" w:eastAsia="Calibri" w:hAnsi="Times New Roman"/>
          <w:sz w:val="20"/>
          <w:szCs w:val="20"/>
          <w:lang w:eastAsia="en-GB"/>
        </w:rPr>
        <w:t>. Shareholders have the opportunity to address questions to the Chairman and the Committees of the Board at the AGM</w:t>
      </w:r>
      <w:r w:rsidR="009F7DDD">
        <w:rPr>
          <w:rFonts w:ascii="Times New Roman" w:eastAsia="Calibri" w:hAnsi="Times New Roman"/>
          <w:sz w:val="20"/>
          <w:szCs w:val="20"/>
          <w:lang w:eastAsia="en-GB"/>
        </w:rPr>
        <w:t>s</w:t>
      </w:r>
      <w:r w:rsidR="00B7214D">
        <w:rPr>
          <w:rFonts w:ascii="Times New Roman" w:eastAsia="Calibri" w:hAnsi="Times New Roman"/>
          <w:sz w:val="20"/>
          <w:szCs w:val="20"/>
          <w:lang w:eastAsia="en-GB"/>
        </w:rPr>
        <w:t xml:space="preserve"> and a</w:t>
      </w:r>
      <w:r w:rsidRPr="009170B8">
        <w:rPr>
          <w:rFonts w:ascii="Times New Roman" w:eastAsia="Calibri" w:hAnsi="Times New Roman"/>
          <w:sz w:val="20"/>
          <w:szCs w:val="20"/>
          <w:lang w:eastAsia="en-GB"/>
        </w:rPr>
        <w:t>ll shareholders are encouraged to attend the AGM</w:t>
      </w:r>
      <w:r w:rsidR="009F7DDD">
        <w:rPr>
          <w:rFonts w:ascii="Times New Roman" w:eastAsia="Calibri" w:hAnsi="Times New Roman"/>
          <w:sz w:val="20"/>
          <w:szCs w:val="20"/>
          <w:lang w:eastAsia="en-GB"/>
        </w:rPr>
        <w:t>s</w:t>
      </w:r>
      <w:r w:rsidRPr="009170B8">
        <w:rPr>
          <w:rFonts w:ascii="Times New Roman" w:eastAsia="Calibri" w:hAnsi="Times New Roman"/>
          <w:sz w:val="20"/>
          <w:szCs w:val="20"/>
          <w:lang w:eastAsia="en-GB"/>
        </w:rPr>
        <w:t>.</w:t>
      </w:r>
      <w:r w:rsidR="00C051A5">
        <w:rPr>
          <w:rFonts w:ascii="Times New Roman" w:eastAsia="Calibri" w:hAnsi="Times New Roman"/>
          <w:sz w:val="20"/>
          <w:szCs w:val="20"/>
          <w:lang w:eastAsia="en-GB"/>
        </w:rPr>
        <w:t xml:space="preserve">  Shareholders can also write to the Company at its registered office or by e-mail to the assistant secretary at </w:t>
      </w:r>
      <w:hyperlink r:id="rId15" w:history="1">
        <w:r w:rsidR="00C051A5" w:rsidRPr="00175DC2">
          <w:rPr>
            <w:rStyle w:val="Hyperlink"/>
            <w:rFonts w:ascii="Times New Roman" w:eastAsia="Calibri" w:hAnsi="Times New Roman"/>
            <w:sz w:val="20"/>
            <w:szCs w:val="20"/>
            <w:lang w:eastAsia="en-GB"/>
          </w:rPr>
          <w:t>fundservicesgsy@jtcgroup.com</w:t>
        </w:r>
      </w:hyperlink>
      <w:r w:rsidR="00C051A5">
        <w:rPr>
          <w:rFonts w:ascii="Times New Roman" w:eastAsia="Calibri" w:hAnsi="Times New Roman"/>
          <w:sz w:val="20"/>
          <w:szCs w:val="20"/>
          <w:lang w:eastAsia="en-GB"/>
        </w:rPr>
        <w:t xml:space="preserve">. </w:t>
      </w:r>
    </w:p>
    <w:p w:rsidR="00335CE9" w:rsidRPr="009170B8" w:rsidRDefault="00335CE9" w:rsidP="00335CE9">
      <w:pPr>
        <w:autoSpaceDE w:val="0"/>
        <w:autoSpaceDN w:val="0"/>
        <w:adjustRightInd w:val="0"/>
        <w:rPr>
          <w:rFonts w:ascii="Times New Roman" w:eastAsia="Calibri" w:hAnsi="Times New Roman"/>
          <w:sz w:val="20"/>
          <w:szCs w:val="20"/>
          <w:lang w:eastAsia="en-GB"/>
        </w:rPr>
      </w:pPr>
    </w:p>
    <w:p w:rsidR="00ED2329" w:rsidRDefault="00335CE9" w:rsidP="00FD77FA">
      <w:pPr>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There is regular dialogue between the Investment Manager and major shareholders t</w:t>
      </w:r>
      <w:r w:rsidR="00FD77FA">
        <w:rPr>
          <w:rFonts w:ascii="Times New Roman" w:eastAsia="Calibri" w:hAnsi="Times New Roman"/>
          <w:sz w:val="20"/>
          <w:szCs w:val="20"/>
          <w:lang w:eastAsia="en-GB"/>
        </w:rPr>
        <w:t xml:space="preserve">o discuss aspects of investment </w:t>
      </w:r>
      <w:r w:rsidRPr="009170B8">
        <w:rPr>
          <w:rFonts w:ascii="Times New Roman" w:eastAsia="Calibri" w:hAnsi="Times New Roman"/>
          <w:sz w:val="20"/>
          <w:szCs w:val="20"/>
          <w:lang w:eastAsia="en-GB"/>
        </w:rPr>
        <w:t>performance, governance and strategy and to listen to shareholder</w:t>
      </w:r>
      <w:r>
        <w:rPr>
          <w:rFonts w:ascii="Times New Roman" w:eastAsia="Calibri" w:hAnsi="Times New Roman"/>
          <w:sz w:val="20"/>
          <w:szCs w:val="20"/>
          <w:lang w:eastAsia="en-GB"/>
        </w:rPr>
        <w:t>s’</w:t>
      </w:r>
      <w:r w:rsidRPr="009170B8">
        <w:rPr>
          <w:rFonts w:ascii="Times New Roman" w:eastAsia="Calibri" w:hAnsi="Times New Roman"/>
          <w:sz w:val="20"/>
          <w:szCs w:val="20"/>
          <w:lang w:eastAsia="en-GB"/>
        </w:rPr>
        <w:t xml:space="preserve"> views</w:t>
      </w:r>
      <w:r w:rsidR="003F0C98">
        <w:rPr>
          <w:rFonts w:ascii="Times New Roman" w:eastAsia="Calibri" w:hAnsi="Times New Roman"/>
          <w:sz w:val="20"/>
          <w:szCs w:val="20"/>
          <w:lang w:eastAsia="en-GB"/>
        </w:rPr>
        <w:t>,</w:t>
      </w:r>
      <w:r w:rsidRPr="009170B8">
        <w:rPr>
          <w:rFonts w:ascii="Times New Roman" w:eastAsia="Calibri" w:hAnsi="Times New Roman"/>
          <w:sz w:val="20"/>
          <w:szCs w:val="20"/>
          <w:lang w:eastAsia="en-GB"/>
        </w:rPr>
        <w:t xml:space="preserve"> in order to help develop a balanced understanding of their issues and concerns. General presentations to both shareholders and analysts follow the publication of the annual financial results. All meetings between the Investment Manager and shareholders are reported to the Board.</w:t>
      </w:r>
    </w:p>
    <w:p w:rsidR="00335CE9" w:rsidRPr="009170B8" w:rsidRDefault="00335CE9" w:rsidP="00335CE9">
      <w:pPr>
        <w:rPr>
          <w:rFonts w:ascii="Times New Roman" w:hAnsi="Times New Roman"/>
          <w:sz w:val="20"/>
          <w:szCs w:val="20"/>
        </w:rPr>
      </w:pPr>
    </w:p>
    <w:p w:rsidR="001236A6" w:rsidRPr="009170B8" w:rsidRDefault="00CA1FC3" w:rsidP="00E75016">
      <w:pPr>
        <w:pStyle w:val="Heading1"/>
        <w:jc w:val="left"/>
        <w:rPr>
          <w:rFonts w:ascii="Times New Roman" w:hAnsi="Times New Roman"/>
          <w:sz w:val="20"/>
          <w:szCs w:val="20"/>
        </w:rPr>
      </w:pPr>
      <w:r w:rsidRPr="009170B8">
        <w:rPr>
          <w:rFonts w:ascii="Times New Roman" w:hAnsi="Times New Roman"/>
          <w:sz w:val="20"/>
          <w:szCs w:val="20"/>
        </w:rPr>
        <w:t>Ongoing c</w:t>
      </w:r>
      <w:r w:rsidR="001236A6" w:rsidRPr="009170B8">
        <w:rPr>
          <w:rFonts w:ascii="Times New Roman" w:hAnsi="Times New Roman"/>
          <w:sz w:val="20"/>
          <w:szCs w:val="20"/>
        </w:rPr>
        <w:t>harges</w:t>
      </w:r>
    </w:p>
    <w:p w:rsidR="00D347E0" w:rsidRPr="009170B8" w:rsidRDefault="00335CE9" w:rsidP="001236A6">
      <w:pPr>
        <w:autoSpaceDE w:val="0"/>
        <w:autoSpaceDN w:val="0"/>
        <w:adjustRightInd w:val="0"/>
        <w:jc w:val="both"/>
        <w:rPr>
          <w:rFonts w:ascii="Times New Roman" w:hAnsi="Times New Roman"/>
          <w:sz w:val="20"/>
          <w:szCs w:val="20"/>
        </w:rPr>
      </w:pPr>
      <w:r w:rsidRPr="009170B8">
        <w:rPr>
          <w:rFonts w:ascii="Times New Roman" w:hAnsi="Times New Roman"/>
          <w:color w:val="221E1F"/>
          <w:sz w:val="20"/>
          <w:szCs w:val="20"/>
          <w:lang w:eastAsia="en-GB"/>
        </w:rPr>
        <w:t xml:space="preserve">The </w:t>
      </w:r>
      <w:r w:rsidR="00974BA7">
        <w:rPr>
          <w:rFonts w:ascii="Times New Roman" w:hAnsi="Times New Roman"/>
          <w:color w:val="221E1F"/>
          <w:sz w:val="20"/>
          <w:szCs w:val="20"/>
          <w:lang w:eastAsia="en-GB"/>
        </w:rPr>
        <w:t xml:space="preserve">below table </w:t>
      </w:r>
      <w:r w:rsidRPr="009170B8">
        <w:rPr>
          <w:rFonts w:ascii="Times New Roman" w:hAnsi="Times New Roman"/>
          <w:color w:val="221E1F"/>
          <w:sz w:val="20"/>
          <w:szCs w:val="20"/>
          <w:lang w:eastAsia="en-GB"/>
        </w:rPr>
        <w:t xml:space="preserve">shows </w:t>
      </w:r>
      <w:r w:rsidR="00F82AC6" w:rsidRPr="009170B8">
        <w:rPr>
          <w:rFonts w:ascii="Times New Roman" w:hAnsi="Times New Roman"/>
          <w:color w:val="221E1F"/>
          <w:sz w:val="20"/>
          <w:szCs w:val="20"/>
          <w:lang w:eastAsia="en-GB"/>
        </w:rPr>
        <w:t xml:space="preserve">the annualised ongoing charges that relate to the management of the Fund as </w:t>
      </w:r>
      <w:r w:rsidR="006D0126" w:rsidRPr="009170B8">
        <w:rPr>
          <w:rFonts w:ascii="Times New Roman" w:hAnsi="Times New Roman"/>
          <w:color w:val="221E1F"/>
          <w:sz w:val="20"/>
          <w:szCs w:val="20"/>
          <w:lang w:eastAsia="en-GB"/>
        </w:rPr>
        <w:t>a single</w:t>
      </w:r>
      <w:r w:rsidR="00F82AC6" w:rsidRPr="009170B8">
        <w:rPr>
          <w:rFonts w:ascii="Times New Roman" w:hAnsi="Times New Roman"/>
          <w:color w:val="221E1F"/>
          <w:sz w:val="20"/>
          <w:szCs w:val="20"/>
          <w:lang w:eastAsia="en-GB"/>
        </w:rPr>
        <w:t xml:space="preserve"> </w:t>
      </w:r>
      <w:r w:rsidR="00601C95" w:rsidRPr="009170B8">
        <w:rPr>
          <w:rFonts w:ascii="Times New Roman" w:hAnsi="Times New Roman"/>
          <w:color w:val="221E1F"/>
          <w:sz w:val="20"/>
          <w:szCs w:val="20"/>
          <w:lang w:eastAsia="en-GB"/>
        </w:rPr>
        <w:t>per</w:t>
      </w:r>
      <w:r w:rsidR="006D4895" w:rsidRPr="009170B8">
        <w:rPr>
          <w:rFonts w:ascii="Times New Roman" w:hAnsi="Times New Roman"/>
          <w:color w:val="221E1F"/>
          <w:sz w:val="20"/>
          <w:szCs w:val="20"/>
          <w:lang w:eastAsia="en-GB"/>
        </w:rPr>
        <w:t>cent</w:t>
      </w:r>
      <w:r w:rsidR="00F82AC6" w:rsidRPr="009170B8">
        <w:rPr>
          <w:rFonts w:ascii="Times New Roman" w:hAnsi="Times New Roman"/>
          <w:color w:val="221E1F"/>
          <w:sz w:val="20"/>
          <w:szCs w:val="20"/>
          <w:lang w:eastAsia="en-GB"/>
        </w:rPr>
        <w:t>age of the</w:t>
      </w:r>
      <w:r w:rsidR="001236A6" w:rsidRPr="009170B8">
        <w:rPr>
          <w:rFonts w:ascii="Times New Roman" w:hAnsi="Times New Roman"/>
          <w:color w:val="221E1F"/>
          <w:sz w:val="20"/>
          <w:szCs w:val="20"/>
          <w:lang w:eastAsia="en-GB"/>
        </w:rPr>
        <w:t xml:space="preserve"> average </w:t>
      </w:r>
      <w:r w:rsidR="00CA1FC3" w:rsidRPr="009170B8">
        <w:rPr>
          <w:rFonts w:ascii="Times New Roman" w:hAnsi="Times New Roman"/>
          <w:color w:val="221E1F"/>
          <w:sz w:val="20"/>
          <w:szCs w:val="20"/>
          <w:lang w:eastAsia="en-GB"/>
        </w:rPr>
        <w:t>NAV</w:t>
      </w:r>
      <w:r w:rsidR="00F82AC6" w:rsidRPr="009170B8">
        <w:rPr>
          <w:rFonts w:ascii="Times New Roman" w:hAnsi="Times New Roman"/>
          <w:color w:val="221E1F"/>
          <w:sz w:val="20"/>
          <w:szCs w:val="20"/>
          <w:lang w:eastAsia="en-GB"/>
        </w:rPr>
        <w:t xml:space="preserve"> over the same </w:t>
      </w:r>
      <w:r w:rsidR="00E96935" w:rsidRPr="009170B8">
        <w:rPr>
          <w:rFonts w:ascii="Times New Roman" w:hAnsi="Times New Roman"/>
          <w:color w:val="221E1F"/>
          <w:sz w:val="20"/>
          <w:szCs w:val="20"/>
          <w:lang w:eastAsia="en-GB"/>
        </w:rPr>
        <w:t>year</w:t>
      </w:r>
      <w:r w:rsidR="001236A6" w:rsidRPr="009170B8">
        <w:rPr>
          <w:rFonts w:ascii="Times New Roman" w:hAnsi="Times New Roman"/>
          <w:color w:val="221E1F"/>
          <w:sz w:val="20"/>
          <w:szCs w:val="20"/>
          <w:lang w:eastAsia="en-GB"/>
        </w:rPr>
        <w:t>.</w:t>
      </w:r>
      <w:r w:rsidR="00974BA7">
        <w:rPr>
          <w:rFonts w:ascii="Times New Roman" w:hAnsi="Times New Roman"/>
          <w:color w:val="221E1F"/>
          <w:sz w:val="20"/>
          <w:szCs w:val="20"/>
          <w:lang w:eastAsia="en-GB"/>
        </w:rPr>
        <w:t xml:space="preserve"> </w:t>
      </w:r>
      <w:r w:rsidR="00C741FB">
        <w:rPr>
          <w:rFonts w:ascii="Times New Roman" w:hAnsi="Times New Roman"/>
          <w:color w:val="221E1F"/>
          <w:sz w:val="20"/>
          <w:szCs w:val="20"/>
          <w:lang w:eastAsia="en-GB"/>
        </w:rPr>
        <w:t xml:space="preserve">In terms of the AIC (The Association of Investment Companies) methodology, </w:t>
      </w:r>
      <w:r w:rsidR="00C741FB">
        <w:rPr>
          <w:rFonts w:ascii="Times New Roman" w:hAnsi="Times New Roman"/>
          <w:sz w:val="20"/>
          <w:szCs w:val="20"/>
        </w:rPr>
        <w:t>o</w:t>
      </w:r>
      <w:r w:rsidR="001236A6" w:rsidRPr="009170B8">
        <w:rPr>
          <w:rFonts w:ascii="Times New Roman" w:hAnsi="Times New Roman"/>
          <w:sz w:val="20"/>
          <w:szCs w:val="20"/>
        </w:rPr>
        <w:t xml:space="preserve">ngoing charges are those expenses of a type which are likely to recur in the foreseeable future, whether charged to capital or revenue, and which relate to the operation of the </w:t>
      </w:r>
      <w:r w:rsidR="00175F3B" w:rsidRPr="009170B8">
        <w:rPr>
          <w:rFonts w:ascii="Times New Roman" w:hAnsi="Times New Roman"/>
          <w:sz w:val="20"/>
          <w:szCs w:val="20"/>
        </w:rPr>
        <w:t>Fund</w:t>
      </w:r>
      <w:r w:rsidR="001236A6" w:rsidRPr="009170B8">
        <w:rPr>
          <w:rFonts w:ascii="Times New Roman" w:hAnsi="Times New Roman"/>
          <w:sz w:val="20"/>
          <w:szCs w:val="20"/>
        </w:rPr>
        <w:t xml:space="preserve"> as a collective </w:t>
      </w:r>
      <w:r w:rsidR="00E96935" w:rsidRPr="009170B8">
        <w:rPr>
          <w:rFonts w:ascii="Times New Roman" w:hAnsi="Times New Roman"/>
          <w:sz w:val="20"/>
          <w:szCs w:val="20"/>
        </w:rPr>
        <w:t xml:space="preserve">investment </w:t>
      </w:r>
      <w:r w:rsidR="001236A6" w:rsidRPr="009170B8">
        <w:rPr>
          <w:rFonts w:ascii="Times New Roman" w:hAnsi="Times New Roman"/>
          <w:sz w:val="20"/>
          <w:szCs w:val="20"/>
        </w:rPr>
        <w:t xml:space="preserve">fund, excluding the costs of acquisition/disposal of investments, financing charges and gains/losses arising on investments. </w:t>
      </w:r>
    </w:p>
    <w:p w:rsidR="00342203" w:rsidRPr="00DD3656" w:rsidRDefault="00342203" w:rsidP="00DD3656">
      <w:pPr>
        <w:pStyle w:val="BodyText"/>
        <w:rPr>
          <w:rFonts w:ascii="Times New Roman" w:hAnsi="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283"/>
        <w:gridCol w:w="1665"/>
      </w:tblGrid>
      <w:tr w:rsidR="001236A6" w:rsidRPr="009170B8" w:rsidTr="001236A6">
        <w:tc>
          <w:tcPr>
            <w:tcW w:w="8472" w:type="dxa"/>
          </w:tcPr>
          <w:p w:rsidR="001236A6" w:rsidRPr="009170B8" w:rsidRDefault="001236A6" w:rsidP="001236A6">
            <w:pPr>
              <w:autoSpaceDE w:val="0"/>
              <w:autoSpaceDN w:val="0"/>
              <w:adjustRightInd w:val="0"/>
              <w:rPr>
                <w:rFonts w:ascii="Times New Roman" w:hAnsi="Times New Roman"/>
                <w:sz w:val="20"/>
                <w:szCs w:val="20"/>
              </w:rPr>
            </w:pPr>
          </w:p>
        </w:tc>
        <w:tc>
          <w:tcPr>
            <w:tcW w:w="283" w:type="dxa"/>
          </w:tcPr>
          <w:p w:rsidR="001236A6" w:rsidRPr="009170B8" w:rsidRDefault="001236A6" w:rsidP="001236A6">
            <w:pPr>
              <w:autoSpaceDE w:val="0"/>
              <w:autoSpaceDN w:val="0"/>
              <w:adjustRightInd w:val="0"/>
              <w:rPr>
                <w:rFonts w:ascii="Times New Roman" w:hAnsi="Times New Roman"/>
                <w:sz w:val="20"/>
                <w:szCs w:val="20"/>
              </w:rPr>
            </w:pPr>
          </w:p>
        </w:tc>
        <w:tc>
          <w:tcPr>
            <w:tcW w:w="1665" w:type="dxa"/>
          </w:tcPr>
          <w:p w:rsidR="001236A6" w:rsidRPr="009170B8" w:rsidRDefault="001236A6" w:rsidP="001236A6">
            <w:pPr>
              <w:autoSpaceDE w:val="0"/>
              <w:autoSpaceDN w:val="0"/>
              <w:adjustRightInd w:val="0"/>
              <w:jc w:val="center"/>
              <w:rPr>
                <w:rFonts w:ascii="Times New Roman" w:hAnsi="Times New Roman"/>
                <w:b/>
                <w:sz w:val="20"/>
                <w:szCs w:val="20"/>
              </w:rPr>
            </w:pPr>
            <w:r w:rsidRPr="009170B8">
              <w:rPr>
                <w:rFonts w:ascii="Times New Roman" w:hAnsi="Times New Roman"/>
                <w:b/>
                <w:sz w:val="20"/>
                <w:szCs w:val="20"/>
              </w:rPr>
              <w:t xml:space="preserve">Ongoing </w:t>
            </w:r>
          </w:p>
          <w:p w:rsidR="001236A6" w:rsidRPr="009170B8" w:rsidRDefault="001236A6" w:rsidP="001236A6">
            <w:pPr>
              <w:autoSpaceDE w:val="0"/>
              <w:autoSpaceDN w:val="0"/>
              <w:adjustRightInd w:val="0"/>
              <w:jc w:val="center"/>
              <w:rPr>
                <w:rFonts w:ascii="Times New Roman" w:hAnsi="Times New Roman"/>
                <w:b/>
                <w:sz w:val="20"/>
                <w:szCs w:val="20"/>
              </w:rPr>
            </w:pPr>
            <w:r w:rsidRPr="009170B8">
              <w:rPr>
                <w:rFonts w:ascii="Times New Roman" w:hAnsi="Times New Roman"/>
                <w:b/>
                <w:sz w:val="20"/>
                <w:szCs w:val="20"/>
              </w:rPr>
              <w:t>charges (%)</w:t>
            </w:r>
          </w:p>
        </w:tc>
      </w:tr>
      <w:tr w:rsidR="001236A6" w:rsidRPr="009170B8" w:rsidTr="001236A6">
        <w:tc>
          <w:tcPr>
            <w:tcW w:w="8472" w:type="dxa"/>
          </w:tcPr>
          <w:p w:rsidR="001236A6" w:rsidRPr="00B9035E" w:rsidRDefault="001236A6" w:rsidP="00292065">
            <w:pPr>
              <w:autoSpaceDE w:val="0"/>
              <w:autoSpaceDN w:val="0"/>
              <w:adjustRightInd w:val="0"/>
              <w:rPr>
                <w:rFonts w:ascii="Times New Roman" w:hAnsi="Times New Roman"/>
                <w:sz w:val="20"/>
                <w:szCs w:val="20"/>
              </w:rPr>
            </w:pPr>
            <w:r w:rsidRPr="00B9035E">
              <w:rPr>
                <w:rFonts w:ascii="Times New Roman" w:hAnsi="Times New Roman"/>
                <w:sz w:val="20"/>
                <w:szCs w:val="20"/>
              </w:rPr>
              <w:t>31 December 201</w:t>
            </w:r>
            <w:r w:rsidR="002F7CE4">
              <w:rPr>
                <w:rFonts w:ascii="Times New Roman" w:hAnsi="Times New Roman"/>
                <w:sz w:val="20"/>
                <w:szCs w:val="20"/>
              </w:rPr>
              <w:t>8</w:t>
            </w:r>
          </w:p>
        </w:tc>
        <w:tc>
          <w:tcPr>
            <w:tcW w:w="283" w:type="dxa"/>
          </w:tcPr>
          <w:p w:rsidR="001236A6" w:rsidRPr="00B9035E" w:rsidRDefault="001236A6" w:rsidP="001236A6">
            <w:pPr>
              <w:autoSpaceDE w:val="0"/>
              <w:autoSpaceDN w:val="0"/>
              <w:adjustRightInd w:val="0"/>
              <w:rPr>
                <w:rFonts w:ascii="Times New Roman" w:hAnsi="Times New Roman"/>
                <w:sz w:val="20"/>
                <w:szCs w:val="20"/>
              </w:rPr>
            </w:pPr>
          </w:p>
        </w:tc>
        <w:tc>
          <w:tcPr>
            <w:tcW w:w="1665" w:type="dxa"/>
          </w:tcPr>
          <w:p w:rsidR="001236A6" w:rsidRPr="00B9035E" w:rsidRDefault="001236A6">
            <w:pPr>
              <w:autoSpaceDE w:val="0"/>
              <w:autoSpaceDN w:val="0"/>
              <w:adjustRightInd w:val="0"/>
              <w:ind w:right="281"/>
              <w:jc w:val="right"/>
              <w:rPr>
                <w:rFonts w:ascii="Times New Roman" w:hAnsi="Times New Roman"/>
                <w:sz w:val="20"/>
                <w:szCs w:val="20"/>
              </w:rPr>
            </w:pPr>
            <w:bookmarkStart w:id="18" w:name="OLE_LINK8"/>
            <w:bookmarkStart w:id="19" w:name="OLE_LINK9"/>
            <w:r w:rsidRPr="00B9035E">
              <w:rPr>
                <w:rFonts w:ascii="Times New Roman" w:hAnsi="Times New Roman"/>
                <w:sz w:val="20"/>
                <w:szCs w:val="20"/>
              </w:rPr>
              <w:t>1.</w:t>
            </w:r>
            <w:bookmarkEnd w:id="18"/>
            <w:bookmarkEnd w:id="19"/>
            <w:r w:rsidR="00A50DD8">
              <w:rPr>
                <w:rFonts w:ascii="Times New Roman" w:hAnsi="Times New Roman"/>
                <w:sz w:val="20"/>
                <w:szCs w:val="20"/>
              </w:rPr>
              <w:t>14</w:t>
            </w:r>
          </w:p>
        </w:tc>
      </w:tr>
      <w:tr w:rsidR="008E0649" w:rsidRPr="009170B8" w:rsidTr="001236A6">
        <w:tc>
          <w:tcPr>
            <w:tcW w:w="8472" w:type="dxa"/>
          </w:tcPr>
          <w:p w:rsidR="008E0649" w:rsidRPr="009170B8" w:rsidRDefault="008E0649" w:rsidP="00590B67">
            <w:pPr>
              <w:autoSpaceDE w:val="0"/>
              <w:autoSpaceDN w:val="0"/>
              <w:adjustRightInd w:val="0"/>
              <w:rPr>
                <w:rFonts w:ascii="Times New Roman" w:hAnsi="Times New Roman"/>
                <w:sz w:val="20"/>
                <w:szCs w:val="20"/>
              </w:rPr>
            </w:pPr>
            <w:r w:rsidRPr="00B9035E">
              <w:rPr>
                <w:rFonts w:ascii="Times New Roman" w:hAnsi="Times New Roman"/>
                <w:sz w:val="20"/>
                <w:szCs w:val="20"/>
              </w:rPr>
              <w:t>31 December 201</w:t>
            </w:r>
            <w:r w:rsidR="002F7CE4">
              <w:rPr>
                <w:rFonts w:ascii="Times New Roman" w:hAnsi="Times New Roman"/>
                <w:sz w:val="20"/>
                <w:szCs w:val="20"/>
              </w:rPr>
              <w:t>7</w:t>
            </w:r>
          </w:p>
        </w:tc>
        <w:tc>
          <w:tcPr>
            <w:tcW w:w="283" w:type="dxa"/>
          </w:tcPr>
          <w:p w:rsidR="008E0649" w:rsidRPr="009170B8" w:rsidRDefault="008E0649" w:rsidP="00590B67">
            <w:pPr>
              <w:autoSpaceDE w:val="0"/>
              <w:autoSpaceDN w:val="0"/>
              <w:adjustRightInd w:val="0"/>
              <w:rPr>
                <w:rFonts w:ascii="Times New Roman" w:hAnsi="Times New Roman"/>
                <w:sz w:val="20"/>
                <w:szCs w:val="20"/>
              </w:rPr>
            </w:pPr>
          </w:p>
        </w:tc>
        <w:tc>
          <w:tcPr>
            <w:tcW w:w="1665" w:type="dxa"/>
          </w:tcPr>
          <w:p w:rsidR="008E0649" w:rsidRPr="009170B8" w:rsidRDefault="008E0649">
            <w:pPr>
              <w:autoSpaceDE w:val="0"/>
              <w:autoSpaceDN w:val="0"/>
              <w:adjustRightInd w:val="0"/>
              <w:ind w:right="281"/>
              <w:jc w:val="right"/>
              <w:rPr>
                <w:rFonts w:ascii="Times New Roman" w:hAnsi="Times New Roman"/>
                <w:sz w:val="20"/>
                <w:szCs w:val="20"/>
              </w:rPr>
            </w:pPr>
            <w:r w:rsidRPr="00B9035E">
              <w:rPr>
                <w:rFonts w:ascii="Times New Roman" w:hAnsi="Times New Roman"/>
                <w:sz w:val="20"/>
                <w:szCs w:val="20"/>
              </w:rPr>
              <w:t>1.0</w:t>
            </w:r>
            <w:r w:rsidR="00C10BEA">
              <w:rPr>
                <w:rFonts w:ascii="Times New Roman" w:hAnsi="Times New Roman"/>
                <w:sz w:val="20"/>
                <w:szCs w:val="20"/>
              </w:rPr>
              <w:t>3</w:t>
            </w:r>
          </w:p>
        </w:tc>
      </w:tr>
    </w:tbl>
    <w:p w:rsidR="00E214AD" w:rsidRDefault="00E214AD" w:rsidP="00DD3656">
      <w:pPr>
        <w:pStyle w:val="BodyText"/>
        <w:rPr>
          <w:rFonts w:ascii="Times New Roman" w:hAnsi="Times New Roman"/>
          <w:szCs w:val="20"/>
        </w:rPr>
      </w:pPr>
    </w:p>
    <w:p w:rsidR="002E6FF3" w:rsidRPr="00DD3656" w:rsidRDefault="00E214AD" w:rsidP="00DD3656">
      <w:pPr>
        <w:pStyle w:val="BodyText"/>
        <w:rPr>
          <w:rFonts w:ascii="Times New Roman" w:hAnsi="Times New Roman"/>
          <w:szCs w:val="20"/>
        </w:rPr>
      </w:pPr>
      <w:r>
        <w:rPr>
          <w:rFonts w:ascii="Times New Roman" w:hAnsi="Times New Roman"/>
          <w:szCs w:val="20"/>
        </w:rPr>
        <w:t>The ongoing charges percentage was impacted by decreased average NAV resulting in a</w:t>
      </w:r>
      <w:r w:rsidR="00871823">
        <w:rPr>
          <w:rFonts w:ascii="Times New Roman" w:hAnsi="Times New Roman"/>
          <w:szCs w:val="20"/>
        </w:rPr>
        <w:t>n</w:t>
      </w:r>
      <w:r>
        <w:rPr>
          <w:rFonts w:ascii="Times New Roman" w:hAnsi="Times New Roman"/>
          <w:szCs w:val="20"/>
        </w:rPr>
        <w:t xml:space="preserve"> increased ongoing charges percentage.</w:t>
      </w:r>
    </w:p>
    <w:p w:rsidR="00E214AD" w:rsidRDefault="00E214AD" w:rsidP="007B59D7">
      <w:pPr>
        <w:pStyle w:val="Heading4"/>
        <w:rPr>
          <w:rFonts w:ascii="Times New Roman" w:hAnsi="Times New Roman"/>
        </w:rPr>
      </w:pPr>
    </w:p>
    <w:p w:rsidR="007B59D7" w:rsidRPr="009170B8" w:rsidRDefault="007B59D7" w:rsidP="007B59D7">
      <w:pPr>
        <w:pStyle w:val="Heading4"/>
        <w:rPr>
          <w:rFonts w:ascii="Times New Roman" w:hAnsi="Times New Roman"/>
        </w:rPr>
      </w:pPr>
      <w:r w:rsidRPr="009170B8">
        <w:rPr>
          <w:rFonts w:ascii="Times New Roman" w:hAnsi="Times New Roman"/>
        </w:rPr>
        <w:t>Results and dividends</w:t>
      </w:r>
    </w:p>
    <w:p w:rsidR="007B59D7" w:rsidRDefault="00B44D91" w:rsidP="002E6FF3">
      <w:pPr>
        <w:tabs>
          <w:tab w:val="left" w:pos="3402"/>
          <w:tab w:val="right" w:pos="8222"/>
        </w:tabs>
        <w:spacing w:after="120"/>
        <w:jc w:val="both"/>
        <w:rPr>
          <w:rFonts w:ascii="Times New Roman" w:hAnsi="Times New Roman"/>
          <w:sz w:val="20"/>
        </w:rPr>
      </w:pPr>
      <w:r w:rsidRPr="009170B8">
        <w:rPr>
          <w:rFonts w:ascii="Times New Roman" w:hAnsi="Times New Roman"/>
          <w:sz w:val="20"/>
        </w:rPr>
        <w:t xml:space="preserve">The results for the year are shown in the Statement of Comprehensive Income on page </w:t>
      </w:r>
      <w:r w:rsidR="000620E4">
        <w:rPr>
          <w:rFonts w:ascii="Times New Roman" w:hAnsi="Times New Roman"/>
          <w:sz w:val="20"/>
        </w:rPr>
        <w:t>3</w:t>
      </w:r>
      <w:r w:rsidR="00A66792">
        <w:rPr>
          <w:rFonts w:ascii="Times New Roman" w:hAnsi="Times New Roman"/>
          <w:sz w:val="20"/>
        </w:rPr>
        <w:t>6</w:t>
      </w:r>
      <w:r w:rsidRPr="009170B8">
        <w:rPr>
          <w:rFonts w:ascii="Times New Roman" w:hAnsi="Times New Roman"/>
          <w:sz w:val="20"/>
        </w:rPr>
        <w:t xml:space="preserve"> and related notes on pages </w:t>
      </w:r>
      <w:r w:rsidR="00916D00">
        <w:rPr>
          <w:rFonts w:ascii="Times New Roman" w:hAnsi="Times New Roman"/>
          <w:sz w:val="20"/>
        </w:rPr>
        <w:t>3</w:t>
      </w:r>
      <w:r w:rsidR="00A66792">
        <w:rPr>
          <w:rFonts w:ascii="Times New Roman" w:hAnsi="Times New Roman"/>
          <w:sz w:val="20"/>
        </w:rPr>
        <w:t>9</w:t>
      </w:r>
      <w:r w:rsidRPr="009170B8">
        <w:rPr>
          <w:rFonts w:ascii="Times New Roman" w:hAnsi="Times New Roman"/>
          <w:sz w:val="20"/>
        </w:rPr>
        <w:t xml:space="preserve"> to </w:t>
      </w:r>
      <w:r w:rsidR="00692C2C">
        <w:rPr>
          <w:rFonts w:ascii="Times New Roman" w:hAnsi="Times New Roman"/>
          <w:sz w:val="20"/>
        </w:rPr>
        <w:t>5</w:t>
      </w:r>
      <w:r w:rsidR="00000F1B">
        <w:rPr>
          <w:rFonts w:ascii="Times New Roman" w:hAnsi="Times New Roman"/>
          <w:sz w:val="20"/>
        </w:rPr>
        <w:t>4</w:t>
      </w:r>
      <w:r w:rsidRPr="009170B8">
        <w:rPr>
          <w:rFonts w:ascii="Times New Roman" w:hAnsi="Times New Roman"/>
          <w:sz w:val="20"/>
        </w:rPr>
        <w:t>.  During the year</w:t>
      </w:r>
      <w:r w:rsidR="000620E4">
        <w:rPr>
          <w:rFonts w:ascii="Times New Roman" w:hAnsi="Times New Roman"/>
          <w:sz w:val="20"/>
        </w:rPr>
        <w:t>,</w:t>
      </w:r>
      <w:r w:rsidRPr="009170B8">
        <w:rPr>
          <w:rFonts w:ascii="Times New Roman" w:hAnsi="Times New Roman"/>
          <w:sz w:val="20"/>
        </w:rPr>
        <w:t xml:space="preserve"> dividends were paid on a quarterly basis (see note </w:t>
      </w:r>
      <w:r w:rsidR="00C47B85" w:rsidRPr="009170B8">
        <w:rPr>
          <w:rFonts w:ascii="Times New Roman" w:hAnsi="Times New Roman"/>
          <w:sz w:val="20"/>
        </w:rPr>
        <w:t>11</w:t>
      </w:r>
      <w:r w:rsidRPr="009170B8">
        <w:rPr>
          <w:rFonts w:ascii="Times New Roman" w:hAnsi="Times New Roman"/>
          <w:sz w:val="20"/>
        </w:rPr>
        <w:t>). Although there is no guarantee, dividends are expected to be paid on a quarterly basis and paid at the end of that month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5"/>
        <w:gridCol w:w="3474"/>
      </w:tblGrid>
      <w:tr w:rsidR="007B59D7" w:rsidRPr="009170B8" w:rsidTr="00AC5183">
        <w:tc>
          <w:tcPr>
            <w:tcW w:w="3365" w:type="dxa"/>
          </w:tcPr>
          <w:p w:rsidR="007B59D7" w:rsidRPr="009170B8" w:rsidRDefault="007B59D7" w:rsidP="00CC443E">
            <w:pPr>
              <w:tabs>
                <w:tab w:val="left" w:pos="3402"/>
                <w:tab w:val="right" w:pos="8222"/>
              </w:tabs>
              <w:jc w:val="both"/>
              <w:rPr>
                <w:rFonts w:ascii="Times New Roman" w:hAnsi="Times New Roman"/>
                <w:sz w:val="20"/>
              </w:rPr>
            </w:pPr>
            <w:r w:rsidRPr="009170B8">
              <w:rPr>
                <w:rFonts w:ascii="Times New Roman" w:hAnsi="Times New Roman"/>
                <w:sz w:val="20"/>
              </w:rPr>
              <w:t>Payment Month</w:t>
            </w:r>
          </w:p>
        </w:tc>
        <w:tc>
          <w:tcPr>
            <w:tcW w:w="3474" w:type="dxa"/>
          </w:tcPr>
          <w:p w:rsidR="007B59D7" w:rsidRPr="009170B8" w:rsidRDefault="007B59D7" w:rsidP="00CC443E">
            <w:pPr>
              <w:tabs>
                <w:tab w:val="left" w:pos="3402"/>
                <w:tab w:val="right" w:pos="8222"/>
              </w:tabs>
              <w:jc w:val="both"/>
              <w:rPr>
                <w:rFonts w:ascii="Times New Roman" w:hAnsi="Times New Roman"/>
                <w:sz w:val="20"/>
              </w:rPr>
            </w:pPr>
            <w:r w:rsidRPr="009170B8">
              <w:rPr>
                <w:rFonts w:ascii="Times New Roman" w:hAnsi="Times New Roman"/>
                <w:sz w:val="20"/>
              </w:rPr>
              <w:t>Gross amount per Share</w:t>
            </w:r>
          </w:p>
        </w:tc>
      </w:tr>
      <w:tr w:rsidR="007B59D7" w:rsidRPr="009170B8" w:rsidTr="00AC5183">
        <w:tc>
          <w:tcPr>
            <w:tcW w:w="3365" w:type="dxa"/>
          </w:tcPr>
          <w:p w:rsidR="007B59D7" w:rsidRPr="00B9035E" w:rsidRDefault="007B59D7" w:rsidP="00102569">
            <w:pPr>
              <w:tabs>
                <w:tab w:val="left" w:pos="3402"/>
                <w:tab w:val="right" w:pos="8222"/>
              </w:tabs>
              <w:jc w:val="both"/>
              <w:rPr>
                <w:rFonts w:ascii="Times New Roman" w:hAnsi="Times New Roman"/>
                <w:sz w:val="20"/>
              </w:rPr>
            </w:pPr>
            <w:r w:rsidRPr="00B9035E">
              <w:rPr>
                <w:rFonts w:ascii="Times New Roman" w:hAnsi="Times New Roman"/>
                <w:sz w:val="20"/>
              </w:rPr>
              <w:t>April 201</w:t>
            </w:r>
            <w:r w:rsidR="00F7741A">
              <w:rPr>
                <w:rFonts w:ascii="Times New Roman" w:hAnsi="Times New Roman"/>
                <w:sz w:val="20"/>
              </w:rPr>
              <w:t>9</w:t>
            </w:r>
          </w:p>
        </w:tc>
        <w:tc>
          <w:tcPr>
            <w:tcW w:w="3474" w:type="dxa"/>
          </w:tcPr>
          <w:p w:rsidR="007B59D7" w:rsidRPr="00B9035E" w:rsidRDefault="007B59D7" w:rsidP="00CC443E">
            <w:pPr>
              <w:tabs>
                <w:tab w:val="left" w:pos="3402"/>
                <w:tab w:val="right" w:pos="8222"/>
              </w:tabs>
              <w:jc w:val="both"/>
              <w:rPr>
                <w:rFonts w:ascii="Times New Roman" w:hAnsi="Times New Roman"/>
                <w:sz w:val="20"/>
              </w:rPr>
            </w:pPr>
            <w:r w:rsidRPr="00B9035E">
              <w:rPr>
                <w:rFonts w:ascii="Times New Roman" w:hAnsi="Times New Roman"/>
                <w:sz w:val="20"/>
              </w:rPr>
              <w:t>1.2</w:t>
            </w:r>
            <w:r w:rsidR="008E0649">
              <w:rPr>
                <w:rFonts w:ascii="Times New Roman" w:hAnsi="Times New Roman"/>
                <w:sz w:val="20"/>
              </w:rPr>
              <w:t>7</w:t>
            </w:r>
            <w:r w:rsidRPr="00B9035E">
              <w:rPr>
                <w:rFonts w:ascii="Times New Roman" w:hAnsi="Times New Roman"/>
                <w:sz w:val="20"/>
              </w:rPr>
              <w:t>5p expected</w:t>
            </w:r>
          </w:p>
        </w:tc>
      </w:tr>
      <w:tr w:rsidR="007B59D7" w:rsidRPr="009170B8" w:rsidTr="00AC5183">
        <w:tc>
          <w:tcPr>
            <w:tcW w:w="3365" w:type="dxa"/>
          </w:tcPr>
          <w:p w:rsidR="007B59D7" w:rsidRPr="00B9035E" w:rsidRDefault="007B59D7" w:rsidP="00FA1554">
            <w:pPr>
              <w:tabs>
                <w:tab w:val="left" w:pos="3402"/>
                <w:tab w:val="right" w:pos="8222"/>
              </w:tabs>
              <w:jc w:val="both"/>
              <w:rPr>
                <w:rFonts w:ascii="Times New Roman" w:hAnsi="Times New Roman"/>
                <w:sz w:val="20"/>
              </w:rPr>
            </w:pPr>
            <w:r w:rsidRPr="00B9035E">
              <w:rPr>
                <w:rFonts w:ascii="Times New Roman" w:hAnsi="Times New Roman"/>
                <w:sz w:val="20"/>
              </w:rPr>
              <w:t>July 201</w:t>
            </w:r>
            <w:r w:rsidR="00F7741A">
              <w:rPr>
                <w:rFonts w:ascii="Times New Roman" w:hAnsi="Times New Roman"/>
                <w:sz w:val="20"/>
              </w:rPr>
              <w:t>9</w:t>
            </w:r>
          </w:p>
        </w:tc>
        <w:tc>
          <w:tcPr>
            <w:tcW w:w="3474" w:type="dxa"/>
          </w:tcPr>
          <w:p w:rsidR="007B59D7" w:rsidRPr="00B9035E" w:rsidRDefault="007B59D7">
            <w:pPr>
              <w:tabs>
                <w:tab w:val="left" w:pos="3402"/>
                <w:tab w:val="right" w:pos="8222"/>
              </w:tabs>
              <w:jc w:val="both"/>
              <w:rPr>
                <w:rFonts w:ascii="Times New Roman" w:hAnsi="Times New Roman"/>
                <w:sz w:val="20"/>
              </w:rPr>
            </w:pPr>
            <w:r w:rsidRPr="00B9035E">
              <w:rPr>
                <w:rFonts w:ascii="Times New Roman" w:hAnsi="Times New Roman"/>
                <w:sz w:val="20"/>
              </w:rPr>
              <w:t>1.2</w:t>
            </w:r>
            <w:r w:rsidR="00E15ADE">
              <w:rPr>
                <w:rFonts w:ascii="Times New Roman" w:hAnsi="Times New Roman"/>
                <w:sz w:val="20"/>
              </w:rPr>
              <w:t>75</w:t>
            </w:r>
            <w:r w:rsidRPr="00B9035E">
              <w:rPr>
                <w:rFonts w:ascii="Times New Roman" w:hAnsi="Times New Roman"/>
                <w:sz w:val="20"/>
              </w:rPr>
              <w:t>p expected</w:t>
            </w:r>
          </w:p>
        </w:tc>
      </w:tr>
      <w:tr w:rsidR="007B59D7" w:rsidRPr="009170B8" w:rsidTr="00AC5183">
        <w:tc>
          <w:tcPr>
            <w:tcW w:w="3365" w:type="dxa"/>
          </w:tcPr>
          <w:p w:rsidR="007B59D7" w:rsidRPr="00B9035E" w:rsidRDefault="00FD77FA" w:rsidP="00FA1554">
            <w:pPr>
              <w:tabs>
                <w:tab w:val="left" w:pos="3402"/>
                <w:tab w:val="right" w:pos="8222"/>
              </w:tabs>
              <w:jc w:val="both"/>
              <w:rPr>
                <w:rFonts w:ascii="Times New Roman" w:hAnsi="Times New Roman"/>
                <w:sz w:val="20"/>
              </w:rPr>
            </w:pPr>
            <w:r w:rsidRPr="00B9035E">
              <w:rPr>
                <w:rFonts w:ascii="Times New Roman" w:hAnsi="Times New Roman"/>
                <w:sz w:val="20"/>
              </w:rPr>
              <w:t>October 2</w:t>
            </w:r>
            <w:r w:rsidR="007B59D7" w:rsidRPr="00B9035E">
              <w:rPr>
                <w:rFonts w:ascii="Times New Roman" w:hAnsi="Times New Roman"/>
                <w:sz w:val="20"/>
              </w:rPr>
              <w:t>01</w:t>
            </w:r>
            <w:r w:rsidR="00F7741A">
              <w:rPr>
                <w:rFonts w:ascii="Times New Roman" w:hAnsi="Times New Roman"/>
                <w:sz w:val="20"/>
              </w:rPr>
              <w:t>9</w:t>
            </w:r>
          </w:p>
        </w:tc>
        <w:tc>
          <w:tcPr>
            <w:tcW w:w="3474" w:type="dxa"/>
          </w:tcPr>
          <w:p w:rsidR="007B59D7" w:rsidRPr="00B9035E" w:rsidRDefault="007B59D7">
            <w:pPr>
              <w:tabs>
                <w:tab w:val="left" w:pos="3402"/>
                <w:tab w:val="right" w:pos="8222"/>
              </w:tabs>
              <w:jc w:val="both"/>
              <w:rPr>
                <w:rFonts w:ascii="Times New Roman" w:hAnsi="Times New Roman"/>
                <w:sz w:val="20"/>
              </w:rPr>
            </w:pPr>
            <w:r w:rsidRPr="00B9035E">
              <w:rPr>
                <w:rFonts w:ascii="Times New Roman" w:hAnsi="Times New Roman"/>
                <w:sz w:val="20"/>
              </w:rPr>
              <w:t>1.2</w:t>
            </w:r>
            <w:r w:rsidR="00E15ADE">
              <w:rPr>
                <w:rFonts w:ascii="Times New Roman" w:hAnsi="Times New Roman"/>
                <w:sz w:val="20"/>
              </w:rPr>
              <w:t>75</w:t>
            </w:r>
            <w:r w:rsidRPr="00B9035E">
              <w:rPr>
                <w:rFonts w:ascii="Times New Roman" w:hAnsi="Times New Roman"/>
                <w:sz w:val="20"/>
              </w:rPr>
              <w:t xml:space="preserve">p expected </w:t>
            </w:r>
          </w:p>
        </w:tc>
      </w:tr>
      <w:tr w:rsidR="007B59D7" w:rsidRPr="009170B8" w:rsidTr="00AC5183">
        <w:tc>
          <w:tcPr>
            <w:tcW w:w="3365" w:type="dxa"/>
          </w:tcPr>
          <w:p w:rsidR="007B59D7" w:rsidRPr="00B9035E" w:rsidRDefault="007B59D7" w:rsidP="00FA1554">
            <w:pPr>
              <w:tabs>
                <w:tab w:val="left" w:pos="3402"/>
                <w:tab w:val="right" w:pos="8222"/>
              </w:tabs>
              <w:jc w:val="both"/>
              <w:rPr>
                <w:rFonts w:ascii="Times New Roman" w:hAnsi="Times New Roman"/>
                <w:sz w:val="20"/>
              </w:rPr>
            </w:pPr>
            <w:r w:rsidRPr="00B9035E">
              <w:rPr>
                <w:rFonts w:ascii="Times New Roman" w:hAnsi="Times New Roman"/>
                <w:sz w:val="20"/>
              </w:rPr>
              <w:t>January 20</w:t>
            </w:r>
            <w:r w:rsidR="00F7741A">
              <w:rPr>
                <w:rFonts w:ascii="Times New Roman" w:hAnsi="Times New Roman"/>
                <w:sz w:val="20"/>
              </w:rPr>
              <w:t>20</w:t>
            </w:r>
          </w:p>
        </w:tc>
        <w:tc>
          <w:tcPr>
            <w:tcW w:w="3474" w:type="dxa"/>
          </w:tcPr>
          <w:p w:rsidR="007B59D7" w:rsidRPr="00B9035E" w:rsidRDefault="007B59D7">
            <w:pPr>
              <w:tabs>
                <w:tab w:val="left" w:pos="3402"/>
                <w:tab w:val="right" w:pos="8222"/>
              </w:tabs>
              <w:jc w:val="both"/>
              <w:rPr>
                <w:rFonts w:ascii="Times New Roman" w:hAnsi="Times New Roman"/>
                <w:sz w:val="20"/>
              </w:rPr>
            </w:pPr>
            <w:r w:rsidRPr="00B9035E">
              <w:rPr>
                <w:rFonts w:ascii="Times New Roman" w:hAnsi="Times New Roman"/>
                <w:sz w:val="20"/>
              </w:rPr>
              <w:t>1.2</w:t>
            </w:r>
            <w:r w:rsidR="00E15ADE">
              <w:rPr>
                <w:rFonts w:ascii="Times New Roman" w:hAnsi="Times New Roman"/>
                <w:sz w:val="20"/>
              </w:rPr>
              <w:t>75</w:t>
            </w:r>
            <w:r w:rsidRPr="00B9035E">
              <w:rPr>
                <w:rFonts w:ascii="Times New Roman" w:hAnsi="Times New Roman"/>
                <w:sz w:val="20"/>
              </w:rPr>
              <w:t xml:space="preserve">p expected </w:t>
            </w:r>
          </w:p>
        </w:tc>
      </w:tr>
    </w:tbl>
    <w:p w:rsidR="00A50DD8" w:rsidRDefault="00A50DD8" w:rsidP="00A50DD8">
      <w:pPr>
        <w:pStyle w:val="Heading2"/>
        <w:tabs>
          <w:tab w:val="right" w:pos="8222"/>
        </w:tabs>
        <w:rPr>
          <w:rFonts w:ascii="Times New Roman" w:hAnsi="Times New Roman"/>
        </w:rPr>
      </w:pPr>
      <w:r w:rsidRPr="009170B8">
        <w:rPr>
          <w:rFonts w:ascii="Times New Roman" w:hAnsi="Times New Roman"/>
        </w:rPr>
        <w:t>Directors’ Report (continued)</w:t>
      </w:r>
    </w:p>
    <w:p w:rsidR="00A50DD8" w:rsidRDefault="00A50DD8" w:rsidP="00A50DD8">
      <w:pPr>
        <w:pStyle w:val="Heading4"/>
        <w:rPr>
          <w:rFonts w:ascii="Times New Roman" w:hAnsi="Times New Roman"/>
        </w:rPr>
      </w:pPr>
    </w:p>
    <w:p w:rsidR="00A50DD8" w:rsidRPr="009170B8" w:rsidRDefault="00A50DD8" w:rsidP="00A50DD8">
      <w:pPr>
        <w:pStyle w:val="Heading4"/>
        <w:rPr>
          <w:rFonts w:ascii="Times New Roman" w:hAnsi="Times New Roman"/>
        </w:rPr>
      </w:pPr>
      <w:r w:rsidRPr="009170B8">
        <w:rPr>
          <w:rFonts w:ascii="Times New Roman" w:hAnsi="Times New Roman"/>
        </w:rPr>
        <w:t>Results and dividends</w:t>
      </w:r>
      <w:r>
        <w:rPr>
          <w:rFonts w:ascii="Times New Roman" w:hAnsi="Times New Roman"/>
        </w:rPr>
        <w:t xml:space="preserve"> (continued)</w:t>
      </w:r>
    </w:p>
    <w:p w:rsidR="002D7247" w:rsidRDefault="00B44D91" w:rsidP="00C87A19">
      <w:pPr>
        <w:tabs>
          <w:tab w:val="right" w:pos="8222"/>
        </w:tabs>
        <w:jc w:val="both"/>
        <w:rPr>
          <w:rFonts w:ascii="Times New Roman" w:hAnsi="Times New Roman"/>
          <w:sz w:val="20"/>
          <w:szCs w:val="20"/>
        </w:rPr>
      </w:pPr>
      <w:r w:rsidRPr="009170B8">
        <w:rPr>
          <w:rFonts w:ascii="Times New Roman" w:hAnsi="Times New Roman"/>
          <w:sz w:val="20"/>
          <w:szCs w:val="20"/>
        </w:rPr>
        <w:t>This is not a profit forecast, nor should it be construed as such.</w:t>
      </w:r>
      <w:r w:rsidR="002E6FF3" w:rsidRPr="009170B8">
        <w:rPr>
          <w:rFonts w:ascii="Times New Roman" w:hAnsi="Times New Roman"/>
          <w:sz w:val="20"/>
          <w:szCs w:val="20"/>
        </w:rPr>
        <w:t xml:space="preserve"> This is a target only and should not be treated as an assurance or guarantee of performance.</w:t>
      </w:r>
    </w:p>
    <w:p w:rsidR="002D7247" w:rsidRDefault="002D7247" w:rsidP="007B59D7">
      <w:pPr>
        <w:pStyle w:val="Heading4"/>
        <w:rPr>
          <w:rFonts w:ascii="Times New Roman" w:hAnsi="Times New Roman"/>
        </w:rPr>
      </w:pPr>
      <w:bookmarkStart w:id="20" w:name="OLE_LINK36"/>
      <w:bookmarkStart w:id="21" w:name="OLE_LINK37"/>
    </w:p>
    <w:p w:rsidR="007B59D7" w:rsidRPr="009170B8" w:rsidRDefault="007B59D7" w:rsidP="007B59D7">
      <w:pPr>
        <w:pStyle w:val="Heading4"/>
        <w:rPr>
          <w:rFonts w:ascii="Times New Roman" w:hAnsi="Times New Roman"/>
        </w:rPr>
      </w:pPr>
      <w:r w:rsidRPr="009170B8">
        <w:rPr>
          <w:rFonts w:ascii="Times New Roman" w:hAnsi="Times New Roman"/>
        </w:rPr>
        <w:t>Going concern</w:t>
      </w:r>
      <w:r w:rsidR="000947BD">
        <w:rPr>
          <w:rFonts w:ascii="Times New Roman" w:hAnsi="Times New Roman"/>
        </w:rPr>
        <w:t xml:space="preserve"> and Viability</w:t>
      </w:r>
    </w:p>
    <w:bookmarkEnd w:id="20"/>
    <w:bookmarkEnd w:id="21"/>
    <w:p w:rsidR="00974BA7" w:rsidRPr="00D54AA3" w:rsidRDefault="00B44D91">
      <w:pPr>
        <w:autoSpaceDE w:val="0"/>
        <w:autoSpaceDN w:val="0"/>
        <w:adjustRightInd w:val="0"/>
        <w:spacing w:after="240"/>
        <w:jc w:val="both"/>
        <w:rPr>
          <w:rFonts w:ascii="Times New Roman" w:hAnsi="Times New Roman"/>
          <w:sz w:val="20"/>
          <w:szCs w:val="20"/>
          <w:lang w:eastAsia="en-GB"/>
        </w:rPr>
      </w:pPr>
      <w:r w:rsidRPr="009170B8">
        <w:rPr>
          <w:rFonts w:ascii="Times New Roman" w:hAnsi="Times New Roman"/>
          <w:sz w:val="20"/>
          <w:szCs w:val="20"/>
          <w:lang w:eastAsia="en-GB"/>
        </w:rPr>
        <w:t>The performance of the investments held by the Fund over the reporting year is described in the Statement of Co</w:t>
      </w:r>
      <w:r w:rsidR="00C91D6E" w:rsidRPr="009170B8">
        <w:rPr>
          <w:rFonts w:ascii="Times New Roman" w:hAnsi="Times New Roman"/>
          <w:sz w:val="20"/>
          <w:szCs w:val="20"/>
          <w:lang w:eastAsia="en-GB"/>
        </w:rPr>
        <w:t xml:space="preserve">mprehensive Income and in note </w:t>
      </w:r>
      <w:r w:rsidR="00102569" w:rsidRPr="009170B8">
        <w:rPr>
          <w:rFonts w:ascii="Times New Roman" w:hAnsi="Times New Roman"/>
          <w:sz w:val="20"/>
          <w:szCs w:val="20"/>
          <w:lang w:eastAsia="en-GB"/>
        </w:rPr>
        <w:t>9</w:t>
      </w:r>
      <w:r w:rsidRPr="009170B8">
        <w:rPr>
          <w:rFonts w:ascii="Times New Roman" w:hAnsi="Times New Roman"/>
          <w:sz w:val="20"/>
          <w:szCs w:val="20"/>
          <w:lang w:eastAsia="en-GB"/>
        </w:rPr>
        <w:t xml:space="preserve"> to the financial statements and the outlook for the future is described in the Chairman’s </w:t>
      </w:r>
      <w:r w:rsidR="008C2CBC" w:rsidRPr="009170B8">
        <w:rPr>
          <w:rFonts w:ascii="Times New Roman" w:hAnsi="Times New Roman"/>
          <w:sz w:val="20"/>
          <w:szCs w:val="20"/>
          <w:lang w:eastAsia="en-GB"/>
        </w:rPr>
        <w:t>Report</w:t>
      </w:r>
      <w:r w:rsidRPr="009170B8">
        <w:rPr>
          <w:rFonts w:ascii="Times New Roman" w:hAnsi="Times New Roman"/>
          <w:sz w:val="20"/>
          <w:szCs w:val="20"/>
          <w:lang w:eastAsia="en-GB"/>
        </w:rPr>
        <w:t xml:space="preserve"> and the Investment Manager’s Report. The Company’s financial position, its cash flows and liquidity position are set out in the financial statements and the Company’s financial risk management objectives and policies, details of its financial instruments and its exposures to market price risk, credit risk, liquidity risk, interest rate risk</w:t>
      </w:r>
      <w:r w:rsidR="00442123">
        <w:rPr>
          <w:rFonts w:ascii="Times New Roman" w:hAnsi="Times New Roman"/>
          <w:sz w:val="20"/>
          <w:szCs w:val="20"/>
          <w:lang w:eastAsia="en-GB"/>
        </w:rPr>
        <w:t>, currency risk and</w:t>
      </w:r>
      <w:r w:rsidR="00AA7AB2">
        <w:rPr>
          <w:rFonts w:ascii="Times New Roman" w:hAnsi="Times New Roman"/>
          <w:sz w:val="20"/>
          <w:szCs w:val="20"/>
          <w:lang w:eastAsia="en-GB"/>
        </w:rPr>
        <w:t xml:space="preserve"> country risk</w:t>
      </w:r>
      <w:r w:rsidRPr="009170B8">
        <w:rPr>
          <w:rFonts w:ascii="Times New Roman" w:hAnsi="Times New Roman"/>
          <w:sz w:val="20"/>
          <w:szCs w:val="20"/>
          <w:lang w:eastAsia="en-GB"/>
        </w:rPr>
        <w:t xml:space="preserve"> are set out at</w:t>
      </w:r>
      <w:r w:rsidR="002D7247">
        <w:rPr>
          <w:rFonts w:ascii="Times New Roman" w:hAnsi="Times New Roman"/>
          <w:sz w:val="20"/>
          <w:szCs w:val="20"/>
          <w:lang w:eastAsia="en-GB"/>
        </w:rPr>
        <w:t xml:space="preserve"> </w:t>
      </w:r>
      <w:r w:rsidRPr="009170B8">
        <w:rPr>
          <w:rFonts w:ascii="Times New Roman" w:hAnsi="Times New Roman"/>
          <w:sz w:val="20"/>
          <w:szCs w:val="20"/>
          <w:lang w:eastAsia="en-GB"/>
        </w:rPr>
        <w:t xml:space="preserve">note </w:t>
      </w:r>
      <w:r w:rsidR="00C91D6E" w:rsidRPr="009170B8">
        <w:rPr>
          <w:rFonts w:ascii="Times New Roman" w:hAnsi="Times New Roman"/>
          <w:sz w:val="20"/>
          <w:szCs w:val="20"/>
          <w:lang w:eastAsia="en-GB"/>
        </w:rPr>
        <w:t>16</w:t>
      </w:r>
      <w:r w:rsidRPr="009170B8">
        <w:rPr>
          <w:rFonts w:ascii="Times New Roman" w:hAnsi="Times New Roman"/>
          <w:sz w:val="20"/>
          <w:szCs w:val="20"/>
          <w:lang w:eastAsia="en-GB"/>
        </w:rPr>
        <w:t xml:space="preserve"> to the financial statements.</w:t>
      </w:r>
      <w:r w:rsidR="00FB0B00">
        <w:rPr>
          <w:rFonts w:ascii="Times New Roman" w:hAnsi="Times New Roman"/>
          <w:sz w:val="20"/>
          <w:szCs w:val="20"/>
          <w:lang w:eastAsia="en-GB"/>
        </w:rPr>
        <w:t xml:space="preserve"> The Company’s long term viability and assessment of longer term risks to which the Company is exposed are also reported upon in the Company’s long term viability statement included</w:t>
      </w:r>
      <w:r w:rsidR="00556416">
        <w:rPr>
          <w:rFonts w:ascii="Times New Roman" w:hAnsi="Times New Roman"/>
          <w:sz w:val="20"/>
          <w:szCs w:val="20"/>
          <w:lang w:eastAsia="en-GB"/>
        </w:rPr>
        <w:t xml:space="preserve"> below</w:t>
      </w:r>
      <w:r w:rsidR="00FB0B00">
        <w:rPr>
          <w:rFonts w:ascii="Times New Roman" w:hAnsi="Times New Roman"/>
          <w:sz w:val="20"/>
          <w:szCs w:val="20"/>
          <w:lang w:eastAsia="en-GB"/>
        </w:rPr>
        <w:t>.</w:t>
      </w:r>
    </w:p>
    <w:p w:rsidR="00B44D91" w:rsidRPr="009170B8" w:rsidRDefault="00B44D91" w:rsidP="00102569">
      <w:pPr>
        <w:autoSpaceDE w:val="0"/>
        <w:autoSpaceDN w:val="0"/>
        <w:adjustRightInd w:val="0"/>
        <w:spacing w:after="240"/>
        <w:jc w:val="both"/>
        <w:rPr>
          <w:rFonts w:ascii="Times New Roman" w:hAnsi="Times New Roman"/>
          <w:sz w:val="20"/>
          <w:szCs w:val="20"/>
          <w:lang w:eastAsia="en-GB"/>
        </w:rPr>
      </w:pPr>
      <w:r w:rsidRPr="009170B8">
        <w:rPr>
          <w:rFonts w:ascii="Times New Roman" w:hAnsi="Times New Roman"/>
          <w:sz w:val="20"/>
          <w:szCs w:val="20"/>
          <w:lang w:eastAsia="en-GB"/>
        </w:rPr>
        <w:t xml:space="preserve">The financial statements have been prepared on a going concern basis, supported by the directors’ current assessment of the </w:t>
      </w:r>
      <w:r w:rsidR="00007938">
        <w:rPr>
          <w:rFonts w:ascii="Times New Roman" w:hAnsi="Times New Roman"/>
          <w:sz w:val="20"/>
          <w:szCs w:val="20"/>
          <w:lang w:eastAsia="en-GB"/>
        </w:rPr>
        <w:t>Company</w:t>
      </w:r>
      <w:r w:rsidR="00007938" w:rsidRPr="009170B8">
        <w:rPr>
          <w:rFonts w:ascii="Times New Roman" w:hAnsi="Times New Roman"/>
          <w:sz w:val="20"/>
          <w:szCs w:val="20"/>
          <w:lang w:eastAsia="en-GB"/>
        </w:rPr>
        <w:t xml:space="preserve">’s </w:t>
      </w:r>
      <w:r w:rsidRPr="009170B8">
        <w:rPr>
          <w:rFonts w:ascii="Times New Roman" w:hAnsi="Times New Roman"/>
          <w:sz w:val="20"/>
          <w:szCs w:val="20"/>
          <w:lang w:eastAsia="en-GB"/>
        </w:rPr>
        <w:t>position</w:t>
      </w:r>
      <w:r w:rsidR="00C50E62">
        <w:rPr>
          <w:rFonts w:ascii="Times New Roman" w:hAnsi="Times New Roman"/>
          <w:sz w:val="20"/>
          <w:szCs w:val="20"/>
          <w:lang w:eastAsia="en-GB"/>
        </w:rPr>
        <w:t xml:space="preserve"> based on the following factors</w:t>
      </w:r>
      <w:r w:rsidRPr="009170B8">
        <w:rPr>
          <w:rFonts w:ascii="Times New Roman" w:hAnsi="Times New Roman"/>
          <w:sz w:val="20"/>
          <w:szCs w:val="20"/>
          <w:lang w:eastAsia="en-GB"/>
        </w:rPr>
        <w:t>:</w:t>
      </w:r>
    </w:p>
    <w:p w:rsidR="00B44D91" w:rsidRPr="009170B8" w:rsidRDefault="00B44D91" w:rsidP="00A60442">
      <w:pPr>
        <w:pStyle w:val="ListParagraph"/>
        <w:numPr>
          <w:ilvl w:val="0"/>
          <w:numId w:val="13"/>
        </w:numPr>
        <w:autoSpaceDE w:val="0"/>
        <w:autoSpaceDN w:val="0"/>
        <w:adjustRightInd w:val="0"/>
        <w:rPr>
          <w:rFonts w:ascii="Times New Roman" w:hAnsi="Times New Roman"/>
          <w:sz w:val="20"/>
          <w:szCs w:val="20"/>
        </w:rPr>
      </w:pPr>
      <w:r w:rsidRPr="009170B8">
        <w:rPr>
          <w:rFonts w:ascii="Times New Roman" w:hAnsi="Times New Roman"/>
          <w:sz w:val="20"/>
          <w:szCs w:val="20"/>
        </w:rPr>
        <w:t>ongoing shareholder interest in the continuation of the Fund;</w:t>
      </w:r>
    </w:p>
    <w:p w:rsidR="00B44D91" w:rsidRPr="009170B8" w:rsidRDefault="00B44D91" w:rsidP="00A60442">
      <w:pPr>
        <w:pStyle w:val="ListParagraph"/>
        <w:numPr>
          <w:ilvl w:val="0"/>
          <w:numId w:val="13"/>
        </w:numPr>
        <w:tabs>
          <w:tab w:val="left" w:pos="709"/>
          <w:tab w:val="right" w:pos="8222"/>
        </w:tabs>
        <w:jc w:val="both"/>
        <w:rPr>
          <w:rFonts w:ascii="Times New Roman" w:hAnsi="Times New Roman"/>
          <w:sz w:val="20"/>
          <w:szCs w:val="20"/>
        </w:rPr>
      </w:pPr>
      <w:r w:rsidRPr="009170B8">
        <w:rPr>
          <w:rFonts w:ascii="Times New Roman" w:hAnsi="Times New Roman"/>
          <w:sz w:val="20"/>
          <w:szCs w:val="20"/>
        </w:rPr>
        <w:t xml:space="preserve">the </w:t>
      </w:r>
      <w:r w:rsidR="00007938">
        <w:rPr>
          <w:rFonts w:ascii="Times New Roman" w:hAnsi="Times New Roman"/>
          <w:sz w:val="20"/>
          <w:szCs w:val="20"/>
        </w:rPr>
        <w:t>Company</w:t>
      </w:r>
      <w:r w:rsidR="00007938" w:rsidRPr="009170B8">
        <w:rPr>
          <w:rFonts w:ascii="Times New Roman" w:hAnsi="Times New Roman"/>
          <w:sz w:val="20"/>
          <w:szCs w:val="20"/>
        </w:rPr>
        <w:t xml:space="preserve"> </w:t>
      </w:r>
      <w:r w:rsidRPr="009170B8">
        <w:rPr>
          <w:rFonts w:ascii="Times New Roman" w:hAnsi="Times New Roman"/>
          <w:sz w:val="20"/>
          <w:szCs w:val="20"/>
        </w:rPr>
        <w:t>has sufficient liquidity</w:t>
      </w:r>
      <w:r w:rsidR="00762429">
        <w:rPr>
          <w:rFonts w:ascii="Times New Roman" w:hAnsi="Times New Roman"/>
          <w:sz w:val="20"/>
          <w:szCs w:val="20"/>
        </w:rPr>
        <w:t xml:space="preserve"> in the form of cash assets</w:t>
      </w:r>
      <w:r w:rsidRPr="009170B8">
        <w:rPr>
          <w:rFonts w:ascii="Times New Roman" w:hAnsi="Times New Roman"/>
          <w:sz w:val="20"/>
          <w:szCs w:val="20"/>
        </w:rPr>
        <w:t xml:space="preserve"> to meet all on-going expenses;</w:t>
      </w:r>
    </w:p>
    <w:p w:rsidR="00B44D91" w:rsidRPr="009170B8" w:rsidRDefault="00B44D91" w:rsidP="00A60442">
      <w:pPr>
        <w:pStyle w:val="ListParagraph"/>
        <w:numPr>
          <w:ilvl w:val="0"/>
          <w:numId w:val="13"/>
        </w:numPr>
        <w:tabs>
          <w:tab w:val="left" w:pos="709"/>
          <w:tab w:val="right" w:pos="8222"/>
        </w:tabs>
        <w:jc w:val="both"/>
        <w:rPr>
          <w:rFonts w:ascii="Times New Roman" w:hAnsi="Times New Roman"/>
          <w:sz w:val="20"/>
          <w:szCs w:val="20"/>
        </w:rPr>
      </w:pPr>
      <w:r w:rsidRPr="009170B8">
        <w:rPr>
          <w:rFonts w:ascii="Times New Roman" w:hAnsi="Times New Roman"/>
          <w:sz w:val="20"/>
          <w:szCs w:val="20"/>
        </w:rPr>
        <w:t>should the need arise, the directors have the option to reduce dividend payments in order to positively affect the Fund’s cash flows; and</w:t>
      </w:r>
    </w:p>
    <w:p w:rsidR="00B44D91" w:rsidRPr="009170B8" w:rsidRDefault="00B44D91" w:rsidP="00A60442">
      <w:pPr>
        <w:pStyle w:val="ListParagraph"/>
        <w:numPr>
          <w:ilvl w:val="0"/>
          <w:numId w:val="13"/>
        </w:numPr>
        <w:tabs>
          <w:tab w:val="left" w:pos="709"/>
          <w:tab w:val="right" w:pos="8222"/>
        </w:tabs>
        <w:jc w:val="both"/>
        <w:rPr>
          <w:rFonts w:ascii="Times New Roman" w:hAnsi="Times New Roman"/>
          <w:sz w:val="20"/>
          <w:szCs w:val="20"/>
        </w:rPr>
      </w:pPr>
      <w:r w:rsidRPr="009170B8">
        <w:rPr>
          <w:rFonts w:ascii="Times New Roman" w:hAnsi="Times New Roman"/>
          <w:sz w:val="20"/>
          <w:szCs w:val="20"/>
        </w:rPr>
        <w:t>the</w:t>
      </w:r>
      <w:r w:rsidR="00054C78">
        <w:rPr>
          <w:rFonts w:ascii="Times New Roman" w:hAnsi="Times New Roman"/>
          <w:sz w:val="20"/>
          <w:szCs w:val="20"/>
        </w:rPr>
        <w:t xml:space="preserve"> </w:t>
      </w:r>
      <w:r w:rsidRPr="009170B8">
        <w:rPr>
          <w:rFonts w:ascii="Times New Roman" w:hAnsi="Times New Roman"/>
          <w:sz w:val="20"/>
          <w:szCs w:val="20"/>
        </w:rPr>
        <w:t xml:space="preserve">Fund’s investments in Canadian </w:t>
      </w:r>
      <w:r w:rsidR="00252CC1">
        <w:rPr>
          <w:rFonts w:ascii="Times New Roman" w:hAnsi="Times New Roman"/>
          <w:sz w:val="20"/>
          <w:szCs w:val="20"/>
        </w:rPr>
        <w:t xml:space="preserve">and U.S. </w:t>
      </w:r>
      <w:r w:rsidRPr="009170B8">
        <w:rPr>
          <w:rFonts w:ascii="Times New Roman" w:hAnsi="Times New Roman"/>
          <w:sz w:val="20"/>
          <w:szCs w:val="20"/>
        </w:rPr>
        <w:t>securities are readily realisable to meet liquidity requirements</w:t>
      </w:r>
      <w:r w:rsidR="00762429">
        <w:rPr>
          <w:rFonts w:ascii="Times New Roman" w:hAnsi="Times New Roman"/>
          <w:sz w:val="20"/>
          <w:szCs w:val="20"/>
        </w:rPr>
        <w:t>,</w:t>
      </w:r>
      <w:r w:rsidR="00007938">
        <w:rPr>
          <w:rFonts w:ascii="Times New Roman" w:hAnsi="Times New Roman"/>
          <w:sz w:val="20"/>
          <w:szCs w:val="20"/>
        </w:rPr>
        <w:t xml:space="preserve"> if necessary</w:t>
      </w:r>
      <w:r w:rsidRPr="009170B8">
        <w:rPr>
          <w:rFonts w:ascii="Times New Roman" w:hAnsi="Times New Roman"/>
          <w:sz w:val="20"/>
          <w:szCs w:val="20"/>
        </w:rPr>
        <w:t>.</w:t>
      </w:r>
    </w:p>
    <w:p w:rsidR="00B44D91" w:rsidRPr="009170B8" w:rsidRDefault="00B44D91" w:rsidP="00102569">
      <w:pPr>
        <w:tabs>
          <w:tab w:val="left" w:pos="709"/>
          <w:tab w:val="right" w:pos="8222"/>
        </w:tabs>
        <w:jc w:val="both"/>
        <w:rPr>
          <w:rFonts w:ascii="Times New Roman" w:hAnsi="Times New Roman"/>
          <w:sz w:val="20"/>
          <w:szCs w:val="20"/>
        </w:rPr>
      </w:pPr>
    </w:p>
    <w:p w:rsidR="00B44D91" w:rsidRPr="009170B8" w:rsidRDefault="00B44D91" w:rsidP="00102569">
      <w:pPr>
        <w:autoSpaceDE w:val="0"/>
        <w:autoSpaceDN w:val="0"/>
        <w:adjustRightInd w:val="0"/>
        <w:spacing w:after="240"/>
        <w:jc w:val="both"/>
        <w:rPr>
          <w:rFonts w:ascii="Times New Roman" w:hAnsi="Times New Roman"/>
          <w:sz w:val="20"/>
          <w:szCs w:val="20"/>
          <w:lang w:eastAsia="en-GB"/>
        </w:rPr>
      </w:pPr>
      <w:r w:rsidRPr="009170B8">
        <w:rPr>
          <w:rFonts w:ascii="Times New Roman" w:hAnsi="Times New Roman"/>
          <w:sz w:val="20"/>
          <w:szCs w:val="20"/>
          <w:lang w:eastAsia="en-GB"/>
        </w:rPr>
        <w:t xml:space="preserve">Based on the above, </w:t>
      </w:r>
      <w:r w:rsidRPr="009170B8">
        <w:rPr>
          <w:rFonts w:ascii="Times New Roman" w:hAnsi="Times New Roman"/>
          <w:sz w:val="20"/>
          <w:szCs w:val="20"/>
        </w:rPr>
        <w:t xml:space="preserve">in the opinion of the directors, there is a reasonable expectation that the </w:t>
      </w:r>
      <w:r w:rsidR="00CD6D7F">
        <w:rPr>
          <w:rFonts w:ascii="Times New Roman" w:hAnsi="Times New Roman"/>
          <w:sz w:val="20"/>
          <w:szCs w:val="20"/>
        </w:rPr>
        <w:t xml:space="preserve">Company </w:t>
      </w:r>
      <w:r w:rsidRPr="009170B8">
        <w:rPr>
          <w:rFonts w:ascii="Times New Roman" w:hAnsi="Times New Roman"/>
          <w:sz w:val="20"/>
          <w:szCs w:val="20"/>
        </w:rPr>
        <w:t xml:space="preserve">has adequate resources to continue in operational existence for the foreseeable future.  </w:t>
      </w:r>
    </w:p>
    <w:p w:rsidR="00B44D91" w:rsidRPr="009170B8" w:rsidRDefault="00B44D91" w:rsidP="00B44D91">
      <w:pPr>
        <w:autoSpaceDE w:val="0"/>
        <w:autoSpaceDN w:val="0"/>
        <w:adjustRightInd w:val="0"/>
        <w:spacing w:after="240"/>
        <w:jc w:val="both"/>
        <w:rPr>
          <w:rFonts w:ascii="Times New Roman" w:hAnsi="Times New Roman"/>
          <w:sz w:val="20"/>
          <w:szCs w:val="20"/>
          <w:lang w:eastAsia="en-GB"/>
        </w:rPr>
      </w:pPr>
      <w:r w:rsidRPr="009170B8">
        <w:rPr>
          <w:rFonts w:ascii="Times New Roman" w:hAnsi="Times New Roman"/>
          <w:sz w:val="20"/>
          <w:szCs w:val="20"/>
          <w:lang w:eastAsia="en-GB"/>
        </w:rPr>
        <w:t>The directors have also considered the application of the Statement of Recommended Practice for Financial Statements of Investment Trust Companies and Venture Capital Trusts, whereby the going concern basis of preparation of the financial statements is considered appropriate until a vote is passed to discontinue the Fund</w:t>
      </w:r>
      <w:r w:rsidR="00C945A6">
        <w:rPr>
          <w:rFonts w:ascii="Times New Roman" w:hAnsi="Times New Roman"/>
          <w:sz w:val="20"/>
          <w:szCs w:val="20"/>
          <w:lang w:eastAsia="en-GB"/>
        </w:rPr>
        <w:t xml:space="preserve"> or Company</w:t>
      </w:r>
      <w:r w:rsidRPr="009170B8">
        <w:rPr>
          <w:rFonts w:ascii="Times New Roman" w:hAnsi="Times New Roman"/>
          <w:sz w:val="20"/>
          <w:szCs w:val="20"/>
          <w:lang w:eastAsia="en-GB"/>
        </w:rPr>
        <w:t>.</w:t>
      </w:r>
      <w:r w:rsidR="00D67366">
        <w:rPr>
          <w:rFonts w:ascii="Times New Roman" w:hAnsi="Times New Roman"/>
          <w:sz w:val="20"/>
          <w:szCs w:val="20"/>
          <w:lang w:eastAsia="en-GB"/>
        </w:rPr>
        <w:t xml:space="preserve"> </w:t>
      </w:r>
      <w:r w:rsidR="00D67366">
        <w:rPr>
          <w:rFonts w:ascii="Times New Roman" w:hAnsi="Times New Roman"/>
          <w:sz w:val="20"/>
          <w:szCs w:val="20"/>
        </w:rPr>
        <w:t xml:space="preserve">At the Fund’s </w:t>
      </w:r>
      <w:r w:rsidR="00C945A6">
        <w:rPr>
          <w:rFonts w:ascii="Times New Roman" w:hAnsi="Times New Roman"/>
          <w:sz w:val="20"/>
          <w:szCs w:val="20"/>
        </w:rPr>
        <w:t xml:space="preserve">Cell AGM </w:t>
      </w:r>
      <w:r w:rsidR="00D67366">
        <w:rPr>
          <w:rFonts w:ascii="Times New Roman" w:hAnsi="Times New Roman"/>
          <w:sz w:val="20"/>
          <w:szCs w:val="20"/>
        </w:rPr>
        <w:t xml:space="preserve">held on 16 May 2013 a continuation vote was proposed and passed unanimously by those shareholders voting at the meeting.  There is no requirement under the </w:t>
      </w:r>
      <w:r w:rsidR="00C945A6">
        <w:rPr>
          <w:rFonts w:ascii="Times New Roman" w:hAnsi="Times New Roman"/>
          <w:sz w:val="20"/>
          <w:szCs w:val="20"/>
        </w:rPr>
        <w:t xml:space="preserve">Company’s and </w:t>
      </w:r>
      <w:r w:rsidR="00D67366">
        <w:rPr>
          <w:rFonts w:ascii="Times New Roman" w:hAnsi="Times New Roman"/>
          <w:sz w:val="20"/>
          <w:szCs w:val="20"/>
        </w:rPr>
        <w:t>Fund’s articles of association to propose any future continuation vote</w:t>
      </w:r>
      <w:r w:rsidR="00C945A6">
        <w:rPr>
          <w:rFonts w:ascii="Times New Roman" w:hAnsi="Times New Roman"/>
          <w:sz w:val="20"/>
          <w:szCs w:val="20"/>
        </w:rPr>
        <w:t xml:space="preserve"> in respect of either the Company as a whole or the Fund</w:t>
      </w:r>
      <w:r w:rsidR="00D67366">
        <w:rPr>
          <w:rFonts w:ascii="Times New Roman" w:hAnsi="Times New Roman"/>
          <w:sz w:val="20"/>
          <w:szCs w:val="20"/>
        </w:rPr>
        <w:t xml:space="preserve"> </w:t>
      </w:r>
      <w:r w:rsidR="00C945A6">
        <w:rPr>
          <w:rFonts w:ascii="Times New Roman" w:hAnsi="Times New Roman"/>
          <w:sz w:val="20"/>
          <w:szCs w:val="20"/>
        </w:rPr>
        <w:t xml:space="preserve">itself </w:t>
      </w:r>
      <w:r w:rsidR="00D67366">
        <w:rPr>
          <w:rFonts w:ascii="Times New Roman" w:hAnsi="Times New Roman"/>
          <w:sz w:val="20"/>
          <w:szCs w:val="20"/>
        </w:rPr>
        <w:t>and the directors have no intention of proposing a</w:t>
      </w:r>
      <w:r w:rsidR="00C945A6">
        <w:rPr>
          <w:rFonts w:ascii="Times New Roman" w:hAnsi="Times New Roman"/>
          <w:sz w:val="20"/>
          <w:szCs w:val="20"/>
        </w:rPr>
        <w:t>ny</w:t>
      </w:r>
      <w:r w:rsidR="00D67366">
        <w:rPr>
          <w:rFonts w:ascii="Times New Roman" w:hAnsi="Times New Roman"/>
          <w:sz w:val="20"/>
          <w:szCs w:val="20"/>
        </w:rPr>
        <w:t xml:space="preserve"> continuation vote in the foreseeable future</w:t>
      </w:r>
      <w:r w:rsidR="00C945A6">
        <w:rPr>
          <w:rFonts w:ascii="Times New Roman" w:hAnsi="Times New Roman"/>
          <w:sz w:val="20"/>
          <w:szCs w:val="20"/>
        </w:rPr>
        <w:t>, subject to unforeseen future events</w:t>
      </w:r>
      <w:r w:rsidR="00D67366">
        <w:rPr>
          <w:rFonts w:ascii="Times New Roman" w:hAnsi="Times New Roman"/>
          <w:sz w:val="20"/>
          <w:szCs w:val="20"/>
        </w:rPr>
        <w:t>.</w:t>
      </w:r>
    </w:p>
    <w:p w:rsidR="007B59D7" w:rsidRDefault="00B44D91" w:rsidP="00B44D91">
      <w:pPr>
        <w:tabs>
          <w:tab w:val="left" w:pos="3402"/>
          <w:tab w:val="right" w:pos="8222"/>
        </w:tabs>
        <w:jc w:val="both"/>
        <w:rPr>
          <w:rFonts w:ascii="Times New Roman" w:hAnsi="Times New Roman"/>
          <w:sz w:val="20"/>
          <w:szCs w:val="20"/>
        </w:rPr>
      </w:pPr>
      <w:r w:rsidRPr="009170B8">
        <w:rPr>
          <w:rFonts w:ascii="Times New Roman" w:hAnsi="Times New Roman"/>
          <w:sz w:val="20"/>
          <w:szCs w:val="20"/>
        </w:rPr>
        <w:t>For these reasons</w:t>
      </w:r>
      <w:r w:rsidR="000620E4">
        <w:rPr>
          <w:rFonts w:ascii="Times New Roman" w:hAnsi="Times New Roman"/>
          <w:sz w:val="20"/>
          <w:szCs w:val="20"/>
        </w:rPr>
        <w:t>,</w:t>
      </w:r>
      <w:r w:rsidRPr="009170B8">
        <w:rPr>
          <w:rFonts w:ascii="Times New Roman" w:hAnsi="Times New Roman"/>
          <w:sz w:val="20"/>
          <w:szCs w:val="20"/>
        </w:rPr>
        <w:t xml:space="preserve"> the financial statements have been prepared using the going concern basis.</w:t>
      </w:r>
    </w:p>
    <w:p w:rsidR="000871D0" w:rsidRDefault="000871D0" w:rsidP="00B44D91">
      <w:pPr>
        <w:tabs>
          <w:tab w:val="left" w:pos="3402"/>
          <w:tab w:val="right" w:pos="8222"/>
        </w:tabs>
        <w:jc w:val="both"/>
        <w:rPr>
          <w:rFonts w:ascii="Times New Roman" w:hAnsi="Times New Roman"/>
          <w:sz w:val="20"/>
          <w:szCs w:val="20"/>
        </w:rPr>
      </w:pPr>
    </w:p>
    <w:p w:rsidR="000871D0" w:rsidRPr="008D28E4" w:rsidRDefault="000871D0" w:rsidP="000871D0">
      <w:pPr>
        <w:pStyle w:val="Heading2"/>
        <w:tabs>
          <w:tab w:val="right" w:pos="8222"/>
        </w:tabs>
        <w:rPr>
          <w:rFonts w:ascii="Times New Roman" w:hAnsi="Times New Roman"/>
          <w:sz w:val="20"/>
          <w:szCs w:val="20"/>
        </w:rPr>
      </w:pPr>
      <w:r w:rsidRPr="008D28E4">
        <w:rPr>
          <w:rFonts w:ascii="Times New Roman" w:hAnsi="Times New Roman"/>
          <w:sz w:val="20"/>
          <w:szCs w:val="20"/>
        </w:rPr>
        <w:t xml:space="preserve">Viability Statement </w:t>
      </w:r>
    </w:p>
    <w:p w:rsidR="00E54387" w:rsidRDefault="00E54387" w:rsidP="00C87A19">
      <w:pPr>
        <w:tabs>
          <w:tab w:val="left" w:pos="3402"/>
          <w:tab w:val="right" w:pos="8222"/>
        </w:tabs>
        <w:jc w:val="both"/>
        <w:rPr>
          <w:rFonts w:ascii="Times New Roman" w:hAnsi="Times New Roman"/>
          <w:sz w:val="20"/>
          <w:szCs w:val="20"/>
        </w:rPr>
      </w:pPr>
      <w:r w:rsidRPr="00F9062B">
        <w:rPr>
          <w:rFonts w:ascii="Times New Roman" w:hAnsi="Times New Roman"/>
          <w:sz w:val="20"/>
          <w:szCs w:val="20"/>
        </w:rPr>
        <w:t>Principle 21 of the AIC Code of Corporate Governance includes a recommendation that the directors publish a long term viability statement and this statement is intended to meet that requirement.</w:t>
      </w:r>
    </w:p>
    <w:p w:rsidR="00883DF2" w:rsidRPr="00C87A19" w:rsidRDefault="00883DF2" w:rsidP="00C87A19">
      <w:pPr>
        <w:tabs>
          <w:tab w:val="left" w:pos="3402"/>
          <w:tab w:val="right" w:pos="8222"/>
        </w:tabs>
        <w:jc w:val="both"/>
        <w:rPr>
          <w:rFonts w:ascii="Times New Roman" w:hAnsi="Times New Roman"/>
          <w:sz w:val="20"/>
          <w:szCs w:val="20"/>
        </w:rPr>
      </w:pPr>
    </w:p>
    <w:p w:rsidR="00E54387" w:rsidRPr="001561D3" w:rsidRDefault="00E54387" w:rsidP="00E54387">
      <w:pPr>
        <w:tabs>
          <w:tab w:val="left" w:pos="3402"/>
          <w:tab w:val="right" w:pos="8222"/>
        </w:tabs>
        <w:jc w:val="both"/>
        <w:rPr>
          <w:rFonts w:ascii="Times New Roman" w:hAnsi="Times New Roman"/>
          <w:sz w:val="20"/>
          <w:szCs w:val="20"/>
        </w:rPr>
      </w:pPr>
      <w:r w:rsidRPr="001561D3">
        <w:rPr>
          <w:rFonts w:ascii="Times New Roman" w:hAnsi="Times New Roman"/>
          <w:sz w:val="20"/>
          <w:szCs w:val="20"/>
        </w:rPr>
        <w:t>The Board of Directors regularly assesses the viability of the Company for at least the three years following the date of that review. In considering the Company’s viability, the Board considers the Company’s current position and the principal risks to which it is exposed including, but not necessarily limited to, the viability of its investment objective and policy, its exposure to the North American and global economy, foreign exchange risk, gearing risk, hedging risk, interest rate risk, investor demand for equity securities, portfolio performance, liquidity, stability of income generation, taxation risk, dependence on the investment manager, conflicts of interest, and entity / legal risk, such as changes in applicable laws and regulations.</w:t>
      </w:r>
    </w:p>
    <w:p w:rsidR="00E54387" w:rsidRPr="001561D3" w:rsidRDefault="00E54387" w:rsidP="00E54387">
      <w:pPr>
        <w:tabs>
          <w:tab w:val="left" w:pos="3402"/>
          <w:tab w:val="right" w:pos="8222"/>
        </w:tabs>
        <w:jc w:val="both"/>
        <w:rPr>
          <w:rFonts w:ascii="Times New Roman" w:hAnsi="Times New Roman"/>
          <w:sz w:val="20"/>
          <w:szCs w:val="20"/>
        </w:rPr>
      </w:pPr>
    </w:p>
    <w:p w:rsidR="00E54387" w:rsidRPr="001561D3" w:rsidRDefault="00E54387" w:rsidP="00E54387">
      <w:pPr>
        <w:tabs>
          <w:tab w:val="left" w:pos="3402"/>
          <w:tab w:val="right" w:pos="8222"/>
        </w:tabs>
        <w:jc w:val="both"/>
        <w:rPr>
          <w:rFonts w:ascii="Times New Roman" w:hAnsi="Times New Roman"/>
          <w:sz w:val="20"/>
          <w:szCs w:val="20"/>
        </w:rPr>
      </w:pPr>
      <w:r w:rsidRPr="001561D3">
        <w:rPr>
          <w:rFonts w:ascii="Times New Roman" w:hAnsi="Times New Roman"/>
          <w:sz w:val="20"/>
          <w:szCs w:val="20"/>
        </w:rPr>
        <w:t>The Directors have made a robust assessment of these principal risks and, together with the Company’s Investment Manager, have adopted procedures and strategies to mitigate these risks. The Fund has an established investment policy, which has been approved and is monitored by the Directors. The Company’s Investment Manager seeks to operate within this policy, which limits the various elements of portfolio risk, including exposure to any one particular security, sector, asset class or geographical area. The Investment Manager regularly updates the Directors on the Company’s portfolio and the overall status of the market. The Directors perform a solvency and investment trust test (for compliance with the requirement to distribute at least 85% of investment income received) before any dividend is declared. In performing its viability analysis, the Board has made the assumption that global growth will continue over the near term.</w:t>
      </w:r>
    </w:p>
    <w:p w:rsidR="00A50DD8" w:rsidRDefault="00A50DD8" w:rsidP="00C87A19">
      <w:pPr>
        <w:tabs>
          <w:tab w:val="left" w:pos="3402"/>
          <w:tab w:val="right" w:pos="8222"/>
        </w:tabs>
        <w:jc w:val="both"/>
        <w:rPr>
          <w:rFonts w:ascii="Times New Roman" w:hAnsi="Times New Roman"/>
          <w:sz w:val="20"/>
          <w:szCs w:val="20"/>
        </w:rPr>
      </w:pPr>
    </w:p>
    <w:p w:rsidR="00A50DD8" w:rsidRDefault="00A50DD8" w:rsidP="00C87A19">
      <w:pPr>
        <w:tabs>
          <w:tab w:val="left" w:pos="3402"/>
          <w:tab w:val="right" w:pos="8222"/>
        </w:tabs>
        <w:jc w:val="both"/>
        <w:rPr>
          <w:rFonts w:ascii="Times New Roman" w:hAnsi="Times New Roman"/>
          <w:sz w:val="20"/>
          <w:szCs w:val="20"/>
        </w:rPr>
      </w:pPr>
    </w:p>
    <w:p w:rsidR="00A50DD8" w:rsidRDefault="00A50DD8" w:rsidP="00C87A19">
      <w:pPr>
        <w:tabs>
          <w:tab w:val="left" w:pos="3402"/>
          <w:tab w:val="right" w:pos="8222"/>
        </w:tabs>
        <w:jc w:val="both"/>
        <w:rPr>
          <w:rFonts w:ascii="Times New Roman" w:hAnsi="Times New Roman"/>
          <w:sz w:val="20"/>
          <w:szCs w:val="20"/>
        </w:rPr>
      </w:pPr>
    </w:p>
    <w:p w:rsidR="00A50DD8" w:rsidRDefault="00A50DD8" w:rsidP="00C87A19">
      <w:pPr>
        <w:tabs>
          <w:tab w:val="left" w:pos="3402"/>
          <w:tab w:val="right" w:pos="8222"/>
        </w:tabs>
        <w:jc w:val="both"/>
        <w:rPr>
          <w:rFonts w:ascii="Times New Roman" w:hAnsi="Times New Roman"/>
          <w:sz w:val="20"/>
          <w:szCs w:val="20"/>
        </w:rPr>
      </w:pPr>
    </w:p>
    <w:p w:rsidR="00A50DD8" w:rsidRDefault="00A50DD8" w:rsidP="00A50DD8">
      <w:pPr>
        <w:pStyle w:val="Heading2"/>
        <w:tabs>
          <w:tab w:val="right" w:pos="8222"/>
        </w:tabs>
        <w:rPr>
          <w:rFonts w:ascii="Times New Roman" w:hAnsi="Times New Roman"/>
        </w:rPr>
      </w:pPr>
      <w:r w:rsidRPr="009170B8">
        <w:rPr>
          <w:rFonts w:ascii="Times New Roman" w:hAnsi="Times New Roman"/>
        </w:rPr>
        <w:t>Directors’ Report (continued)</w:t>
      </w:r>
    </w:p>
    <w:p w:rsidR="00A50DD8" w:rsidRDefault="00A50DD8" w:rsidP="00A50DD8">
      <w:pPr>
        <w:pStyle w:val="Heading2"/>
        <w:tabs>
          <w:tab w:val="right" w:pos="8222"/>
        </w:tabs>
        <w:rPr>
          <w:rFonts w:ascii="Times New Roman" w:hAnsi="Times New Roman"/>
        </w:rPr>
      </w:pPr>
    </w:p>
    <w:p w:rsidR="00A50DD8" w:rsidRPr="008D28E4" w:rsidRDefault="00A50DD8" w:rsidP="00A50DD8">
      <w:pPr>
        <w:pStyle w:val="Heading2"/>
        <w:tabs>
          <w:tab w:val="right" w:pos="8222"/>
        </w:tabs>
        <w:rPr>
          <w:rFonts w:ascii="Times New Roman" w:hAnsi="Times New Roman"/>
          <w:sz w:val="20"/>
          <w:szCs w:val="20"/>
        </w:rPr>
      </w:pPr>
      <w:r w:rsidRPr="008D28E4">
        <w:rPr>
          <w:rFonts w:ascii="Times New Roman" w:hAnsi="Times New Roman"/>
          <w:sz w:val="20"/>
          <w:szCs w:val="20"/>
        </w:rPr>
        <w:t>Viability Statement (continued)</w:t>
      </w:r>
    </w:p>
    <w:p w:rsidR="00E54387" w:rsidRDefault="00E54387" w:rsidP="00E54387">
      <w:pPr>
        <w:jc w:val="both"/>
        <w:rPr>
          <w:rFonts w:ascii="Times New Roman" w:hAnsi="Times New Roman"/>
          <w:sz w:val="20"/>
          <w:szCs w:val="20"/>
        </w:rPr>
      </w:pPr>
      <w:r>
        <w:rPr>
          <w:rFonts w:ascii="Times New Roman" w:hAnsi="Times New Roman"/>
          <w:sz w:val="20"/>
          <w:szCs w:val="20"/>
        </w:rPr>
        <w:t>The Board also monitors cash flow and liquidity at each regular meeting, as well as the Company’s ongoing charges ratio, to ensure that its operating costs are reasonable in the current market environment and do not materially exceed those of its competitors. The Company is invested in large, liquid issuers and it can quickly realise investments to raise cash, if required, to meet its expenses when they fall due. The Investment Manager maintains the ability to use hedging as a portfolio management tool, if deemed necessary. The Fund uses gearing tactically, which helps to augment returns or reduce portfolio risk as the case may be. The Fund has not been required to pay any U.K. corporate taxes in recent years and does not anticipate paying such taxes in the foreseeable future. The Investment Manager constantly monitors the portfolio and its ratings. The Investment Manager and the Investment Advisor are continuously reviewing the impact of potential changes of various factors including interest rates, energy prices and foreign exchange rates. As a result, the Directors are confident that the Company will be able to continue to operate and has sufficient assets to meet its liabilities as they fall due over the next three years.</w:t>
      </w:r>
    </w:p>
    <w:p w:rsidR="00E54387" w:rsidRDefault="00E54387" w:rsidP="00E54387">
      <w:pPr>
        <w:jc w:val="both"/>
        <w:rPr>
          <w:rFonts w:ascii="Times New Roman" w:hAnsi="Times New Roman"/>
          <w:sz w:val="20"/>
          <w:szCs w:val="20"/>
        </w:rPr>
      </w:pPr>
    </w:p>
    <w:p w:rsidR="00E54387" w:rsidRDefault="00E54387" w:rsidP="00E54387">
      <w:pPr>
        <w:jc w:val="both"/>
        <w:rPr>
          <w:rFonts w:ascii="Times New Roman" w:hAnsi="Times New Roman"/>
          <w:sz w:val="20"/>
          <w:szCs w:val="20"/>
        </w:rPr>
      </w:pPr>
      <w:r>
        <w:rPr>
          <w:rFonts w:ascii="Times New Roman" w:hAnsi="Times New Roman"/>
          <w:sz w:val="20"/>
          <w:szCs w:val="20"/>
        </w:rPr>
        <w:t>It is the Board’s opinion that interest rates are expected to remain relatively low for the foreseeable future and equity income should continue to be in demand by both individual and institutional investors. On the advice of the Investment Manager and as suggested by recent economic data, the Board believes that the North American economy will continue to grow over the next few years.  Commodity prices, including oil, have recovered from their lows and have stabilised at a value that supports economic growth, especially in Canada. As a result, the Board believes that the Company’s investment strategy of investing in North American companies that offer high and growing levels of dividends remains viable.</w:t>
      </w:r>
    </w:p>
    <w:p w:rsidR="00E54387" w:rsidRDefault="00E54387" w:rsidP="00E54387">
      <w:pPr>
        <w:jc w:val="both"/>
        <w:rPr>
          <w:rFonts w:ascii="Times New Roman" w:hAnsi="Times New Roman"/>
          <w:sz w:val="20"/>
          <w:szCs w:val="20"/>
        </w:rPr>
      </w:pPr>
    </w:p>
    <w:p w:rsidR="00E54387" w:rsidRDefault="00E54387" w:rsidP="00E54387">
      <w:pPr>
        <w:jc w:val="both"/>
        <w:rPr>
          <w:rFonts w:ascii="Times New Roman" w:hAnsi="Times New Roman"/>
          <w:sz w:val="20"/>
          <w:szCs w:val="20"/>
        </w:rPr>
      </w:pPr>
      <w:r>
        <w:rPr>
          <w:rFonts w:ascii="Times New Roman" w:hAnsi="Times New Roman"/>
          <w:sz w:val="20"/>
          <w:szCs w:val="20"/>
        </w:rPr>
        <w:t>Being cognisant of the Company’s concentrated exposure to the Canadian and U.S. economy and foreign exchange rates, the Company’s investment objective and policy is regularly reviewed and, at the extraordinary general meeting in February 2015, the Company’s investment restrictions were changed to permit greater geographical diversification. The Board believes this change is in the best interests of the Company.</w:t>
      </w:r>
    </w:p>
    <w:p w:rsidR="00E54387" w:rsidRDefault="00E54387" w:rsidP="00E54387">
      <w:pPr>
        <w:jc w:val="both"/>
        <w:rPr>
          <w:rFonts w:ascii="Times New Roman" w:hAnsi="Times New Roman"/>
          <w:sz w:val="20"/>
          <w:szCs w:val="20"/>
        </w:rPr>
      </w:pPr>
    </w:p>
    <w:p w:rsidR="00E54387" w:rsidRDefault="00E54387" w:rsidP="00E54387">
      <w:pPr>
        <w:jc w:val="both"/>
        <w:rPr>
          <w:rFonts w:ascii="Times New Roman" w:hAnsi="Times New Roman"/>
          <w:sz w:val="20"/>
          <w:szCs w:val="20"/>
        </w:rPr>
      </w:pPr>
      <w:r>
        <w:rPr>
          <w:rFonts w:ascii="Times New Roman" w:hAnsi="Times New Roman"/>
          <w:sz w:val="20"/>
          <w:szCs w:val="20"/>
        </w:rPr>
        <w:t>The Board also has regular communications with the Company’s broker to understand local market dynamics and changes in the share register. The Board monitors the discount to the prevailing net asset value at which the Company’s shares trade and, when considered necessary or desirable, repurchases its own shares in the market to hold in treasury, which supports the share price and is accretive to the net asset value of the remaining shares in issue. The Company has appointed an experienced corporate secretary, supported by its affiliate, the assistant secretary, which advises the Board on relevant changes to applicable laws and regulations, and the Board may take legal advice on any matter and at any time as it considers to be necessary or desirable. Although the Company can neither anticipate nor control future changes in law or regulation, the Board is confident that its directors and advisors are suitably qualified and experienced and that the Company is unlikely to commit any material offence, whether by action or omission.</w:t>
      </w:r>
    </w:p>
    <w:p w:rsidR="00E54387" w:rsidRDefault="00E54387" w:rsidP="00E54387">
      <w:pPr>
        <w:jc w:val="both"/>
        <w:rPr>
          <w:rFonts w:ascii="Times New Roman" w:hAnsi="Times New Roman"/>
          <w:sz w:val="20"/>
          <w:szCs w:val="20"/>
        </w:rPr>
      </w:pPr>
    </w:p>
    <w:p w:rsidR="00E54387" w:rsidRDefault="00E54387" w:rsidP="00E54387">
      <w:pPr>
        <w:jc w:val="both"/>
        <w:rPr>
          <w:rFonts w:ascii="Times New Roman" w:hAnsi="Times New Roman"/>
          <w:sz w:val="20"/>
          <w:szCs w:val="20"/>
        </w:rPr>
      </w:pPr>
      <w:r>
        <w:rPr>
          <w:rFonts w:ascii="Times New Roman" w:hAnsi="Times New Roman"/>
          <w:sz w:val="20"/>
          <w:szCs w:val="20"/>
        </w:rPr>
        <w:t>Although the Company cannot provide taxation advice and all shareholders are responsible for their own taxation affairs, the Company does monitor relevant developments and takes all necessary action to ensure compliance, including registration under FATCA and the appointment of Link Asset Services as its agent to collate and report relevant data under FATCA and the OECD’s Common Reporting Standard.</w:t>
      </w:r>
    </w:p>
    <w:p w:rsidR="00E54387" w:rsidRDefault="00E54387" w:rsidP="00E54387">
      <w:pPr>
        <w:jc w:val="both"/>
        <w:rPr>
          <w:rFonts w:ascii="Times New Roman" w:hAnsi="Times New Roman"/>
          <w:sz w:val="20"/>
          <w:szCs w:val="20"/>
        </w:rPr>
      </w:pPr>
    </w:p>
    <w:p w:rsidR="00E54387" w:rsidRDefault="00E54387" w:rsidP="00E54387">
      <w:pPr>
        <w:jc w:val="both"/>
        <w:rPr>
          <w:rFonts w:ascii="Times New Roman" w:hAnsi="Times New Roman"/>
          <w:sz w:val="20"/>
          <w:szCs w:val="20"/>
        </w:rPr>
      </w:pPr>
      <w:r>
        <w:rPr>
          <w:rFonts w:ascii="Times New Roman" w:hAnsi="Times New Roman"/>
          <w:sz w:val="20"/>
          <w:szCs w:val="20"/>
        </w:rPr>
        <w:t>In light of the above and following careful consideration and analysis of all material risk factors, the Board therefore confirms its belief that the Company will remain viable as a closed-ended investment company for at least the three years following the date of that review.</w:t>
      </w:r>
    </w:p>
    <w:p w:rsidR="00E54387" w:rsidRDefault="00E54387" w:rsidP="00E54387"/>
    <w:p w:rsidR="007B59D7" w:rsidRDefault="007B59D7" w:rsidP="007B59D7">
      <w:pPr>
        <w:pStyle w:val="Heading3"/>
        <w:rPr>
          <w:rFonts w:ascii="Times New Roman" w:hAnsi="Times New Roman"/>
        </w:rPr>
      </w:pPr>
      <w:r w:rsidRPr="009170B8">
        <w:rPr>
          <w:rFonts w:ascii="Times New Roman" w:hAnsi="Times New Roman"/>
        </w:rPr>
        <w:t>Corporate Governance</w:t>
      </w:r>
    </w:p>
    <w:p w:rsidR="00B44D91" w:rsidRPr="009170B8" w:rsidRDefault="00B44D91" w:rsidP="00B44D91">
      <w:pPr>
        <w:rPr>
          <w:rStyle w:val="A2"/>
          <w:rFonts w:ascii="Times New Roman" w:hAnsi="Times New Roman"/>
          <w:b/>
          <w:bCs/>
          <w:sz w:val="20"/>
          <w:szCs w:val="20"/>
        </w:rPr>
      </w:pPr>
      <w:r w:rsidRPr="009170B8">
        <w:rPr>
          <w:rStyle w:val="A2"/>
          <w:rFonts w:ascii="Times New Roman" w:hAnsi="Times New Roman"/>
          <w:sz w:val="20"/>
          <w:szCs w:val="20"/>
        </w:rPr>
        <w:t>The Board is committed to achieving and demonstrating high standards of corporate governance.</w:t>
      </w:r>
    </w:p>
    <w:p w:rsidR="00B44D91" w:rsidRPr="009170B8" w:rsidRDefault="00B44D91" w:rsidP="00B44D91">
      <w:pPr>
        <w:rPr>
          <w:rFonts w:ascii="Times New Roman" w:hAnsi="Times New Roman"/>
          <w:sz w:val="20"/>
          <w:szCs w:val="20"/>
        </w:rPr>
      </w:pPr>
    </w:p>
    <w:p w:rsidR="00B44D91" w:rsidRPr="009170B8" w:rsidRDefault="00B44D91" w:rsidP="00B44D91">
      <w:pPr>
        <w:autoSpaceDE w:val="0"/>
        <w:autoSpaceDN w:val="0"/>
        <w:adjustRightInd w:val="0"/>
        <w:jc w:val="both"/>
        <w:rPr>
          <w:rStyle w:val="A2"/>
          <w:rFonts w:ascii="Times New Roman" w:hAnsi="Times New Roman"/>
          <w:sz w:val="20"/>
          <w:szCs w:val="20"/>
        </w:rPr>
      </w:pPr>
      <w:r w:rsidRPr="009170B8">
        <w:rPr>
          <w:rStyle w:val="A2"/>
          <w:rFonts w:ascii="Times New Roman" w:hAnsi="Times New Roman"/>
          <w:sz w:val="20"/>
          <w:szCs w:val="20"/>
        </w:rPr>
        <w:t xml:space="preserve">As an overseas company with a premium listing, the Company is required to include a statement in its </w:t>
      </w:r>
      <w:r w:rsidR="00514A54">
        <w:rPr>
          <w:rStyle w:val="A2"/>
          <w:rFonts w:ascii="Times New Roman" w:hAnsi="Times New Roman"/>
          <w:sz w:val="20"/>
          <w:szCs w:val="20"/>
        </w:rPr>
        <w:t>a</w:t>
      </w:r>
      <w:r w:rsidR="00514A54" w:rsidRPr="009170B8">
        <w:rPr>
          <w:rStyle w:val="A2"/>
          <w:rFonts w:ascii="Times New Roman" w:hAnsi="Times New Roman"/>
          <w:sz w:val="20"/>
          <w:szCs w:val="20"/>
        </w:rPr>
        <w:t xml:space="preserve">nnual </w:t>
      </w:r>
      <w:r w:rsidR="00514A54">
        <w:rPr>
          <w:rStyle w:val="A2"/>
          <w:rFonts w:ascii="Times New Roman" w:hAnsi="Times New Roman"/>
          <w:sz w:val="20"/>
          <w:szCs w:val="20"/>
        </w:rPr>
        <w:t>financial r</w:t>
      </w:r>
      <w:r w:rsidR="00514A54" w:rsidRPr="009170B8">
        <w:rPr>
          <w:rStyle w:val="A2"/>
          <w:rFonts w:ascii="Times New Roman" w:hAnsi="Times New Roman"/>
          <w:sz w:val="20"/>
          <w:szCs w:val="20"/>
        </w:rPr>
        <w:t xml:space="preserve">eport </w:t>
      </w:r>
      <w:r w:rsidRPr="009170B8">
        <w:rPr>
          <w:rStyle w:val="A2"/>
          <w:rFonts w:ascii="Times New Roman" w:hAnsi="Times New Roman"/>
          <w:sz w:val="20"/>
          <w:szCs w:val="20"/>
        </w:rPr>
        <w:t xml:space="preserve">as to whether it has complied throughout the accounting period with all relevant provisions set out in the </w:t>
      </w:r>
      <w:r w:rsidR="000F6035" w:rsidRPr="006810AC">
        <w:rPr>
          <w:rFonts w:ascii="Times New Roman" w:hAnsi="Times New Roman"/>
          <w:color w:val="000000"/>
          <w:sz w:val="20"/>
          <w:szCs w:val="20"/>
        </w:rPr>
        <w:t>UK Financial Reporting Council’s (the “FRC”) UK Corporate Governance Code</w:t>
      </w:r>
      <w:r w:rsidR="000F6035" w:rsidRPr="009170B8">
        <w:rPr>
          <w:rStyle w:val="A2"/>
          <w:rFonts w:ascii="Times New Roman" w:hAnsi="Times New Roman"/>
          <w:sz w:val="20"/>
          <w:szCs w:val="20"/>
        </w:rPr>
        <w:t xml:space="preserve"> </w:t>
      </w:r>
      <w:r w:rsidR="000F6035">
        <w:rPr>
          <w:rStyle w:val="A2"/>
          <w:rFonts w:ascii="Times New Roman" w:hAnsi="Times New Roman"/>
          <w:sz w:val="20"/>
          <w:szCs w:val="20"/>
        </w:rPr>
        <w:t xml:space="preserve">(the “UK Code”) </w:t>
      </w:r>
      <w:r w:rsidRPr="009170B8">
        <w:rPr>
          <w:rStyle w:val="A2"/>
          <w:rFonts w:ascii="Times New Roman" w:hAnsi="Times New Roman"/>
          <w:sz w:val="20"/>
          <w:szCs w:val="20"/>
        </w:rPr>
        <w:t>or, if not, setting out those provisions with which it has not complied and the reasons for non-compliance.</w:t>
      </w:r>
    </w:p>
    <w:p w:rsidR="00B44D91" w:rsidRPr="009170B8" w:rsidRDefault="00B44D91" w:rsidP="00B44D91">
      <w:pPr>
        <w:tabs>
          <w:tab w:val="right" w:pos="8222"/>
        </w:tabs>
        <w:rPr>
          <w:rFonts w:ascii="Times New Roman" w:hAnsi="Times New Roman"/>
          <w:sz w:val="20"/>
          <w:szCs w:val="20"/>
        </w:rPr>
      </w:pPr>
    </w:p>
    <w:p w:rsidR="006810AC" w:rsidRPr="006810AC" w:rsidRDefault="006810AC" w:rsidP="006810AC">
      <w:pPr>
        <w:autoSpaceDE w:val="0"/>
        <w:autoSpaceDN w:val="0"/>
        <w:adjustRightInd w:val="0"/>
        <w:jc w:val="both"/>
        <w:rPr>
          <w:rFonts w:ascii="Times New Roman" w:hAnsi="Times New Roman"/>
          <w:color w:val="000000"/>
          <w:sz w:val="20"/>
          <w:szCs w:val="20"/>
        </w:rPr>
      </w:pPr>
      <w:r w:rsidRPr="006810AC">
        <w:rPr>
          <w:rFonts w:ascii="Times New Roman" w:hAnsi="Times New Roman"/>
          <w:color w:val="000000"/>
          <w:sz w:val="20"/>
          <w:szCs w:val="20"/>
        </w:rPr>
        <w:t xml:space="preserve">The Association of Investment Companies (the “AIC”), of which the Company is a member, has published its Code of Corporate Governance for Investment Companies (the “AIC Code") and the Corporate Governance Guide for Investment Companies dated </w:t>
      </w:r>
      <w:r w:rsidR="00C50E62">
        <w:rPr>
          <w:rFonts w:ascii="Times New Roman" w:hAnsi="Times New Roman"/>
          <w:color w:val="000000"/>
          <w:sz w:val="20"/>
          <w:szCs w:val="20"/>
        </w:rPr>
        <w:t>July 2016</w:t>
      </w:r>
      <w:r w:rsidR="00C539EE" w:rsidRPr="006810AC">
        <w:rPr>
          <w:rFonts w:ascii="Times New Roman" w:hAnsi="Times New Roman"/>
          <w:color w:val="000000"/>
          <w:sz w:val="20"/>
          <w:szCs w:val="20"/>
        </w:rPr>
        <w:t xml:space="preserve"> </w:t>
      </w:r>
      <w:r w:rsidRPr="006810AC">
        <w:rPr>
          <w:rFonts w:ascii="Times New Roman" w:hAnsi="Times New Roman"/>
          <w:color w:val="000000"/>
          <w:sz w:val="20"/>
          <w:szCs w:val="20"/>
        </w:rPr>
        <w:t xml:space="preserve">(the “AIC Guide”), which incorporates the UK Code, the AIC Code and </w:t>
      </w:r>
      <w:r w:rsidR="00C539EE">
        <w:rPr>
          <w:rFonts w:ascii="Times New Roman" w:hAnsi="Times New Roman"/>
          <w:color w:val="000000"/>
          <w:sz w:val="20"/>
          <w:szCs w:val="20"/>
        </w:rPr>
        <w:t>paragraph 9.</w:t>
      </w:r>
      <w:r w:rsidR="00CA5A90">
        <w:rPr>
          <w:rFonts w:ascii="Times New Roman" w:hAnsi="Times New Roman"/>
          <w:color w:val="000000"/>
          <w:sz w:val="20"/>
          <w:szCs w:val="20"/>
        </w:rPr>
        <w:t>8</w:t>
      </w:r>
      <w:r w:rsidR="00C539EE">
        <w:rPr>
          <w:rFonts w:ascii="Times New Roman" w:hAnsi="Times New Roman"/>
          <w:color w:val="000000"/>
          <w:sz w:val="20"/>
          <w:szCs w:val="20"/>
        </w:rPr>
        <w:t>.</w:t>
      </w:r>
      <w:r w:rsidR="00CA5A90">
        <w:rPr>
          <w:rFonts w:ascii="Times New Roman" w:hAnsi="Times New Roman"/>
          <w:color w:val="000000"/>
          <w:sz w:val="20"/>
          <w:szCs w:val="20"/>
        </w:rPr>
        <w:t>6</w:t>
      </w:r>
      <w:r w:rsidR="00C539EE">
        <w:rPr>
          <w:rFonts w:ascii="Times New Roman" w:hAnsi="Times New Roman"/>
          <w:color w:val="000000"/>
          <w:sz w:val="20"/>
          <w:szCs w:val="20"/>
        </w:rPr>
        <w:t xml:space="preserve"> </w:t>
      </w:r>
      <w:r w:rsidRPr="006810AC">
        <w:rPr>
          <w:rFonts w:ascii="Times New Roman" w:hAnsi="Times New Roman"/>
          <w:color w:val="000000"/>
          <w:sz w:val="20"/>
          <w:szCs w:val="20"/>
        </w:rPr>
        <w:t xml:space="preserve">of the </w:t>
      </w:r>
      <w:r w:rsidR="00C539EE">
        <w:rPr>
          <w:rFonts w:ascii="Times New Roman" w:hAnsi="Times New Roman"/>
          <w:color w:val="000000"/>
          <w:sz w:val="20"/>
          <w:szCs w:val="20"/>
        </w:rPr>
        <w:t xml:space="preserve">FCA’s </w:t>
      </w:r>
      <w:r w:rsidRPr="006810AC">
        <w:rPr>
          <w:rFonts w:ascii="Times New Roman" w:hAnsi="Times New Roman"/>
          <w:color w:val="000000"/>
          <w:sz w:val="20"/>
          <w:szCs w:val="20"/>
        </w:rPr>
        <w:t>Listing Rules. The FRC has confirmed that “it remains the FRC’s view that by following the AIC Corporate Governance Guide</w:t>
      </w:r>
      <w:r w:rsidR="00CA5A90">
        <w:rPr>
          <w:rFonts w:ascii="Times New Roman" w:hAnsi="Times New Roman"/>
          <w:color w:val="000000"/>
          <w:sz w:val="20"/>
          <w:szCs w:val="20"/>
        </w:rPr>
        <w:t>,</w:t>
      </w:r>
      <w:r w:rsidRPr="006810AC">
        <w:rPr>
          <w:rFonts w:ascii="Times New Roman" w:hAnsi="Times New Roman"/>
          <w:color w:val="000000"/>
          <w:sz w:val="20"/>
          <w:szCs w:val="20"/>
        </w:rPr>
        <w:t xml:space="preserve"> investment company boards should fully meet their obligations in relation to the UK Corporate Governance Code and paragraph LR 9.8.6 of the Listing Rules.”</w:t>
      </w:r>
    </w:p>
    <w:p w:rsidR="00E54387" w:rsidRDefault="00E54387" w:rsidP="00A50DD8">
      <w:pPr>
        <w:pStyle w:val="Heading2"/>
        <w:tabs>
          <w:tab w:val="right" w:pos="8222"/>
        </w:tabs>
        <w:rPr>
          <w:rFonts w:ascii="Times New Roman" w:hAnsi="Times New Roman"/>
        </w:rPr>
      </w:pPr>
    </w:p>
    <w:p w:rsidR="00E54387" w:rsidRDefault="00E54387" w:rsidP="00A50DD8">
      <w:pPr>
        <w:pStyle w:val="Heading2"/>
        <w:tabs>
          <w:tab w:val="right" w:pos="8222"/>
        </w:tabs>
        <w:rPr>
          <w:rFonts w:ascii="Times New Roman" w:hAnsi="Times New Roman"/>
        </w:rPr>
      </w:pPr>
    </w:p>
    <w:p w:rsidR="00E54387" w:rsidRPr="00F9062B" w:rsidRDefault="00E54387" w:rsidP="00F9062B"/>
    <w:p w:rsidR="00A50DD8" w:rsidRDefault="00A50DD8" w:rsidP="00A50DD8">
      <w:pPr>
        <w:pStyle w:val="Heading2"/>
        <w:tabs>
          <w:tab w:val="right" w:pos="8222"/>
        </w:tabs>
        <w:rPr>
          <w:rFonts w:ascii="Times New Roman" w:hAnsi="Times New Roman"/>
        </w:rPr>
      </w:pPr>
      <w:r w:rsidRPr="009170B8">
        <w:rPr>
          <w:rFonts w:ascii="Times New Roman" w:hAnsi="Times New Roman"/>
        </w:rPr>
        <w:t>Directors’ Report (continued)</w:t>
      </w:r>
    </w:p>
    <w:p w:rsidR="00A50DD8" w:rsidRDefault="00A50DD8" w:rsidP="00A50DD8">
      <w:pPr>
        <w:pStyle w:val="Heading3"/>
        <w:rPr>
          <w:rFonts w:ascii="Times New Roman" w:hAnsi="Times New Roman"/>
        </w:rPr>
      </w:pPr>
    </w:p>
    <w:p w:rsidR="00A50DD8" w:rsidRPr="00171C7E" w:rsidRDefault="00A50DD8" w:rsidP="00A50DD8">
      <w:pPr>
        <w:pStyle w:val="Heading3"/>
        <w:rPr>
          <w:rFonts w:ascii="Times New Roman" w:hAnsi="Times New Roman"/>
        </w:rPr>
      </w:pPr>
      <w:r w:rsidRPr="00CA3B7A">
        <w:rPr>
          <w:rFonts w:ascii="Times New Roman" w:hAnsi="Times New Roman"/>
        </w:rPr>
        <w:t>Corporate Governance (continued)</w:t>
      </w:r>
    </w:p>
    <w:p w:rsidR="006810AC" w:rsidRPr="006810AC" w:rsidRDefault="006810AC" w:rsidP="006810AC">
      <w:pPr>
        <w:autoSpaceDE w:val="0"/>
        <w:autoSpaceDN w:val="0"/>
        <w:adjustRightInd w:val="0"/>
        <w:jc w:val="both"/>
        <w:rPr>
          <w:rFonts w:ascii="Times New Roman" w:hAnsi="Times New Roman"/>
          <w:color w:val="000000"/>
          <w:sz w:val="20"/>
          <w:szCs w:val="20"/>
        </w:rPr>
      </w:pPr>
      <w:r w:rsidRPr="006810AC">
        <w:rPr>
          <w:rFonts w:ascii="Times New Roman" w:hAnsi="Times New Roman"/>
          <w:color w:val="000000"/>
          <w:sz w:val="20"/>
          <w:szCs w:val="20"/>
        </w:rPr>
        <w:t>The Board has considered the principles and recommendations of the AIC Guide. The AIC Code, as explained by the AIC Guide, addresses all the principles set out in the UK Code, as well as setting out additional principles and recommendations on issues that are of specific relevance to the Company. The Board considers that reporting against the principles and recommendations of the AIC Code provide</w:t>
      </w:r>
      <w:r w:rsidR="009C0EBD">
        <w:rPr>
          <w:rFonts w:ascii="Times New Roman" w:hAnsi="Times New Roman"/>
          <w:color w:val="000000"/>
          <w:sz w:val="20"/>
          <w:szCs w:val="20"/>
        </w:rPr>
        <w:t>s</w:t>
      </w:r>
      <w:r w:rsidRPr="006810AC">
        <w:rPr>
          <w:rFonts w:ascii="Times New Roman" w:hAnsi="Times New Roman"/>
          <w:color w:val="000000"/>
          <w:sz w:val="20"/>
          <w:szCs w:val="20"/>
        </w:rPr>
        <w:t xml:space="preserve"> better information to shareholders. </w:t>
      </w:r>
    </w:p>
    <w:p w:rsidR="006810AC" w:rsidRPr="006810AC" w:rsidRDefault="006810AC" w:rsidP="006810AC">
      <w:pPr>
        <w:autoSpaceDE w:val="0"/>
        <w:autoSpaceDN w:val="0"/>
        <w:adjustRightInd w:val="0"/>
        <w:jc w:val="both"/>
        <w:rPr>
          <w:rFonts w:ascii="Times New Roman" w:hAnsi="Times New Roman"/>
          <w:color w:val="000000"/>
          <w:sz w:val="20"/>
          <w:szCs w:val="20"/>
        </w:rPr>
      </w:pPr>
    </w:p>
    <w:p w:rsidR="00883DF2" w:rsidRDefault="00BB06A3" w:rsidP="006810AC">
      <w:pPr>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The Board has noted the</w:t>
      </w:r>
      <w:r w:rsidR="00895DA9">
        <w:rPr>
          <w:rFonts w:ascii="Times New Roman" w:hAnsi="Times New Roman"/>
          <w:color w:val="000000"/>
          <w:sz w:val="20"/>
          <w:szCs w:val="20"/>
        </w:rPr>
        <w:t xml:space="preserve"> </w:t>
      </w:r>
      <w:r>
        <w:rPr>
          <w:rFonts w:ascii="Times New Roman" w:hAnsi="Times New Roman"/>
          <w:color w:val="000000"/>
          <w:sz w:val="20"/>
          <w:szCs w:val="20"/>
        </w:rPr>
        <w:t xml:space="preserve">publication by the </w:t>
      </w:r>
      <w:r w:rsidR="00DC60A5">
        <w:rPr>
          <w:rFonts w:ascii="Times New Roman" w:hAnsi="Times New Roman"/>
          <w:color w:val="000000"/>
          <w:sz w:val="20"/>
          <w:szCs w:val="20"/>
        </w:rPr>
        <w:t xml:space="preserve">FRC of the updated UK Corporate Governance Code in July 2018 and by the </w:t>
      </w:r>
      <w:r>
        <w:rPr>
          <w:rFonts w:ascii="Times New Roman" w:hAnsi="Times New Roman"/>
          <w:color w:val="000000"/>
          <w:sz w:val="20"/>
          <w:szCs w:val="20"/>
        </w:rPr>
        <w:t>AIC of its Code of Corporate Governance dated February 2019</w:t>
      </w:r>
      <w:r w:rsidR="004D658C">
        <w:rPr>
          <w:rFonts w:ascii="Times New Roman" w:hAnsi="Times New Roman"/>
          <w:color w:val="000000"/>
          <w:sz w:val="20"/>
          <w:szCs w:val="20"/>
        </w:rPr>
        <w:t xml:space="preserve"> (the “</w:t>
      </w:r>
      <w:r w:rsidR="004D658C" w:rsidRPr="00E54387">
        <w:rPr>
          <w:rFonts w:ascii="Times New Roman" w:hAnsi="Times New Roman"/>
          <w:b/>
          <w:color w:val="000000"/>
          <w:sz w:val="20"/>
          <w:szCs w:val="20"/>
        </w:rPr>
        <w:t>2019 AIC Code</w:t>
      </w:r>
      <w:r w:rsidR="004D658C">
        <w:rPr>
          <w:rFonts w:ascii="Times New Roman" w:hAnsi="Times New Roman"/>
          <w:color w:val="000000"/>
          <w:sz w:val="20"/>
          <w:szCs w:val="20"/>
        </w:rPr>
        <w:t>”)</w:t>
      </w:r>
      <w:r w:rsidR="00DC60A5">
        <w:rPr>
          <w:rFonts w:ascii="Times New Roman" w:hAnsi="Times New Roman"/>
          <w:color w:val="000000"/>
          <w:sz w:val="20"/>
          <w:szCs w:val="20"/>
        </w:rPr>
        <w:t>, which has been endorsed by the FRC and supported by the Jersey Financial Services Commission</w:t>
      </w:r>
      <w:r>
        <w:rPr>
          <w:rFonts w:ascii="Times New Roman" w:hAnsi="Times New Roman"/>
          <w:color w:val="000000"/>
          <w:sz w:val="20"/>
          <w:szCs w:val="20"/>
        </w:rPr>
        <w:t xml:space="preserve"> </w:t>
      </w:r>
      <w:r w:rsidR="00DC60A5" w:rsidRPr="00F03B1A">
        <w:rPr>
          <w:rFonts w:ascii="Times New Roman" w:hAnsi="Times New Roman"/>
          <w:sz w:val="20"/>
          <w:szCs w:val="20"/>
        </w:rPr>
        <w:t>(</w:t>
      </w:r>
      <w:r w:rsidR="00DC60A5">
        <w:rPr>
          <w:rFonts w:ascii="Times New Roman" w:hAnsi="Times New Roman"/>
          <w:sz w:val="20"/>
          <w:szCs w:val="20"/>
        </w:rPr>
        <w:t xml:space="preserve">the </w:t>
      </w:r>
      <w:r w:rsidR="00DC60A5" w:rsidRPr="00F03B1A">
        <w:rPr>
          <w:rFonts w:ascii="Times New Roman" w:hAnsi="Times New Roman"/>
          <w:sz w:val="20"/>
          <w:szCs w:val="20"/>
        </w:rPr>
        <w:t>"</w:t>
      </w:r>
      <w:r w:rsidR="00DC60A5" w:rsidRPr="00E54387">
        <w:rPr>
          <w:rFonts w:ascii="Times New Roman" w:hAnsi="Times New Roman"/>
          <w:b/>
          <w:sz w:val="20"/>
          <w:szCs w:val="20"/>
        </w:rPr>
        <w:t>JFSC</w:t>
      </w:r>
      <w:r w:rsidR="00DC60A5" w:rsidRPr="00F03B1A">
        <w:rPr>
          <w:rFonts w:ascii="Times New Roman" w:hAnsi="Times New Roman"/>
          <w:sz w:val="20"/>
          <w:szCs w:val="20"/>
        </w:rPr>
        <w:t>")</w:t>
      </w:r>
      <w:r w:rsidR="00DC60A5">
        <w:rPr>
          <w:rFonts w:ascii="Times New Roman" w:hAnsi="Times New Roman"/>
          <w:sz w:val="20"/>
          <w:szCs w:val="20"/>
        </w:rPr>
        <w:t xml:space="preserve">, </w:t>
      </w:r>
      <w:r>
        <w:rPr>
          <w:rFonts w:ascii="Times New Roman" w:hAnsi="Times New Roman"/>
          <w:color w:val="000000"/>
          <w:sz w:val="20"/>
          <w:szCs w:val="20"/>
        </w:rPr>
        <w:t xml:space="preserve">and is updating its policies and procedures, where considered appropriate, to meet the recommendations of </w:t>
      </w:r>
      <w:r w:rsidR="00DC60A5">
        <w:rPr>
          <w:rFonts w:ascii="Times New Roman" w:hAnsi="Times New Roman"/>
          <w:color w:val="000000"/>
          <w:sz w:val="20"/>
          <w:szCs w:val="20"/>
        </w:rPr>
        <w:t xml:space="preserve">the </w:t>
      </w:r>
      <w:r>
        <w:rPr>
          <w:rFonts w:ascii="Times New Roman" w:hAnsi="Times New Roman"/>
          <w:color w:val="000000"/>
          <w:sz w:val="20"/>
          <w:szCs w:val="20"/>
        </w:rPr>
        <w:t xml:space="preserve">updated </w:t>
      </w:r>
      <w:r w:rsidR="00DC60A5">
        <w:rPr>
          <w:rFonts w:ascii="Times New Roman" w:hAnsi="Times New Roman"/>
          <w:color w:val="000000"/>
          <w:sz w:val="20"/>
          <w:szCs w:val="20"/>
        </w:rPr>
        <w:t xml:space="preserve">AIC </w:t>
      </w:r>
      <w:r>
        <w:rPr>
          <w:rFonts w:ascii="Times New Roman" w:hAnsi="Times New Roman"/>
          <w:color w:val="000000"/>
          <w:sz w:val="20"/>
          <w:szCs w:val="20"/>
        </w:rPr>
        <w:t>code, against which the Board will report in the annual financial report for the year ending 31 December 2019.</w:t>
      </w:r>
    </w:p>
    <w:p w:rsidR="00FA5D2E" w:rsidRPr="00C87A19" w:rsidRDefault="00FA5D2E" w:rsidP="00C87A19">
      <w:pPr>
        <w:pStyle w:val="Heading3"/>
        <w:rPr>
          <w:rFonts w:ascii="Times New Roman" w:hAnsi="Times New Roman"/>
        </w:rPr>
      </w:pPr>
    </w:p>
    <w:p w:rsidR="006810AC" w:rsidRPr="006810AC" w:rsidRDefault="006810AC" w:rsidP="006810AC">
      <w:pPr>
        <w:autoSpaceDE w:val="0"/>
        <w:autoSpaceDN w:val="0"/>
        <w:adjustRightInd w:val="0"/>
        <w:jc w:val="both"/>
        <w:rPr>
          <w:rStyle w:val="A2"/>
          <w:rFonts w:ascii="Times New Roman" w:hAnsi="Times New Roman" w:cs="Times New Roman"/>
          <w:sz w:val="20"/>
          <w:szCs w:val="20"/>
        </w:rPr>
      </w:pPr>
      <w:r w:rsidRPr="006810AC">
        <w:rPr>
          <w:rFonts w:ascii="Times New Roman" w:hAnsi="Times New Roman"/>
          <w:color w:val="000000"/>
          <w:sz w:val="20"/>
          <w:szCs w:val="20"/>
        </w:rPr>
        <w:t xml:space="preserve">The directors believe that the </w:t>
      </w:r>
      <w:r w:rsidRPr="00F03B1A">
        <w:rPr>
          <w:rFonts w:ascii="Times New Roman" w:hAnsi="Times New Roman"/>
          <w:color w:val="000000"/>
          <w:sz w:val="20"/>
          <w:szCs w:val="20"/>
        </w:rPr>
        <w:t>Company has complied with the provisions of the AIC Code</w:t>
      </w:r>
      <w:r w:rsidR="00944A18">
        <w:rPr>
          <w:rFonts w:ascii="Times New Roman" w:hAnsi="Times New Roman"/>
          <w:color w:val="000000"/>
          <w:sz w:val="20"/>
          <w:szCs w:val="20"/>
        </w:rPr>
        <w:t>,</w:t>
      </w:r>
      <w:r w:rsidRPr="00F03B1A">
        <w:rPr>
          <w:rFonts w:ascii="Times New Roman" w:hAnsi="Times New Roman"/>
          <w:color w:val="000000"/>
          <w:sz w:val="20"/>
          <w:szCs w:val="20"/>
        </w:rPr>
        <w:t xml:space="preserve"> where appropriate, and that it has complied throughout the year with the provisions where the requirements are of a continuing nature. </w:t>
      </w:r>
      <w:r w:rsidR="00944A18">
        <w:rPr>
          <w:rFonts w:ascii="Times New Roman" w:hAnsi="Times New Roman"/>
          <w:color w:val="000000"/>
          <w:sz w:val="20"/>
          <w:szCs w:val="20"/>
        </w:rPr>
        <w:t xml:space="preserve">Following </w:t>
      </w:r>
      <w:r w:rsidR="0058547E" w:rsidRPr="00F03B1A">
        <w:rPr>
          <w:rFonts w:ascii="Times New Roman" w:hAnsi="Times New Roman"/>
          <w:color w:val="000000"/>
          <w:sz w:val="20"/>
          <w:szCs w:val="20"/>
        </w:rPr>
        <w:t xml:space="preserve">the publication </w:t>
      </w:r>
      <w:r w:rsidRPr="00F03B1A">
        <w:rPr>
          <w:rFonts w:ascii="Times New Roman" w:hAnsi="Times New Roman"/>
          <w:color w:val="000000"/>
          <w:sz w:val="20"/>
          <w:szCs w:val="20"/>
        </w:rPr>
        <w:t>of the revi</w:t>
      </w:r>
      <w:r w:rsidR="0058547E" w:rsidRPr="00F03B1A">
        <w:rPr>
          <w:rFonts w:ascii="Times New Roman" w:hAnsi="Times New Roman"/>
          <w:color w:val="000000"/>
          <w:sz w:val="20"/>
          <w:szCs w:val="20"/>
        </w:rPr>
        <w:t xml:space="preserve">sed AIC Code dated </w:t>
      </w:r>
      <w:r w:rsidR="00C50E62">
        <w:rPr>
          <w:rFonts w:ascii="Times New Roman" w:hAnsi="Times New Roman"/>
          <w:color w:val="000000"/>
          <w:sz w:val="20"/>
          <w:szCs w:val="20"/>
        </w:rPr>
        <w:t>July 2016</w:t>
      </w:r>
      <w:r w:rsidR="00944A18">
        <w:rPr>
          <w:rFonts w:ascii="Times New Roman" w:hAnsi="Times New Roman"/>
          <w:color w:val="000000"/>
          <w:sz w:val="20"/>
          <w:szCs w:val="20"/>
        </w:rPr>
        <w:t>,</w:t>
      </w:r>
      <w:r w:rsidR="00944A18" w:rsidRPr="00F03B1A">
        <w:rPr>
          <w:rFonts w:ascii="Times New Roman" w:hAnsi="Times New Roman"/>
          <w:color w:val="000000"/>
          <w:sz w:val="20"/>
          <w:szCs w:val="20"/>
        </w:rPr>
        <w:t xml:space="preserve"> </w:t>
      </w:r>
      <w:r w:rsidR="00944A18">
        <w:rPr>
          <w:rFonts w:ascii="Times New Roman" w:hAnsi="Times New Roman"/>
          <w:color w:val="000000"/>
          <w:sz w:val="20"/>
          <w:szCs w:val="20"/>
        </w:rPr>
        <w:t>t</w:t>
      </w:r>
      <w:r w:rsidR="00944A18" w:rsidRPr="00F03B1A">
        <w:rPr>
          <w:rFonts w:ascii="Times New Roman" w:hAnsi="Times New Roman"/>
          <w:color w:val="000000"/>
          <w:sz w:val="20"/>
          <w:szCs w:val="20"/>
        </w:rPr>
        <w:t xml:space="preserve">he </w:t>
      </w:r>
      <w:r w:rsidRPr="00F03B1A">
        <w:rPr>
          <w:rFonts w:ascii="Times New Roman" w:hAnsi="Times New Roman"/>
          <w:color w:val="000000"/>
          <w:sz w:val="20"/>
          <w:szCs w:val="20"/>
        </w:rPr>
        <w:t>directors put in place further measures designed to ensure compliance with the revised</w:t>
      </w:r>
      <w:r w:rsidRPr="006810AC">
        <w:rPr>
          <w:rFonts w:ascii="Times New Roman" w:hAnsi="Times New Roman"/>
          <w:color w:val="000000"/>
          <w:sz w:val="20"/>
          <w:szCs w:val="20"/>
        </w:rPr>
        <w:t xml:space="preserve"> AIC Code and report against the </w:t>
      </w:r>
      <w:r w:rsidR="00944A18">
        <w:rPr>
          <w:rFonts w:ascii="Times New Roman" w:hAnsi="Times New Roman"/>
          <w:color w:val="000000"/>
          <w:sz w:val="20"/>
          <w:szCs w:val="20"/>
        </w:rPr>
        <w:t>201</w:t>
      </w:r>
      <w:r w:rsidR="00C50E62">
        <w:rPr>
          <w:rFonts w:ascii="Times New Roman" w:hAnsi="Times New Roman"/>
          <w:color w:val="000000"/>
          <w:sz w:val="20"/>
          <w:szCs w:val="20"/>
        </w:rPr>
        <w:t>6</w:t>
      </w:r>
      <w:r w:rsidR="00944A18">
        <w:rPr>
          <w:rFonts w:ascii="Times New Roman" w:hAnsi="Times New Roman"/>
          <w:color w:val="000000"/>
          <w:sz w:val="20"/>
          <w:szCs w:val="20"/>
        </w:rPr>
        <w:t xml:space="preserve"> </w:t>
      </w:r>
      <w:r w:rsidRPr="006810AC">
        <w:rPr>
          <w:rFonts w:ascii="Times New Roman" w:hAnsi="Times New Roman"/>
          <w:color w:val="000000"/>
          <w:sz w:val="20"/>
          <w:szCs w:val="20"/>
        </w:rPr>
        <w:t xml:space="preserve">AIC Code </w:t>
      </w:r>
      <w:r w:rsidR="00944A18">
        <w:rPr>
          <w:rFonts w:ascii="Times New Roman" w:hAnsi="Times New Roman"/>
          <w:color w:val="000000"/>
          <w:sz w:val="20"/>
          <w:szCs w:val="20"/>
        </w:rPr>
        <w:t xml:space="preserve">in this </w:t>
      </w:r>
      <w:r w:rsidRPr="006810AC">
        <w:rPr>
          <w:rFonts w:ascii="Times New Roman" w:hAnsi="Times New Roman"/>
          <w:color w:val="000000"/>
          <w:sz w:val="20"/>
          <w:szCs w:val="20"/>
        </w:rPr>
        <w:t>year</w:t>
      </w:r>
      <w:r w:rsidR="00944A18">
        <w:rPr>
          <w:rFonts w:ascii="Times New Roman" w:hAnsi="Times New Roman"/>
          <w:color w:val="000000"/>
          <w:sz w:val="20"/>
          <w:szCs w:val="20"/>
        </w:rPr>
        <w:t>’s annual financial report</w:t>
      </w:r>
      <w:r w:rsidRPr="006810AC">
        <w:rPr>
          <w:rFonts w:ascii="Times New Roman" w:hAnsi="Times New Roman"/>
          <w:color w:val="000000"/>
          <w:sz w:val="20"/>
          <w:szCs w:val="20"/>
        </w:rPr>
        <w:t>.</w:t>
      </w:r>
    </w:p>
    <w:p w:rsidR="00335CE9" w:rsidRDefault="00335CE9" w:rsidP="00B44D91">
      <w:pPr>
        <w:autoSpaceDE w:val="0"/>
        <w:autoSpaceDN w:val="0"/>
        <w:adjustRightInd w:val="0"/>
        <w:jc w:val="both"/>
        <w:rPr>
          <w:rStyle w:val="A2"/>
          <w:rFonts w:ascii="Times New Roman" w:hAnsi="Times New Roman"/>
          <w:sz w:val="20"/>
          <w:szCs w:val="20"/>
        </w:rPr>
      </w:pPr>
    </w:p>
    <w:p w:rsidR="00B44D91" w:rsidRDefault="00B44D91" w:rsidP="00B44D91">
      <w:pPr>
        <w:autoSpaceDE w:val="0"/>
        <w:autoSpaceDN w:val="0"/>
        <w:adjustRightInd w:val="0"/>
        <w:jc w:val="both"/>
        <w:rPr>
          <w:rStyle w:val="A2"/>
          <w:rFonts w:ascii="Times New Roman" w:hAnsi="Times New Roman"/>
          <w:sz w:val="20"/>
          <w:szCs w:val="20"/>
        </w:rPr>
      </w:pPr>
      <w:r w:rsidRPr="009170B8">
        <w:rPr>
          <w:rStyle w:val="A2"/>
          <w:rFonts w:ascii="Times New Roman" w:hAnsi="Times New Roman"/>
          <w:sz w:val="20"/>
          <w:szCs w:val="20"/>
        </w:rPr>
        <w:t xml:space="preserve">The </w:t>
      </w:r>
      <w:r w:rsidR="000F6035">
        <w:rPr>
          <w:rStyle w:val="A2"/>
          <w:rFonts w:ascii="Times New Roman" w:hAnsi="Times New Roman"/>
          <w:sz w:val="20"/>
          <w:szCs w:val="20"/>
        </w:rPr>
        <w:t xml:space="preserve">UK </w:t>
      </w:r>
      <w:r w:rsidRPr="009170B8">
        <w:rPr>
          <w:rStyle w:val="A2"/>
          <w:rFonts w:ascii="Times New Roman" w:hAnsi="Times New Roman"/>
          <w:sz w:val="20"/>
          <w:szCs w:val="20"/>
        </w:rPr>
        <w:t>Code is available for download from the FRC</w:t>
      </w:r>
      <w:r w:rsidR="000F6035">
        <w:rPr>
          <w:rStyle w:val="A2"/>
          <w:rFonts w:ascii="Times New Roman" w:hAnsi="Times New Roman"/>
          <w:sz w:val="20"/>
          <w:szCs w:val="20"/>
        </w:rPr>
        <w:t>’s</w:t>
      </w:r>
      <w:r w:rsidRPr="009170B8">
        <w:rPr>
          <w:rStyle w:val="A2"/>
          <w:rFonts w:ascii="Times New Roman" w:hAnsi="Times New Roman"/>
          <w:sz w:val="20"/>
          <w:szCs w:val="20"/>
        </w:rPr>
        <w:t xml:space="preserve"> web-site </w:t>
      </w:r>
      <w:hyperlink r:id="rId16" w:history="1">
        <w:r w:rsidRPr="009170B8">
          <w:rPr>
            <w:rStyle w:val="Hyperlink"/>
            <w:rFonts w:ascii="Times New Roman" w:hAnsi="Times New Roman"/>
            <w:sz w:val="20"/>
            <w:szCs w:val="20"/>
          </w:rPr>
          <w:t>www.frc.org.uk</w:t>
        </w:r>
      </w:hyperlink>
      <w:r w:rsidR="004E21EE">
        <w:rPr>
          <w:rStyle w:val="A2"/>
          <w:rFonts w:ascii="Times New Roman" w:hAnsi="Times New Roman"/>
          <w:sz w:val="20"/>
          <w:szCs w:val="20"/>
        </w:rPr>
        <w:t xml:space="preserve"> and the AIC Code and AIC Guide</w:t>
      </w:r>
      <w:r w:rsidR="00EE752A">
        <w:rPr>
          <w:rStyle w:val="A2"/>
          <w:rFonts w:ascii="Times New Roman" w:hAnsi="Times New Roman"/>
          <w:sz w:val="20"/>
          <w:szCs w:val="20"/>
        </w:rPr>
        <w:t xml:space="preserve">, together with the AIC Code of Corporate Governance dated February 2019, </w:t>
      </w:r>
      <w:r w:rsidR="004E21EE">
        <w:rPr>
          <w:rStyle w:val="A2"/>
          <w:rFonts w:ascii="Times New Roman" w:hAnsi="Times New Roman"/>
          <w:sz w:val="20"/>
          <w:szCs w:val="20"/>
        </w:rPr>
        <w:t xml:space="preserve">are available for download from the AIC’s website </w:t>
      </w:r>
      <w:hyperlink r:id="rId17" w:history="1">
        <w:r w:rsidR="004E21EE" w:rsidRPr="00B92E90">
          <w:rPr>
            <w:rStyle w:val="Hyperlink"/>
            <w:rFonts w:ascii="Times New Roman" w:hAnsi="Times New Roman" w:cs="Scala Sans LF"/>
            <w:sz w:val="20"/>
            <w:szCs w:val="20"/>
          </w:rPr>
          <w:t>www.theaic.co.uk</w:t>
        </w:r>
      </w:hyperlink>
      <w:r w:rsidR="004E21EE">
        <w:rPr>
          <w:rStyle w:val="A2"/>
          <w:rFonts w:ascii="Times New Roman" w:hAnsi="Times New Roman"/>
          <w:sz w:val="20"/>
          <w:szCs w:val="20"/>
        </w:rPr>
        <w:t>.  All of these documents can also be provided by the Secretary by e-mail upon request.</w:t>
      </w:r>
    </w:p>
    <w:p w:rsidR="00735183" w:rsidRPr="009170B8" w:rsidRDefault="00735183" w:rsidP="00B44D91">
      <w:pPr>
        <w:autoSpaceDE w:val="0"/>
        <w:autoSpaceDN w:val="0"/>
        <w:adjustRightInd w:val="0"/>
        <w:jc w:val="both"/>
        <w:rPr>
          <w:rStyle w:val="A2"/>
          <w:rFonts w:ascii="Times New Roman" w:hAnsi="Times New Roman"/>
          <w:sz w:val="20"/>
          <w:szCs w:val="20"/>
        </w:rPr>
      </w:pPr>
    </w:p>
    <w:p w:rsidR="0079332A" w:rsidRPr="00B74D7C" w:rsidRDefault="00B44D91" w:rsidP="00B74D7C">
      <w:pPr>
        <w:spacing w:after="240"/>
        <w:jc w:val="both"/>
        <w:rPr>
          <w:rFonts w:ascii="Times New Roman" w:hAnsi="Times New Roman"/>
          <w:sz w:val="20"/>
          <w:szCs w:val="20"/>
        </w:rPr>
      </w:pPr>
      <w:r w:rsidRPr="009170B8">
        <w:rPr>
          <w:rFonts w:ascii="Times New Roman" w:hAnsi="Times New Roman"/>
          <w:color w:val="000000"/>
          <w:sz w:val="20"/>
          <w:szCs w:val="20"/>
        </w:rPr>
        <w:t xml:space="preserve">The directors believe that the Company has complied with the provisions of the AIC Code </w:t>
      </w:r>
      <w:r w:rsidR="003F06D8" w:rsidRPr="009170B8">
        <w:rPr>
          <w:rFonts w:ascii="Times New Roman" w:hAnsi="Times New Roman"/>
          <w:color w:val="000000"/>
          <w:sz w:val="20"/>
          <w:szCs w:val="20"/>
        </w:rPr>
        <w:t>except a</w:t>
      </w:r>
      <w:r w:rsidR="00710FBC" w:rsidRPr="009170B8">
        <w:rPr>
          <w:rFonts w:ascii="Times New Roman" w:hAnsi="Times New Roman"/>
          <w:color w:val="000000"/>
          <w:sz w:val="20"/>
          <w:szCs w:val="20"/>
        </w:rPr>
        <w:t xml:space="preserve">s set out in the paragraph </w:t>
      </w:r>
      <w:r w:rsidR="00710FBC" w:rsidRPr="00B74D7C">
        <w:rPr>
          <w:rFonts w:ascii="Times New Roman" w:hAnsi="Times New Roman"/>
          <w:sz w:val="20"/>
          <w:szCs w:val="20"/>
        </w:rPr>
        <w:t>below</w:t>
      </w:r>
      <w:r w:rsidRPr="00B74D7C">
        <w:rPr>
          <w:rFonts w:ascii="Times New Roman" w:hAnsi="Times New Roman"/>
          <w:sz w:val="20"/>
          <w:szCs w:val="20"/>
        </w:rPr>
        <w:t>, and that it has complied throughout the year with the provisions where the requirements are of a continuing nature.</w:t>
      </w:r>
    </w:p>
    <w:p w:rsidR="00781D70" w:rsidRPr="009170B8" w:rsidRDefault="00781D70" w:rsidP="00781D70">
      <w:pPr>
        <w:spacing w:after="240"/>
        <w:jc w:val="both"/>
        <w:rPr>
          <w:rFonts w:ascii="Times New Roman" w:hAnsi="Times New Roman"/>
          <w:sz w:val="20"/>
          <w:szCs w:val="20"/>
        </w:rPr>
      </w:pPr>
      <w:r w:rsidRPr="009170B8">
        <w:rPr>
          <w:rFonts w:ascii="Times New Roman" w:hAnsi="Times New Roman"/>
          <w:sz w:val="20"/>
          <w:szCs w:val="20"/>
        </w:rPr>
        <w:t>The AIC Code includes provision</w:t>
      </w:r>
      <w:r>
        <w:rPr>
          <w:rFonts w:ascii="Times New Roman" w:hAnsi="Times New Roman"/>
          <w:sz w:val="20"/>
          <w:szCs w:val="20"/>
        </w:rPr>
        <w:t>s</w:t>
      </w:r>
      <w:r w:rsidRPr="009170B8">
        <w:rPr>
          <w:rFonts w:ascii="Times New Roman" w:hAnsi="Times New Roman"/>
          <w:sz w:val="20"/>
          <w:szCs w:val="20"/>
        </w:rPr>
        <w:t xml:space="preserve"> relating to the role of chief executive</w:t>
      </w:r>
      <w:r>
        <w:rPr>
          <w:rFonts w:ascii="Times New Roman" w:hAnsi="Times New Roman"/>
          <w:sz w:val="20"/>
          <w:szCs w:val="20"/>
        </w:rPr>
        <w:t xml:space="preserve"> management</w:t>
      </w:r>
      <w:r w:rsidRPr="009170B8">
        <w:rPr>
          <w:rFonts w:ascii="Times New Roman" w:hAnsi="Times New Roman"/>
          <w:sz w:val="20"/>
          <w:szCs w:val="20"/>
        </w:rPr>
        <w:t xml:space="preserve">. As all of the directors are non-executives, the Board considers that </w:t>
      </w:r>
      <w:r>
        <w:rPr>
          <w:rFonts w:ascii="Times New Roman" w:hAnsi="Times New Roman"/>
          <w:sz w:val="20"/>
          <w:szCs w:val="20"/>
        </w:rPr>
        <w:t xml:space="preserve">these </w:t>
      </w:r>
      <w:r w:rsidRPr="009170B8">
        <w:rPr>
          <w:rFonts w:ascii="Times New Roman" w:hAnsi="Times New Roman"/>
          <w:sz w:val="20"/>
          <w:szCs w:val="20"/>
        </w:rPr>
        <w:t>provision</w:t>
      </w:r>
      <w:r>
        <w:rPr>
          <w:rFonts w:ascii="Times New Roman" w:hAnsi="Times New Roman"/>
          <w:sz w:val="20"/>
          <w:szCs w:val="20"/>
        </w:rPr>
        <w:t>s</w:t>
      </w:r>
      <w:r w:rsidRPr="009170B8">
        <w:rPr>
          <w:rFonts w:ascii="Times New Roman" w:hAnsi="Times New Roman"/>
          <w:sz w:val="20"/>
          <w:szCs w:val="20"/>
        </w:rPr>
        <w:t xml:space="preserve"> </w:t>
      </w:r>
      <w:r>
        <w:rPr>
          <w:rFonts w:ascii="Times New Roman" w:hAnsi="Times New Roman"/>
          <w:sz w:val="20"/>
          <w:szCs w:val="20"/>
        </w:rPr>
        <w:t xml:space="preserve">are </w:t>
      </w:r>
      <w:r w:rsidRPr="009170B8">
        <w:rPr>
          <w:rFonts w:ascii="Times New Roman" w:hAnsi="Times New Roman"/>
          <w:sz w:val="20"/>
          <w:szCs w:val="20"/>
        </w:rPr>
        <w:t xml:space="preserve">not relevant to the Company, </w:t>
      </w:r>
      <w:r>
        <w:rPr>
          <w:rFonts w:ascii="Times New Roman" w:hAnsi="Times New Roman"/>
          <w:sz w:val="20"/>
          <w:szCs w:val="20"/>
        </w:rPr>
        <w:t xml:space="preserve">which is an </w:t>
      </w:r>
      <w:r w:rsidRPr="009170B8">
        <w:rPr>
          <w:rFonts w:ascii="Times New Roman" w:hAnsi="Times New Roman"/>
          <w:sz w:val="20"/>
          <w:szCs w:val="20"/>
        </w:rPr>
        <w:t xml:space="preserve">externally managed investment company. In accordance with </w:t>
      </w:r>
      <w:r w:rsidR="00556416">
        <w:rPr>
          <w:rFonts w:ascii="Times New Roman" w:hAnsi="Times New Roman"/>
          <w:sz w:val="20"/>
          <w:szCs w:val="20"/>
        </w:rPr>
        <w:t>FCA</w:t>
      </w:r>
      <w:r w:rsidR="00556416" w:rsidRPr="009170B8">
        <w:rPr>
          <w:rFonts w:ascii="Times New Roman" w:hAnsi="Times New Roman"/>
          <w:sz w:val="20"/>
          <w:szCs w:val="20"/>
        </w:rPr>
        <w:t xml:space="preserve"> </w:t>
      </w:r>
      <w:r w:rsidRPr="009170B8">
        <w:rPr>
          <w:rFonts w:ascii="Times New Roman" w:hAnsi="Times New Roman"/>
          <w:sz w:val="20"/>
          <w:szCs w:val="20"/>
        </w:rPr>
        <w:t>Listing Rule LR 15.6.6, a closed-ended investment fund does not need to comply with the provisions regarding remuneration in the UK Corporate Governance Code. The Company has therefore not reported further in respect of these provisions.</w:t>
      </w:r>
      <w:r>
        <w:rPr>
          <w:rFonts w:ascii="Times New Roman" w:hAnsi="Times New Roman"/>
          <w:sz w:val="20"/>
          <w:szCs w:val="20"/>
        </w:rPr>
        <w:t xml:space="preserve"> </w:t>
      </w:r>
      <w:r w:rsidRPr="009170B8">
        <w:rPr>
          <w:rFonts w:ascii="Times New Roman" w:hAnsi="Times New Roman"/>
          <w:sz w:val="20"/>
          <w:szCs w:val="20"/>
        </w:rPr>
        <w:t>The Company continues to operate a comply or explain approach with shareholders.</w:t>
      </w:r>
    </w:p>
    <w:p w:rsidR="00335CE9" w:rsidRPr="009170B8" w:rsidRDefault="00335CE9" w:rsidP="00335CE9">
      <w:pPr>
        <w:spacing w:after="240"/>
        <w:jc w:val="both"/>
        <w:rPr>
          <w:rFonts w:ascii="Times New Roman" w:eastAsia="Calibri" w:hAnsi="Times New Roman"/>
          <w:sz w:val="20"/>
          <w:szCs w:val="20"/>
          <w:lang w:eastAsia="en-GB"/>
        </w:rPr>
      </w:pPr>
      <w:r w:rsidRPr="009170B8">
        <w:rPr>
          <w:rFonts w:ascii="Times New Roman" w:hAnsi="Times New Roman"/>
          <w:sz w:val="20"/>
          <w:szCs w:val="20"/>
        </w:rPr>
        <w:t xml:space="preserve">The Board is responsible for setting the </w:t>
      </w:r>
      <w:r w:rsidR="00A1209E">
        <w:rPr>
          <w:rFonts w:ascii="Times New Roman" w:hAnsi="Times New Roman"/>
          <w:sz w:val="20"/>
          <w:szCs w:val="20"/>
        </w:rPr>
        <w:t xml:space="preserve">Company’s </w:t>
      </w:r>
      <w:r w:rsidRPr="009170B8">
        <w:rPr>
          <w:rFonts w:ascii="Times New Roman" w:hAnsi="Times New Roman"/>
          <w:sz w:val="20"/>
          <w:szCs w:val="20"/>
        </w:rPr>
        <w:t>investment policy</w:t>
      </w:r>
      <w:r w:rsidR="00A1209E">
        <w:rPr>
          <w:rFonts w:ascii="Times New Roman" w:hAnsi="Times New Roman"/>
          <w:sz w:val="20"/>
          <w:szCs w:val="20"/>
        </w:rPr>
        <w:t>, subject to shareholders’ approval in general meeting</w:t>
      </w:r>
      <w:r w:rsidR="0042620F">
        <w:rPr>
          <w:rFonts w:ascii="Times New Roman" w:hAnsi="Times New Roman"/>
          <w:sz w:val="20"/>
          <w:szCs w:val="20"/>
        </w:rPr>
        <w:t xml:space="preserve"> of any proposed material changes</w:t>
      </w:r>
      <w:r w:rsidR="00A1209E">
        <w:rPr>
          <w:rFonts w:ascii="Times New Roman" w:hAnsi="Times New Roman"/>
          <w:sz w:val="20"/>
          <w:szCs w:val="20"/>
        </w:rPr>
        <w:t xml:space="preserve">, </w:t>
      </w:r>
      <w:r w:rsidRPr="009170B8">
        <w:rPr>
          <w:rFonts w:ascii="Times New Roman" w:hAnsi="Times New Roman"/>
          <w:sz w:val="20"/>
          <w:szCs w:val="20"/>
        </w:rPr>
        <w:t xml:space="preserve">and has a schedule of investment matters reserved for the directors’ </w:t>
      </w:r>
      <w:r w:rsidR="00FD77FA">
        <w:rPr>
          <w:rFonts w:ascii="Times New Roman" w:hAnsi="Times New Roman"/>
          <w:sz w:val="20"/>
          <w:szCs w:val="20"/>
        </w:rPr>
        <w:t>resolu</w:t>
      </w:r>
      <w:r>
        <w:rPr>
          <w:rFonts w:ascii="Times New Roman" w:hAnsi="Times New Roman"/>
          <w:sz w:val="20"/>
          <w:szCs w:val="20"/>
        </w:rPr>
        <w:t>tion</w:t>
      </w:r>
      <w:r w:rsidRPr="009170B8">
        <w:rPr>
          <w:rFonts w:ascii="Times New Roman" w:hAnsi="Times New Roman"/>
          <w:sz w:val="20"/>
          <w:szCs w:val="20"/>
        </w:rPr>
        <w:t xml:space="preserve">. The Board has contractually delegated to external agencies the management of the investment portfolio, the custodial services and the day to day accounting and secretarial requirements. Each of these contracts is only entered into after proper consideration by the Board of the quality </w:t>
      </w:r>
      <w:r w:rsidR="0042620F">
        <w:rPr>
          <w:rFonts w:ascii="Times New Roman" w:hAnsi="Times New Roman"/>
          <w:sz w:val="20"/>
          <w:szCs w:val="20"/>
        </w:rPr>
        <w:t>of</w:t>
      </w:r>
      <w:r w:rsidR="0042620F" w:rsidRPr="009170B8">
        <w:rPr>
          <w:rFonts w:ascii="Times New Roman" w:hAnsi="Times New Roman"/>
          <w:sz w:val="20"/>
          <w:szCs w:val="20"/>
        </w:rPr>
        <w:t xml:space="preserve"> </w:t>
      </w:r>
      <w:r w:rsidRPr="009170B8">
        <w:rPr>
          <w:rFonts w:ascii="Times New Roman" w:hAnsi="Times New Roman"/>
          <w:sz w:val="20"/>
          <w:szCs w:val="20"/>
        </w:rPr>
        <w:t>services being offered.</w:t>
      </w:r>
      <w:r w:rsidRPr="009170B8">
        <w:rPr>
          <w:rFonts w:ascii="Times New Roman" w:eastAsia="Calibri" w:hAnsi="Times New Roman"/>
          <w:sz w:val="20"/>
          <w:szCs w:val="20"/>
          <w:lang w:eastAsia="en-GB"/>
        </w:rPr>
        <w:t xml:space="preserve"> The Company’s risk assessment and the way in which significant risks are managed is a key area for the Board. Work here </w:t>
      </w:r>
      <w:r w:rsidR="00C50E62">
        <w:rPr>
          <w:rFonts w:ascii="Times New Roman" w:eastAsia="Calibri" w:hAnsi="Times New Roman"/>
          <w:sz w:val="20"/>
          <w:szCs w:val="20"/>
          <w:lang w:eastAsia="en-GB"/>
        </w:rPr>
        <w:t>is</w:t>
      </w:r>
      <w:r w:rsidRPr="009170B8">
        <w:rPr>
          <w:rFonts w:ascii="Times New Roman" w:eastAsia="Calibri" w:hAnsi="Times New Roman"/>
          <w:sz w:val="20"/>
          <w:szCs w:val="20"/>
          <w:lang w:eastAsia="en-GB"/>
        </w:rPr>
        <w:t xml:space="preserve"> driven by the Board’s assessment of the risks arising in the Company’s operations and identification of the controls exercised by the Board and its delegates, the Investment Manager and other service providers. These are recorded in the Company’s business risk matrix, which continues to serve as an effective tool to highlight and monitor the principal risks. The Board also receive</w:t>
      </w:r>
      <w:r w:rsidR="00C50E62">
        <w:rPr>
          <w:rFonts w:ascii="Times New Roman" w:eastAsia="Calibri" w:hAnsi="Times New Roman"/>
          <w:sz w:val="20"/>
          <w:szCs w:val="20"/>
          <w:lang w:eastAsia="en-GB"/>
        </w:rPr>
        <w:t>s</w:t>
      </w:r>
      <w:r w:rsidRPr="009170B8">
        <w:rPr>
          <w:rFonts w:ascii="Times New Roman" w:eastAsia="Calibri" w:hAnsi="Times New Roman"/>
          <w:sz w:val="20"/>
          <w:szCs w:val="20"/>
          <w:lang w:eastAsia="en-GB"/>
        </w:rPr>
        <w:t xml:space="preserve"> and consider</w:t>
      </w:r>
      <w:r w:rsidR="00C50E62">
        <w:rPr>
          <w:rFonts w:ascii="Times New Roman" w:eastAsia="Calibri" w:hAnsi="Times New Roman"/>
          <w:sz w:val="20"/>
          <w:szCs w:val="20"/>
          <w:lang w:eastAsia="en-GB"/>
        </w:rPr>
        <w:t>s</w:t>
      </w:r>
      <w:r w:rsidRPr="009170B8">
        <w:rPr>
          <w:rFonts w:ascii="Times New Roman" w:eastAsia="Calibri" w:hAnsi="Times New Roman"/>
          <w:sz w:val="20"/>
          <w:szCs w:val="20"/>
          <w:lang w:eastAsia="en-GB"/>
        </w:rPr>
        <w:t>, together with representatives of the Investment Manager, reports in relation to the operational controls of the Investment Manager, Administrator, Custodian and Registrar. These reviews identified no issues of significance.</w:t>
      </w:r>
    </w:p>
    <w:p w:rsidR="00B44D91" w:rsidRPr="00E5676A" w:rsidRDefault="00B44D91" w:rsidP="00B44D91">
      <w:pPr>
        <w:autoSpaceDE w:val="0"/>
        <w:autoSpaceDN w:val="0"/>
        <w:adjustRightInd w:val="0"/>
        <w:jc w:val="both"/>
        <w:rPr>
          <w:rFonts w:ascii="Times New Roman" w:hAnsi="Times New Roman"/>
          <w:b/>
          <w:bCs/>
          <w:sz w:val="20"/>
        </w:rPr>
      </w:pPr>
      <w:r w:rsidRPr="00E5676A">
        <w:rPr>
          <w:rFonts w:ascii="Times New Roman" w:hAnsi="Times New Roman"/>
          <w:b/>
          <w:bCs/>
          <w:sz w:val="20"/>
        </w:rPr>
        <w:t>Principal Risks and Uncertainties</w:t>
      </w:r>
    </w:p>
    <w:p w:rsidR="00B44D91" w:rsidRPr="009170B8" w:rsidRDefault="00B44D91" w:rsidP="00B44D91">
      <w:pPr>
        <w:autoSpaceDE w:val="0"/>
        <w:autoSpaceDN w:val="0"/>
        <w:adjustRightInd w:val="0"/>
        <w:jc w:val="both"/>
        <w:rPr>
          <w:rFonts w:ascii="Times New Roman" w:eastAsia="Calibri" w:hAnsi="Times New Roman"/>
          <w:i/>
          <w:sz w:val="20"/>
          <w:szCs w:val="20"/>
          <w:lang w:eastAsia="en-GB"/>
        </w:rPr>
      </w:pPr>
    </w:p>
    <w:p w:rsidR="00B44D91" w:rsidRPr="009170B8" w:rsidRDefault="00B44D91" w:rsidP="00B44D91">
      <w:pPr>
        <w:autoSpaceDE w:val="0"/>
        <w:autoSpaceDN w:val="0"/>
        <w:adjustRightInd w:val="0"/>
        <w:jc w:val="both"/>
        <w:rPr>
          <w:rFonts w:ascii="Times New Roman" w:eastAsia="Calibri" w:hAnsi="Times New Roman"/>
          <w:b/>
          <w:bCs/>
          <w:sz w:val="20"/>
          <w:szCs w:val="20"/>
          <w:lang w:eastAsia="en-GB"/>
        </w:rPr>
      </w:pPr>
      <w:r w:rsidRPr="009170B8">
        <w:rPr>
          <w:rFonts w:ascii="Times New Roman" w:eastAsia="Calibri" w:hAnsi="Times New Roman"/>
          <w:bCs/>
          <w:i/>
          <w:sz w:val="20"/>
          <w:szCs w:val="20"/>
          <w:lang w:eastAsia="en-GB"/>
        </w:rPr>
        <w:t>Investment Policy (incorporating the Investment Objective)</w:t>
      </w:r>
    </w:p>
    <w:p w:rsidR="00B44D91" w:rsidRPr="009170B8" w:rsidRDefault="00B44D91" w:rsidP="00B44D91">
      <w:pPr>
        <w:autoSpaceDE w:val="0"/>
        <w:autoSpaceDN w:val="0"/>
        <w:adjustRightInd w:val="0"/>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 xml:space="preserve">There is no guarantee that the Company’s investment objective will be achieved or provide the returns sought by shareholders. The Board has established guidelines to ensure that the investment policy that has been approved is pursued by the Investment </w:t>
      </w:r>
      <w:r w:rsidRPr="009B5399">
        <w:rPr>
          <w:rFonts w:ascii="Times New Roman" w:eastAsia="Calibri" w:hAnsi="Times New Roman"/>
          <w:sz w:val="20"/>
          <w:szCs w:val="20"/>
          <w:lang w:eastAsia="en-GB"/>
        </w:rPr>
        <w:t>Manager.</w:t>
      </w:r>
      <w:r w:rsidR="00072147" w:rsidRPr="009B5399">
        <w:rPr>
          <w:rFonts w:ascii="Times New Roman" w:eastAsia="Calibri" w:hAnsi="Times New Roman"/>
          <w:sz w:val="20"/>
          <w:szCs w:val="20"/>
          <w:lang w:eastAsia="en-GB"/>
        </w:rPr>
        <w:t xml:space="preserve">  </w:t>
      </w:r>
      <w:r w:rsidR="00DA201B" w:rsidRPr="009B5399">
        <w:rPr>
          <w:rFonts w:ascii="Times New Roman" w:eastAsia="Calibri" w:hAnsi="Times New Roman"/>
          <w:sz w:val="20"/>
          <w:szCs w:val="20"/>
          <w:lang w:eastAsia="en-GB"/>
        </w:rPr>
        <w:t>The Board reviews the Investment Manager’s compliance with the agreed investment restrictions, investment performance and risk against inve</w:t>
      </w:r>
      <w:r w:rsidR="009B5399" w:rsidRPr="009B5399">
        <w:rPr>
          <w:rFonts w:ascii="Times New Roman" w:eastAsia="Calibri" w:hAnsi="Times New Roman"/>
          <w:sz w:val="20"/>
          <w:szCs w:val="20"/>
          <w:lang w:eastAsia="en-GB"/>
        </w:rPr>
        <w:t xml:space="preserve">stment objectives and strategy; </w:t>
      </w:r>
      <w:r w:rsidR="00DA201B" w:rsidRPr="009B5399">
        <w:rPr>
          <w:rFonts w:ascii="Times New Roman" w:eastAsia="Calibri" w:hAnsi="Times New Roman"/>
          <w:sz w:val="20"/>
          <w:szCs w:val="20"/>
          <w:lang w:eastAsia="en-GB"/>
        </w:rPr>
        <w:t xml:space="preserve">the portfolio’s risk profile; and appropriate strategies employed to mitigate any negative impact of substantial changes in markets.  In addition, the </w:t>
      </w:r>
      <w:r w:rsidR="009B5399" w:rsidRPr="009B5399">
        <w:rPr>
          <w:rFonts w:ascii="Times New Roman" w:eastAsia="Calibri" w:hAnsi="Times New Roman"/>
          <w:sz w:val="20"/>
          <w:szCs w:val="20"/>
          <w:lang w:eastAsia="en-GB"/>
        </w:rPr>
        <w:t>Board</w:t>
      </w:r>
      <w:r w:rsidR="00DA201B" w:rsidRPr="009B5399">
        <w:rPr>
          <w:rFonts w:ascii="Times New Roman" w:eastAsia="Calibri" w:hAnsi="Times New Roman"/>
          <w:sz w:val="20"/>
          <w:szCs w:val="20"/>
          <w:lang w:eastAsia="en-GB"/>
        </w:rPr>
        <w:t xml:space="preserve"> also perform</w:t>
      </w:r>
      <w:r w:rsidR="009B5399" w:rsidRPr="009B5399">
        <w:rPr>
          <w:rFonts w:ascii="Times New Roman" w:eastAsia="Calibri" w:hAnsi="Times New Roman"/>
          <w:sz w:val="20"/>
          <w:szCs w:val="20"/>
          <w:lang w:eastAsia="en-GB"/>
        </w:rPr>
        <w:t>s</w:t>
      </w:r>
      <w:r w:rsidR="00DA201B" w:rsidRPr="009B5399">
        <w:rPr>
          <w:rFonts w:ascii="Times New Roman" w:eastAsia="Calibri" w:hAnsi="Times New Roman"/>
          <w:sz w:val="20"/>
          <w:szCs w:val="20"/>
          <w:lang w:eastAsia="en-GB"/>
        </w:rPr>
        <w:t xml:space="preserve"> an annual review of the ongoing suitability of the Investment Manager.</w:t>
      </w:r>
      <w:r w:rsidR="00DA201B" w:rsidRPr="00DA201B">
        <w:rPr>
          <w:rFonts w:ascii="Times New Roman" w:eastAsia="Calibri" w:hAnsi="Times New Roman"/>
          <w:sz w:val="20"/>
          <w:szCs w:val="20"/>
          <w:lang w:eastAsia="en-GB"/>
        </w:rPr>
        <w:t xml:space="preserve">  </w:t>
      </w:r>
    </w:p>
    <w:p w:rsidR="00335CE9" w:rsidRDefault="00335CE9" w:rsidP="00B44D91">
      <w:pPr>
        <w:autoSpaceDE w:val="0"/>
        <w:autoSpaceDN w:val="0"/>
        <w:adjustRightInd w:val="0"/>
        <w:rPr>
          <w:rFonts w:ascii="Times New Roman" w:eastAsia="Calibri" w:hAnsi="Times New Roman"/>
          <w:bCs/>
          <w:i/>
          <w:sz w:val="20"/>
          <w:szCs w:val="20"/>
          <w:lang w:eastAsia="en-GB"/>
        </w:rPr>
      </w:pPr>
    </w:p>
    <w:p w:rsidR="00335CE9" w:rsidRPr="009170B8" w:rsidRDefault="00335CE9" w:rsidP="00335CE9">
      <w:pPr>
        <w:autoSpaceDE w:val="0"/>
        <w:autoSpaceDN w:val="0"/>
        <w:adjustRightInd w:val="0"/>
        <w:rPr>
          <w:rFonts w:ascii="Times New Roman" w:eastAsia="Calibri" w:hAnsi="Times New Roman"/>
          <w:b/>
          <w:bCs/>
          <w:sz w:val="20"/>
          <w:szCs w:val="20"/>
          <w:lang w:eastAsia="en-GB"/>
        </w:rPr>
      </w:pPr>
      <w:r>
        <w:rPr>
          <w:rFonts w:ascii="Times New Roman" w:eastAsia="Calibri" w:hAnsi="Times New Roman"/>
          <w:bCs/>
          <w:i/>
          <w:sz w:val="20"/>
          <w:szCs w:val="20"/>
          <w:lang w:eastAsia="en-GB"/>
        </w:rPr>
        <w:t xml:space="preserve">Market Value of </w:t>
      </w:r>
      <w:r w:rsidRPr="009170B8">
        <w:rPr>
          <w:rFonts w:ascii="Times New Roman" w:eastAsia="Calibri" w:hAnsi="Times New Roman"/>
          <w:bCs/>
          <w:i/>
          <w:sz w:val="20"/>
          <w:szCs w:val="20"/>
          <w:lang w:eastAsia="en-GB"/>
        </w:rPr>
        <w:t>Fund Shares</w:t>
      </w:r>
    </w:p>
    <w:p w:rsidR="00A50DD8" w:rsidRPr="00E54387" w:rsidRDefault="00335CE9" w:rsidP="00E54387">
      <w:pPr>
        <w:autoSpaceDE w:val="0"/>
        <w:autoSpaceDN w:val="0"/>
        <w:adjustRightInd w:val="0"/>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 xml:space="preserve">The market value of the Fund Shares will be affected by a number of factors, including the dividend yield from time to time of the Fund Shares, prevailing interest rates and supply </w:t>
      </w:r>
      <w:r>
        <w:rPr>
          <w:rFonts w:ascii="Times New Roman" w:eastAsia="Calibri" w:hAnsi="Times New Roman"/>
          <w:sz w:val="20"/>
          <w:szCs w:val="20"/>
          <w:lang w:eastAsia="en-GB"/>
        </w:rPr>
        <w:t xml:space="preserve">of </w:t>
      </w:r>
      <w:r w:rsidRPr="009170B8">
        <w:rPr>
          <w:rFonts w:ascii="Times New Roman" w:eastAsia="Calibri" w:hAnsi="Times New Roman"/>
          <w:sz w:val="20"/>
          <w:szCs w:val="20"/>
          <w:lang w:eastAsia="en-GB"/>
        </w:rPr>
        <w:t xml:space="preserve">and demand for those Fund Shares, along with wider economic factors and changes in </w:t>
      </w:r>
      <w:r>
        <w:rPr>
          <w:rFonts w:ascii="Times New Roman" w:eastAsia="Calibri" w:hAnsi="Times New Roman"/>
          <w:sz w:val="20"/>
          <w:szCs w:val="20"/>
          <w:lang w:eastAsia="en-GB"/>
        </w:rPr>
        <w:t>applicable</w:t>
      </w:r>
      <w:r w:rsidRPr="009170B8">
        <w:rPr>
          <w:rFonts w:ascii="Times New Roman" w:eastAsia="Calibri" w:hAnsi="Times New Roman"/>
          <w:sz w:val="20"/>
          <w:szCs w:val="20"/>
          <w:lang w:eastAsia="en-GB"/>
        </w:rPr>
        <w:t xml:space="preserve"> law, including tax law, and political factors. The market value of, and the income derived from, the Fund Shares can fluctuate and may go down as well as up. The market value of the Fund Shares may not always </w:t>
      </w:r>
      <w:r>
        <w:rPr>
          <w:rFonts w:ascii="Times New Roman" w:eastAsia="Calibri" w:hAnsi="Times New Roman"/>
          <w:sz w:val="20"/>
          <w:szCs w:val="20"/>
          <w:lang w:eastAsia="en-GB"/>
        </w:rPr>
        <w:t>correlate closely with</w:t>
      </w:r>
      <w:r w:rsidRPr="009170B8">
        <w:rPr>
          <w:rFonts w:ascii="Times New Roman" w:eastAsia="Calibri" w:hAnsi="Times New Roman"/>
          <w:sz w:val="20"/>
          <w:szCs w:val="20"/>
          <w:lang w:eastAsia="en-GB"/>
        </w:rPr>
        <w:t xml:space="preserve"> the NAV per Fund Share. While it is the intention of directors to pay dividends to shareholders on a quarterly basis, the ability to do so will largely depend on the amount of income the Company receives on its investments, the timing of such receipts and costs. Any reduction in income receivable by the Company, or increase in the cost of financing, will lead to a </w:t>
      </w:r>
    </w:p>
    <w:p w:rsidR="00A50DD8" w:rsidRDefault="00A50DD8" w:rsidP="00A50DD8">
      <w:pPr>
        <w:pStyle w:val="Heading2"/>
        <w:tabs>
          <w:tab w:val="right" w:pos="8222"/>
        </w:tabs>
        <w:rPr>
          <w:rFonts w:ascii="Times New Roman" w:hAnsi="Times New Roman"/>
        </w:rPr>
      </w:pPr>
      <w:r w:rsidRPr="009170B8">
        <w:rPr>
          <w:rFonts w:ascii="Times New Roman" w:hAnsi="Times New Roman"/>
        </w:rPr>
        <w:t>Directors’ Report (continued)</w:t>
      </w:r>
    </w:p>
    <w:p w:rsidR="00A50DD8" w:rsidRPr="00E5676A" w:rsidRDefault="00A50DD8" w:rsidP="00A50DD8">
      <w:pPr>
        <w:pStyle w:val="Heading3"/>
        <w:rPr>
          <w:rFonts w:ascii="Times New Roman" w:hAnsi="Times New Roman"/>
        </w:rPr>
      </w:pPr>
    </w:p>
    <w:p w:rsidR="00A50DD8" w:rsidRDefault="00A50DD8" w:rsidP="00A50DD8">
      <w:pPr>
        <w:pStyle w:val="Heading3"/>
        <w:rPr>
          <w:rFonts w:ascii="Times New Roman" w:hAnsi="Times New Roman"/>
        </w:rPr>
      </w:pPr>
      <w:r w:rsidRPr="00632797">
        <w:rPr>
          <w:rFonts w:ascii="Times New Roman" w:hAnsi="Times New Roman"/>
        </w:rPr>
        <w:t>Principal Risks and Uncertainties</w:t>
      </w:r>
      <w:r>
        <w:rPr>
          <w:rFonts w:ascii="Times New Roman" w:hAnsi="Times New Roman"/>
        </w:rPr>
        <w:t xml:space="preserve"> (continued)</w:t>
      </w:r>
    </w:p>
    <w:p w:rsidR="00140415" w:rsidRDefault="00140415" w:rsidP="00140415">
      <w:pPr>
        <w:autoSpaceDE w:val="0"/>
        <w:autoSpaceDN w:val="0"/>
        <w:adjustRightInd w:val="0"/>
        <w:rPr>
          <w:rFonts w:ascii="Times New Roman" w:eastAsia="Calibri" w:hAnsi="Times New Roman"/>
          <w:bCs/>
          <w:i/>
          <w:sz w:val="20"/>
          <w:szCs w:val="20"/>
          <w:lang w:eastAsia="en-GB"/>
        </w:rPr>
      </w:pPr>
    </w:p>
    <w:p w:rsidR="00140415" w:rsidRPr="009170B8" w:rsidRDefault="00140415" w:rsidP="00140415">
      <w:pPr>
        <w:autoSpaceDE w:val="0"/>
        <w:autoSpaceDN w:val="0"/>
        <w:adjustRightInd w:val="0"/>
        <w:rPr>
          <w:rFonts w:ascii="Times New Roman" w:eastAsia="Calibri" w:hAnsi="Times New Roman"/>
          <w:b/>
          <w:bCs/>
          <w:sz w:val="20"/>
          <w:szCs w:val="20"/>
          <w:lang w:eastAsia="en-GB"/>
        </w:rPr>
      </w:pPr>
      <w:r>
        <w:rPr>
          <w:rFonts w:ascii="Times New Roman" w:eastAsia="Calibri" w:hAnsi="Times New Roman"/>
          <w:bCs/>
          <w:i/>
          <w:sz w:val="20"/>
          <w:szCs w:val="20"/>
          <w:lang w:eastAsia="en-GB"/>
        </w:rPr>
        <w:t xml:space="preserve">Market Value of </w:t>
      </w:r>
      <w:r w:rsidRPr="009170B8">
        <w:rPr>
          <w:rFonts w:ascii="Times New Roman" w:eastAsia="Calibri" w:hAnsi="Times New Roman"/>
          <w:bCs/>
          <w:i/>
          <w:sz w:val="20"/>
          <w:szCs w:val="20"/>
          <w:lang w:eastAsia="en-GB"/>
        </w:rPr>
        <w:t>Fund Shares</w:t>
      </w:r>
      <w:r>
        <w:rPr>
          <w:rFonts w:ascii="Times New Roman" w:eastAsia="Calibri" w:hAnsi="Times New Roman"/>
          <w:bCs/>
          <w:i/>
          <w:sz w:val="20"/>
          <w:szCs w:val="20"/>
          <w:lang w:eastAsia="en-GB"/>
        </w:rPr>
        <w:t xml:space="preserve"> (continued)</w:t>
      </w:r>
    </w:p>
    <w:p w:rsidR="006810AC" w:rsidRPr="001F5EE5" w:rsidRDefault="00335CE9" w:rsidP="00D67366">
      <w:pPr>
        <w:autoSpaceDE w:val="0"/>
        <w:autoSpaceDN w:val="0"/>
        <w:adjustRightInd w:val="0"/>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 xml:space="preserve">reduction in earnings per share and therefore in the Company’s ability to pay dividends. Accordingly, the amount of dividends </w:t>
      </w:r>
      <w:r w:rsidRPr="001F5EE5">
        <w:rPr>
          <w:rFonts w:ascii="Times New Roman" w:eastAsia="Calibri" w:hAnsi="Times New Roman"/>
          <w:sz w:val="20"/>
          <w:szCs w:val="20"/>
          <w:lang w:eastAsia="en-GB"/>
        </w:rPr>
        <w:t>payable by the Company may fluctuate.</w:t>
      </w:r>
      <w:r w:rsidR="00072147" w:rsidRPr="001F5EE5">
        <w:rPr>
          <w:rFonts w:ascii="Times New Roman" w:eastAsia="Calibri" w:hAnsi="Times New Roman"/>
          <w:sz w:val="20"/>
          <w:szCs w:val="20"/>
          <w:lang w:eastAsia="en-GB"/>
        </w:rPr>
        <w:t xml:space="preserve">  The Board monitors the </w:t>
      </w:r>
      <w:r w:rsidR="001B7B81" w:rsidRPr="001F5EE5">
        <w:rPr>
          <w:rFonts w:ascii="Times New Roman" w:eastAsia="Calibri" w:hAnsi="Times New Roman"/>
          <w:sz w:val="20"/>
          <w:szCs w:val="20"/>
          <w:lang w:eastAsia="en-GB"/>
        </w:rPr>
        <w:t xml:space="preserve">income received on investments and </w:t>
      </w:r>
      <w:r w:rsidR="00072147" w:rsidRPr="001F5EE5">
        <w:rPr>
          <w:rFonts w:ascii="Times New Roman" w:eastAsia="Calibri" w:hAnsi="Times New Roman"/>
          <w:sz w:val="20"/>
          <w:szCs w:val="20"/>
          <w:lang w:eastAsia="en-GB"/>
        </w:rPr>
        <w:t>available for distribution prior to the declaration of each dividend.</w:t>
      </w:r>
    </w:p>
    <w:p w:rsidR="00072147" w:rsidRPr="001F5EE5" w:rsidRDefault="00072147" w:rsidP="00D67366">
      <w:pPr>
        <w:autoSpaceDE w:val="0"/>
        <w:autoSpaceDN w:val="0"/>
        <w:adjustRightInd w:val="0"/>
        <w:jc w:val="both"/>
        <w:rPr>
          <w:rFonts w:ascii="Times New Roman" w:eastAsia="Calibri" w:hAnsi="Times New Roman"/>
          <w:sz w:val="20"/>
          <w:szCs w:val="20"/>
          <w:lang w:eastAsia="en-GB"/>
        </w:rPr>
      </w:pPr>
    </w:p>
    <w:p w:rsidR="00072147" w:rsidRDefault="001B7B81" w:rsidP="00D67366">
      <w:pPr>
        <w:autoSpaceDE w:val="0"/>
        <w:autoSpaceDN w:val="0"/>
        <w:adjustRightInd w:val="0"/>
        <w:jc w:val="both"/>
        <w:rPr>
          <w:rFonts w:ascii="Times New Roman" w:eastAsia="Calibri" w:hAnsi="Times New Roman"/>
          <w:sz w:val="20"/>
          <w:szCs w:val="20"/>
          <w:lang w:eastAsia="en-GB"/>
        </w:rPr>
      </w:pPr>
      <w:r w:rsidRPr="001F5EE5">
        <w:rPr>
          <w:rFonts w:ascii="Times New Roman" w:eastAsia="Calibri" w:hAnsi="Times New Roman"/>
          <w:sz w:val="20"/>
          <w:szCs w:val="20"/>
          <w:lang w:eastAsia="en-GB"/>
        </w:rPr>
        <w:t xml:space="preserve">The directors have the </w:t>
      </w:r>
      <w:r w:rsidR="00072147" w:rsidRPr="001F5EE5">
        <w:rPr>
          <w:rFonts w:ascii="Times New Roman" w:eastAsia="Calibri" w:hAnsi="Times New Roman"/>
          <w:sz w:val="20"/>
          <w:szCs w:val="20"/>
          <w:lang w:eastAsia="en-GB"/>
        </w:rPr>
        <w:t xml:space="preserve">power to issue and buy back the Company’s shares during the year, which can be used to help manage the level of </w:t>
      </w:r>
      <w:r w:rsidR="00632797" w:rsidRPr="001F5EE5">
        <w:rPr>
          <w:rFonts w:ascii="Times New Roman" w:eastAsia="Calibri" w:hAnsi="Times New Roman"/>
          <w:sz w:val="20"/>
          <w:szCs w:val="20"/>
          <w:lang w:eastAsia="en-GB"/>
        </w:rPr>
        <w:t>premium</w:t>
      </w:r>
      <w:r w:rsidR="00072147" w:rsidRPr="001F5EE5">
        <w:rPr>
          <w:rFonts w:ascii="Times New Roman" w:eastAsia="Calibri" w:hAnsi="Times New Roman"/>
          <w:sz w:val="20"/>
          <w:szCs w:val="20"/>
          <w:lang w:eastAsia="en-GB"/>
        </w:rPr>
        <w:t xml:space="preserve"> or </w:t>
      </w:r>
      <w:r w:rsidR="00632797" w:rsidRPr="001F5EE5">
        <w:rPr>
          <w:rFonts w:ascii="Times New Roman" w:eastAsia="Calibri" w:hAnsi="Times New Roman"/>
          <w:sz w:val="20"/>
          <w:szCs w:val="20"/>
          <w:lang w:eastAsia="en-GB"/>
        </w:rPr>
        <w:t>discount</w:t>
      </w:r>
      <w:r w:rsidRPr="001F5EE5">
        <w:rPr>
          <w:rFonts w:ascii="Times New Roman" w:eastAsia="Calibri" w:hAnsi="Times New Roman"/>
          <w:sz w:val="20"/>
          <w:szCs w:val="20"/>
          <w:lang w:eastAsia="en-GB"/>
        </w:rPr>
        <w:t>.  The Board,</w:t>
      </w:r>
      <w:r w:rsidR="00072147" w:rsidRPr="001F5EE5">
        <w:rPr>
          <w:rFonts w:ascii="Times New Roman" w:eastAsia="Calibri" w:hAnsi="Times New Roman"/>
          <w:sz w:val="20"/>
          <w:szCs w:val="20"/>
          <w:lang w:eastAsia="en-GB"/>
        </w:rPr>
        <w:t xml:space="preserve"> the Investment Manager</w:t>
      </w:r>
      <w:r w:rsidRPr="001F5EE5">
        <w:rPr>
          <w:rFonts w:ascii="Times New Roman" w:eastAsia="Calibri" w:hAnsi="Times New Roman"/>
          <w:sz w:val="20"/>
          <w:szCs w:val="20"/>
          <w:lang w:eastAsia="en-GB"/>
        </w:rPr>
        <w:t xml:space="preserve"> and the Company’s Broker</w:t>
      </w:r>
      <w:r w:rsidR="00072147" w:rsidRPr="001F5EE5">
        <w:rPr>
          <w:rFonts w:ascii="Times New Roman" w:eastAsia="Calibri" w:hAnsi="Times New Roman"/>
          <w:sz w:val="20"/>
          <w:szCs w:val="20"/>
          <w:lang w:eastAsia="en-GB"/>
        </w:rPr>
        <w:t xml:space="preserve"> monitor the share price and level of </w:t>
      </w:r>
      <w:r w:rsidR="00632797" w:rsidRPr="001F5EE5">
        <w:rPr>
          <w:rFonts w:ascii="Times New Roman" w:eastAsia="Calibri" w:hAnsi="Times New Roman"/>
          <w:sz w:val="20"/>
          <w:szCs w:val="20"/>
          <w:lang w:eastAsia="en-GB"/>
        </w:rPr>
        <w:t>premium</w:t>
      </w:r>
      <w:r w:rsidR="00072147" w:rsidRPr="001F5EE5">
        <w:rPr>
          <w:rFonts w:ascii="Times New Roman" w:eastAsia="Calibri" w:hAnsi="Times New Roman"/>
          <w:sz w:val="20"/>
          <w:szCs w:val="20"/>
          <w:lang w:eastAsia="en-GB"/>
        </w:rPr>
        <w:t xml:space="preserve"> or </w:t>
      </w:r>
      <w:r w:rsidR="00632797" w:rsidRPr="001F5EE5">
        <w:rPr>
          <w:rFonts w:ascii="Times New Roman" w:eastAsia="Calibri" w:hAnsi="Times New Roman"/>
          <w:sz w:val="20"/>
          <w:szCs w:val="20"/>
          <w:lang w:eastAsia="en-GB"/>
        </w:rPr>
        <w:t>discount</w:t>
      </w:r>
      <w:r w:rsidRPr="001F5EE5">
        <w:rPr>
          <w:rFonts w:ascii="Times New Roman" w:eastAsia="Calibri" w:hAnsi="Times New Roman"/>
          <w:sz w:val="20"/>
          <w:szCs w:val="20"/>
          <w:lang w:eastAsia="en-GB"/>
        </w:rPr>
        <w:t xml:space="preserve"> on a regular basis</w:t>
      </w:r>
      <w:r w:rsidR="00072147" w:rsidRPr="001F5EE5">
        <w:rPr>
          <w:rFonts w:ascii="Times New Roman" w:eastAsia="Calibri" w:hAnsi="Times New Roman"/>
          <w:sz w:val="20"/>
          <w:szCs w:val="20"/>
          <w:lang w:eastAsia="en-GB"/>
        </w:rPr>
        <w:t>.</w:t>
      </w:r>
    </w:p>
    <w:p w:rsidR="007973D9" w:rsidRDefault="007973D9" w:rsidP="00B44D91">
      <w:pPr>
        <w:autoSpaceDE w:val="0"/>
        <w:autoSpaceDN w:val="0"/>
        <w:adjustRightInd w:val="0"/>
        <w:rPr>
          <w:rFonts w:ascii="Times New Roman" w:eastAsia="Calibri" w:hAnsi="Times New Roman"/>
          <w:bCs/>
          <w:i/>
          <w:sz w:val="20"/>
          <w:szCs w:val="20"/>
          <w:lang w:eastAsia="en-GB"/>
        </w:rPr>
      </w:pPr>
    </w:p>
    <w:p w:rsidR="00B44D91" w:rsidRPr="009170B8" w:rsidRDefault="00FA5D2E">
      <w:pPr>
        <w:autoSpaceDE w:val="0"/>
        <w:autoSpaceDN w:val="0"/>
        <w:adjustRightInd w:val="0"/>
        <w:rPr>
          <w:rFonts w:ascii="Times New Roman" w:eastAsia="Calibri" w:hAnsi="Times New Roman"/>
          <w:b/>
          <w:bCs/>
          <w:sz w:val="20"/>
          <w:szCs w:val="20"/>
          <w:lang w:eastAsia="en-GB"/>
        </w:rPr>
      </w:pPr>
      <w:r w:rsidRPr="00E5676A">
        <w:rPr>
          <w:rFonts w:ascii="Times New Roman" w:eastAsia="Calibri" w:hAnsi="Times New Roman"/>
          <w:bCs/>
          <w:i/>
          <w:sz w:val="20"/>
          <w:szCs w:val="20"/>
          <w:lang w:eastAsia="en-GB"/>
        </w:rPr>
        <w:t>Reliance on External Service Providers</w:t>
      </w:r>
      <w:r>
        <w:rPr>
          <w:rFonts w:ascii="Times New Roman" w:eastAsia="Calibri" w:hAnsi="Times New Roman"/>
          <w:bCs/>
          <w:i/>
          <w:sz w:val="20"/>
          <w:szCs w:val="20"/>
          <w:lang w:eastAsia="en-GB"/>
        </w:rPr>
        <w:t xml:space="preserve"> </w:t>
      </w:r>
    </w:p>
    <w:p w:rsidR="000871D0" w:rsidRDefault="00B44D91" w:rsidP="00B44D91">
      <w:pPr>
        <w:autoSpaceDE w:val="0"/>
        <w:autoSpaceDN w:val="0"/>
        <w:adjustRightInd w:val="0"/>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 xml:space="preserve">The Company has no employees and the directors have all been appointed on a non-executive basis. The Company is reliant upon the performance of third party service providers for its executive function. The Company’s most significant contract is with the Investment Manager, to whom the responsibility for the day-to-day management of the Company’s portfolio has been </w:t>
      </w:r>
    </w:p>
    <w:p w:rsidR="00B44D91" w:rsidRPr="009170B8" w:rsidRDefault="00B44D91" w:rsidP="00B44D91">
      <w:pPr>
        <w:autoSpaceDE w:val="0"/>
        <w:autoSpaceDN w:val="0"/>
        <w:adjustRightInd w:val="0"/>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delegated. The Company has other contractual arrangements with third parties to act as administrator, secretary, registrar, custodian and broker. Failure by any service provider to carry out its obligations to the Company in accordance with</w:t>
      </w:r>
      <w:r w:rsidR="009F7422">
        <w:rPr>
          <w:rFonts w:ascii="Times New Roman" w:eastAsia="Calibri" w:hAnsi="Times New Roman"/>
          <w:sz w:val="20"/>
          <w:szCs w:val="20"/>
          <w:lang w:eastAsia="en-GB"/>
        </w:rPr>
        <w:t xml:space="preserve"> </w:t>
      </w:r>
      <w:r w:rsidRPr="009170B8">
        <w:rPr>
          <w:rFonts w:ascii="Times New Roman" w:eastAsia="Calibri" w:hAnsi="Times New Roman"/>
          <w:sz w:val="20"/>
          <w:szCs w:val="20"/>
          <w:lang w:eastAsia="en-GB"/>
        </w:rPr>
        <w:t>the terms of its appointment could have a materially detrimental impact on the operation</w:t>
      </w:r>
      <w:r w:rsidR="00335CE9">
        <w:rPr>
          <w:rFonts w:ascii="Times New Roman" w:eastAsia="Calibri" w:hAnsi="Times New Roman"/>
          <w:sz w:val="20"/>
          <w:szCs w:val="20"/>
          <w:lang w:eastAsia="en-GB"/>
        </w:rPr>
        <w:t>s</w:t>
      </w:r>
      <w:r w:rsidRPr="009170B8">
        <w:rPr>
          <w:rFonts w:ascii="Times New Roman" w:eastAsia="Calibri" w:hAnsi="Times New Roman"/>
          <w:sz w:val="20"/>
          <w:szCs w:val="20"/>
          <w:lang w:eastAsia="en-GB"/>
        </w:rPr>
        <w:t xml:space="preserve"> of the Company and could affect the ability of the Company to successfully pursue its investment policy and expose the Company to reputational </w:t>
      </w:r>
      <w:r w:rsidR="00290E1C">
        <w:rPr>
          <w:rFonts w:ascii="Times New Roman" w:eastAsia="Calibri" w:hAnsi="Times New Roman"/>
          <w:sz w:val="20"/>
          <w:szCs w:val="20"/>
          <w:lang w:eastAsia="en-GB"/>
        </w:rPr>
        <w:t xml:space="preserve">and financial </w:t>
      </w:r>
      <w:r w:rsidRPr="009170B8">
        <w:rPr>
          <w:rFonts w:ascii="Times New Roman" w:eastAsia="Calibri" w:hAnsi="Times New Roman"/>
          <w:sz w:val="20"/>
          <w:szCs w:val="20"/>
          <w:lang w:eastAsia="en-GB"/>
        </w:rPr>
        <w:t>risk.</w:t>
      </w:r>
    </w:p>
    <w:p w:rsidR="00B44D91" w:rsidRPr="009170B8" w:rsidRDefault="00B44D91" w:rsidP="00B44D91">
      <w:pPr>
        <w:autoSpaceDE w:val="0"/>
        <w:autoSpaceDN w:val="0"/>
        <w:adjustRightInd w:val="0"/>
        <w:jc w:val="both"/>
        <w:rPr>
          <w:rFonts w:ascii="Times New Roman" w:eastAsia="Calibri" w:hAnsi="Times New Roman"/>
          <w:sz w:val="20"/>
          <w:szCs w:val="20"/>
          <w:lang w:eastAsia="en-GB"/>
        </w:rPr>
      </w:pPr>
    </w:p>
    <w:p w:rsidR="00B44D91" w:rsidRDefault="00B44D91" w:rsidP="00B44D91">
      <w:pPr>
        <w:autoSpaceDE w:val="0"/>
        <w:autoSpaceDN w:val="0"/>
        <w:adjustRightInd w:val="0"/>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 xml:space="preserve">The Investment Manager </w:t>
      </w:r>
      <w:r w:rsidR="001F77C8">
        <w:rPr>
          <w:rFonts w:ascii="Times New Roman" w:eastAsia="Calibri" w:hAnsi="Times New Roman"/>
          <w:sz w:val="20"/>
          <w:szCs w:val="20"/>
          <w:lang w:eastAsia="en-GB"/>
        </w:rPr>
        <w:t xml:space="preserve">is </w:t>
      </w:r>
      <w:r w:rsidRPr="009170B8">
        <w:rPr>
          <w:rFonts w:ascii="Times New Roman" w:eastAsia="Calibri" w:hAnsi="Times New Roman"/>
          <w:sz w:val="20"/>
          <w:szCs w:val="20"/>
          <w:lang w:eastAsia="en-GB"/>
        </w:rPr>
        <w:t xml:space="preserve">exposed to the risk that litigation, misconduct, operational failures, negative publicity and press speculation, whether or not valid, </w:t>
      </w:r>
      <w:r w:rsidR="001F77C8">
        <w:rPr>
          <w:rFonts w:ascii="Times New Roman" w:eastAsia="Calibri" w:hAnsi="Times New Roman"/>
          <w:sz w:val="20"/>
          <w:szCs w:val="20"/>
          <w:lang w:eastAsia="en-GB"/>
        </w:rPr>
        <w:t xml:space="preserve">may </w:t>
      </w:r>
      <w:r w:rsidRPr="009170B8">
        <w:rPr>
          <w:rFonts w:ascii="Times New Roman" w:eastAsia="Calibri" w:hAnsi="Times New Roman"/>
          <w:sz w:val="20"/>
          <w:szCs w:val="20"/>
          <w:lang w:eastAsia="en-GB"/>
        </w:rPr>
        <w:t xml:space="preserve">harm its reputation. Any damage to the reputation of the Investment Manager could result in counterparties and </w:t>
      </w:r>
      <w:r w:rsidR="001F77C8">
        <w:rPr>
          <w:rFonts w:ascii="Times New Roman" w:eastAsia="Calibri" w:hAnsi="Times New Roman"/>
          <w:sz w:val="20"/>
          <w:szCs w:val="20"/>
          <w:lang w:eastAsia="en-GB"/>
        </w:rPr>
        <w:t xml:space="preserve">other </w:t>
      </w:r>
      <w:r w:rsidRPr="009170B8">
        <w:rPr>
          <w:rFonts w:ascii="Times New Roman" w:eastAsia="Calibri" w:hAnsi="Times New Roman"/>
          <w:sz w:val="20"/>
          <w:szCs w:val="20"/>
          <w:lang w:eastAsia="en-GB"/>
        </w:rPr>
        <w:t>third parties being unwilling to deal with the Investment Manager and by extension the Company. This could have an adverse impact on the ability of the Company to pursue its investment policy.</w:t>
      </w:r>
    </w:p>
    <w:p w:rsidR="00632797" w:rsidRPr="00E5676A" w:rsidRDefault="00632797" w:rsidP="00E5676A">
      <w:pPr>
        <w:autoSpaceDE w:val="0"/>
        <w:autoSpaceDN w:val="0"/>
        <w:adjustRightInd w:val="0"/>
        <w:jc w:val="both"/>
        <w:rPr>
          <w:rFonts w:ascii="Times New Roman" w:hAnsi="Times New Roman"/>
          <w:color w:val="000000"/>
          <w:szCs w:val="20"/>
        </w:rPr>
      </w:pPr>
    </w:p>
    <w:p w:rsidR="00632797" w:rsidRPr="001F5EE5" w:rsidRDefault="00632797" w:rsidP="007973D9">
      <w:pPr>
        <w:pStyle w:val="Heading3"/>
        <w:rPr>
          <w:rFonts w:ascii="Times New Roman" w:eastAsia="Calibri" w:hAnsi="Times New Roman"/>
          <w:b w:val="0"/>
          <w:bCs w:val="0"/>
          <w:szCs w:val="20"/>
          <w:lang w:eastAsia="en-GB"/>
        </w:rPr>
      </w:pPr>
      <w:r w:rsidRPr="001F5EE5">
        <w:rPr>
          <w:rFonts w:ascii="Times New Roman" w:eastAsia="Calibri" w:hAnsi="Times New Roman"/>
          <w:b w:val="0"/>
          <w:bCs w:val="0"/>
          <w:szCs w:val="20"/>
          <w:lang w:eastAsia="en-GB"/>
        </w:rPr>
        <w:t>The Board seeks to manage these risks, and others, in a number of ways:</w:t>
      </w:r>
    </w:p>
    <w:p w:rsidR="00DD3656" w:rsidRPr="001F5EE5" w:rsidRDefault="00DD3656" w:rsidP="00DD3656">
      <w:pPr>
        <w:rPr>
          <w:rFonts w:eastAsia="Calibri"/>
          <w:lang w:eastAsia="en-GB"/>
        </w:rPr>
      </w:pPr>
    </w:p>
    <w:p w:rsidR="00632797" w:rsidRPr="001F5EE5" w:rsidRDefault="00632797" w:rsidP="00E54387">
      <w:pPr>
        <w:pStyle w:val="ListParagraph"/>
        <w:numPr>
          <w:ilvl w:val="0"/>
          <w:numId w:val="21"/>
        </w:numPr>
        <w:jc w:val="both"/>
        <w:rPr>
          <w:rFonts w:ascii="Times New Roman" w:hAnsi="Times New Roman"/>
          <w:szCs w:val="20"/>
        </w:rPr>
      </w:pPr>
      <w:r w:rsidRPr="001F5EE5">
        <w:rPr>
          <w:rFonts w:ascii="Times New Roman" w:hAnsi="Times New Roman"/>
          <w:sz w:val="20"/>
          <w:szCs w:val="20"/>
        </w:rPr>
        <w:t>The Management Engagement Committee monitors the performance of all third party providers in relation to agreed service standards on a regular basis, and any issues and concerns are dealt with and reported to the Board.</w:t>
      </w:r>
    </w:p>
    <w:p w:rsidR="00632797" w:rsidRPr="001F5EE5" w:rsidRDefault="00632797" w:rsidP="00E54387">
      <w:pPr>
        <w:pStyle w:val="ListParagraph"/>
        <w:numPr>
          <w:ilvl w:val="0"/>
          <w:numId w:val="21"/>
        </w:numPr>
        <w:jc w:val="both"/>
        <w:rPr>
          <w:rFonts w:ascii="Times New Roman" w:hAnsi="Times New Roman"/>
          <w:szCs w:val="20"/>
        </w:rPr>
      </w:pPr>
      <w:r w:rsidRPr="001F5EE5">
        <w:rPr>
          <w:rFonts w:ascii="Times New Roman" w:hAnsi="Times New Roman"/>
          <w:sz w:val="20"/>
          <w:szCs w:val="20"/>
        </w:rPr>
        <w:t>The Board monitors the performance of the Investment Manager at every board meeting and otherwise as appropriate.  The Board has the power to</w:t>
      </w:r>
      <w:r w:rsidR="001B7B81" w:rsidRPr="001F5EE5">
        <w:rPr>
          <w:rFonts w:ascii="Times New Roman" w:hAnsi="Times New Roman"/>
          <w:sz w:val="20"/>
          <w:szCs w:val="20"/>
        </w:rPr>
        <w:t xml:space="preserve"> replace the Investment Manager</w:t>
      </w:r>
      <w:r w:rsidRPr="001F5EE5">
        <w:rPr>
          <w:rFonts w:ascii="Times New Roman" w:hAnsi="Times New Roman"/>
          <w:sz w:val="20"/>
          <w:szCs w:val="20"/>
        </w:rPr>
        <w:t>.</w:t>
      </w:r>
    </w:p>
    <w:p w:rsidR="00632797" w:rsidRPr="001F5EE5" w:rsidRDefault="00632797" w:rsidP="00E54387">
      <w:pPr>
        <w:pStyle w:val="ListParagraph"/>
        <w:numPr>
          <w:ilvl w:val="0"/>
          <w:numId w:val="21"/>
        </w:numPr>
        <w:jc w:val="both"/>
        <w:rPr>
          <w:rFonts w:ascii="Times New Roman" w:hAnsi="Times New Roman"/>
          <w:szCs w:val="20"/>
        </w:rPr>
      </w:pPr>
      <w:r w:rsidRPr="001F5EE5">
        <w:rPr>
          <w:rFonts w:ascii="Times New Roman" w:hAnsi="Times New Roman"/>
          <w:sz w:val="20"/>
          <w:szCs w:val="20"/>
        </w:rPr>
        <w:t>The Board has adopted guidelines within which the Investment Manager is permitted discretion.  Any proposed variation outside these guidelines is referred to the Board</w:t>
      </w:r>
      <w:r w:rsidR="001B7B81" w:rsidRPr="001F5EE5">
        <w:rPr>
          <w:rFonts w:ascii="Times New Roman" w:hAnsi="Times New Roman"/>
          <w:sz w:val="20"/>
          <w:szCs w:val="20"/>
        </w:rPr>
        <w:t>.</w:t>
      </w:r>
    </w:p>
    <w:p w:rsidR="00632797" w:rsidRPr="00E5676A" w:rsidRDefault="00632797" w:rsidP="00E5676A">
      <w:pPr>
        <w:rPr>
          <w:rFonts w:ascii="Times New Roman" w:eastAsia="Calibri" w:hAnsi="Times New Roman"/>
          <w:szCs w:val="20"/>
          <w:lang w:eastAsia="en-GB"/>
        </w:rPr>
      </w:pPr>
    </w:p>
    <w:p w:rsidR="007973D9" w:rsidRDefault="000620E4" w:rsidP="007973D9">
      <w:pPr>
        <w:pStyle w:val="Heading3"/>
        <w:rPr>
          <w:rFonts w:ascii="Times New Roman" w:hAnsi="Times New Roman"/>
        </w:rPr>
      </w:pPr>
      <w:r>
        <w:rPr>
          <w:rFonts w:ascii="Times New Roman" w:hAnsi="Times New Roman"/>
        </w:rPr>
        <w:t>Directors</w:t>
      </w:r>
    </w:p>
    <w:p w:rsidR="00632797" w:rsidRDefault="00632797" w:rsidP="00632797">
      <w:pPr>
        <w:spacing w:after="240"/>
        <w:jc w:val="both"/>
        <w:rPr>
          <w:rFonts w:ascii="Times New Roman" w:hAnsi="Times New Roman"/>
          <w:sz w:val="20"/>
          <w:szCs w:val="20"/>
        </w:rPr>
      </w:pPr>
      <w:r w:rsidRPr="00632797">
        <w:rPr>
          <w:rFonts w:ascii="Times New Roman" w:hAnsi="Times New Roman"/>
          <w:sz w:val="20"/>
          <w:szCs w:val="20"/>
        </w:rPr>
        <w:t>As at 31 December 201</w:t>
      </w:r>
      <w:r w:rsidR="00C10BEA">
        <w:rPr>
          <w:rFonts w:ascii="Times New Roman" w:hAnsi="Times New Roman"/>
          <w:sz w:val="20"/>
          <w:szCs w:val="20"/>
        </w:rPr>
        <w:t>8</w:t>
      </w:r>
      <w:r w:rsidRPr="00632797">
        <w:rPr>
          <w:rFonts w:ascii="Times New Roman" w:hAnsi="Times New Roman"/>
          <w:sz w:val="20"/>
          <w:szCs w:val="20"/>
        </w:rPr>
        <w:t xml:space="preserve"> and as at the date of this report, the Board of directors comprised </w:t>
      </w:r>
      <w:r w:rsidR="002F5A09">
        <w:rPr>
          <w:rFonts w:ascii="Times New Roman" w:hAnsi="Times New Roman"/>
          <w:sz w:val="20"/>
          <w:szCs w:val="20"/>
        </w:rPr>
        <w:t>six</w:t>
      </w:r>
      <w:r w:rsidRPr="00632797">
        <w:rPr>
          <w:rFonts w:ascii="Times New Roman" w:hAnsi="Times New Roman"/>
          <w:sz w:val="20"/>
          <w:szCs w:val="20"/>
        </w:rPr>
        <w:t xml:space="preserve"> non-executive directors, f</w:t>
      </w:r>
      <w:r w:rsidR="002F5A09">
        <w:rPr>
          <w:rFonts w:ascii="Times New Roman" w:hAnsi="Times New Roman"/>
          <w:sz w:val="20"/>
          <w:szCs w:val="20"/>
        </w:rPr>
        <w:t>ive</w:t>
      </w:r>
      <w:r w:rsidRPr="00632797">
        <w:rPr>
          <w:rFonts w:ascii="Times New Roman" w:hAnsi="Times New Roman"/>
          <w:sz w:val="20"/>
          <w:szCs w:val="20"/>
        </w:rPr>
        <w:t xml:space="preserve"> of whom were independent of the Investment Manager and its affiliates.</w:t>
      </w:r>
    </w:p>
    <w:p w:rsidR="00EC4A82" w:rsidRDefault="005C0691" w:rsidP="00B44D91">
      <w:pPr>
        <w:spacing w:after="240"/>
        <w:jc w:val="both"/>
        <w:rPr>
          <w:rFonts w:ascii="Times New Roman" w:hAnsi="Times New Roman"/>
          <w:sz w:val="20"/>
          <w:szCs w:val="20"/>
        </w:rPr>
      </w:pPr>
      <w:r w:rsidRPr="00F03B1A">
        <w:rPr>
          <w:rFonts w:ascii="Times New Roman" w:hAnsi="Times New Roman"/>
          <w:sz w:val="20"/>
          <w:szCs w:val="20"/>
        </w:rPr>
        <w:t xml:space="preserve">The present members of the Board are listed on page </w:t>
      </w:r>
      <w:r w:rsidR="00140415">
        <w:rPr>
          <w:rFonts w:ascii="Times New Roman" w:hAnsi="Times New Roman"/>
          <w:sz w:val="20"/>
          <w:szCs w:val="20"/>
        </w:rPr>
        <w:t>66</w:t>
      </w:r>
      <w:r w:rsidR="00744996">
        <w:rPr>
          <w:rFonts w:ascii="Times New Roman" w:hAnsi="Times New Roman"/>
          <w:sz w:val="20"/>
          <w:szCs w:val="20"/>
        </w:rPr>
        <w:t xml:space="preserve"> and</w:t>
      </w:r>
      <w:r w:rsidR="00762429">
        <w:rPr>
          <w:rFonts w:ascii="Times New Roman" w:hAnsi="Times New Roman"/>
          <w:sz w:val="20"/>
          <w:szCs w:val="20"/>
        </w:rPr>
        <w:t xml:space="preserve"> their curriculum vitae are included on page</w:t>
      </w:r>
      <w:r w:rsidR="00D67909">
        <w:rPr>
          <w:rFonts w:ascii="Times New Roman" w:hAnsi="Times New Roman"/>
          <w:sz w:val="20"/>
          <w:szCs w:val="20"/>
        </w:rPr>
        <w:t>s</w:t>
      </w:r>
      <w:r w:rsidR="00744996">
        <w:rPr>
          <w:rFonts w:ascii="Times New Roman" w:hAnsi="Times New Roman"/>
          <w:sz w:val="20"/>
          <w:szCs w:val="20"/>
        </w:rPr>
        <w:t xml:space="preserve"> </w:t>
      </w:r>
      <w:r w:rsidR="00140415">
        <w:rPr>
          <w:rFonts w:ascii="Times New Roman" w:hAnsi="Times New Roman"/>
          <w:sz w:val="20"/>
          <w:szCs w:val="20"/>
        </w:rPr>
        <w:t>17</w:t>
      </w:r>
      <w:r w:rsidR="00E214AD">
        <w:rPr>
          <w:rFonts w:ascii="Times New Roman" w:hAnsi="Times New Roman"/>
          <w:sz w:val="20"/>
          <w:szCs w:val="20"/>
        </w:rPr>
        <w:t xml:space="preserve"> and 18</w:t>
      </w:r>
      <w:r w:rsidRPr="002A018B">
        <w:rPr>
          <w:rFonts w:ascii="Times New Roman" w:hAnsi="Times New Roman"/>
          <w:sz w:val="20"/>
          <w:szCs w:val="20"/>
        </w:rPr>
        <w:t>.</w:t>
      </w:r>
      <w:r w:rsidRPr="00F03B1A">
        <w:rPr>
          <w:rFonts w:ascii="Times New Roman" w:hAnsi="Times New Roman"/>
          <w:sz w:val="20"/>
          <w:szCs w:val="20"/>
        </w:rPr>
        <w:t xml:space="preserve"> In accordance with the provisions of the AIC Code, all directors should submit themselves for re-election at least every three years.  In addition, as Mr </w:t>
      </w:r>
      <w:proofErr w:type="spellStart"/>
      <w:r w:rsidRPr="00F03B1A">
        <w:rPr>
          <w:rFonts w:ascii="Times New Roman" w:hAnsi="Times New Roman"/>
          <w:sz w:val="20"/>
          <w:szCs w:val="20"/>
        </w:rPr>
        <w:t>Orrico</w:t>
      </w:r>
      <w:proofErr w:type="spellEnd"/>
      <w:r w:rsidRPr="00F03B1A">
        <w:rPr>
          <w:rFonts w:ascii="Times New Roman" w:hAnsi="Times New Roman"/>
          <w:sz w:val="20"/>
          <w:szCs w:val="20"/>
        </w:rPr>
        <w:t xml:space="preserve"> is not independent of the Investment Manager, he is required by the </w:t>
      </w:r>
      <w:r w:rsidR="00803E5F">
        <w:rPr>
          <w:rFonts w:ascii="Times New Roman" w:hAnsi="Times New Roman"/>
          <w:sz w:val="20"/>
          <w:szCs w:val="20"/>
        </w:rPr>
        <w:t xml:space="preserve">FCA’s </w:t>
      </w:r>
      <w:r w:rsidRPr="00F03B1A">
        <w:rPr>
          <w:rFonts w:ascii="Times New Roman" w:hAnsi="Times New Roman"/>
          <w:sz w:val="20"/>
          <w:szCs w:val="20"/>
        </w:rPr>
        <w:t>Listing Rules to submit himself for re-election annually.</w:t>
      </w:r>
      <w:r w:rsidR="008B359C">
        <w:rPr>
          <w:rFonts w:ascii="Times New Roman" w:hAnsi="Times New Roman"/>
          <w:sz w:val="20"/>
          <w:szCs w:val="20"/>
        </w:rPr>
        <w:t xml:space="preserve"> </w:t>
      </w:r>
      <w:r w:rsidR="00E72FBD">
        <w:rPr>
          <w:rFonts w:ascii="Times New Roman" w:hAnsi="Times New Roman"/>
          <w:sz w:val="20"/>
          <w:szCs w:val="20"/>
        </w:rPr>
        <w:t>However, in accordance with PIRC’s published guidance and the 2019 AIC Code, all directors will continue to offer themselves for annual re-election for the foreseeable future.</w:t>
      </w:r>
    </w:p>
    <w:p w:rsidR="00B44D91" w:rsidRDefault="005C0691" w:rsidP="00A318B2">
      <w:pPr>
        <w:spacing w:after="240"/>
        <w:jc w:val="both"/>
        <w:rPr>
          <w:rFonts w:ascii="Times New Roman" w:hAnsi="Times New Roman"/>
          <w:sz w:val="20"/>
          <w:szCs w:val="20"/>
        </w:rPr>
      </w:pPr>
      <w:r w:rsidRPr="00F03B1A">
        <w:rPr>
          <w:rFonts w:ascii="Times New Roman" w:hAnsi="Times New Roman"/>
          <w:sz w:val="20"/>
          <w:szCs w:val="20"/>
        </w:rPr>
        <w:t>As the Fund is a Jersey-regulated entity, any change of director is subject to the consent of the Jersey Financial Services Commission  and the resignation of each director will</w:t>
      </w:r>
      <w:r w:rsidRPr="009170B8">
        <w:rPr>
          <w:rFonts w:ascii="Times New Roman" w:hAnsi="Times New Roman"/>
          <w:sz w:val="20"/>
          <w:szCs w:val="20"/>
        </w:rPr>
        <w:t xml:space="preserve"> be conditional upon </w:t>
      </w:r>
      <w:r>
        <w:rPr>
          <w:rFonts w:ascii="Times New Roman" w:hAnsi="Times New Roman"/>
          <w:sz w:val="20"/>
          <w:szCs w:val="20"/>
        </w:rPr>
        <w:t xml:space="preserve">the </w:t>
      </w:r>
      <w:r w:rsidRPr="009170B8">
        <w:rPr>
          <w:rFonts w:ascii="Times New Roman" w:hAnsi="Times New Roman"/>
          <w:sz w:val="20"/>
          <w:szCs w:val="20"/>
        </w:rPr>
        <w:t>JFSC</w:t>
      </w:r>
      <w:r>
        <w:rPr>
          <w:rFonts w:ascii="Times New Roman" w:hAnsi="Times New Roman"/>
          <w:sz w:val="20"/>
          <w:szCs w:val="20"/>
        </w:rPr>
        <w:t>’s</w:t>
      </w:r>
      <w:r w:rsidRPr="009170B8">
        <w:rPr>
          <w:rFonts w:ascii="Times New Roman" w:hAnsi="Times New Roman"/>
          <w:sz w:val="20"/>
          <w:szCs w:val="20"/>
        </w:rPr>
        <w:t xml:space="preserve"> consent to their resignation being obtained. This consent will only be sought if </w:t>
      </w:r>
      <w:r>
        <w:rPr>
          <w:rFonts w:ascii="Times New Roman" w:hAnsi="Times New Roman"/>
          <w:sz w:val="20"/>
          <w:szCs w:val="20"/>
        </w:rPr>
        <w:t>any</w:t>
      </w:r>
      <w:r w:rsidRPr="009170B8">
        <w:rPr>
          <w:rFonts w:ascii="Times New Roman" w:hAnsi="Times New Roman"/>
          <w:sz w:val="20"/>
          <w:szCs w:val="20"/>
        </w:rPr>
        <w:t xml:space="preserve"> director </w:t>
      </w:r>
      <w:r w:rsidR="00D2431A">
        <w:rPr>
          <w:rFonts w:ascii="Times New Roman" w:hAnsi="Times New Roman"/>
          <w:sz w:val="20"/>
          <w:szCs w:val="20"/>
        </w:rPr>
        <w:t xml:space="preserve">retires or </w:t>
      </w:r>
      <w:r w:rsidRPr="009170B8">
        <w:rPr>
          <w:rFonts w:ascii="Times New Roman" w:hAnsi="Times New Roman"/>
          <w:sz w:val="20"/>
          <w:szCs w:val="20"/>
        </w:rPr>
        <w:t xml:space="preserve">is not re-elected at the </w:t>
      </w:r>
      <w:r w:rsidR="00ED6240">
        <w:rPr>
          <w:rFonts w:ascii="Times New Roman" w:hAnsi="Times New Roman"/>
          <w:sz w:val="20"/>
          <w:szCs w:val="20"/>
        </w:rPr>
        <w:t xml:space="preserve">Company and Cell </w:t>
      </w:r>
      <w:r w:rsidRPr="009170B8">
        <w:rPr>
          <w:rFonts w:ascii="Times New Roman" w:hAnsi="Times New Roman"/>
          <w:sz w:val="20"/>
          <w:szCs w:val="20"/>
        </w:rPr>
        <w:t>AGM.</w:t>
      </w:r>
      <w:r w:rsidR="00EC4A82">
        <w:rPr>
          <w:rFonts w:ascii="Times New Roman" w:hAnsi="Times New Roman"/>
          <w:sz w:val="20"/>
          <w:szCs w:val="20"/>
        </w:rPr>
        <w:t xml:space="preserve">  </w:t>
      </w:r>
      <w:r w:rsidR="00A318B2" w:rsidRPr="009170B8">
        <w:rPr>
          <w:rFonts w:ascii="Times New Roman" w:hAnsi="Times New Roman"/>
          <w:sz w:val="20"/>
          <w:szCs w:val="20"/>
        </w:rPr>
        <w:t xml:space="preserve">Any director </w:t>
      </w:r>
      <w:r w:rsidR="00D2431A">
        <w:rPr>
          <w:rFonts w:ascii="Times New Roman" w:hAnsi="Times New Roman"/>
          <w:sz w:val="20"/>
          <w:szCs w:val="20"/>
        </w:rPr>
        <w:t xml:space="preserve">who retires or </w:t>
      </w:r>
      <w:r w:rsidR="00A318B2" w:rsidRPr="009170B8">
        <w:rPr>
          <w:rFonts w:ascii="Times New Roman" w:hAnsi="Times New Roman"/>
          <w:sz w:val="20"/>
          <w:szCs w:val="20"/>
        </w:rPr>
        <w:t xml:space="preserve">whose re-election is not approved at the </w:t>
      </w:r>
      <w:r w:rsidR="00EC4A82">
        <w:rPr>
          <w:rFonts w:ascii="Times New Roman" w:hAnsi="Times New Roman"/>
          <w:sz w:val="20"/>
          <w:szCs w:val="20"/>
        </w:rPr>
        <w:t xml:space="preserve">Company and Cell </w:t>
      </w:r>
      <w:r w:rsidR="00A318B2" w:rsidRPr="009170B8">
        <w:rPr>
          <w:rFonts w:ascii="Times New Roman" w:hAnsi="Times New Roman"/>
          <w:sz w:val="20"/>
          <w:szCs w:val="20"/>
        </w:rPr>
        <w:t xml:space="preserve">AGM will therefore remain in office until such time as the JFSC consents to their resignation (and this consent may itself be conditional upon the appointment of a replacement </w:t>
      </w:r>
      <w:r w:rsidR="00102569" w:rsidRPr="009170B8">
        <w:rPr>
          <w:rFonts w:ascii="Times New Roman" w:hAnsi="Times New Roman"/>
          <w:sz w:val="20"/>
          <w:szCs w:val="20"/>
        </w:rPr>
        <w:t>d</w:t>
      </w:r>
      <w:r w:rsidR="00A318B2" w:rsidRPr="009170B8">
        <w:rPr>
          <w:rFonts w:ascii="Times New Roman" w:hAnsi="Times New Roman"/>
          <w:sz w:val="20"/>
          <w:szCs w:val="20"/>
        </w:rPr>
        <w:t>irector acceptable to the JFSC</w:t>
      </w:r>
      <w:r w:rsidR="00A318B2" w:rsidRPr="000620E4">
        <w:rPr>
          <w:rFonts w:ascii="Times New Roman" w:hAnsi="Times New Roman"/>
          <w:sz w:val="20"/>
          <w:szCs w:val="20"/>
        </w:rPr>
        <w:t xml:space="preserve">). Any such </w:t>
      </w:r>
      <w:r w:rsidR="002E6FF3" w:rsidRPr="00E5676A">
        <w:rPr>
          <w:rFonts w:ascii="Times New Roman" w:hAnsi="Times New Roman"/>
          <w:sz w:val="20"/>
          <w:szCs w:val="20"/>
        </w:rPr>
        <w:t xml:space="preserve">resigning </w:t>
      </w:r>
      <w:r w:rsidR="00102569" w:rsidRPr="00E5676A">
        <w:rPr>
          <w:rFonts w:ascii="Times New Roman" w:hAnsi="Times New Roman"/>
          <w:sz w:val="20"/>
          <w:szCs w:val="20"/>
        </w:rPr>
        <w:t>d</w:t>
      </w:r>
      <w:r w:rsidR="00A318B2" w:rsidRPr="00E5676A">
        <w:rPr>
          <w:rFonts w:ascii="Times New Roman" w:hAnsi="Times New Roman"/>
          <w:sz w:val="20"/>
          <w:szCs w:val="20"/>
        </w:rPr>
        <w:t>irector will not take part in the management of the Fund pending receipt of such regulatory consent (save as may be required to preserve and protect the Fund's assets and interests or as may be required to comply with applicable regulation or legal obligation).</w:t>
      </w:r>
      <w:r w:rsidR="00EC4A82">
        <w:rPr>
          <w:rFonts w:ascii="Times New Roman" w:hAnsi="Times New Roman"/>
          <w:sz w:val="20"/>
          <w:szCs w:val="20"/>
        </w:rPr>
        <w:t xml:space="preserve"> </w:t>
      </w:r>
    </w:p>
    <w:p w:rsidR="00A50DD8" w:rsidRDefault="00A50DD8" w:rsidP="00A318B2">
      <w:pPr>
        <w:spacing w:after="240"/>
        <w:jc w:val="both"/>
        <w:rPr>
          <w:rFonts w:ascii="Times New Roman" w:hAnsi="Times New Roman"/>
          <w:sz w:val="20"/>
          <w:szCs w:val="20"/>
        </w:rPr>
      </w:pPr>
    </w:p>
    <w:p w:rsidR="00A50DD8" w:rsidRDefault="00A50DD8" w:rsidP="00A318B2">
      <w:pPr>
        <w:spacing w:after="240"/>
        <w:jc w:val="both"/>
        <w:rPr>
          <w:rFonts w:ascii="Times New Roman" w:hAnsi="Times New Roman"/>
          <w:sz w:val="20"/>
          <w:szCs w:val="20"/>
        </w:rPr>
      </w:pPr>
    </w:p>
    <w:p w:rsidR="00A50DD8" w:rsidRDefault="00A50DD8" w:rsidP="00A318B2">
      <w:pPr>
        <w:spacing w:after="240"/>
        <w:jc w:val="both"/>
        <w:rPr>
          <w:rFonts w:ascii="Times New Roman" w:hAnsi="Times New Roman"/>
          <w:sz w:val="20"/>
          <w:szCs w:val="20"/>
        </w:rPr>
      </w:pPr>
    </w:p>
    <w:p w:rsidR="00A50DD8" w:rsidRDefault="00A50DD8" w:rsidP="00A50DD8">
      <w:pPr>
        <w:pStyle w:val="Heading2"/>
        <w:tabs>
          <w:tab w:val="right" w:pos="8222"/>
        </w:tabs>
        <w:rPr>
          <w:rFonts w:ascii="Times New Roman" w:hAnsi="Times New Roman"/>
        </w:rPr>
      </w:pPr>
      <w:r w:rsidRPr="009170B8">
        <w:rPr>
          <w:rFonts w:ascii="Times New Roman" w:hAnsi="Times New Roman"/>
        </w:rPr>
        <w:t>Directors’ Report (continued)</w:t>
      </w:r>
    </w:p>
    <w:p w:rsidR="00A50DD8" w:rsidRDefault="00A50DD8" w:rsidP="00A50DD8"/>
    <w:p w:rsidR="00A50DD8" w:rsidRPr="00B13363" w:rsidRDefault="00A50DD8" w:rsidP="00A50DD8">
      <w:pPr>
        <w:jc w:val="both"/>
        <w:rPr>
          <w:rFonts w:ascii="Times New Roman" w:hAnsi="Times New Roman"/>
          <w:b/>
          <w:sz w:val="20"/>
          <w:szCs w:val="20"/>
        </w:rPr>
      </w:pPr>
      <w:r w:rsidRPr="009170B8">
        <w:rPr>
          <w:rFonts w:ascii="Times New Roman" w:hAnsi="Times New Roman"/>
          <w:b/>
          <w:sz w:val="20"/>
          <w:szCs w:val="20"/>
        </w:rPr>
        <w:t>Directors (continued)</w:t>
      </w:r>
    </w:p>
    <w:p w:rsidR="00BD7C09" w:rsidRPr="00E54387" w:rsidRDefault="00BD7C09" w:rsidP="00E54387">
      <w:pPr>
        <w:spacing w:after="240"/>
        <w:jc w:val="both"/>
        <w:rPr>
          <w:rFonts w:ascii="Times New Roman" w:hAnsi="Times New Roman"/>
          <w:sz w:val="20"/>
          <w:szCs w:val="20"/>
        </w:rPr>
      </w:pPr>
      <w:r w:rsidRPr="00E54387">
        <w:rPr>
          <w:rFonts w:ascii="Times New Roman" w:hAnsi="Times New Roman"/>
          <w:sz w:val="20"/>
          <w:szCs w:val="20"/>
        </w:rPr>
        <w:t>As referenced in the Company’s half-yearly report for the six months ended 30 June 2018, the board intends to refresh its composition and has been planning for future succession.  It has been considering various measures to be taken by the Company to continue to comply with the UK standards of good corporate governance and has been consulting with certain of the Company’s largest shareholders.</w:t>
      </w:r>
      <w:r>
        <w:rPr>
          <w:rFonts w:ascii="Times New Roman" w:hAnsi="Times New Roman"/>
          <w:sz w:val="20"/>
          <w:szCs w:val="20"/>
        </w:rPr>
        <w:t xml:space="preserve"> </w:t>
      </w:r>
      <w:r w:rsidRPr="00E54387">
        <w:rPr>
          <w:rFonts w:ascii="Times New Roman" w:hAnsi="Times New Roman"/>
          <w:sz w:val="20"/>
          <w:szCs w:val="20"/>
        </w:rPr>
        <w:t xml:space="preserve">In this regard, Mr Raymond </w:t>
      </w:r>
      <w:proofErr w:type="spellStart"/>
      <w:r w:rsidRPr="00E54387">
        <w:rPr>
          <w:rFonts w:ascii="Times New Roman" w:hAnsi="Times New Roman"/>
          <w:sz w:val="20"/>
          <w:szCs w:val="20"/>
        </w:rPr>
        <w:t>Apsey</w:t>
      </w:r>
      <w:proofErr w:type="spellEnd"/>
      <w:r w:rsidRPr="00E54387">
        <w:rPr>
          <w:rFonts w:ascii="Times New Roman" w:hAnsi="Times New Roman"/>
          <w:sz w:val="20"/>
          <w:szCs w:val="20"/>
        </w:rPr>
        <w:t xml:space="preserve">, a Jersey non-executive director and former Chairman of the Company and the Fund, has advised the board of his willingness to retire as a director of the Company and the Fund at the next Company and Cell Meeting to be held in June 2019.  Mr </w:t>
      </w:r>
      <w:proofErr w:type="spellStart"/>
      <w:r w:rsidRPr="00E54387">
        <w:rPr>
          <w:rFonts w:ascii="Times New Roman" w:hAnsi="Times New Roman"/>
          <w:sz w:val="20"/>
          <w:szCs w:val="20"/>
        </w:rPr>
        <w:t>Apsey’s</w:t>
      </w:r>
      <w:proofErr w:type="spellEnd"/>
      <w:r w:rsidRPr="00E54387">
        <w:rPr>
          <w:rFonts w:ascii="Times New Roman" w:hAnsi="Times New Roman"/>
          <w:sz w:val="20"/>
          <w:szCs w:val="20"/>
        </w:rPr>
        <w:t xml:space="preserve"> retirement is conditional upon the consent of the JFSC and the JFSC’s approval of the appointment of a replacement Jersey-resident director. Mr </w:t>
      </w:r>
      <w:proofErr w:type="spellStart"/>
      <w:r w:rsidRPr="00E54387">
        <w:rPr>
          <w:rFonts w:ascii="Times New Roman" w:hAnsi="Times New Roman"/>
          <w:sz w:val="20"/>
          <w:szCs w:val="20"/>
        </w:rPr>
        <w:t>Apsey</w:t>
      </w:r>
      <w:proofErr w:type="spellEnd"/>
      <w:r w:rsidRPr="00E54387">
        <w:rPr>
          <w:rFonts w:ascii="Times New Roman" w:hAnsi="Times New Roman"/>
          <w:sz w:val="20"/>
          <w:szCs w:val="20"/>
        </w:rPr>
        <w:t xml:space="preserve"> has served on the board since 24 May 2006, the date of incorporation of the Company.</w:t>
      </w:r>
    </w:p>
    <w:p w:rsidR="00882FB0" w:rsidRDefault="00882FB0" w:rsidP="00882FB0">
      <w:pPr>
        <w:spacing w:line="240" w:lineRule="atLeast"/>
        <w:jc w:val="both"/>
        <w:rPr>
          <w:rFonts w:ascii="Times New Roman" w:hAnsi="Times New Roman"/>
          <w:sz w:val="20"/>
          <w:szCs w:val="20"/>
        </w:rPr>
      </w:pPr>
      <w:r w:rsidRPr="0042011A">
        <w:rPr>
          <w:rFonts w:ascii="Times New Roman" w:hAnsi="Times New Roman"/>
          <w:sz w:val="20"/>
          <w:szCs w:val="20"/>
        </w:rPr>
        <w:t xml:space="preserve">The </w:t>
      </w:r>
      <w:r>
        <w:rPr>
          <w:rFonts w:ascii="Times New Roman" w:hAnsi="Times New Roman"/>
          <w:sz w:val="20"/>
          <w:szCs w:val="20"/>
        </w:rPr>
        <w:t>interests as at 31 December 201</w:t>
      </w:r>
      <w:r w:rsidR="00C10BEA">
        <w:rPr>
          <w:rFonts w:ascii="Times New Roman" w:hAnsi="Times New Roman"/>
          <w:sz w:val="20"/>
          <w:szCs w:val="20"/>
        </w:rPr>
        <w:t>8</w:t>
      </w:r>
      <w:r>
        <w:rPr>
          <w:rFonts w:ascii="Times New Roman" w:hAnsi="Times New Roman"/>
          <w:sz w:val="20"/>
          <w:szCs w:val="20"/>
        </w:rPr>
        <w:t xml:space="preserve"> and 201</w:t>
      </w:r>
      <w:r w:rsidR="00C10BEA">
        <w:rPr>
          <w:rFonts w:ascii="Times New Roman" w:hAnsi="Times New Roman"/>
          <w:sz w:val="20"/>
          <w:szCs w:val="20"/>
        </w:rPr>
        <w:t>7</w:t>
      </w:r>
      <w:r>
        <w:rPr>
          <w:rFonts w:ascii="Times New Roman" w:hAnsi="Times New Roman"/>
          <w:sz w:val="20"/>
          <w:szCs w:val="20"/>
        </w:rPr>
        <w:t xml:space="preserve"> of the d</w:t>
      </w:r>
      <w:r w:rsidRPr="0042011A">
        <w:rPr>
          <w:rFonts w:ascii="Times New Roman" w:hAnsi="Times New Roman"/>
          <w:sz w:val="20"/>
          <w:szCs w:val="20"/>
        </w:rPr>
        <w:t xml:space="preserve">irectors who served on the Board </w:t>
      </w:r>
      <w:r>
        <w:rPr>
          <w:rFonts w:ascii="Times New Roman" w:hAnsi="Times New Roman"/>
          <w:sz w:val="20"/>
          <w:szCs w:val="20"/>
        </w:rPr>
        <w:t>and their connected persons</w:t>
      </w:r>
      <w:r w:rsidR="000620E4">
        <w:rPr>
          <w:rFonts w:ascii="Times New Roman" w:hAnsi="Times New Roman"/>
          <w:sz w:val="20"/>
          <w:szCs w:val="20"/>
        </w:rPr>
        <w:t xml:space="preserve"> during the year</w:t>
      </w:r>
      <w:r>
        <w:rPr>
          <w:rFonts w:ascii="Times New Roman" w:hAnsi="Times New Roman"/>
          <w:sz w:val="20"/>
          <w:szCs w:val="20"/>
        </w:rPr>
        <w:t xml:space="preserve"> </w:t>
      </w:r>
      <w:r w:rsidRPr="0042011A">
        <w:rPr>
          <w:rFonts w:ascii="Times New Roman" w:hAnsi="Times New Roman"/>
          <w:sz w:val="20"/>
          <w:szCs w:val="20"/>
        </w:rPr>
        <w:t>were as follows:</w:t>
      </w:r>
    </w:p>
    <w:tbl>
      <w:tblPr>
        <w:tblW w:w="10656" w:type="dxa"/>
        <w:tblLook w:val="0000" w:firstRow="0" w:lastRow="0" w:firstColumn="0" w:lastColumn="0" w:noHBand="0" w:noVBand="0"/>
      </w:tblPr>
      <w:tblGrid>
        <w:gridCol w:w="5211"/>
        <w:gridCol w:w="2410"/>
        <w:gridCol w:w="2799"/>
        <w:gridCol w:w="236"/>
      </w:tblGrid>
      <w:tr w:rsidR="0058547E" w:rsidRPr="00882FB0" w:rsidTr="00AC5183">
        <w:tc>
          <w:tcPr>
            <w:tcW w:w="5211" w:type="dxa"/>
          </w:tcPr>
          <w:p w:rsidR="0058547E" w:rsidRPr="00882FB0" w:rsidRDefault="0058547E" w:rsidP="00CC443E">
            <w:pPr>
              <w:jc w:val="both"/>
              <w:rPr>
                <w:rFonts w:ascii="Times New Roman" w:hAnsi="Times New Roman"/>
                <w:sz w:val="20"/>
              </w:rPr>
            </w:pPr>
          </w:p>
        </w:tc>
        <w:tc>
          <w:tcPr>
            <w:tcW w:w="2410" w:type="dxa"/>
          </w:tcPr>
          <w:p w:rsidR="0058547E" w:rsidRPr="00882FB0" w:rsidRDefault="0058547E">
            <w:pPr>
              <w:jc w:val="right"/>
              <w:rPr>
                <w:rFonts w:ascii="Times New Roman" w:hAnsi="Times New Roman"/>
                <w:b/>
                <w:bCs/>
                <w:sz w:val="20"/>
              </w:rPr>
            </w:pPr>
            <w:r w:rsidRPr="00882FB0">
              <w:rPr>
                <w:rFonts w:ascii="Times New Roman" w:hAnsi="Times New Roman"/>
                <w:b/>
                <w:bCs/>
                <w:sz w:val="20"/>
              </w:rPr>
              <w:t>201</w:t>
            </w:r>
            <w:r w:rsidR="00C10BEA">
              <w:rPr>
                <w:rFonts w:ascii="Times New Roman" w:hAnsi="Times New Roman"/>
                <w:b/>
                <w:bCs/>
                <w:sz w:val="20"/>
              </w:rPr>
              <w:t>8</w:t>
            </w:r>
          </w:p>
        </w:tc>
        <w:tc>
          <w:tcPr>
            <w:tcW w:w="2799" w:type="dxa"/>
          </w:tcPr>
          <w:p w:rsidR="0058547E" w:rsidRPr="00882FB0" w:rsidRDefault="0058547E">
            <w:pPr>
              <w:jc w:val="right"/>
              <w:rPr>
                <w:rFonts w:ascii="Times New Roman" w:hAnsi="Times New Roman"/>
                <w:b/>
                <w:bCs/>
                <w:sz w:val="20"/>
              </w:rPr>
            </w:pPr>
            <w:r w:rsidRPr="00882FB0">
              <w:rPr>
                <w:rFonts w:ascii="Times New Roman" w:hAnsi="Times New Roman"/>
                <w:b/>
                <w:bCs/>
                <w:sz w:val="20"/>
              </w:rPr>
              <w:t>201</w:t>
            </w:r>
            <w:r w:rsidR="00C10BEA">
              <w:rPr>
                <w:rFonts w:ascii="Times New Roman" w:hAnsi="Times New Roman"/>
                <w:b/>
                <w:bCs/>
                <w:sz w:val="20"/>
              </w:rPr>
              <w:t>7</w:t>
            </w:r>
          </w:p>
        </w:tc>
        <w:tc>
          <w:tcPr>
            <w:tcW w:w="236" w:type="dxa"/>
          </w:tcPr>
          <w:p w:rsidR="0058547E" w:rsidRPr="00882FB0" w:rsidRDefault="0058547E" w:rsidP="009A5D33">
            <w:pPr>
              <w:jc w:val="right"/>
              <w:rPr>
                <w:rFonts w:ascii="Times New Roman" w:hAnsi="Times New Roman"/>
                <w:b/>
                <w:bCs/>
                <w:sz w:val="20"/>
              </w:rPr>
            </w:pPr>
          </w:p>
        </w:tc>
      </w:tr>
      <w:tr w:rsidR="0058547E" w:rsidRPr="00882FB0" w:rsidTr="00AC5183">
        <w:tc>
          <w:tcPr>
            <w:tcW w:w="5211" w:type="dxa"/>
          </w:tcPr>
          <w:p w:rsidR="0058547E" w:rsidRPr="00882FB0" w:rsidRDefault="0058547E" w:rsidP="00CC443E">
            <w:pPr>
              <w:jc w:val="both"/>
              <w:rPr>
                <w:rFonts w:ascii="Times New Roman" w:hAnsi="Times New Roman"/>
                <w:sz w:val="20"/>
              </w:rPr>
            </w:pPr>
          </w:p>
        </w:tc>
        <w:tc>
          <w:tcPr>
            <w:tcW w:w="2410" w:type="dxa"/>
          </w:tcPr>
          <w:p w:rsidR="0058547E" w:rsidRPr="00882FB0" w:rsidRDefault="00DB7656" w:rsidP="00CC443E">
            <w:pPr>
              <w:jc w:val="right"/>
              <w:rPr>
                <w:rFonts w:ascii="Times New Roman" w:hAnsi="Times New Roman"/>
                <w:b/>
                <w:bCs/>
                <w:sz w:val="20"/>
              </w:rPr>
            </w:pPr>
            <w:r>
              <w:rPr>
                <w:rFonts w:ascii="Times New Roman" w:hAnsi="Times New Roman"/>
                <w:b/>
                <w:bCs/>
                <w:sz w:val="20"/>
              </w:rPr>
              <w:t>Fund</w:t>
            </w:r>
            <w:r w:rsidRPr="00882FB0">
              <w:rPr>
                <w:rFonts w:ascii="Times New Roman" w:hAnsi="Times New Roman"/>
                <w:b/>
                <w:bCs/>
                <w:sz w:val="20"/>
              </w:rPr>
              <w:t xml:space="preserve"> </w:t>
            </w:r>
            <w:r w:rsidR="0058547E" w:rsidRPr="00882FB0">
              <w:rPr>
                <w:rFonts w:ascii="Times New Roman" w:hAnsi="Times New Roman"/>
                <w:b/>
                <w:bCs/>
                <w:sz w:val="20"/>
              </w:rPr>
              <w:t>Shares</w:t>
            </w:r>
          </w:p>
        </w:tc>
        <w:tc>
          <w:tcPr>
            <w:tcW w:w="2799" w:type="dxa"/>
          </w:tcPr>
          <w:p w:rsidR="0058547E" w:rsidRPr="00882FB0" w:rsidRDefault="00DB7656" w:rsidP="00590B67">
            <w:pPr>
              <w:jc w:val="right"/>
              <w:rPr>
                <w:rFonts w:ascii="Times New Roman" w:hAnsi="Times New Roman"/>
                <w:b/>
                <w:bCs/>
                <w:sz w:val="20"/>
              </w:rPr>
            </w:pPr>
            <w:r>
              <w:rPr>
                <w:rFonts w:ascii="Times New Roman" w:hAnsi="Times New Roman"/>
                <w:b/>
                <w:bCs/>
                <w:sz w:val="20"/>
              </w:rPr>
              <w:t>Fund</w:t>
            </w:r>
            <w:r w:rsidRPr="00882FB0">
              <w:rPr>
                <w:rFonts w:ascii="Times New Roman" w:hAnsi="Times New Roman"/>
                <w:b/>
                <w:bCs/>
                <w:sz w:val="20"/>
              </w:rPr>
              <w:t xml:space="preserve"> </w:t>
            </w:r>
            <w:r w:rsidR="0058547E" w:rsidRPr="00882FB0">
              <w:rPr>
                <w:rFonts w:ascii="Times New Roman" w:hAnsi="Times New Roman"/>
                <w:b/>
                <w:bCs/>
                <w:sz w:val="20"/>
              </w:rPr>
              <w:t>Shares</w:t>
            </w:r>
          </w:p>
        </w:tc>
        <w:tc>
          <w:tcPr>
            <w:tcW w:w="236" w:type="dxa"/>
          </w:tcPr>
          <w:p w:rsidR="0058547E" w:rsidRPr="00882FB0" w:rsidRDefault="0058547E" w:rsidP="00460791">
            <w:pPr>
              <w:jc w:val="right"/>
              <w:rPr>
                <w:rFonts w:ascii="Times New Roman" w:hAnsi="Times New Roman"/>
                <w:b/>
                <w:bCs/>
                <w:sz w:val="20"/>
              </w:rPr>
            </w:pPr>
          </w:p>
        </w:tc>
      </w:tr>
      <w:tr w:rsidR="0058547E" w:rsidRPr="00882FB0" w:rsidTr="00AC5183">
        <w:tc>
          <w:tcPr>
            <w:tcW w:w="5211" w:type="dxa"/>
          </w:tcPr>
          <w:p w:rsidR="0058547E" w:rsidRPr="00882FB0" w:rsidRDefault="0058547E" w:rsidP="00590B67">
            <w:pPr>
              <w:jc w:val="both"/>
              <w:rPr>
                <w:rFonts w:ascii="Times New Roman" w:hAnsi="Times New Roman"/>
                <w:sz w:val="20"/>
                <w:szCs w:val="20"/>
              </w:rPr>
            </w:pPr>
          </w:p>
        </w:tc>
        <w:tc>
          <w:tcPr>
            <w:tcW w:w="2410" w:type="dxa"/>
          </w:tcPr>
          <w:p w:rsidR="0058547E" w:rsidRPr="00882FB0" w:rsidRDefault="0058547E" w:rsidP="00590B67">
            <w:pPr>
              <w:jc w:val="right"/>
              <w:rPr>
                <w:rFonts w:ascii="Times New Roman" w:hAnsi="Times New Roman"/>
                <w:sz w:val="20"/>
                <w:szCs w:val="20"/>
              </w:rPr>
            </w:pPr>
          </w:p>
        </w:tc>
        <w:tc>
          <w:tcPr>
            <w:tcW w:w="2799" w:type="dxa"/>
          </w:tcPr>
          <w:p w:rsidR="0058547E" w:rsidRPr="00882FB0" w:rsidRDefault="0058547E" w:rsidP="00590B67">
            <w:pPr>
              <w:jc w:val="right"/>
              <w:rPr>
                <w:rFonts w:ascii="Times New Roman" w:hAnsi="Times New Roman"/>
                <w:sz w:val="20"/>
                <w:szCs w:val="20"/>
              </w:rPr>
            </w:pPr>
          </w:p>
        </w:tc>
        <w:tc>
          <w:tcPr>
            <w:tcW w:w="236" w:type="dxa"/>
          </w:tcPr>
          <w:p w:rsidR="0058547E" w:rsidRPr="00882FB0" w:rsidRDefault="0058547E" w:rsidP="00590B67">
            <w:pPr>
              <w:jc w:val="right"/>
              <w:rPr>
                <w:rFonts w:ascii="Times New Roman" w:hAnsi="Times New Roman"/>
                <w:sz w:val="20"/>
                <w:szCs w:val="20"/>
              </w:rPr>
            </w:pPr>
          </w:p>
        </w:tc>
      </w:tr>
      <w:tr w:rsidR="00C10BEA" w:rsidRPr="00882FB0" w:rsidTr="00AC5183">
        <w:tc>
          <w:tcPr>
            <w:tcW w:w="5211" w:type="dxa"/>
            <w:vAlign w:val="bottom"/>
          </w:tcPr>
          <w:p w:rsidR="00C10BEA" w:rsidRPr="00882FB0" w:rsidRDefault="00C10BEA" w:rsidP="00203B1A">
            <w:pPr>
              <w:rPr>
                <w:rFonts w:ascii="Times New Roman" w:hAnsi="Times New Roman"/>
                <w:sz w:val="20"/>
                <w:szCs w:val="20"/>
              </w:rPr>
            </w:pPr>
            <w:bookmarkStart w:id="22" w:name="_Hlk473720626"/>
            <w:r w:rsidRPr="00882FB0">
              <w:rPr>
                <w:rFonts w:ascii="Times New Roman" w:hAnsi="Times New Roman"/>
                <w:sz w:val="20"/>
                <w:szCs w:val="20"/>
              </w:rPr>
              <w:t xml:space="preserve">Raymond </w:t>
            </w:r>
            <w:proofErr w:type="spellStart"/>
            <w:r w:rsidRPr="00882FB0">
              <w:rPr>
                <w:rFonts w:ascii="Times New Roman" w:hAnsi="Times New Roman"/>
                <w:sz w:val="20"/>
                <w:szCs w:val="20"/>
              </w:rPr>
              <w:t>Apsey</w:t>
            </w:r>
            <w:proofErr w:type="spellEnd"/>
            <w:r w:rsidRPr="00882FB0">
              <w:rPr>
                <w:rFonts w:ascii="Times New Roman" w:hAnsi="Times New Roman"/>
                <w:sz w:val="20"/>
                <w:szCs w:val="20"/>
              </w:rPr>
              <w:t xml:space="preserve"> </w:t>
            </w:r>
          </w:p>
        </w:tc>
        <w:tc>
          <w:tcPr>
            <w:tcW w:w="2410"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75,000</w:t>
            </w:r>
          </w:p>
        </w:tc>
        <w:tc>
          <w:tcPr>
            <w:tcW w:w="2799"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75,000</w:t>
            </w:r>
          </w:p>
        </w:tc>
        <w:tc>
          <w:tcPr>
            <w:tcW w:w="236" w:type="dxa"/>
            <w:vAlign w:val="bottom"/>
          </w:tcPr>
          <w:p w:rsidR="00C10BEA" w:rsidRPr="00882FB0" w:rsidRDefault="00C10BEA" w:rsidP="00590B67">
            <w:pPr>
              <w:jc w:val="right"/>
              <w:rPr>
                <w:rFonts w:ascii="Times New Roman" w:hAnsi="Times New Roman"/>
                <w:sz w:val="20"/>
                <w:szCs w:val="20"/>
              </w:rPr>
            </w:pPr>
          </w:p>
        </w:tc>
      </w:tr>
      <w:tr w:rsidR="00C10BEA" w:rsidRPr="00882FB0" w:rsidTr="00AC5183">
        <w:tc>
          <w:tcPr>
            <w:tcW w:w="5211" w:type="dxa"/>
            <w:vAlign w:val="bottom"/>
          </w:tcPr>
          <w:p w:rsidR="00C10BEA" w:rsidRPr="00882FB0" w:rsidRDefault="00C10BEA" w:rsidP="00203B1A">
            <w:pPr>
              <w:rPr>
                <w:rFonts w:ascii="Times New Roman" w:hAnsi="Times New Roman"/>
                <w:sz w:val="20"/>
                <w:szCs w:val="20"/>
              </w:rPr>
            </w:pPr>
            <w:r w:rsidRPr="00882FB0">
              <w:rPr>
                <w:rFonts w:ascii="Times New Roman" w:hAnsi="Times New Roman"/>
                <w:sz w:val="20"/>
                <w:szCs w:val="20"/>
              </w:rPr>
              <w:t xml:space="preserve">Philip Bisson </w:t>
            </w:r>
          </w:p>
        </w:tc>
        <w:tc>
          <w:tcPr>
            <w:tcW w:w="2410" w:type="dxa"/>
            <w:vAlign w:val="bottom"/>
          </w:tcPr>
          <w:p w:rsidR="00C10BEA" w:rsidRPr="00C10BEA" w:rsidRDefault="00C10BEA">
            <w:pPr>
              <w:jc w:val="right"/>
              <w:rPr>
                <w:rFonts w:ascii="Times New Roman" w:hAnsi="Times New Roman"/>
                <w:sz w:val="20"/>
                <w:szCs w:val="20"/>
              </w:rPr>
            </w:pPr>
            <w:r w:rsidRPr="00C10BEA">
              <w:rPr>
                <w:rFonts w:ascii="Times New Roman" w:hAnsi="Times New Roman"/>
                <w:sz w:val="20"/>
                <w:szCs w:val="20"/>
              </w:rPr>
              <w:t>9</w:t>
            </w:r>
            <w:r w:rsidRPr="00AC5183">
              <w:rPr>
                <w:rFonts w:ascii="Times New Roman" w:hAnsi="Times New Roman"/>
                <w:sz w:val="20"/>
                <w:szCs w:val="20"/>
              </w:rPr>
              <w:t>77</w:t>
            </w:r>
            <w:r w:rsidRPr="00C10BEA">
              <w:rPr>
                <w:rFonts w:ascii="Times New Roman" w:hAnsi="Times New Roman"/>
                <w:sz w:val="20"/>
                <w:szCs w:val="20"/>
              </w:rPr>
              <w:t>,000</w:t>
            </w:r>
          </w:p>
        </w:tc>
        <w:tc>
          <w:tcPr>
            <w:tcW w:w="2799" w:type="dxa"/>
            <w:vAlign w:val="bottom"/>
          </w:tcPr>
          <w:p w:rsidR="00C10BEA" w:rsidRPr="00C10BEA" w:rsidRDefault="00C10BEA" w:rsidP="00252CC1">
            <w:pPr>
              <w:jc w:val="right"/>
              <w:rPr>
                <w:rFonts w:ascii="Times New Roman" w:hAnsi="Times New Roman"/>
                <w:sz w:val="20"/>
                <w:szCs w:val="20"/>
              </w:rPr>
            </w:pPr>
            <w:r w:rsidRPr="00C10BEA">
              <w:rPr>
                <w:rFonts w:ascii="Times New Roman" w:hAnsi="Times New Roman"/>
                <w:sz w:val="20"/>
                <w:szCs w:val="20"/>
              </w:rPr>
              <w:t>920,000</w:t>
            </w:r>
          </w:p>
        </w:tc>
        <w:tc>
          <w:tcPr>
            <w:tcW w:w="236" w:type="dxa"/>
            <w:vAlign w:val="bottom"/>
          </w:tcPr>
          <w:p w:rsidR="00C10BEA" w:rsidRPr="00882FB0" w:rsidRDefault="00C10BEA" w:rsidP="00590B67">
            <w:pPr>
              <w:jc w:val="right"/>
              <w:rPr>
                <w:rFonts w:ascii="Times New Roman" w:hAnsi="Times New Roman"/>
                <w:sz w:val="20"/>
                <w:szCs w:val="20"/>
              </w:rPr>
            </w:pPr>
          </w:p>
        </w:tc>
      </w:tr>
      <w:tr w:rsidR="00C10BEA" w:rsidRPr="00882FB0" w:rsidTr="00AC5183">
        <w:tc>
          <w:tcPr>
            <w:tcW w:w="5211" w:type="dxa"/>
            <w:vAlign w:val="bottom"/>
          </w:tcPr>
          <w:p w:rsidR="00C10BEA" w:rsidRPr="00882FB0" w:rsidRDefault="00C10BEA" w:rsidP="00203B1A">
            <w:pPr>
              <w:rPr>
                <w:rFonts w:ascii="Times New Roman" w:hAnsi="Times New Roman"/>
                <w:sz w:val="20"/>
                <w:szCs w:val="20"/>
              </w:rPr>
            </w:pPr>
            <w:proofErr w:type="spellStart"/>
            <w:r w:rsidRPr="00882FB0">
              <w:rPr>
                <w:rFonts w:ascii="Times New Roman" w:hAnsi="Times New Roman"/>
                <w:sz w:val="20"/>
                <w:szCs w:val="20"/>
              </w:rPr>
              <w:t>Philean</w:t>
            </w:r>
            <w:proofErr w:type="spellEnd"/>
            <w:r w:rsidRPr="00882FB0">
              <w:rPr>
                <w:rFonts w:ascii="Times New Roman" w:hAnsi="Times New Roman"/>
                <w:sz w:val="20"/>
                <w:szCs w:val="20"/>
              </w:rPr>
              <w:t xml:space="preserve"> Trust Company Limited (a company connected with Philip Bisson)</w:t>
            </w:r>
          </w:p>
        </w:tc>
        <w:tc>
          <w:tcPr>
            <w:tcW w:w="2410" w:type="dxa"/>
            <w:vAlign w:val="bottom"/>
          </w:tcPr>
          <w:p w:rsidR="00C10BEA" w:rsidRPr="00C10BEA" w:rsidRDefault="00C10BEA">
            <w:pPr>
              <w:jc w:val="right"/>
              <w:rPr>
                <w:rFonts w:ascii="Times New Roman" w:hAnsi="Times New Roman"/>
                <w:sz w:val="20"/>
                <w:szCs w:val="20"/>
              </w:rPr>
            </w:pPr>
            <w:r w:rsidRPr="00AC5183">
              <w:rPr>
                <w:rFonts w:ascii="Times New Roman" w:hAnsi="Times New Roman"/>
                <w:sz w:val="20"/>
                <w:szCs w:val="20"/>
              </w:rPr>
              <w:t>701</w:t>
            </w:r>
            <w:r w:rsidRPr="00C10BEA">
              <w:rPr>
                <w:rFonts w:ascii="Times New Roman" w:hAnsi="Times New Roman"/>
                <w:sz w:val="20"/>
                <w:szCs w:val="20"/>
              </w:rPr>
              <w:t>,3</w:t>
            </w:r>
            <w:r w:rsidRPr="00AC5183">
              <w:rPr>
                <w:rFonts w:ascii="Times New Roman" w:hAnsi="Times New Roman"/>
                <w:sz w:val="20"/>
                <w:szCs w:val="20"/>
              </w:rPr>
              <w:t>8</w:t>
            </w:r>
            <w:r w:rsidRPr="00C10BEA">
              <w:rPr>
                <w:rFonts w:ascii="Times New Roman" w:hAnsi="Times New Roman"/>
                <w:sz w:val="20"/>
                <w:szCs w:val="20"/>
              </w:rPr>
              <w:t>1</w:t>
            </w:r>
          </w:p>
        </w:tc>
        <w:tc>
          <w:tcPr>
            <w:tcW w:w="2799" w:type="dxa"/>
            <w:vAlign w:val="bottom"/>
          </w:tcPr>
          <w:p w:rsidR="00C10BEA" w:rsidRPr="00C10BEA" w:rsidRDefault="00C10BEA" w:rsidP="00252CC1">
            <w:pPr>
              <w:jc w:val="right"/>
              <w:rPr>
                <w:rFonts w:ascii="Times New Roman" w:hAnsi="Times New Roman"/>
                <w:sz w:val="20"/>
                <w:szCs w:val="20"/>
              </w:rPr>
            </w:pPr>
            <w:r w:rsidRPr="00C10BEA">
              <w:rPr>
                <w:rFonts w:ascii="Times New Roman" w:hAnsi="Times New Roman"/>
                <w:sz w:val="20"/>
                <w:szCs w:val="20"/>
              </w:rPr>
              <w:t>581,381</w:t>
            </w:r>
          </w:p>
        </w:tc>
        <w:tc>
          <w:tcPr>
            <w:tcW w:w="236" w:type="dxa"/>
            <w:shd w:val="clear" w:color="auto" w:fill="auto"/>
            <w:vAlign w:val="bottom"/>
          </w:tcPr>
          <w:p w:rsidR="00C10BEA" w:rsidRPr="00882FB0" w:rsidRDefault="00C10BEA" w:rsidP="00590B67">
            <w:pPr>
              <w:jc w:val="right"/>
              <w:rPr>
                <w:rFonts w:ascii="Times New Roman" w:hAnsi="Times New Roman"/>
                <w:sz w:val="20"/>
                <w:szCs w:val="20"/>
              </w:rPr>
            </w:pPr>
          </w:p>
        </w:tc>
      </w:tr>
      <w:tr w:rsidR="00C10BEA" w:rsidRPr="00882FB0" w:rsidTr="00AC5183">
        <w:tc>
          <w:tcPr>
            <w:tcW w:w="5211" w:type="dxa"/>
            <w:vAlign w:val="bottom"/>
          </w:tcPr>
          <w:p w:rsidR="00C10BEA" w:rsidRPr="00882FB0" w:rsidRDefault="00C10BEA" w:rsidP="00203B1A">
            <w:pPr>
              <w:rPr>
                <w:rFonts w:ascii="Times New Roman" w:hAnsi="Times New Roman"/>
                <w:sz w:val="20"/>
                <w:szCs w:val="20"/>
              </w:rPr>
            </w:pPr>
            <w:r w:rsidRPr="00882FB0">
              <w:rPr>
                <w:rFonts w:ascii="Times New Roman" w:hAnsi="Times New Roman"/>
                <w:sz w:val="20"/>
                <w:szCs w:val="20"/>
              </w:rPr>
              <w:t xml:space="preserve">Thomas Grose </w:t>
            </w:r>
          </w:p>
        </w:tc>
        <w:tc>
          <w:tcPr>
            <w:tcW w:w="2410"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62,000</w:t>
            </w:r>
          </w:p>
        </w:tc>
        <w:tc>
          <w:tcPr>
            <w:tcW w:w="2799"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62,000</w:t>
            </w:r>
          </w:p>
        </w:tc>
        <w:tc>
          <w:tcPr>
            <w:tcW w:w="236" w:type="dxa"/>
            <w:vAlign w:val="bottom"/>
          </w:tcPr>
          <w:p w:rsidR="00C10BEA" w:rsidRPr="00882FB0" w:rsidRDefault="00C10BEA" w:rsidP="00590B67">
            <w:pPr>
              <w:jc w:val="right"/>
              <w:rPr>
                <w:rFonts w:ascii="Times New Roman" w:hAnsi="Times New Roman"/>
                <w:sz w:val="20"/>
                <w:szCs w:val="20"/>
              </w:rPr>
            </w:pPr>
          </w:p>
        </w:tc>
      </w:tr>
      <w:tr w:rsidR="00C10BEA" w:rsidRPr="00882FB0" w:rsidTr="00AC5183">
        <w:tc>
          <w:tcPr>
            <w:tcW w:w="5211" w:type="dxa"/>
            <w:vAlign w:val="bottom"/>
          </w:tcPr>
          <w:p w:rsidR="00C10BEA" w:rsidRPr="00882FB0" w:rsidRDefault="00C10BEA" w:rsidP="007E35E7">
            <w:pPr>
              <w:rPr>
                <w:rFonts w:ascii="Times New Roman" w:hAnsi="Times New Roman"/>
                <w:sz w:val="20"/>
                <w:szCs w:val="20"/>
              </w:rPr>
            </w:pPr>
            <w:r w:rsidRPr="00882FB0">
              <w:rPr>
                <w:rFonts w:ascii="Times New Roman" w:hAnsi="Times New Roman"/>
                <w:sz w:val="20"/>
                <w:szCs w:val="20"/>
              </w:rPr>
              <w:t xml:space="preserve">Dean </w:t>
            </w:r>
            <w:proofErr w:type="spellStart"/>
            <w:r w:rsidRPr="00882FB0">
              <w:rPr>
                <w:rFonts w:ascii="Times New Roman" w:hAnsi="Times New Roman"/>
                <w:sz w:val="20"/>
                <w:szCs w:val="20"/>
              </w:rPr>
              <w:t>Orrico</w:t>
            </w:r>
            <w:proofErr w:type="spellEnd"/>
            <w:r w:rsidRPr="00882FB0">
              <w:rPr>
                <w:rFonts w:ascii="Times New Roman" w:hAnsi="Times New Roman"/>
                <w:sz w:val="20"/>
                <w:szCs w:val="20"/>
              </w:rPr>
              <w:t xml:space="preserve"> </w:t>
            </w:r>
          </w:p>
        </w:tc>
        <w:tc>
          <w:tcPr>
            <w:tcW w:w="2410"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100,000</w:t>
            </w:r>
          </w:p>
        </w:tc>
        <w:tc>
          <w:tcPr>
            <w:tcW w:w="2799"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100,000</w:t>
            </w:r>
          </w:p>
        </w:tc>
        <w:tc>
          <w:tcPr>
            <w:tcW w:w="236" w:type="dxa"/>
            <w:vAlign w:val="bottom"/>
          </w:tcPr>
          <w:p w:rsidR="00C10BEA" w:rsidRPr="00882FB0" w:rsidRDefault="00C10BEA" w:rsidP="00590B67">
            <w:pPr>
              <w:jc w:val="right"/>
              <w:rPr>
                <w:rFonts w:ascii="Times New Roman" w:hAnsi="Times New Roman"/>
                <w:sz w:val="20"/>
                <w:szCs w:val="20"/>
              </w:rPr>
            </w:pPr>
          </w:p>
        </w:tc>
      </w:tr>
      <w:tr w:rsidR="00C10BEA" w:rsidRPr="009170B8" w:rsidTr="00AC5183">
        <w:tc>
          <w:tcPr>
            <w:tcW w:w="5211" w:type="dxa"/>
            <w:vAlign w:val="bottom"/>
          </w:tcPr>
          <w:p w:rsidR="00C10BEA" w:rsidRPr="00882FB0" w:rsidRDefault="00C10BEA" w:rsidP="00203B1A">
            <w:pPr>
              <w:rPr>
                <w:rFonts w:ascii="Times New Roman" w:hAnsi="Times New Roman"/>
                <w:sz w:val="20"/>
                <w:szCs w:val="20"/>
              </w:rPr>
            </w:pPr>
            <w:r w:rsidRPr="00882FB0">
              <w:rPr>
                <w:rFonts w:ascii="Times New Roman" w:hAnsi="Times New Roman"/>
                <w:sz w:val="20"/>
                <w:szCs w:val="20"/>
              </w:rPr>
              <w:t>Nicholas Villiers (Chairman)</w:t>
            </w:r>
          </w:p>
        </w:tc>
        <w:tc>
          <w:tcPr>
            <w:tcW w:w="2410"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35,000</w:t>
            </w:r>
          </w:p>
        </w:tc>
        <w:tc>
          <w:tcPr>
            <w:tcW w:w="2799"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35,000</w:t>
            </w:r>
          </w:p>
        </w:tc>
        <w:tc>
          <w:tcPr>
            <w:tcW w:w="236" w:type="dxa"/>
            <w:vAlign w:val="bottom"/>
          </w:tcPr>
          <w:p w:rsidR="00C10BEA" w:rsidRPr="009170B8" w:rsidRDefault="00C10BEA" w:rsidP="00590B67">
            <w:pPr>
              <w:jc w:val="right"/>
              <w:rPr>
                <w:rFonts w:ascii="Times New Roman" w:hAnsi="Times New Roman"/>
                <w:sz w:val="20"/>
                <w:szCs w:val="20"/>
              </w:rPr>
            </w:pPr>
          </w:p>
        </w:tc>
      </w:tr>
      <w:tr w:rsidR="00C10BEA" w:rsidRPr="009170B8" w:rsidTr="00AC5183">
        <w:tc>
          <w:tcPr>
            <w:tcW w:w="5211" w:type="dxa"/>
            <w:vAlign w:val="bottom"/>
          </w:tcPr>
          <w:p w:rsidR="00C10BEA" w:rsidRPr="00882FB0" w:rsidRDefault="00C10BEA" w:rsidP="00203B1A">
            <w:pPr>
              <w:rPr>
                <w:rFonts w:ascii="Times New Roman" w:hAnsi="Times New Roman"/>
                <w:sz w:val="20"/>
                <w:szCs w:val="20"/>
              </w:rPr>
            </w:pPr>
            <w:r w:rsidRPr="00AC5183">
              <w:rPr>
                <w:rFonts w:ascii="Times New Roman" w:hAnsi="Times New Roman"/>
                <w:sz w:val="20"/>
                <w:szCs w:val="20"/>
              </w:rPr>
              <w:t>Richard Hughes</w:t>
            </w:r>
          </w:p>
        </w:tc>
        <w:tc>
          <w:tcPr>
            <w:tcW w:w="2410" w:type="dxa"/>
            <w:vAlign w:val="bottom"/>
          </w:tcPr>
          <w:p w:rsidR="00C10BEA" w:rsidRPr="00AC5183" w:rsidRDefault="002F7CE4" w:rsidP="00590B67">
            <w:pPr>
              <w:jc w:val="right"/>
              <w:rPr>
                <w:rFonts w:ascii="Times New Roman" w:hAnsi="Times New Roman"/>
                <w:sz w:val="20"/>
                <w:szCs w:val="20"/>
              </w:rPr>
            </w:pPr>
            <w:r>
              <w:rPr>
                <w:rFonts w:ascii="Times New Roman" w:hAnsi="Times New Roman"/>
                <w:sz w:val="20"/>
                <w:szCs w:val="20"/>
              </w:rPr>
              <w:t>75</w:t>
            </w:r>
            <w:r w:rsidR="00C10BEA" w:rsidRPr="00AC5183">
              <w:rPr>
                <w:rFonts w:ascii="Times New Roman" w:hAnsi="Times New Roman"/>
                <w:sz w:val="20"/>
                <w:szCs w:val="20"/>
              </w:rPr>
              <w:t>,000</w:t>
            </w:r>
          </w:p>
        </w:tc>
        <w:tc>
          <w:tcPr>
            <w:tcW w:w="2799" w:type="dxa"/>
            <w:vAlign w:val="bottom"/>
          </w:tcPr>
          <w:p w:rsidR="00C10BEA" w:rsidRPr="00C10BEA" w:rsidRDefault="00C10BEA" w:rsidP="00590B67">
            <w:pPr>
              <w:jc w:val="right"/>
              <w:rPr>
                <w:rFonts w:ascii="Times New Roman" w:hAnsi="Times New Roman"/>
                <w:sz w:val="20"/>
                <w:szCs w:val="20"/>
              </w:rPr>
            </w:pPr>
            <w:r w:rsidRPr="00C10BEA">
              <w:rPr>
                <w:rFonts w:ascii="Times New Roman" w:hAnsi="Times New Roman"/>
                <w:sz w:val="20"/>
                <w:szCs w:val="20"/>
              </w:rPr>
              <w:t>-</w:t>
            </w:r>
          </w:p>
        </w:tc>
        <w:tc>
          <w:tcPr>
            <w:tcW w:w="236" w:type="dxa"/>
            <w:vAlign w:val="bottom"/>
          </w:tcPr>
          <w:p w:rsidR="00C10BEA" w:rsidRPr="009170B8" w:rsidRDefault="00C10BEA" w:rsidP="00590B67">
            <w:pPr>
              <w:jc w:val="right"/>
              <w:rPr>
                <w:rFonts w:ascii="Times New Roman" w:hAnsi="Times New Roman"/>
                <w:sz w:val="20"/>
                <w:szCs w:val="20"/>
              </w:rPr>
            </w:pPr>
          </w:p>
        </w:tc>
      </w:tr>
      <w:tr w:rsidR="002F7CE4" w:rsidRPr="009170B8" w:rsidTr="00AC5183">
        <w:tc>
          <w:tcPr>
            <w:tcW w:w="5211" w:type="dxa"/>
            <w:vAlign w:val="bottom"/>
          </w:tcPr>
          <w:p w:rsidR="002F7CE4" w:rsidRPr="00C10BEA" w:rsidRDefault="002F7CE4">
            <w:pPr>
              <w:rPr>
                <w:rFonts w:ascii="Times New Roman" w:hAnsi="Times New Roman"/>
                <w:sz w:val="20"/>
                <w:szCs w:val="20"/>
              </w:rPr>
            </w:pPr>
            <w:r>
              <w:rPr>
                <w:rFonts w:ascii="Times New Roman" w:hAnsi="Times New Roman"/>
                <w:sz w:val="20"/>
                <w:szCs w:val="20"/>
              </w:rPr>
              <w:t>Cheng Sim Hughes (a person</w:t>
            </w:r>
            <w:r w:rsidR="00F54362">
              <w:rPr>
                <w:rFonts w:ascii="Times New Roman" w:hAnsi="Times New Roman"/>
                <w:sz w:val="20"/>
                <w:szCs w:val="20"/>
              </w:rPr>
              <w:t xml:space="preserve"> connected</w:t>
            </w:r>
            <w:r>
              <w:rPr>
                <w:rFonts w:ascii="Times New Roman" w:hAnsi="Times New Roman"/>
                <w:sz w:val="20"/>
                <w:szCs w:val="20"/>
              </w:rPr>
              <w:t xml:space="preserve"> to Richard Hughes)</w:t>
            </w:r>
          </w:p>
        </w:tc>
        <w:tc>
          <w:tcPr>
            <w:tcW w:w="2410" w:type="dxa"/>
            <w:vAlign w:val="bottom"/>
          </w:tcPr>
          <w:p w:rsidR="002F7CE4" w:rsidRDefault="002F7CE4" w:rsidP="00590B67">
            <w:pPr>
              <w:jc w:val="right"/>
              <w:rPr>
                <w:rFonts w:ascii="Times New Roman" w:hAnsi="Times New Roman"/>
                <w:sz w:val="20"/>
                <w:szCs w:val="20"/>
              </w:rPr>
            </w:pPr>
            <w:r>
              <w:rPr>
                <w:rFonts w:ascii="Times New Roman" w:hAnsi="Times New Roman"/>
                <w:sz w:val="20"/>
                <w:szCs w:val="20"/>
              </w:rPr>
              <w:t>25,000</w:t>
            </w:r>
          </w:p>
        </w:tc>
        <w:tc>
          <w:tcPr>
            <w:tcW w:w="2799" w:type="dxa"/>
            <w:vAlign w:val="bottom"/>
          </w:tcPr>
          <w:p w:rsidR="002F7CE4" w:rsidRPr="00C10BEA" w:rsidRDefault="002F7CE4" w:rsidP="00590B67">
            <w:pPr>
              <w:jc w:val="right"/>
              <w:rPr>
                <w:rFonts w:ascii="Times New Roman" w:hAnsi="Times New Roman"/>
                <w:sz w:val="20"/>
                <w:szCs w:val="20"/>
              </w:rPr>
            </w:pPr>
            <w:r>
              <w:rPr>
                <w:rFonts w:ascii="Times New Roman" w:hAnsi="Times New Roman"/>
                <w:sz w:val="20"/>
                <w:szCs w:val="20"/>
              </w:rPr>
              <w:t>-</w:t>
            </w:r>
          </w:p>
        </w:tc>
        <w:tc>
          <w:tcPr>
            <w:tcW w:w="236" w:type="dxa"/>
            <w:vAlign w:val="bottom"/>
          </w:tcPr>
          <w:p w:rsidR="002F7CE4" w:rsidRPr="009170B8" w:rsidRDefault="002F7CE4" w:rsidP="00590B67">
            <w:pPr>
              <w:jc w:val="right"/>
              <w:rPr>
                <w:rFonts w:ascii="Times New Roman" w:hAnsi="Times New Roman"/>
                <w:sz w:val="20"/>
                <w:szCs w:val="20"/>
              </w:rPr>
            </w:pPr>
          </w:p>
        </w:tc>
      </w:tr>
      <w:bookmarkEnd w:id="22"/>
    </w:tbl>
    <w:p w:rsidR="000871D0" w:rsidRPr="009170B8" w:rsidRDefault="000871D0" w:rsidP="00C87A19">
      <w:pPr>
        <w:jc w:val="both"/>
        <w:rPr>
          <w:rFonts w:ascii="Times New Roman" w:hAnsi="Times New Roman"/>
          <w:sz w:val="20"/>
        </w:rPr>
      </w:pPr>
    </w:p>
    <w:p w:rsidR="00B44D91" w:rsidRDefault="00B44D91" w:rsidP="007B59D7">
      <w:pPr>
        <w:jc w:val="both"/>
        <w:rPr>
          <w:rFonts w:ascii="Times New Roman" w:hAnsi="Times New Roman"/>
          <w:sz w:val="20"/>
        </w:rPr>
      </w:pPr>
      <w:r w:rsidRPr="009170B8">
        <w:rPr>
          <w:rFonts w:ascii="Times New Roman" w:hAnsi="Times New Roman"/>
          <w:sz w:val="20"/>
        </w:rPr>
        <w:t>The current directors are:</w:t>
      </w:r>
      <w:r w:rsidR="002F6FC5">
        <w:rPr>
          <w:rFonts w:ascii="Times New Roman" w:hAnsi="Times New Roman"/>
          <w:sz w:val="20"/>
        </w:rPr>
        <w:t xml:space="preserve"> </w:t>
      </w:r>
    </w:p>
    <w:p w:rsidR="005504A8" w:rsidRPr="009170B8" w:rsidRDefault="005504A8" w:rsidP="007B59D7">
      <w:pPr>
        <w:jc w:val="both"/>
        <w:rPr>
          <w:rFonts w:ascii="Times New Roman" w:hAnsi="Times New Roman"/>
          <w:sz w:val="20"/>
        </w:rPr>
      </w:pPr>
    </w:p>
    <w:p w:rsidR="00B44D91" w:rsidRPr="009170B8" w:rsidRDefault="00B44D91" w:rsidP="00B44D91">
      <w:pPr>
        <w:jc w:val="both"/>
        <w:rPr>
          <w:rFonts w:ascii="Times New Roman" w:hAnsi="Times New Roman"/>
          <w:i/>
          <w:iCs/>
          <w:sz w:val="20"/>
          <w:szCs w:val="20"/>
        </w:rPr>
      </w:pPr>
      <w:r w:rsidRPr="009170B8">
        <w:rPr>
          <w:rFonts w:ascii="Times New Roman" w:hAnsi="Times New Roman"/>
          <w:i/>
          <w:iCs/>
          <w:sz w:val="20"/>
          <w:szCs w:val="20"/>
        </w:rPr>
        <w:t xml:space="preserve">Nicholas Villiers (Chairman) </w:t>
      </w:r>
    </w:p>
    <w:p w:rsidR="002F6FC5" w:rsidRPr="006810AC" w:rsidRDefault="00B44D91" w:rsidP="00B74D7C">
      <w:pPr>
        <w:pStyle w:val="BodyText"/>
        <w:tabs>
          <w:tab w:val="clear" w:pos="3402"/>
          <w:tab w:val="clear" w:pos="8222"/>
        </w:tabs>
        <w:spacing w:after="240"/>
      </w:pPr>
      <w:r w:rsidRPr="009170B8">
        <w:rPr>
          <w:rFonts w:ascii="Times New Roman" w:hAnsi="Times New Roman"/>
          <w:szCs w:val="20"/>
        </w:rPr>
        <w:t xml:space="preserve">Mr Villiers was Vice Chairman of Royal Bank of Canada Europe Limited and Managing Director of RBC Capital Markets (previously RBC Dominion Securities).  Mr Villiers joined the Royal Bank of Canada Group in 1983 as a director and Head of Mergers and Acquisitions at Orion Royal Bank, London (a subsidiary of Royal Bank of Canada).  During his 19-year career with the RBC Group, Mr Villiers led the international mergers and acquisitions team based in London and was also responsible for the Royal Bank of Canada Group’s successful participation in international privatisations.  Prior to joining the Royal Bank of Canada Group, Mr Villiers served from 1977 to 1983 as joint Managing Director of </w:t>
      </w:r>
      <w:proofErr w:type="spellStart"/>
      <w:r w:rsidRPr="009170B8">
        <w:rPr>
          <w:rFonts w:ascii="Times New Roman" w:hAnsi="Times New Roman"/>
          <w:szCs w:val="20"/>
        </w:rPr>
        <w:t>Delcon</w:t>
      </w:r>
      <w:proofErr w:type="spellEnd"/>
      <w:r w:rsidRPr="009170B8">
        <w:rPr>
          <w:rFonts w:ascii="Times New Roman" w:hAnsi="Times New Roman"/>
          <w:szCs w:val="20"/>
        </w:rPr>
        <w:t xml:space="preserve"> Financial Corporation.</w:t>
      </w:r>
    </w:p>
    <w:p w:rsidR="003A1DBF" w:rsidRPr="003A1DBF" w:rsidRDefault="003A1DBF" w:rsidP="003A1DBF">
      <w:pPr>
        <w:jc w:val="both"/>
        <w:rPr>
          <w:rFonts w:ascii="Times New Roman" w:hAnsi="Times New Roman"/>
          <w:i/>
          <w:sz w:val="20"/>
          <w:szCs w:val="20"/>
        </w:rPr>
      </w:pPr>
      <w:r w:rsidRPr="003A1DBF">
        <w:rPr>
          <w:rFonts w:ascii="Times New Roman" w:hAnsi="Times New Roman"/>
          <w:i/>
          <w:sz w:val="20"/>
          <w:szCs w:val="20"/>
        </w:rPr>
        <w:t xml:space="preserve">Raymond </w:t>
      </w:r>
      <w:proofErr w:type="spellStart"/>
      <w:r w:rsidRPr="003A1DBF">
        <w:rPr>
          <w:rFonts w:ascii="Times New Roman" w:hAnsi="Times New Roman"/>
          <w:i/>
          <w:sz w:val="20"/>
          <w:szCs w:val="20"/>
        </w:rPr>
        <w:t>Apsey</w:t>
      </w:r>
      <w:proofErr w:type="spellEnd"/>
      <w:r w:rsidRPr="003A1DBF">
        <w:rPr>
          <w:rFonts w:ascii="Times New Roman" w:hAnsi="Times New Roman"/>
          <w:i/>
          <w:sz w:val="20"/>
          <w:szCs w:val="20"/>
        </w:rPr>
        <w:t xml:space="preserve"> </w:t>
      </w:r>
    </w:p>
    <w:p w:rsidR="003A1DBF" w:rsidRDefault="003A1DBF" w:rsidP="003A1DBF">
      <w:pPr>
        <w:jc w:val="both"/>
        <w:rPr>
          <w:rFonts w:ascii="Times New Roman" w:hAnsi="Times New Roman"/>
          <w:sz w:val="20"/>
          <w:szCs w:val="20"/>
        </w:rPr>
      </w:pPr>
      <w:r w:rsidRPr="00E5676A">
        <w:rPr>
          <w:rFonts w:ascii="Times New Roman" w:hAnsi="Times New Roman"/>
          <w:sz w:val="20"/>
          <w:szCs w:val="20"/>
        </w:rPr>
        <w:t xml:space="preserve">Mr </w:t>
      </w:r>
      <w:proofErr w:type="spellStart"/>
      <w:r w:rsidRPr="00E5676A">
        <w:rPr>
          <w:rFonts w:ascii="Times New Roman" w:hAnsi="Times New Roman"/>
          <w:sz w:val="20"/>
          <w:szCs w:val="20"/>
        </w:rPr>
        <w:t>Apsey</w:t>
      </w:r>
      <w:proofErr w:type="spellEnd"/>
      <w:r w:rsidRPr="00E5676A">
        <w:rPr>
          <w:rFonts w:ascii="Times New Roman" w:hAnsi="Times New Roman"/>
          <w:sz w:val="20"/>
          <w:szCs w:val="20"/>
        </w:rPr>
        <w:t xml:space="preserve"> is a Fellow of the Institute of Chartered Secretaries and Administrators with extensive experience at management level of the offshore finance industry in the Bahamas, the Channel Islands and the Cayman Islands.  He joined the Morgan Grenfell Offshore Group in 1975 to head the Corporate and Trust Division and held various senior appointments including Deputy Managing Director of Jersey, Managing Director of Cayman and Group </w:t>
      </w:r>
      <w:r w:rsidR="00BB783A">
        <w:rPr>
          <w:rFonts w:ascii="Times New Roman" w:hAnsi="Times New Roman"/>
          <w:sz w:val="20"/>
          <w:szCs w:val="20"/>
        </w:rPr>
        <w:t>D</w:t>
      </w:r>
      <w:r w:rsidRPr="00E5676A">
        <w:rPr>
          <w:rFonts w:ascii="Times New Roman" w:hAnsi="Times New Roman"/>
          <w:sz w:val="20"/>
          <w:szCs w:val="20"/>
        </w:rPr>
        <w:t xml:space="preserve">irector before retiring in December 1995.  Mr </w:t>
      </w:r>
      <w:proofErr w:type="spellStart"/>
      <w:r w:rsidRPr="00E5676A">
        <w:rPr>
          <w:rFonts w:ascii="Times New Roman" w:hAnsi="Times New Roman"/>
          <w:sz w:val="20"/>
          <w:szCs w:val="20"/>
        </w:rPr>
        <w:t>Apsey</w:t>
      </w:r>
      <w:proofErr w:type="spellEnd"/>
      <w:r w:rsidRPr="00E5676A">
        <w:rPr>
          <w:rFonts w:ascii="Times New Roman" w:hAnsi="Times New Roman"/>
          <w:sz w:val="20"/>
          <w:szCs w:val="20"/>
        </w:rPr>
        <w:t xml:space="preserve"> resides in Jersey.</w:t>
      </w:r>
    </w:p>
    <w:p w:rsidR="003A1DBF" w:rsidRPr="00E5676A" w:rsidRDefault="003A1DBF" w:rsidP="003A1DBF">
      <w:pPr>
        <w:jc w:val="both"/>
        <w:rPr>
          <w:rFonts w:ascii="Times New Roman" w:hAnsi="Times New Roman"/>
          <w:sz w:val="20"/>
          <w:szCs w:val="20"/>
        </w:rPr>
      </w:pPr>
    </w:p>
    <w:p w:rsidR="003A1DBF" w:rsidRPr="003A1DBF" w:rsidRDefault="003A1DBF" w:rsidP="003A1DBF">
      <w:pPr>
        <w:jc w:val="both"/>
        <w:rPr>
          <w:rFonts w:ascii="Times New Roman" w:hAnsi="Times New Roman"/>
          <w:i/>
          <w:sz w:val="20"/>
          <w:szCs w:val="20"/>
        </w:rPr>
      </w:pPr>
      <w:r w:rsidRPr="003A1DBF">
        <w:rPr>
          <w:rFonts w:ascii="Times New Roman" w:hAnsi="Times New Roman"/>
          <w:i/>
          <w:sz w:val="20"/>
          <w:szCs w:val="20"/>
        </w:rPr>
        <w:t xml:space="preserve">Philip Bisson </w:t>
      </w:r>
    </w:p>
    <w:p w:rsidR="003A1DBF" w:rsidRDefault="003A1DBF" w:rsidP="003A1DBF">
      <w:pPr>
        <w:jc w:val="both"/>
        <w:rPr>
          <w:rFonts w:ascii="Times New Roman" w:hAnsi="Times New Roman"/>
          <w:sz w:val="20"/>
          <w:szCs w:val="20"/>
        </w:rPr>
      </w:pPr>
      <w:r w:rsidRPr="00E5676A">
        <w:rPr>
          <w:rFonts w:ascii="Times New Roman" w:hAnsi="Times New Roman"/>
          <w:sz w:val="20"/>
          <w:szCs w:val="20"/>
        </w:rPr>
        <w:t xml:space="preserve">Mr Bisson is a Fellow Member of the Chartered Institute of Bankers, and is or has been a member of various Jersey committees including the Jersey Association of Trust Companies of which he is also treasurer.  From 1979 to 1986 Mr Bisson was Trust Manager and Company Secretary of Chase Bank and Trust Company (CI) Limited and from 1986 to 1994 was a Director of BT Trustees (Jersey) Limited.  Mr Bisson is domiciled in Jersey and is currently the Managing Director of </w:t>
      </w:r>
      <w:proofErr w:type="spellStart"/>
      <w:r w:rsidRPr="00E5676A">
        <w:rPr>
          <w:rFonts w:ascii="Times New Roman" w:hAnsi="Times New Roman"/>
          <w:sz w:val="20"/>
          <w:szCs w:val="20"/>
        </w:rPr>
        <w:t>Philean</w:t>
      </w:r>
      <w:proofErr w:type="spellEnd"/>
      <w:r w:rsidRPr="00E5676A">
        <w:rPr>
          <w:rFonts w:ascii="Times New Roman" w:hAnsi="Times New Roman"/>
          <w:sz w:val="20"/>
          <w:szCs w:val="20"/>
        </w:rPr>
        <w:t xml:space="preserve"> Trust Company Limited.</w:t>
      </w:r>
    </w:p>
    <w:p w:rsidR="003A1DBF" w:rsidRPr="00E5676A" w:rsidRDefault="003A1DBF" w:rsidP="003A1DBF">
      <w:pPr>
        <w:jc w:val="both"/>
        <w:rPr>
          <w:rFonts w:ascii="Times New Roman" w:hAnsi="Times New Roman"/>
          <w:sz w:val="20"/>
          <w:szCs w:val="20"/>
        </w:rPr>
      </w:pPr>
    </w:p>
    <w:p w:rsidR="00B44D91" w:rsidRPr="009170B8" w:rsidRDefault="00B44D91" w:rsidP="00B44D91">
      <w:pPr>
        <w:jc w:val="both"/>
        <w:rPr>
          <w:rFonts w:ascii="Times New Roman" w:hAnsi="Times New Roman"/>
          <w:sz w:val="20"/>
          <w:szCs w:val="20"/>
        </w:rPr>
      </w:pPr>
      <w:r w:rsidRPr="009170B8">
        <w:rPr>
          <w:rFonts w:ascii="Times New Roman" w:hAnsi="Times New Roman"/>
          <w:i/>
          <w:sz w:val="20"/>
          <w:szCs w:val="20"/>
        </w:rPr>
        <w:t xml:space="preserve">Thomas Grose </w:t>
      </w:r>
    </w:p>
    <w:p w:rsidR="001B13C9" w:rsidRDefault="00B44D91" w:rsidP="002E6FF3">
      <w:pPr>
        <w:autoSpaceDE w:val="0"/>
        <w:autoSpaceDN w:val="0"/>
        <w:adjustRightInd w:val="0"/>
        <w:spacing w:after="240"/>
        <w:jc w:val="both"/>
        <w:rPr>
          <w:rFonts w:ascii="Times New Roman" w:hAnsi="Times New Roman"/>
          <w:sz w:val="20"/>
          <w:szCs w:val="20"/>
        </w:rPr>
      </w:pPr>
      <w:r w:rsidRPr="009170B8">
        <w:rPr>
          <w:rFonts w:ascii="Times New Roman" w:hAnsi="Times New Roman"/>
          <w:sz w:val="20"/>
          <w:szCs w:val="20"/>
        </w:rPr>
        <w:t>Following service with the United States Army, Mr Grose began his career in finance with Citibank in New York, where he rose to become an Assistant Vice President. After a spell as Vice President - Finance and Chief Financial Officer with Great American Industries, Inc., he joined Bankers Trust Company, where he spent 18 years variously in New York, London and Tunisia. Since 1991, Mr Grose has worked for Stock Market Index International, a company that he established in the UK, which provides proprietary research to asset managers, hedge funds and other financial institutions.</w:t>
      </w:r>
    </w:p>
    <w:p w:rsidR="00A50DD8" w:rsidRDefault="00A50DD8" w:rsidP="002E6FF3">
      <w:pPr>
        <w:autoSpaceDE w:val="0"/>
        <w:autoSpaceDN w:val="0"/>
        <w:adjustRightInd w:val="0"/>
        <w:spacing w:after="240"/>
        <w:jc w:val="both"/>
        <w:rPr>
          <w:rFonts w:ascii="Times New Roman" w:hAnsi="Times New Roman"/>
          <w:sz w:val="20"/>
          <w:szCs w:val="20"/>
        </w:rPr>
      </w:pPr>
    </w:p>
    <w:p w:rsidR="00A50DD8" w:rsidRDefault="00A50DD8" w:rsidP="002E6FF3">
      <w:pPr>
        <w:autoSpaceDE w:val="0"/>
        <w:autoSpaceDN w:val="0"/>
        <w:adjustRightInd w:val="0"/>
        <w:spacing w:after="240"/>
        <w:jc w:val="both"/>
        <w:rPr>
          <w:rFonts w:ascii="Times New Roman" w:hAnsi="Times New Roman"/>
          <w:sz w:val="20"/>
          <w:szCs w:val="20"/>
        </w:rPr>
      </w:pPr>
    </w:p>
    <w:p w:rsidR="00A50DD8" w:rsidRPr="00AC5183" w:rsidRDefault="00A50DD8" w:rsidP="00A50DD8">
      <w:r w:rsidRPr="00AC5183">
        <w:rPr>
          <w:rFonts w:ascii="Times New Roman" w:eastAsia="Calibri" w:hAnsi="Times New Roman"/>
          <w:b/>
          <w:bCs/>
          <w:sz w:val="20"/>
          <w:szCs w:val="20"/>
          <w:lang w:eastAsia="en-GB"/>
        </w:rPr>
        <w:t>Directors’ Report (continued)</w:t>
      </w:r>
    </w:p>
    <w:p w:rsidR="00A50DD8" w:rsidRDefault="00A50DD8" w:rsidP="00A50DD8">
      <w:pPr>
        <w:pStyle w:val="Heading2"/>
        <w:tabs>
          <w:tab w:val="right" w:pos="8222"/>
        </w:tabs>
      </w:pPr>
    </w:p>
    <w:p w:rsidR="00A50DD8" w:rsidRDefault="00A50DD8" w:rsidP="00A50DD8">
      <w:pPr>
        <w:autoSpaceDE w:val="0"/>
        <w:autoSpaceDN w:val="0"/>
        <w:adjustRightInd w:val="0"/>
        <w:jc w:val="both"/>
        <w:rPr>
          <w:rFonts w:ascii="Times New Roman" w:eastAsia="Calibri" w:hAnsi="Times New Roman"/>
          <w:b/>
          <w:bCs/>
          <w:sz w:val="20"/>
          <w:szCs w:val="20"/>
          <w:lang w:eastAsia="en-GB"/>
        </w:rPr>
      </w:pPr>
      <w:r w:rsidRPr="00AC5183">
        <w:rPr>
          <w:rFonts w:ascii="Times New Roman" w:eastAsia="Calibri" w:hAnsi="Times New Roman"/>
          <w:b/>
          <w:bCs/>
          <w:sz w:val="20"/>
          <w:szCs w:val="20"/>
          <w:lang w:eastAsia="en-GB"/>
        </w:rPr>
        <w:t>Directors (continued)</w:t>
      </w:r>
    </w:p>
    <w:p w:rsidR="00E214AD" w:rsidRDefault="00E214AD" w:rsidP="00B44D91">
      <w:pPr>
        <w:jc w:val="both"/>
        <w:rPr>
          <w:rFonts w:ascii="Times New Roman" w:hAnsi="Times New Roman"/>
          <w:bCs/>
          <w:i/>
          <w:sz w:val="20"/>
          <w:szCs w:val="20"/>
        </w:rPr>
      </w:pPr>
    </w:p>
    <w:p w:rsidR="00B44D91" w:rsidRPr="00E214AD" w:rsidRDefault="00B44D91" w:rsidP="00B44D91">
      <w:pPr>
        <w:jc w:val="both"/>
        <w:rPr>
          <w:rFonts w:ascii="Times New Roman" w:hAnsi="Times New Roman"/>
          <w:bCs/>
          <w:i/>
          <w:sz w:val="20"/>
          <w:szCs w:val="20"/>
        </w:rPr>
      </w:pPr>
      <w:r w:rsidRPr="00E214AD">
        <w:rPr>
          <w:rFonts w:ascii="Times New Roman" w:hAnsi="Times New Roman"/>
          <w:bCs/>
          <w:i/>
          <w:sz w:val="20"/>
          <w:szCs w:val="20"/>
        </w:rPr>
        <w:t xml:space="preserve">Dean </w:t>
      </w:r>
      <w:proofErr w:type="spellStart"/>
      <w:r w:rsidRPr="00E214AD">
        <w:rPr>
          <w:rFonts w:ascii="Times New Roman" w:hAnsi="Times New Roman"/>
          <w:bCs/>
          <w:i/>
          <w:sz w:val="20"/>
          <w:szCs w:val="20"/>
        </w:rPr>
        <w:t>Orrico</w:t>
      </w:r>
      <w:proofErr w:type="spellEnd"/>
    </w:p>
    <w:p w:rsidR="0064692C" w:rsidRPr="009170B8" w:rsidRDefault="0064692C" w:rsidP="0064692C">
      <w:pPr>
        <w:spacing w:after="240"/>
        <w:jc w:val="both"/>
        <w:rPr>
          <w:rFonts w:ascii="Times New Roman" w:hAnsi="Times New Roman"/>
          <w:sz w:val="20"/>
          <w:szCs w:val="20"/>
        </w:rPr>
      </w:pPr>
      <w:r w:rsidRPr="009170B8">
        <w:rPr>
          <w:rFonts w:ascii="Times New Roman" w:hAnsi="Times New Roman"/>
          <w:sz w:val="20"/>
          <w:szCs w:val="20"/>
        </w:rPr>
        <w:t xml:space="preserve">Mr </w:t>
      </w:r>
      <w:proofErr w:type="spellStart"/>
      <w:r w:rsidRPr="009170B8">
        <w:rPr>
          <w:rFonts w:ascii="Times New Roman" w:hAnsi="Times New Roman"/>
          <w:sz w:val="20"/>
          <w:szCs w:val="20"/>
        </w:rPr>
        <w:t>Orrico</w:t>
      </w:r>
      <w:proofErr w:type="spellEnd"/>
      <w:r>
        <w:rPr>
          <w:rFonts w:ascii="Times New Roman" w:hAnsi="Times New Roman"/>
          <w:sz w:val="20"/>
          <w:szCs w:val="20"/>
        </w:rPr>
        <w:t>,</w:t>
      </w:r>
      <w:r w:rsidRPr="009170B8">
        <w:rPr>
          <w:rFonts w:ascii="Times New Roman" w:hAnsi="Times New Roman"/>
          <w:sz w:val="20"/>
          <w:szCs w:val="20"/>
        </w:rPr>
        <w:t xml:space="preserve"> President, Chief Executive Officer and Chief Investment Officer of Middlefield Capital Corporation and </w:t>
      </w:r>
      <w:r>
        <w:rPr>
          <w:rFonts w:ascii="Times New Roman" w:hAnsi="Times New Roman"/>
          <w:sz w:val="20"/>
          <w:szCs w:val="20"/>
        </w:rPr>
        <w:t xml:space="preserve">President of Middlefield International Limited, </w:t>
      </w:r>
      <w:r w:rsidRPr="009170B8">
        <w:rPr>
          <w:rFonts w:ascii="Times New Roman" w:hAnsi="Times New Roman"/>
          <w:sz w:val="20"/>
          <w:szCs w:val="20"/>
        </w:rPr>
        <w:t xml:space="preserve">has been employed by the firm since 1996. Prior to joining Middlefield, Mr </w:t>
      </w:r>
      <w:proofErr w:type="spellStart"/>
      <w:r w:rsidRPr="009170B8">
        <w:rPr>
          <w:rFonts w:ascii="Times New Roman" w:hAnsi="Times New Roman"/>
          <w:sz w:val="20"/>
          <w:szCs w:val="20"/>
        </w:rPr>
        <w:t>Orrico</w:t>
      </w:r>
      <w:proofErr w:type="spellEnd"/>
      <w:r w:rsidRPr="009170B8">
        <w:rPr>
          <w:rFonts w:ascii="Times New Roman" w:hAnsi="Times New Roman"/>
          <w:sz w:val="20"/>
          <w:szCs w:val="20"/>
        </w:rPr>
        <w:t xml:space="preserve"> was a commercial account manager with the Toronto-Dominion Bank. Mr </w:t>
      </w:r>
      <w:proofErr w:type="spellStart"/>
      <w:r w:rsidRPr="009170B8">
        <w:rPr>
          <w:rFonts w:ascii="Times New Roman" w:hAnsi="Times New Roman"/>
          <w:sz w:val="20"/>
          <w:szCs w:val="20"/>
        </w:rPr>
        <w:t>Orrico</w:t>
      </w:r>
      <w:proofErr w:type="spellEnd"/>
      <w:r w:rsidRPr="009170B8">
        <w:rPr>
          <w:rFonts w:ascii="Times New Roman" w:hAnsi="Times New Roman"/>
          <w:sz w:val="20"/>
          <w:szCs w:val="20"/>
        </w:rPr>
        <w:t xml:space="preserve"> is currently responsible for overseeing the creation and ongoing management of all of Middlefield’s investment funds including mutual funds, Toronto and London Stock Exchange-listed funds and flow-through funds. He graduated with a Bachelor of Commerce degree from the </w:t>
      </w:r>
      <w:proofErr w:type="spellStart"/>
      <w:r w:rsidRPr="009170B8">
        <w:rPr>
          <w:rFonts w:ascii="Times New Roman" w:hAnsi="Times New Roman"/>
          <w:sz w:val="20"/>
          <w:szCs w:val="20"/>
        </w:rPr>
        <w:t>Rotman</w:t>
      </w:r>
      <w:proofErr w:type="spellEnd"/>
      <w:r w:rsidRPr="009170B8">
        <w:rPr>
          <w:rFonts w:ascii="Times New Roman" w:hAnsi="Times New Roman"/>
          <w:sz w:val="20"/>
          <w:szCs w:val="20"/>
        </w:rPr>
        <w:t xml:space="preserve"> School of Management (University of Toronto) and holds an MBA from the </w:t>
      </w:r>
      <w:proofErr w:type="spellStart"/>
      <w:r w:rsidRPr="009170B8">
        <w:rPr>
          <w:rFonts w:ascii="Times New Roman" w:hAnsi="Times New Roman"/>
          <w:sz w:val="20"/>
          <w:szCs w:val="20"/>
        </w:rPr>
        <w:t>Schulich</w:t>
      </w:r>
      <w:proofErr w:type="spellEnd"/>
      <w:r w:rsidRPr="009170B8">
        <w:rPr>
          <w:rFonts w:ascii="Times New Roman" w:hAnsi="Times New Roman"/>
          <w:sz w:val="20"/>
          <w:szCs w:val="20"/>
        </w:rPr>
        <w:t xml:space="preserve"> School of Business (York University).  Mr </w:t>
      </w:r>
      <w:proofErr w:type="spellStart"/>
      <w:r w:rsidRPr="009170B8">
        <w:rPr>
          <w:rFonts w:ascii="Times New Roman" w:hAnsi="Times New Roman"/>
          <w:sz w:val="20"/>
          <w:szCs w:val="20"/>
        </w:rPr>
        <w:t>Orrico</w:t>
      </w:r>
      <w:proofErr w:type="spellEnd"/>
      <w:r w:rsidRPr="009170B8">
        <w:rPr>
          <w:rFonts w:ascii="Times New Roman" w:hAnsi="Times New Roman"/>
          <w:sz w:val="20"/>
          <w:szCs w:val="20"/>
        </w:rPr>
        <w:t xml:space="preserve"> is a registered Portfolio Manager.</w:t>
      </w:r>
    </w:p>
    <w:p w:rsidR="00B44D91" w:rsidRDefault="00B44D91" w:rsidP="00B44D91">
      <w:pPr>
        <w:spacing w:after="240"/>
        <w:jc w:val="both"/>
        <w:rPr>
          <w:rFonts w:ascii="Times New Roman" w:hAnsi="Times New Roman"/>
          <w:sz w:val="20"/>
          <w:szCs w:val="20"/>
        </w:rPr>
      </w:pPr>
      <w:r w:rsidRPr="009170B8">
        <w:rPr>
          <w:rFonts w:ascii="Times New Roman" w:hAnsi="Times New Roman"/>
          <w:sz w:val="20"/>
          <w:szCs w:val="20"/>
        </w:rPr>
        <w:t xml:space="preserve">Mr </w:t>
      </w:r>
      <w:proofErr w:type="spellStart"/>
      <w:r w:rsidRPr="009170B8">
        <w:rPr>
          <w:rFonts w:ascii="Times New Roman" w:hAnsi="Times New Roman"/>
          <w:sz w:val="20"/>
          <w:szCs w:val="20"/>
        </w:rPr>
        <w:t>Orrico</w:t>
      </w:r>
      <w:proofErr w:type="spellEnd"/>
      <w:r w:rsidRPr="009170B8">
        <w:rPr>
          <w:rFonts w:ascii="Times New Roman" w:hAnsi="Times New Roman"/>
          <w:sz w:val="20"/>
          <w:szCs w:val="20"/>
        </w:rPr>
        <w:t xml:space="preserve"> oversees </w:t>
      </w:r>
      <w:r w:rsidRPr="00DD7C28">
        <w:rPr>
          <w:rFonts w:ascii="Times New Roman" w:hAnsi="Times New Roman"/>
          <w:sz w:val="20"/>
          <w:szCs w:val="20"/>
        </w:rPr>
        <w:t>approximately $</w:t>
      </w:r>
      <w:r w:rsidR="00442123" w:rsidRPr="00E54387">
        <w:rPr>
          <w:rFonts w:ascii="Times New Roman" w:hAnsi="Times New Roman"/>
          <w:sz w:val="20"/>
          <w:szCs w:val="20"/>
        </w:rPr>
        <w:t>4</w:t>
      </w:r>
      <w:r w:rsidRPr="00E54387">
        <w:rPr>
          <w:rFonts w:ascii="Times New Roman" w:hAnsi="Times New Roman"/>
          <w:sz w:val="20"/>
          <w:szCs w:val="20"/>
        </w:rPr>
        <w:t xml:space="preserve"> billion in assets under management at Middlefield and has developed expertise in both equity and fixed income securities. Having spent many years managing equity portfolios and meeting with international companies and investors, Mr </w:t>
      </w:r>
      <w:proofErr w:type="spellStart"/>
      <w:r w:rsidRPr="00DD7C28">
        <w:rPr>
          <w:rFonts w:ascii="Times New Roman" w:hAnsi="Times New Roman"/>
          <w:sz w:val="20"/>
          <w:szCs w:val="20"/>
        </w:rPr>
        <w:t>Orrico</w:t>
      </w:r>
      <w:proofErr w:type="spellEnd"/>
      <w:r w:rsidRPr="00DD7C28">
        <w:rPr>
          <w:rFonts w:ascii="Times New Roman" w:hAnsi="Times New Roman"/>
          <w:sz w:val="20"/>
          <w:szCs w:val="20"/>
        </w:rPr>
        <w:t xml:space="preserve"> has overseen the diversification</w:t>
      </w:r>
      <w:r w:rsidRPr="009170B8">
        <w:rPr>
          <w:rFonts w:ascii="Times New Roman" w:hAnsi="Times New Roman"/>
          <w:sz w:val="20"/>
          <w:szCs w:val="20"/>
        </w:rPr>
        <w:t xml:space="preserve"> of Middlefield’s portfolios into global equity income securities.</w:t>
      </w:r>
    </w:p>
    <w:p w:rsidR="00C10BEA" w:rsidRPr="00AC5183" w:rsidRDefault="00C10BEA" w:rsidP="00AC5183">
      <w:pPr>
        <w:jc w:val="both"/>
        <w:rPr>
          <w:rFonts w:ascii="Times New Roman" w:hAnsi="Times New Roman"/>
          <w:bCs/>
          <w:i/>
          <w:sz w:val="20"/>
          <w:szCs w:val="20"/>
        </w:rPr>
      </w:pPr>
      <w:r>
        <w:rPr>
          <w:rFonts w:ascii="Times New Roman" w:hAnsi="Times New Roman"/>
          <w:bCs/>
          <w:i/>
          <w:sz w:val="20"/>
          <w:szCs w:val="20"/>
        </w:rPr>
        <w:t xml:space="preserve">Richard </w:t>
      </w:r>
      <w:r w:rsidRPr="00AC5183">
        <w:rPr>
          <w:rFonts w:ascii="Times New Roman" w:hAnsi="Times New Roman"/>
          <w:bCs/>
          <w:i/>
          <w:sz w:val="20"/>
          <w:szCs w:val="20"/>
        </w:rPr>
        <w:t xml:space="preserve">Hughes </w:t>
      </w:r>
    </w:p>
    <w:p w:rsidR="00C10BEA" w:rsidRPr="009170B8" w:rsidRDefault="002F7CE4" w:rsidP="00B44D91">
      <w:pPr>
        <w:spacing w:after="240"/>
        <w:jc w:val="both"/>
        <w:rPr>
          <w:rFonts w:ascii="Times New Roman" w:hAnsi="Times New Roman"/>
          <w:sz w:val="20"/>
          <w:szCs w:val="20"/>
        </w:rPr>
      </w:pPr>
      <w:r w:rsidRPr="00AC5183">
        <w:rPr>
          <w:rFonts w:ascii="Times New Roman" w:hAnsi="Times New Roman"/>
          <w:sz w:val="20"/>
          <w:szCs w:val="20"/>
        </w:rPr>
        <w:t>Mr Hughes was previously Director of Equities (Fund Manager) at M&amp;G Investments.  He joined M&amp;G in 1986 and managed a number of funds</w:t>
      </w:r>
      <w:r w:rsidR="00846F14">
        <w:rPr>
          <w:rFonts w:ascii="Times New Roman" w:hAnsi="Times New Roman"/>
          <w:sz w:val="20"/>
          <w:szCs w:val="20"/>
        </w:rPr>
        <w:t>,</w:t>
      </w:r>
      <w:r w:rsidRPr="00AC5183">
        <w:rPr>
          <w:rFonts w:ascii="Times New Roman" w:hAnsi="Times New Roman"/>
          <w:sz w:val="20"/>
          <w:szCs w:val="20"/>
        </w:rPr>
        <w:t xml:space="preserve"> including M&amp;G Smaller Companies Fund, M&amp;G Recovery Fund, M&amp;G </w:t>
      </w:r>
      <w:proofErr w:type="spellStart"/>
      <w:r w:rsidRPr="00AC5183">
        <w:rPr>
          <w:rFonts w:ascii="Times New Roman" w:hAnsi="Times New Roman"/>
          <w:sz w:val="20"/>
          <w:szCs w:val="20"/>
        </w:rPr>
        <w:t>Charifund</w:t>
      </w:r>
      <w:proofErr w:type="spellEnd"/>
      <w:r w:rsidRPr="00AC5183">
        <w:rPr>
          <w:rFonts w:ascii="Times New Roman" w:hAnsi="Times New Roman"/>
          <w:sz w:val="20"/>
          <w:szCs w:val="20"/>
        </w:rPr>
        <w:t>, M&amp;G Dividend Fund and a number of M&amp;G investment trusts.  He was a Board member of M&amp;G Group PLC from 1994 until its take-over by Prudential PLC in 1999.  He also served as a non-executive director of an M&amp;G Investment Trust and two M&amp;G investment companies.  He is an accountant, (CIPFA), a member of CFA UK (ASIP) and is a Chartered Fellow of the Chartered Institute for Securities and Investment.</w:t>
      </w:r>
    </w:p>
    <w:p w:rsidR="002B4D80" w:rsidRPr="009170B8" w:rsidRDefault="002B4D80" w:rsidP="002B4D80">
      <w:pPr>
        <w:spacing w:after="240"/>
        <w:jc w:val="both"/>
        <w:rPr>
          <w:rFonts w:ascii="Times New Roman" w:hAnsi="Times New Roman"/>
          <w:sz w:val="20"/>
          <w:szCs w:val="20"/>
        </w:rPr>
      </w:pPr>
      <w:r w:rsidRPr="009170B8">
        <w:rPr>
          <w:rFonts w:ascii="Times New Roman" w:hAnsi="Times New Roman"/>
          <w:sz w:val="20"/>
          <w:szCs w:val="20"/>
        </w:rPr>
        <w:t xml:space="preserve">The Company and Fund do not have any executive directors </w:t>
      </w:r>
      <w:r w:rsidR="00387E9C">
        <w:rPr>
          <w:rFonts w:ascii="Times New Roman" w:hAnsi="Times New Roman"/>
          <w:sz w:val="20"/>
          <w:szCs w:val="20"/>
        </w:rPr>
        <w:t xml:space="preserve">or </w:t>
      </w:r>
      <w:r w:rsidRPr="009170B8">
        <w:rPr>
          <w:rFonts w:ascii="Times New Roman" w:hAnsi="Times New Roman"/>
          <w:sz w:val="20"/>
          <w:szCs w:val="20"/>
        </w:rPr>
        <w:t>employees.</w:t>
      </w:r>
    </w:p>
    <w:p w:rsidR="0064692C" w:rsidRDefault="0064692C" w:rsidP="0064692C">
      <w:pPr>
        <w:autoSpaceDE w:val="0"/>
        <w:autoSpaceDN w:val="0"/>
        <w:adjustRightInd w:val="0"/>
        <w:jc w:val="both"/>
        <w:rPr>
          <w:rFonts w:ascii="Times New Roman" w:hAnsi="Times New Roman"/>
          <w:sz w:val="20"/>
          <w:szCs w:val="20"/>
        </w:rPr>
      </w:pPr>
      <w:r w:rsidRPr="009170B8">
        <w:rPr>
          <w:rFonts w:ascii="Times New Roman" w:hAnsi="Times New Roman"/>
          <w:sz w:val="20"/>
          <w:szCs w:val="20"/>
        </w:rPr>
        <w:t xml:space="preserve">The structure of the Board is such that it </w:t>
      </w:r>
      <w:r>
        <w:rPr>
          <w:rFonts w:ascii="Times New Roman" w:hAnsi="Times New Roman"/>
          <w:sz w:val="20"/>
          <w:szCs w:val="20"/>
        </w:rPr>
        <w:t xml:space="preserve">was not previously </w:t>
      </w:r>
      <w:r w:rsidRPr="009170B8">
        <w:rPr>
          <w:rFonts w:ascii="Times New Roman" w:hAnsi="Times New Roman"/>
          <w:sz w:val="20"/>
          <w:szCs w:val="20"/>
        </w:rPr>
        <w:t>considered necessary to identify a senior independent non-executive director other than the Chairman</w:t>
      </w:r>
      <w:r>
        <w:rPr>
          <w:rFonts w:ascii="Times New Roman" w:hAnsi="Times New Roman"/>
          <w:sz w:val="20"/>
          <w:szCs w:val="20"/>
        </w:rPr>
        <w:t>,</w:t>
      </w:r>
      <w:r w:rsidRPr="009170B8">
        <w:rPr>
          <w:rFonts w:ascii="Times New Roman" w:hAnsi="Times New Roman"/>
          <w:sz w:val="20"/>
          <w:szCs w:val="20"/>
        </w:rPr>
        <w:t xml:space="preserve"> </w:t>
      </w:r>
      <w:r>
        <w:rPr>
          <w:rFonts w:ascii="Times New Roman" w:hAnsi="Times New Roman"/>
          <w:sz w:val="20"/>
          <w:szCs w:val="20"/>
        </w:rPr>
        <w:t xml:space="preserve">because </w:t>
      </w:r>
      <w:r w:rsidRPr="009170B8">
        <w:rPr>
          <w:rFonts w:ascii="Times New Roman" w:hAnsi="Times New Roman"/>
          <w:sz w:val="20"/>
          <w:szCs w:val="20"/>
        </w:rPr>
        <w:t xml:space="preserve">the Board currently has a majority of independent directors and is expected to continue to have a majority of independent directors </w:t>
      </w:r>
      <w:r>
        <w:rPr>
          <w:rFonts w:ascii="Times New Roman" w:hAnsi="Times New Roman"/>
          <w:sz w:val="20"/>
          <w:szCs w:val="20"/>
        </w:rPr>
        <w:t>after</w:t>
      </w:r>
      <w:r w:rsidRPr="009170B8">
        <w:rPr>
          <w:rFonts w:ascii="Times New Roman" w:hAnsi="Times New Roman"/>
          <w:sz w:val="20"/>
          <w:szCs w:val="20"/>
        </w:rPr>
        <w:t xml:space="preserve"> the forthcoming </w:t>
      </w:r>
      <w:r>
        <w:rPr>
          <w:rFonts w:ascii="Times New Roman" w:hAnsi="Times New Roman"/>
          <w:sz w:val="20"/>
          <w:szCs w:val="20"/>
        </w:rPr>
        <w:t>C</w:t>
      </w:r>
      <w:r w:rsidRPr="009170B8">
        <w:rPr>
          <w:rFonts w:ascii="Times New Roman" w:hAnsi="Times New Roman"/>
          <w:sz w:val="20"/>
          <w:szCs w:val="20"/>
        </w:rPr>
        <w:t xml:space="preserve">ompany and </w:t>
      </w:r>
      <w:r>
        <w:rPr>
          <w:rFonts w:ascii="Times New Roman" w:hAnsi="Times New Roman"/>
          <w:sz w:val="20"/>
          <w:szCs w:val="20"/>
        </w:rPr>
        <w:t>C</w:t>
      </w:r>
      <w:r w:rsidRPr="009170B8">
        <w:rPr>
          <w:rFonts w:ascii="Times New Roman" w:hAnsi="Times New Roman"/>
          <w:sz w:val="20"/>
          <w:szCs w:val="20"/>
        </w:rPr>
        <w:t xml:space="preserve">ell </w:t>
      </w:r>
      <w:r>
        <w:rPr>
          <w:rFonts w:ascii="Times New Roman" w:hAnsi="Times New Roman"/>
          <w:sz w:val="20"/>
          <w:szCs w:val="20"/>
        </w:rPr>
        <w:t>AGM</w:t>
      </w:r>
      <w:r w:rsidRPr="009170B8">
        <w:rPr>
          <w:rFonts w:ascii="Times New Roman" w:hAnsi="Times New Roman"/>
          <w:sz w:val="20"/>
          <w:szCs w:val="20"/>
        </w:rPr>
        <w:t xml:space="preserve">.  As such, it complies with the </w:t>
      </w:r>
      <w:r>
        <w:rPr>
          <w:rFonts w:ascii="Times New Roman" w:hAnsi="Times New Roman"/>
          <w:sz w:val="20"/>
          <w:szCs w:val="20"/>
        </w:rPr>
        <w:t>FCA’s</w:t>
      </w:r>
      <w:r w:rsidRPr="009170B8">
        <w:rPr>
          <w:rFonts w:ascii="Times New Roman" w:hAnsi="Times New Roman"/>
          <w:sz w:val="20"/>
          <w:szCs w:val="20"/>
        </w:rPr>
        <w:t xml:space="preserve"> Listing Rules and </w:t>
      </w:r>
      <w:r>
        <w:rPr>
          <w:rFonts w:ascii="Times New Roman" w:hAnsi="Times New Roman"/>
          <w:sz w:val="20"/>
          <w:szCs w:val="20"/>
        </w:rPr>
        <w:t xml:space="preserve">the </w:t>
      </w:r>
      <w:r w:rsidRPr="009170B8">
        <w:rPr>
          <w:rFonts w:ascii="Times New Roman" w:hAnsi="Times New Roman"/>
          <w:sz w:val="20"/>
          <w:szCs w:val="20"/>
        </w:rPr>
        <w:t xml:space="preserve">AIC Code. </w:t>
      </w:r>
      <w:r>
        <w:rPr>
          <w:rFonts w:ascii="Times New Roman" w:hAnsi="Times New Roman"/>
          <w:sz w:val="20"/>
          <w:szCs w:val="20"/>
        </w:rPr>
        <w:t xml:space="preserve">However, in accordance with the recommendations of the 2019 AIC Code the Board will consider nominating a senior independent director following the forthcoming Company and Cell Annual General Meeting. </w:t>
      </w:r>
      <w:r w:rsidRPr="009170B8">
        <w:rPr>
          <w:rFonts w:ascii="Times New Roman" w:hAnsi="Times New Roman"/>
          <w:sz w:val="20"/>
          <w:szCs w:val="20"/>
        </w:rPr>
        <w:t>On 26 May 2010, a Nomination and Remuneration Committee was established</w:t>
      </w:r>
      <w:r>
        <w:rPr>
          <w:rFonts w:ascii="Times New Roman" w:hAnsi="Times New Roman"/>
          <w:sz w:val="20"/>
          <w:szCs w:val="20"/>
        </w:rPr>
        <w:t xml:space="preserve"> and</w:t>
      </w:r>
      <w:r w:rsidRPr="009170B8">
        <w:rPr>
          <w:rFonts w:ascii="Times New Roman" w:hAnsi="Times New Roman"/>
          <w:sz w:val="20"/>
          <w:szCs w:val="20"/>
        </w:rPr>
        <w:t xml:space="preserve"> comprised of all the directors of the </w:t>
      </w:r>
      <w:r>
        <w:rPr>
          <w:rFonts w:ascii="Times New Roman" w:hAnsi="Times New Roman"/>
          <w:sz w:val="20"/>
          <w:szCs w:val="20"/>
        </w:rPr>
        <w:t xml:space="preserve">Company and </w:t>
      </w:r>
      <w:r w:rsidRPr="009170B8">
        <w:rPr>
          <w:rFonts w:ascii="Times New Roman" w:hAnsi="Times New Roman"/>
          <w:sz w:val="20"/>
          <w:szCs w:val="20"/>
        </w:rPr>
        <w:t xml:space="preserve">Fund. </w:t>
      </w:r>
      <w:r>
        <w:rPr>
          <w:rFonts w:ascii="Times New Roman" w:hAnsi="Times New Roman"/>
          <w:sz w:val="20"/>
          <w:szCs w:val="20"/>
        </w:rPr>
        <w:t xml:space="preserve">Following the publication of the 2019 AIC Code, it has been agreed that Dean </w:t>
      </w:r>
      <w:proofErr w:type="spellStart"/>
      <w:r>
        <w:rPr>
          <w:rFonts w:ascii="Times New Roman" w:hAnsi="Times New Roman"/>
          <w:sz w:val="20"/>
          <w:szCs w:val="20"/>
        </w:rPr>
        <w:t>Orrico</w:t>
      </w:r>
      <w:proofErr w:type="spellEnd"/>
      <w:r>
        <w:rPr>
          <w:rFonts w:ascii="Times New Roman" w:hAnsi="Times New Roman"/>
          <w:sz w:val="20"/>
          <w:szCs w:val="20"/>
        </w:rPr>
        <w:t>, as a result of his role as President of Middlefield International Limited, will no longer be a member of the Nomination and Remuneration Committee or the Management Engagement Committee with effect from 1 July 2019. I</w:t>
      </w:r>
      <w:r w:rsidRPr="009170B8">
        <w:rPr>
          <w:rFonts w:ascii="Times New Roman" w:hAnsi="Times New Roman"/>
          <w:sz w:val="20"/>
          <w:szCs w:val="20"/>
        </w:rPr>
        <w:t xml:space="preserve">n accordance with PIRC’s published guidance, all directors will </w:t>
      </w:r>
      <w:r>
        <w:rPr>
          <w:rFonts w:ascii="Times New Roman" w:hAnsi="Times New Roman"/>
          <w:sz w:val="20"/>
          <w:szCs w:val="20"/>
        </w:rPr>
        <w:t xml:space="preserve">continue to offer themselves for </w:t>
      </w:r>
      <w:r w:rsidRPr="009170B8">
        <w:rPr>
          <w:rFonts w:ascii="Times New Roman" w:hAnsi="Times New Roman"/>
          <w:sz w:val="20"/>
          <w:szCs w:val="20"/>
        </w:rPr>
        <w:t>annual re-election</w:t>
      </w:r>
      <w:r>
        <w:rPr>
          <w:rFonts w:ascii="Times New Roman" w:hAnsi="Times New Roman"/>
          <w:sz w:val="20"/>
          <w:szCs w:val="20"/>
        </w:rPr>
        <w:t xml:space="preserve"> for the foreseeable future</w:t>
      </w:r>
      <w:r w:rsidRPr="009170B8">
        <w:rPr>
          <w:rFonts w:ascii="Times New Roman" w:hAnsi="Times New Roman"/>
          <w:sz w:val="20"/>
          <w:szCs w:val="20"/>
        </w:rPr>
        <w:t>.</w:t>
      </w:r>
      <w:r>
        <w:rPr>
          <w:rFonts w:ascii="Times New Roman" w:hAnsi="Times New Roman"/>
          <w:sz w:val="20"/>
          <w:szCs w:val="20"/>
        </w:rPr>
        <w:t xml:space="preserve"> </w:t>
      </w:r>
      <w:r w:rsidRPr="00AC5183">
        <w:rPr>
          <w:rFonts w:ascii="Times New Roman" w:eastAsia="Calibri" w:hAnsi="Times New Roman"/>
          <w:bCs/>
          <w:sz w:val="20"/>
          <w:szCs w:val="20"/>
          <w:lang w:eastAsia="en-GB"/>
        </w:rPr>
        <w:t>Although</w:t>
      </w:r>
      <w:r w:rsidRPr="009170B8">
        <w:rPr>
          <w:rFonts w:ascii="Times New Roman" w:hAnsi="Times New Roman"/>
          <w:sz w:val="20"/>
          <w:szCs w:val="20"/>
        </w:rPr>
        <w:t xml:space="preserve"> no formal training in corporate governance is given to directors, the directors are kept </w:t>
      </w:r>
      <w:r>
        <w:rPr>
          <w:rFonts w:ascii="Times New Roman" w:hAnsi="Times New Roman"/>
          <w:sz w:val="20"/>
          <w:szCs w:val="20"/>
        </w:rPr>
        <w:t>apprised</w:t>
      </w:r>
      <w:r w:rsidRPr="009170B8">
        <w:rPr>
          <w:rFonts w:ascii="Times New Roman" w:hAnsi="Times New Roman"/>
          <w:sz w:val="20"/>
          <w:szCs w:val="20"/>
        </w:rPr>
        <w:t xml:space="preserve"> o</w:t>
      </w:r>
      <w:r>
        <w:rPr>
          <w:rFonts w:ascii="Times New Roman" w:hAnsi="Times New Roman"/>
          <w:sz w:val="20"/>
          <w:szCs w:val="20"/>
        </w:rPr>
        <w:t>f</w:t>
      </w:r>
      <w:r w:rsidRPr="009170B8">
        <w:rPr>
          <w:rFonts w:ascii="Times New Roman" w:hAnsi="Times New Roman"/>
          <w:sz w:val="20"/>
          <w:szCs w:val="20"/>
        </w:rPr>
        <w:t xml:space="preserve"> corporate governance issues through bulletins and training materials provided from time to time by the Secretary and the AIC. </w:t>
      </w:r>
    </w:p>
    <w:p w:rsidR="000871D0" w:rsidRDefault="000871D0" w:rsidP="000871D0">
      <w:pPr>
        <w:autoSpaceDE w:val="0"/>
        <w:autoSpaceDN w:val="0"/>
        <w:adjustRightInd w:val="0"/>
        <w:jc w:val="both"/>
        <w:rPr>
          <w:rFonts w:ascii="Times New Roman" w:eastAsia="Calibri" w:hAnsi="Times New Roman"/>
          <w:b/>
          <w:bCs/>
          <w:sz w:val="20"/>
          <w:szCs w:val="20"/>
          <w:lang w:eastAsia="en-GB"/>
        </w:rPr>
      </w:pPr>
    </w:p>
    <w:p w:rsidR="000871D0" w:rsidRPr="009170B8" w:rsidRDefault="000871D0" w:rsidP="000871D0">
      <w:pPr>
        <w:autoSpaceDE w:val="0"/>
        <w:autoSpaceDN w:val="0"/>
        <w:adjustRightInd w:val="0"/>
        <w:jc w:val="both"/>
        <w:rPr>
          <w:rFonts w:ascii="Times New Roman" w:eastAsia="Calibri" w:hAnsi="Times New Roman"/>
          <w:b/>
          <w:bCs/>
          <w:sz w:val="20"/>
          <w:szCs w:val="20"/>
          <w:lang w:eastAsia="en-GB"/>
        </w:rPr>
      </w:pPr>
      <w:r w:rsidRPr="009170B8">
        <w:rPr>
          <w:rFonts w:ascii="Times New Roman" w:eastAsia="Calibri" w:hAnsi="Times New Roman"/>
          <w:b/>
          <w:bCs/>
          <w:sz w:val="20"/>
          <w:szCs w:val="20"/>
          <w:lang w:eastAsia="en-GB"/>
        </w:rPr>
        <w:t>Conflicts of Interest</w:t>
      </w:r>
    </w:p>
    <w:p w:rsidR="007B59D7" w:rsidRDefault="00B44D91" w:rsidP="00B44D91">
      <w:pPr>
        <w:tabs>
          <w:tab w:val="left" w:pos="3402"/>
          <w:tab w:val="right" w:pos="8222"/>
        </w:tabs>
        <w:jc w:val="both"/>
        <w:rPr>
          <w:rFonts w:ascii="Times New Roman" w:hAnsi="Times New Roman"/>
          <w:sz w:val="20"/>
          <w:szCs w:val="20"/>
        </w:rPr>
      </w:pPr>
      <w:r w:rsidRPr="009170B8">
        <w:rPr>
          <w:rFonts w:ascii="Times New Roman" w:hAnsi="Times New Roman"/>
          <w:sz w:val="20"/>
          <w:szCs w:val="20"/>
        </w:rPr>
        <w:t>The Board meets at least quarterly to review the overall business of the Company and to consider matters specifically reserved for its review.  At these meetings</w:t>
      </w:r>
      <w:r w:rsidR="000620E4">
        <w:rPr>
          <w:rFonts w:ascii="Times New Roman" w:hAnsi="Times New Roman"/>
          <w:sz w:val="20"/>
          <w:szCs w:val="20"/>
        </w:rPr>
        <w:t>,</w:t>
      </w:r>
      <w:r w:rsidRPr="009170B8">
        <w:rPr>
          <w:rFonts w:ascii="Times New Roman" w:hAnsi="Times New Roman"/>
          <w:sz w:val="20"/>
          <w:szCs w:val="20"/>
        </w:rPr>
        <w:t xml:space="preserve"> the Board monitors the investment performance of the Fund.  The directors also review the Fund’s activities every quarter to ensure that it adheres to the Fund’s investment </w:t>
      </w:r>
      <w:r w:rsidR="002E14F8">
        <w:rPr>
          <w:rFonts w:ascii="Times New Roman" w:hAnsi="Times New Roman"/>
          <w:sz w:val="20"/>
          <w:szCs w:val="20"/>
        </w:rPr>
        <w:t xml:space="preserve">objective and </w:t>
      </w:r>
      <w:r w:rsidR="002E14F8" w:rsidRPr="009170B8">
        <w:rPr>
          <w:rFonts w:ascii="Times New Roman" w:hAnsi="Times New Roman"/>
          <w:sz w:val="20"/>
          <w:szCs w:val="20"/>
        </w:rPr>
        <w:t>polic</w:t>
      </w:r>
      <w:r w:rsidR="002E14F8">
        <w:rPr>
          <w:rFonts w:ascii="Times New Roman" w:hAnsi="Times New Roman"/>
          <w:sz w:val="20"/>
          <w:szCs w:val="20"/>
        </w:rPr>
        <w:t>y</w:t>
      </w:r>
      <w:r w:rsidR="002E14F8" w:rsidRPr="009170B8">
        <w:rPr>
          <w:rFonts w:ascii="Times New Roman" w:hAnsi="Times New Roman"/>
          <w:sz w:val="20"/>
          <w:szCs w:val="20"/>
        </w:rPr>
        <w:t xml:space="preserve"> </w:t>
      </w:r>
      <w:r w:rsidRPr="009170B8">
        <w:rPr>
          <w:rFonts w:ascii="Times New Roman" w:hAnsi="Times New Roman"/>
          <w:sz w:val="20"/>
          <w:szCs w:val="20"/>
        </w:rPr>
        <w:t xml:space="preserve">or, if appropriate, to </w:t>
      </w:r>
      <w:r w:rsidR="002E14F8">
        <w:rPr>
          <w:rFonts w:ascii="Times New Roman" w:hAnsi="Times New Roman"/>
          <w:sz w:val="20"/>
          <w:szCs w:val="20"/>
        </w:rPr>
        <w:t xml:space="preserve">consider </w:t>
      </w:r>
      <w:r w:rsidRPr="009170B8">
        <w:rPr>
          <w:rFonts w:ascii="Times New Roman" w:hAnsi="Times New Roman"/>
          <w:sz w:val="20"/>
          <w:szCs w:val="20"/>
        </w:rPr>
        <w:t xml:space="preserve">changes to </w:t>
      </w:r>
      <w:r w:rsidR="002E14F8">
        <w:rPr>
          <w:rFonts w:ascii="Times New Roman" w:hAnsi="Times New Roman"/>
          <w:sz w:val="20"/>
          <w:szCs w:val="20"/>
        </w:rPr>
        <w:t>that policy</w:t>
      </w:r>
      <w:r w:rsidRPr="009170B8">
        <w:rPr>
          <w:rFonts w:ascii="Times New Roman" w:hAnsi="Times New Roman"/>
          <w:sz w:val="20"/>
          <w:szCs w:val="20"/>
        </w:rPr>
        <w:t xml:space="preserve">.  Additional </w:t>
      </w:r>
      <w:r w:rsidRPr="009170B8">
        <w:rPr>
          <w:rFonts w:ascii="Times New Roman" w:hAnsi="Times New Roman"/>
          <w:i/>
          <w:sz w:val="20"/>
          <w:szCs w:val="20"/>
        </w:rPr>
        <w:t>ad hoc</w:t>
      </w:r>
      <w:r w:rsidRPr="009170B8">
        <w:rPr>
          <w:rFonts w:ascii="Times New Roman" w:hAnsi="Times New Roman"/>
          <w:sz w:val="20"/>
          <w:szCs w:val="20"/>
        </w:rPr>
        <w:t xml:space="preserve"> reports are received as required and directors have access at all times to the advice and services of the Secretary, which is responsible for guiding the Board on procedures and applicable rules and regulations.</w:t>
      </w:r>
    </w:p>
    <w:p w:rsidR="000871D0" w:rsidRPr="009170B8" w:rsidRDefault="000871D0" w:rsidP="00B44D91">
      <w:pPr>
        <w:tabs>
          <w:tab w:val="left" w:pos="3402"/>
          <w:tab w:val="right" w:pos="8222"/>
        </w:tabs>
        <w:jc w:val="both"/>
        <w:rPr>
          <w:rFonts w:ascii="Times New Roman" w:hAnsi="Times New Roman"/>
          <w:sz w:val="20"/>
        </w:rPr>
      </w:pPr>
    </w:p>
    <w:p w:rsidR="003A1DBF" w:rsidRPr="003A1DBF" w:rsidRDefault="006810AC" w:rsidP="00A00219">
      <w:pPr>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 xml:space="preserve">A director must avoid a situation where he has or </w:t>
      </w:r>
      <w:r w:rsidR="00650CA7">
        <w:rPr>
          <w:rFonts w:ascii="Times New Roman" w:eastAsia="Calibri" w:hAnsi="Times New Roman"/>
          <w:sz w:val="20"/>
          <w:szCs w:val="20"/>
          <w:lang w:eastAsia="en-GB"/>
        </w:rPr>
        <w:t xml:space="preserve">might </w:t>
      </w:r>
      <w:r w:rsidRPr="009170B8">
        <w:rPr>
          <w:rFonts w:ascii="Times New Roman" w:eastAsia="Calibri" w:hAnsi="Times New Roman"/>
          <w:sz w:val="20"/>
          <w:szCs w:val="20"/>
          <w:lang w:eastAsia="en-GB"/>
        </w:rPr>
        <w:t xml:space="preserve">have a direct or indirect interest that </w:t>
      </w:r>
      <w:r w:rsidR="00650CA7">
        <w:rPr>
          <w:rFonts w:ascii="Times New Roman" w:eastAsia="Calibri" w:hAnsi="Times New Roman"/>
          <w:sz w:val="20"/>
          <w:szCs w:val="20"/>
          <w:lang w:eastAsia="en-GB"/>
        </w:rPr>
        <w:t xml:space="preserve">either </w:t>
      </w:r>
      <w:r w:rsidRPr="009170B8">
        <w:rPr>
          <w:rFonts w:ascii="Times New Roman" w:eastAsia="Calibri" w:hAnsi="Times New Roman"/>
          <w:sz w:val="20"/>
          <w:szCs w:val="20"/>
          <w:lang w:eastAsia="en-GB"/>
        </w:rPr>
        <w:t>conflicts or has the</w:t>
      </w:r>
      <w:r w:rsidR="00650CA7">
        <w:rPr>
          <w:rFonts w:ascii="Times New Roman" w:eastAsia="Calibri" w:hAnsi="Times New Roman"/>
          <w:sz w:val="20"/>
          <w:szCs w:val="20"/>
          <w:lang w:eastAsia="en-GB"/>
        </w:rPr>
        <w:t xml:space="preserve"> </w:t>
      </w:r>
      <w:r w:rsidRPr="009170B8">
        <w:rPr>
          <w:rFonts w:ascii="Times New Roman" w:eastAsia="Calibri" w:hAnsi="Times New Roman"/>
          <w:sz w:val="20"/>
          <w:szCs w:val="20"/>
          <w:lang w:eastAsia="en-GB"/>
        </w:rPr>
        <w:t xml:space="preserve">potential to conflict with the Company’s interests. The </w:t>
      </w:r>
      <w:r w:rsidR="00650CA7">
        <w:rPr>
          <w:rFonts w:ascii="Times New Roman" w:eastAsia="Calibri" w:hAnsi="Times New Roman"/>
          <w:sz w:val="20"/>
          <w:szCs w:val="20"/>
          <w:lang w:eastAsia="en-GB"/>
        </w:rPr>
        <w:t xml:space="preserve">Company’s and Fund’s </w:t>
      </w:r>
      <w:r w:rsidRPr="009170B8">
        <w:rPr>
          <w:rFonts w:ascii="Times New Roman" w:eastAsia="Calibri" w:hAnsi="Times New Roman"/>
          <w:sz w:val="20"/>
          <w:szCs w:val="20"/>
          <w:lang w:eastAsia="en-GB"/>
        </w:rPr>
        <w:t>Articles of Association give the directors</w:t>
      </w:r>
      <w:r w:rsidR="002D7247">
        <w:rPr>
          <w:rFonts w:ascii="Times New Roman" w:eastAsia="Calibri" w:hAnsi="Times New Roman"/>
          <w:sz w:val="20"/>
          <w:szCs w:val="20"/>
          <w:lang w:eastAsia="en-GB"/>
        </w:rPr>
        <w:t xml:space="preserve"> </w:t>
      </w:r>
      <w:r w:rsidR="003A1DBF" w:rsidRPr="003A1DBF">
        <w:rPr>
          <w:rFonts w:ascii="Times New Roman" w:eastAsia="Calibri" w:hAnsi="Times New Roman"/>
          <w:sz w:val="20"/>
          <w:szCs w:val="20"/>
          <w:lang w:eastAsia="en-GB"/>
        </w:rPr>
        <w:t xml:space="preserve">authority to authorise potential conflicts of interest and there are safeguards in place which will apply whenever the directors decide that such are necessary or desirable. </w:t>
      </w:r>
    </w:p>
    <w:p w:rsidR="003A1DBF" w:rsidRPr="003A1DBF" w:rsidRDefault="003A1DBF" w:rsidP="003A1DBF">
      <w:pPr>
        <w:rPr>
          <w:rFonts w:ascii="Times New Roman" w:eastAsia="Calibri" w:hAnsi="Times New Roman"/>
          <w:sz w:val="20"/>
          <w:szCs w:val="20"/>
          <w:lang w:eastAsia="en-GB"/>
        </w:rPr>
      </w:pPr>
    </w:p>
    <w:p w:rsidR="003A1DBF" w:rsidRPr="003A1DBF" w:rsidRDefault="003A1DBF" w:rsidP="00225DD1">
      <w:pPr>
        <w:jc w:val="both"/>
        <w:rPr>
          <w:rFonts w:ascii="Times New Roman" w:eastAsia="Calibri" w:hAnsi="Times New Roman"/>
          <w:sz w:val="20"/>
          <w:szCs w:val="20"/>
          <w:lang w:eastAsia="en-GB"/>
        </w:rPr>
      </w:pPr>
      <w:r w:rsidRPr="003A1DBF">
        <w:rPr>
          <w:rFonts w:ascii="Times New Roman" w:eastAsia="Calibri" w:hAnsi="Times New Roman"/>
          <w:sz w:val="20"/>
          <w:szCs w:val="20"/>
          <w:lang w:eastAsia="en-GB"/>
        </w:rPr>
        <w:t>Firstly, only directors who have no interest in the matter being considered are able to vote upon the relevant decision, and secondly, in voting on the decision, the directors must act in a way they consider, in good faith, will be in the best interests of the Company. The directors can impose limits or conditions when giving authorisation if they consider this to be appropriate.</w:t>
      </w:r>
    </w:p>
    <w:p w:rsidR="003A1DBF" w:rsidRPr="003A1DBF" w:rsidRDefault="003A1DBF" w:rsidP="003A1DBF">
      <w:pPr>
        <w:rPr>
          <w:rFonts w:ascii="Times New Roman" w:eastAsia="Calibri" w:hAnsi="Times New Roman"/>
          <w:sz w:val="20"/>
          <w:szCs w:val="20"/>
          <w:lang w:eastAsia="en-GB"/>
        </w:rPr>
      </w:pPr>
    </w:p>
    <w:p w:rsidR="003A1DBF" w:rsidRDefault="003A1DBF" w:rsidP="00A00219">
      <w:pPr>
        <w:jc w:val="both"/>
        <w:rPr>
          <w:rFonts w:ascii="Times New Roman" w:eastAsia="Calibri" w:hAnsi="Times New Roman"/>
          <w:sz w:val="20"/>
          <w:szCs w:val="20"/>
          <w:lang w:eastAsia="en-GB"/>
        </w:rPr>
      </w:pPr>
      <w:r w:rsidRPr="003A1DBF">
        <w:rPr>
          <w:rFonts w:ascii="Times New Roman" w:eastAsia="Calibri" w:hAnsi="Times New Roman"/>
          <w:sz w:val="20"/>
          <w:szCs w:val="20"/>
          <w:lang w:eastAsia="en-GB"/>
        </w:rPr>
        <w:t>The directors declare any potential conflicts of interest to the Board at each Board meeting. Any actual or potential conflicts of interest are entered into the Company’s register of such conflicts, which register is reviewed regularly by the Board. The register of conflicts of interest is kept at the Company’s registered office. The directors advise the Secretary as soon as they become aware of any new actual or potential conflicts of interest or any material changes to an existing conflict.</w:t>
      </w:r>
    </w:p>
    <w:p w:rsidR="00C96F7B" w:rsidRPr="00E5676A" w:rsidRDefault="00C96F7B" w:rsidP="00C96F7B">
      <w:pPr>
        <w:pStyle w:val="Heading2"/>
        <w:tabs>
          <w:tab w:val="right" w:pos="8222"/>
        </w:tabs>
        <w:rPr>
          <w:rFonts w:ascii="Times New Roman" w:hAnsi="Times New Roman"/>
        </w:rPr>
      </w:pPr>
      <w:r w:rsidRPr="00E5676A">
        <w:rPr>
          <w:rFonts w:ascii="Times New Roman" w:hAnsi="Times New Roman"/>
        </w:rPr>
        <w:t>Directors’ Report (continued)</w:t>
      </w:r>
    </w:p>
    <w:p w:rsidR="00C96F7B" w:rsidRDefault="00C96F7B" w:rsidP="00C96F7B">
      <w:pPr>
        <w:autoSpaceDE w:val="0"/>
        <w:autoSpaceDN w:val="0"/>
        <w:adjustRightInd w:val="0"/>
        <w:jc w:val="both"/>
        <w:rPr>
          <w:rFonts w:ascii="Times New Roman" w:hAnsi="Times New Roman"/>
          <w:b/>
          <w:sz w:val="20"/>
          <w:szCs w:val="20"/>
        </w:rPr>
      </w:pPr>
    </w:p>
    <w:p w:rsidR="00E214AD" w:rsidRPr="009170B8" w:rsidRDefault="00E214AD" w:rsidP="00E214AD">
      <w:pPr>
        <w:autoSpaceDE w:val="0"/>
        <w:autoSpaceDN w:val="0"/>
        <w:adjustRightInd w:val="0"/>
        <w:jc w:val="both"/>
        <w:rPr>
          <w:rFonts w:ascii="Times New Roman" w:eastAsia="Calibri" w:hAnsi="Times New Roman"/>
          <w:b/>
          <w:bCs/>
          <w:sz w:val="20"/>
          <w:szCs w:val="20"/>
          <w:lang w:eastAsia="en-GB"/>
        </w:rPr>
      </w:pPr>
      <w:r w:rsidRPr="009170B8">
        <w:rPr>
          <w:rFonts w:ascii="Times New Roman" w:eastAsia="Calibri" w:hAnsi="Times New Roman"/>
          <w:b/>
          <w:bCs/>
          <w:sz w:val="20"/>
          <w:szCs w:val="20"/>
          <w:lang w:eastAsia="en-GB"/>
        </w:rPr>
        <w:t>Directors’ and Officers’ Liability Insurance</w:t>
      </w:r>
    </w:p>
    <w:p w:rsidR="00E214AD" w:rsidRDefault="00E214AD" w:rsidP="00E214AD">
      <w:pPr>
        <w:jc w:val="both"/>
        <w:rPr>
          <w:rFonts w:ascii="Times New Roman" w:eastAsia="Calibri" w:hAnsi="Times New Roman"/>
          <w:sz w:val="20"/>
          <w:szCs w:val="20"/>
          <w:lang w:eastAsia="en-GB"/>
        </w:rPr>
      </w:pPr>
      <w:r w:rsidRPr="009170B8">
        <w:rPr>
          <w:rFonts w:ascii="Times New Roman" w:eastAsia="Calibri" w:hAnsi="Times New Roman"/>
          <w:sz w:val="20"/>
          <w:szCs w:val="20"/>
          <w:lang w:eastAsia="en-GB"/>
        </w:rPr>
        <w:t xml:space="preserve">The Company </w:t>
      </w:r>
      <w:r>
        <w:rPr>
          <w:rFonts w:ascii="Times New Roman" w:eastAsia="Calibri" w:hAnsi="Times New Roman"/>
          <w:sz w:val="20"/>
          <w:szCs w:val="20"/>
          <w:lang w:eastAsia="en-GB"/>
        </w:rPr>
        <w:t>purchases d</w:t>
      </w:r>
      <w:r w:rsidRPr="009170B8">
        <w:rPr>
          <w:rFonts w:ascii="Times New Roman" w:eastAsia="Calibri" w:hAnsi="Times New Roman"/>
          <w:sz w:val="20"/>
          <w:szCs w:val="20"/>
          <w:lang w:eastAsia="en-GB"/>
        </w:rPr>
        <w:t xml:space="preserve">irectors’ and </w:t>
      </w:r>
      <w:r>
        <w:rPr>
          <w:rFonts w:ascii="Times New Roman" w:eastAsia="Calibri" w:hAnsi="Times New Roman"/>
          <w:sz w:val="20"/>
          <w:szCs w:val="20"/>
          <w:lang w:eastAsia="en-GB"/>
        </w:rPr>
        <w:t>o</w:t>
      </w:r>
      <w:r w:rsidRPr="009170B8">
        <w:rPr>
          <w:rFonts w:ascii="Times New Roman" w:eastAsia="Calibri" w:hAnsi="Times New Roman"/>
          <w:sz w:val="20"/>
          <w:szCs w:val="20"/>
          <w:lang w:eastAsia="en-GB"/>
        </w:rPr>
        <w:t xml:space="preserve">fficers’ </w:t>
      </w:r>
      <w:r>
        <w:rPr>
          <w:rFonts w:ascii="Times New Roman" w:eastAsia="Calibri" w:hAnsi="Times New Roman"/>
          <w:sz w:val="20"/>
          <w:szCs w:val="20"/>
          <w:lang w:eastAsia="en-GB"/>
        </w:rPr>
        <w:t>l</w:t>
      </w:r>
      <w:r w:rsidRPr="009170B8">
        <w:rPr>
          <w:rFonts w:ascii="Times New Roman" w:eastAsia="Calibri" w:hAnsi="Times New Roman"/>
          <w:sz w:val="20"/>
          <w:szCs w:val="20"/>
          <w:lang w:eastAsia="en-GB"/>
        </w:rPr>
        <w:t xml:space="preserve">iability </w:t>
      </w:r>
      <w:r>
        <w:rPr>
          <w:rFonts w:ascii="Times New Roman" w:eastAsia="Calibri" w:hAnsi="Times New Roman"/>
          <w:sz w:val="20"/>
          <w:szCs w:val="20"/>
          <w:lang w:eastAsia="en-GB"/>
        </w:rPr>
        <w:t>i</w:t>
      </w:r>
      <w:r w:rsidRPr="009170B8">
        <w:rPr>
          <w:rFonts w:ascii="Times New Roman" w:eastAsia="Calibri" w:hAnsi="Times New Roman"/>
          <w:sz w:val="20"/>
          <w:szCs w:val="20"/>
          <w:lang w:eastAsia="en-GB"/>
        </w:rPr>
        <w:t xml:space="preserve">nsurance </w:t>
      </w:r>
      <w:r>
        <w:rPr>
          <w:rFonts w:ascii="Times New Roman" w:eastAsia="Calibri" w:hAnsi="Times New Roman"/>
          <w:sz w:val="20"/>
          <w:szCs w:val="20"/>
          <w:lang w:eastAsia="en-GB"/>
        </w:rPr>
        <w:t xml:space="preserve">cover </w:t>
      </w:r>
      <w:r w:rsidRPr="009170B8">
        <w:rPr>
          <w:rFonts w:ascii="Times New Roman" w:eastAsia="Calibri" w:hAnsi="Times New Roman"/>
          <w:sz w:val="20"/>
          <w:szCs w:val="20"/>
          <w:lang w:eastAsia="en-GB"/>
        </w:rPr>
        <w:t>at a level which is considered appropriate for the Company.</w:t>
      </w:r>
    </w:p>
    <w:p w:rsidR="00E214AD" w:rsidRDefault="00E214AD" w:rsidP="00C96F7B">
      <w:pPr>
        <w:autoSpaceDE w:val="0"/>
        <w:autoSpaceDN w:val="0"/>
        <w:adjustRightInd w:val="0"/>
        <w:jc w:val="both"/>
        <w:rPr>
          <w:rFonts w:ascii="Times New Roman" w:hAnsi="Times New Roman"/>
          <w:b/>
          <w:sz w:val="20"/>
          <w:szCs w:val="20"/>
        </w:rPr>
      </w:pPr>
    </w:p>
    <w:p w:rsidR="00C96F7B" w:rsidRDefault="00C96F7B" w:rsidP="00C96F7B">
      <w:pPr>
        <w:autoSpaceDE w:val="0"/>
        <w:autoSpaceDN w:val="0"/>
        <w:adjustRightInd w:val="0"/>
        <w:jc w:val="both"/>
        <w:rPr>
          <w:rFonts w:ascii="Times New Roman" w:hAnsi="Times New Roman"/>
          <w:b/>
          <w:sz w:val="20"/>
          <w:szCs w:val="20"/>
        </w:rPr>
      </w:pPr>
      <w:r w:rsidRPr="00B9035E">
        <w:rPr>
          <w:rFonts w:ascii="Times New Roman" w:hAnsi="Times New Roman"/>
          <w:b/>
          <w:sz w:val="20"/>
          <w:szCs w:val="20"/>
        </w:rPr>
        <w:t>Directors’ Remuneration</w:t>
      </w:r>
      <w:r>
        <w:rPr>
          <w:rFonts w:ascii="Times New Roman" w:hAnsi="Times New Roman"/>
          <w:b/>
          <w:sz w:val="20"/>
          <w:szCs w:val="20"/>
        </w:rPr>
        <w:t xml:space="preserve"> </w:t>
      </w:r>
    </w:p>
    <w:p w:rsidR="00B44D91" w:rsidRPr="00B9035E" w:rsidRDefault="00B44D91" w:rsidP="00B44D91">
      <w:pPr>
        <w:tabs>
          <w:tab w:val="left" w:pos="3402"/>
          <w:tab w:val="right" w:pos="8222"/>
        </w:tabs>
        <w:spacing w:after="240"/>
        <w:jc w:val="both"/>
        <w:rPr>
          <w:rFonts w:ascii="Times New Roman" w:hAnsi="Times New Roman"/>
          <w:sz w:val="20"/>
          <w:szCs w:val="20"/>
        </w:rPr>
      </w:pPr>
      <w:r w:rsidRPr="00B9035E">
        <w:rPr>
          <w:rFonts w:ascii="Times New Roman" w:hAnsi="Times New Roman"/>
          <w:sz w:val="20"/>
          <w:szCs w:val="20"/>
        </w:rPr>
        <w:t xml:space="preserve">No director has a service contract with the Company or Fund and details of the directors’ fees are disclosed in note </w:t>
      </w:r>
      <w:r w:rsidR="00C91D6E" w:rsidRPr="00B9035E">
        <w:rPr>
          <w:rFonts w:ascii="Times New Roman" w:hAnsi="Times New Roman"/>
          <w:sz w:val="20"/>
          <w:szCs w:val="20"/>
        </w:rPr>
        <w:t>13.</w:t>
      </w:r>
    </w:p>
    <w:p w:rsidR="005C0691" w:rsidRDefault="00F43AFA" w:rsidP="005C0691">
      <w:pPr>
        <w:tabs>
          <w:tab w:val="left" w:pos="3402"/>
          <w:tab w:val="right" w:pos="8222"/>
        </w:tabs>
        <w:jc w:val="both"/>
        <w:rPr>
          <w:rFonts w:ascii="Times New Roman" w:hAnsi="Times New Roman"/>
          <w:sz w:val="20"/>
          <w:szCs w:val="20"/>
        </w:rPr>
      </w:pPr>
      <w:r w:rsidRPr="00942D80">
        <w:rPr>
          <w:rFonts w:ascii="Times New Roman" w:hAnsi="Times New Roman"/>
          <w:sz w:val="20"/>
          <w:szCs w:val="20"/>
          <w:lang w:eastAsia="en-GB"/>
        </w:rPr>
        <w:t>Directors’ fees are recommended by the full Board</w:t>
      </w:r>
      <w:r>
        <w:rPr>
          <w:rFonts w:ascii="Times New Roman" w:hAnsi="Times New Roman"/>
          <w:sz w:val="20"/>
          <w:szCs w:val="20"/>
          <w:lang w:eastAsia="en-GB"/>
        </w:rPr>
        <w:t>.</w:t>
      </w:r>
      <w:r w:rsidRPr="00B9035E">
        <w:rPr>
          <w:rFonts w:ascii="Times New Roman" w:hAnsi="Times New Roman"/>
          <w:sz w:val="20"/>
          <w:szCs w:val="20"/>
        </w:rPr>
        <w:t xml:space="preserve"> </w:t>
      </w:r>
      <w:r>
        <w:rPr>
          <w:rFonts w:ascii="Times New Roman" w:hAnsi="Times New Roman"/>
          <w:sz w:val="20"/>
          <w:szCs w:val="20"/>
        </w:rPr>
        <w:t xml:space="preserve"> T</w:t>
      </w:r>
      <w:r w:rsidR="005C0691" w:rsidRPr="00B9035E">
        <w:rPr>
          <w:rFonts w:ascii="Times New Roman" w:hAnsi="Times New Roman"/>
          <w:sz w:val="20"/>
          <w:szCs w:val="20"/>
        </w:rPr>
        <w:t xml:space="preserve">he non-executive directors </w:t>
      </w:r>
      <w:r w:rsidR="00BB783A">
        <w:rPr>
          <w:rFonts w:ascii="Times New Roman" w:hAnsi="Times New Roman"/>
          <w:sz w:val="20"/>
          <w:szCs w:val="20"/>
        </w:rPr>
        <w:t xml:space="preserve">were each paid the following in the </w:t>
      </w:r>
      <w:r>
        <w:rPr>
          <w:rFonts w:ascii="Times New Roman" w:hAnsi="Times New Roman"/>
          <w:sz w:val="20"/>
          <w:szCs w:val="20"/>
        </w:rPr>
        <w:t>201</w:t>
      </w:r>
      <w:r w:rsidR="00C10BEA">
        <w:rPr>
          <w:rFonts w:ascii="Times New Roman" w:hAnsi="Times New Roman"/>
          <w:sz w:val="20"/>
          <w:szCs w:val="20"/>
        </w:rPr>
        <w:t>8</w:t>
      </w:r>
      <w:r>
        <w:rPr>
          <w:rFonts w:ascii="Times New Roman" w:hAnsi="Times New Roman"/>
          <w:sz w:val="20"/>
          <w:szCs w:val="20"/>
        </w:rPr>
        <w:t xml:space="preserve"> and 201</w:t>
      </w:r>
      <w:r w:rsidR="00C10BEA">
        <w:rPr>
          <w:rFonts w:ascii="Times New Roman" w:hAnsi="Times New Roman"/>
          <w:sz w:val="20"/>
          <w:szCs w:val="20"/>
        </w:rPr>
        <w:t>7</w:t>
      </w:r>
      <w:r>
        <w:rPr>
          <w:rFonts w:ascii="Times New Roman" w:hAnsi="Times New Roman"/>
          <w:sz w:val="20"/>
          <w:szCs w:val="20"/>
        </w:rPr>
        <w:t xml:space="preserve"> financial years</w:t>
      </w:r>
      <w:r w:rsidR="005C0691" w:rsidRPr="00B9035E">
        <w:rPr>
          <w:rFonts w:ascii="Times New Roman" w:hAnsi="Times New Roman"/>
          <w:sz w:val="20"/>
          <w:szCs w:val="20"/>
        </w:rPr>
        <w:t>:</w:t>
      </w:r>
    </w:p>
    <w:p w:rsidR="00F43AFA" w:rsidRPr="00B9035E" w:rsidRDefault="00F43AFA" w:rsidP="005C0691">
      <w:pPr>
        <w:tabs>
          <w:tab w:val="left" w:pos="3402"/>
          <w:tab w:val="right" w:pos="8222"/>
        </w:tabs>
        <w:jc w:val="both"/>
        <w:rPr>
          <w:rFonts w:ascii="Times New Roman" w:hAnsi="Times New Roman"/>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51"/>
        <w:gridCol w:w="3100"/>
      </w:tblGrid>
      <w:tr w:rsidR="00F43AFA" w:rsidRPr="00F43AFA" w:rsidTr="00F43AFA">
        <w:trPr>
          <w:trHeight w:val="42"/>
        </w:trPr>
        <w:tc>
          <w:tcPr>
            <w:tcW w:w="3369" w:type="dxa"/>
          </w:tcPr>
          <w:p w:rsidR="00F43AFA" w:rsidRPr="00F43AFA" w:rsidRDefault="00F43AFA" w:rsidP="00590B67">
            <w:pPr>
              <w:rPr>
                <w:rFonts w:ascii="Times New Roman" w:hAnsi="Times New Roman"/>
                <w:b/>
                <w:sz w:val="20"/>
                <w:szCs w:val="20"/>
              </w:rPr>
            </w:pPr>
            <w:r w:rsidRPr="00F43AFA">
              <w:rPr>
                <w:rFonts w:ascii="Times New Roman" w:hAnsi="Times New Roman"/>
                <w:b/>
                <w:sz w:val="20"/>
                <w:szCs w:val="20"/>
              </w:rPr>
              <w:t>Director</w:t>
            </w:r>
          </w:p>
        </w:tc>
        <w:tc>
          <w:tcPr>
            <w:tcW w:w="3951" w:type="dxa"/>
          </w:tcPr>
          <w:p w:rsidR="00F43AFA" w:rsidRPr="00F43AFA" w:rsidRDefault="00F43AFA">
            <w:pPr>
              <w:jc w:val="center"/>
              <w:rPr>
                <w:rFonts w:ascii="Times New Roman" w:hAnsi="Times New Roman"/>
                <w:b/>
                <w:sz w:val="20"/>
                <w:szCs w:val="20"/>
              </w:rPr>
            </w:pPr>
            <w:r w:rsidRPr="00F43AFA">
              <w:rPr>
                <w:rFonts w:ascii="Times New Roman" w:hAnsi="Times New Roman"/>
                <w:b/>
                <w:sz w:val="20"/>
                <w:szCs w:val="20"/>
              </w:rPr>
              <w:t>201</w:t>
            </w:r>
            <w:r w:rsidR="00C10BEA">
              <w:rPr>
                <w:rFonts w:ascii="Times New Roman" w:hAnsi="Times New Roman"/>
                <w:b/>
                <w:sz w:val="20"/>
                <w:szCs w:val="20"/>
              </w:rPr>
              <w:t>8</w:t>
            </w:r>
            <w:r w:rsidRPr="00F43AFA">
              <w:rPr>
                <w:rFonts w:ascii="Times New Roman" w:hAnsi="Times New Roman"/>
                <w:b/>
                <w:sz w:val="20"/>
                <w:szCs w:val="20"/>
              </w:rPr>
              <w:t xml:space="preserve"> Fees</w:t>
            </w:r>
          </w:p>
        </w:tc>
        <w:tc>
          <w:tcPr>
            <w:tcW w:w="3100" w:type="dxa"/>
          </w:tcPr>
          <w:p w:rsidR="00F43AFA" w:rsidRPr="00F43AFA" w:rsidRDefault="00F43AFA">
            <w:pPr>
              <w:jc w:val="center"/>
              <w:rPr>
                <w:rFonts w:ascii="Times New Roman" w:hAnsi="Times New Roman"/>
                <w:b/>
                <w:sz w:val="20"/>
                <w:szCs w:val="20"/>
              </w:rPr>
            </w:pPr>
            <w:r w:rsidRPr="00F43AFA">
              <w:rPr>
                <w:rFonts w:ascii="Times New Roman" w:hAnsi="Times New Roman"/>
                <w:b/>
                <w:sz w:val="20"/>
                <w:szCs w:val="20"/>
              </w:rPr>
              <w:t>201</w:t>
            </w:r>
            <w:r w:rsidR="00C10BEA">
              <w:rPr>
                <w:rFonts w:ascii="Times New Roman" w:hAnsi="Times New Roman"/>
                <w:b/>
                <w:sz w:val="20"/>
                <w:szCs w:val="20"/>
              </w:rPr>
              <w:t>7</w:t>
            </w:r>
            <w:r w:rsidRPr="00F43AFA">
              <w:rPr>
                <w:rFonts w:ascii="Times New Roman" w:hAnsi="Times New Roman"/>
                <w:b/>
                <w:sz w:val="20"/>
                <w:szCs w:val="20"/>
              </w:rPr>
              <w:t xml:space="preserve"> Fees</w:t>
            </w:r>
          </w:p>
        </w:tc>
      </w:tr>
      <w:tr w:rsidR="00F43AFA" w:rsidRPr="00B9035E" w:rsidTr="00F43AFA">
        <w:trPr>
          <w:trHeight w:val="42"/>
        </w:trPr>
        <w:tc>
          <w:tcPr>
            <w:tcW w:w="3369" w:type="dxa"/>
          </w:tcPr>
          <w:p w:rsidR="00F43AFA" w:rsidRPr="00B9035E" w:rsidRDefault="00F43AFA" w:rsidP="00590B67">
            <w:pPr>
              <w:rPr>
                <w:rFonts w:ascii="Times New Roman" w:hAnsi="Times New Roman"/>
                <w:sz w:val="20"/>
                <w:szCs w:val="20"/>
              </w:rPr>
            </w:pPr>
          </w:p>
        </w:tc>
        <w:tc>
          <w:tcPr>
            <w:tcW w:w="3951" w:type="dxa"/>
          </w:tcPr>
          <w:p w:rsidR="00F43AFA" w:rsidRPr="00B9035E" w:rsidRDefault="00F43AFA" w:rsidP="00590B67">
            <w:pPr>
              <w:jc w:val="center"/>
              <w:rPr>
                <w:rFonts w:ascii="Times New Roman" w:hAnsi="Times New Roman"/>
                <w:sz w:val="20"/>
                <w:szCs w:val="20"/>
              </w:rPr>
            </w:pPr>
          </w:p>
        </w:tc>
        <w:tc>
          <w:tcPr>
            <w:tcW w:w="3100" w:type="dxa"/>
          </w:tcPr>
          <w:p w:rsidR="00F43AFA" w:rsidRPr="00B9035E" w:rsidRDefault="00F43AFA" w:rsidP="00590B67">
            <w:pPr>
              <w:jc w:val="center"/>
              <w:rPr>
                <w:rFonts w:ascii="Times New Roman" w:hAnsi="Times New Roman"/>
                <w:sz w:val="20"/>
                <w:szCs w:val="20"/>
              </w:rPr>
            </w:pPr>
          </w:p>
        </w:tc>
      </w:tr>
      <w:tr w:rsidR="008E0649" w:rsidRPr="00B9035E" w:rsidTr="00F43AFA">
        <w:trPr>
          <w:trHeight w:val="42"/>
        </w:trPr>
        <w:tc>
          <w:tcPr>
            <w:tcW w:w="3369" w:type="dxa"/>
          </w:tcPr>
          <w:p w:rsidR="008E0649" w:rsidRPr="00B9035E" w:rsidRDefault="008E0649" w:rsidP="00590B67">
            <w:pPr>
              <w:rPr>
                <w:rFonts w:ascii="Times New Roman" w:hAnsi="Times New Roman"/>
                <w:sz w:val="20"/>
                <w:szCs w:val="20"/>
              </w:rPr>
            </w:pPr>
            <w:r w:rsidRPr="00B9035E">
              <w:rPr>
                <w:rFonts w:ascii="Times New Roman" w:hAnsi="Times New Roman"/>
                <w:sz w:val="20"/>
                <w:szCs w:val="20"/>
              </w:rPr>
              <w:t xml:space="preserve">Raymond </w:t>
            </w:r>
            <w:proofErr w:type="spellStart"/>
            <w:r w:rsidRPr="00B9035E">
              <w:rPr>
                <w:rFonts w:ascii="Times New Roman" w:hAnsi="Times New Roman"/>
                <w:sz w:val="20"/>
                <w:szCs w:val="20"/>
              </w:rPr>
              <w:t>Apsey</w:t>
            </w:r>
            <w:proofErr w:type="spellEnd"/>
          </w:p>
        </w:tc>
        <w:tc>
          <w:tcPr>
            <w:tcW w:w="3951" w:type="dxa"/>
          </w:tcPr>
          <w:p w:rsidR="008E0649" w:rsidRPr="00B9035E" w:rsidRDefault="008E0649">
            <w:pPr>
              <w:jc w:val="center"/>
              <w:rPr>
                <w:rFonts w:ascii="Times New Roman" w:hAnsi="Times New Roman"/>
                <w:sz w:val="20"/>
                <w:szCs w:val="20"/>
              </w:rPr>
            </w:pPr>
            <w:r w:rsidRPr="00B9035E">
              <w:rPr>
                <w:rFonts w:ascii="Times New Roman" w:hAnsi="Times New Roman"/>
                <w:sz w:val="20"/>
                <w:szCs w:val="20"/>
              </w:rPr>
              <w:t>£2</w:t>
            </w:r>
            <w:r w:rsidR="00C10BEA">
              <w:rPr>
                <w:rFonts w:ascii="Times New Roman" w:hAnsi="Times New Roman"/>
                <w:sz w:val="20"/>
                <w:szCs w:val="20"/>
              </w:rPr>
              <w:t>1</w:t>
            </w:r>
            <w:r w:rsidRPr="00B9035E">
              <w:rPr>
                <w:rFonts w:ascii="Times New Roman" w:hAnsi="Times New Roman"/>
                <w:sz w:val="20"/>
                <w:szCs w:val="20"/>
              </w:rPr>
              <w:t>,000</w:t>
            </w:r>
          </w:p>
        </w:tc>
        <w:tc>
          <w:tcPr>
            <w:tcW w:w="3100" w:type="dxa"/>
          </w:tcPr>
          <w:p w:rsidR="008E0649" w:rsidRPr="00B9035E" w:rsidRDefault="008E0649" w:rsidP="00590B67">
            <w:pPr>
              <w:jc w:val="center"/>
              <w:rPr>
                <w:rFonts w:ascii="Times New Roman" w:hAnsi="Times New Roman"/>
                <w:sz w:val="20"/>
                <w:szCs w:val="20"/>
              </w:rPr>
            </w:pPr>
            <w:r w:rsidRPr="00B9035E">
              <w:rPr>
                <w:rFonts w:ascii="Times New Roman" w:hAnsi="Times New Roman"/>
                <w:sz w:val="20"/>
                <w:szCs w:val="20"/>
              </w:rPr>
              <w:t>£20,000</w:t>
            </w:r>
          </w:p>
        </w:tc>
      </w:tr>
      <w:tr w:rsidR="008E0649" w:rsidRPr="00B9035E" w:rsidTr="00F43AFA">
        <w:trPr>
          <w:trHeight w:val="42"/>
        </w:trPr>
        <w:tc>
          <w:tcPr>
            <w:tcW w:w="3369" w:type="dxa"/>
          </w:tcPr>
          <w:p w:rsidR="008E0649" w:rsidRPr="00B9035E" w:rsidRDefault="008E0649" w:rsidP="00590B67">
            <w:pPr>
              <w:rPr>
                <w:rFonts w:ascii="Times New Roman" w:hAnsi="Times New Roman"/>
                <w:sz w:val="20"/>
                <w:szCs w:val="20"/>
              </w:rPr>
            </w:pPr>
            <w:r w:rsidRPr="00B9035E">
              <w:rPr>
                <w:rFonts w:ascii="Times New Roman" w:hAnsi="Times New Roman"/>
                <w:sz w:val="20"/>
                <w:szCs w:val="20"/>
              </w:rPr>
              <w:t>Philip Bisson</w:t>
            </w:r>
          </w:p>
        </w:tc>
        <w:tc>
          <w:tcPr>
            <w:tcW w:w="3951" w:type="dxa"/>
          </w:tcPr>
          <w:p w:rsidR="008E0649" w:rsidRPr="00B9035E" w:rsidRDefault="008E0649">
            <w:pPr>
              <w:jc w:val="center"/>
              <w:rPr>
                <w:rFonts w:ascii="Times New Roman" w:hAnsi="Times New Roman"/>
                <w:sz w:val="20"/>
                <w:szCs w:val="20"/>
              </w:rPr>
            </w:pPr>
            <w:r w:rsidRPr="00B9035E">
              <w:rPr>
                <w:rFonts w:ascii="Times New Roman" w:hAnsi="Times New Roman"/>
                <w:sz w:val="20"/>
                <w:szCs w:val="20"/>
              </w:rPr>
              <w:t>£2</w:t>
            </w:r>
            <w:r w:rsidR="00C10BEA">
              <w:rPr>
                <w:rFonts w:ascii="Times New Roman" w:hAnsi="Times New Roman"/>
                <w:sz w:val="20"/>
                <w:szCs w:val="20"/>
              </w:rPr>
              <w:t>1</w:t>
            </w:r>
            <w:r w:rsidRPr="00B9035E">
              <w:rPr>
                <w:rFonts w:ascii="Times New Roman" w:hAnsi="Times New Roman"/>
                <w:sz w:val="20"/>
                <w:szCs w:val="20"/>
              </w:rPr>
              <w:t>,000</w:t>
            </w:r>
          </w:p>
        </w:tc>
        <w:tc>
          <w:tcPr>
            <w:tcW w:w="3100" w:type="dxa"/>
          </w:tcPr>
          <w:p w:rsidR="008E0649" w:rsidRPr="00B9035E" w:rsidRDefault="008E0649" w:rsidP="00590B67">
            <w:pPr>
              <w:jc w:val="center"/>
              <w:rPr>
                <w:rFonts w:ascii="Times New Roman" w:hAnsi="Times New Roman"/>
                <w:sz w:val="20"/>
                <w:szCs w:val="20"/>
              </w:rPr>
            </w:pPr>
            <w:r w:rsidRPr="00B9035E">
              <w:rPr>
                <w:rFonts w:ascii="Times New Roman" w:hAnsi="Times New Roman"/>
                <w:sz w:val="20"/>
                <w:szCs w:val="20"/>
              </w:rPr>
              <w:t>£20,000</w:t>
            </w:r>
          </w:p>
        </w:tc>
      </w:tr>
      <w:tr w:rsidR="008E0649" w:rsidRPr="00B9035E" w:rsidTr="00F43AFA">
        <w:trPr>
          <w:trHeight w:val="42"/>
        </w:trPr>
        <w:tc>
          <w:tcPr>
            <w:tcW w:w="3369" w:type="dxa"/>
          </w:tcPr>
          <w:p w:rsidR="008E0649" w:rsidRPr="00B9035E" w:rsidRDefault="008E0649" w:rsidP="00590B67">
            <w:pPr>
              <w:rPr>
                <w:rFonts w:ascii="Times New Roman" w:hAnsi="Times New Roman"/>
                <w:sz w:val="20"/>
                <w:szCs w:val="20"/>
              </w:rPr>
            </w:pPr>
            <w:r w:rsidRPr="00B9035E">
              <w:rPr>
                <w:rFonts w:ascii="Times New Roman" w:hAnsi="Times New Roman"/>
                <w:sz w:val="20"/>
                <w:szCs w:val="20"/>
              </w:rPr>
              <w:t xml:space="preserve">Thomas Grose </w:t>
            </w:r>
          </w:p>
        </w:tc>
        <w:tc>
          <w:tcPr>
            <w:tcW w:w="3951" w:type="dxa"/>
          </w:tcPr>
          <w:p w:rsidR="008E0649" w:rsidRPr="00B9035E" w:rsidRDefault="008E0649">
            <w:pPr>
              <w:jc w:val="center"/>
              <w:rPr>
                <w:rFonts w:ascii="Times New Roman" w:hAnsi="Times New Roman"/>
                <w:sz w:val="20"/>
                <w:szCs w:val="20"/>
              </w:rPr>
            </w:pPr>
            <w:r w:rsidRPr="00B9035E">
              <w:rPr>
                <w:rFonts w:ascii="Times New Roman" w:hAnsi="Times New Roman"/>
                <w:sz w:val="20"/>
                <w:szCs w:val="20"/>
              </w:rPr>
              <w:t>£2</w:t>
            </w:r>
            <w:r w:rsidR="002F7CE4">
              <w:rPr>
                <w:rFonts w:ascii="Times New Roman" w:hAnsi="Times New Roman"/>
                <w:sz w:val="20"/>
                <w:szCs w:val="20"/>
              </w:rPr>
              <w:t>2</w:t>
            </w:r>
            <w:r w:rsidRPr="00B9035E">
              <w:rPr>
                <w:rFonts w:ascii="Times New Roman" w:hAnsi="Times New Roman"/>
                <w:sz w:val="20"/>
                <w:szCs w:val="20"/>
              </w:rPr>
              <w:t>,000</w:t>
            </w:r>
          </w:p>
        </w:tc>
        <w:tc>
          <w:tcPr>
            <w:tcW w:w="3100" w:type="dxa"/>
          </w:tcPr>
          <w:p w:rsidR="008E0649" w:rsidRPr="00B9035E" w:rsidRDefault="008E0649" w:rsidP="00590B67">
            <w:pPr>
              <w:jc w:val="center"/>
              <w:rPr>
                <w:rFonts w:ascii="Times New Roman" w:hAnsi="Times New Roman"/>
                <w:sz w:val="20"/>
                <w:szCs w:val="20"/>
              </w:rPr>
            </w:pPr>
            <w:r w:rsidRPr="00B9035E">
              <w:rPr>
                <w:rFonts w:ascii="Times New Roman" w:hAnsi="Times New Roman"/>
                <w:sz w:val="20"/>
                <w:szCs w:val="20"/>
              </w:rPr>
              <w:t>£20,000</w:t>
            </w:r>
          </w:p>
        </w:tc>
      </w:tr>
      <w:tr w:rsidR="008E0649" w:rsidRPr="00B9035E" w:rsidTr="00F43AFA">
        <w:trPr>
          <w:trHeight w:val="42"/>
        </w:trPr>
        <w:tc>
          <w:tcPr>
            <w:tcW w:w="3369" w:type="dxa"/>
          </w:tcPr>
          <w:p w:rsidR="008E0649" w:rsidRPr="00B9035E" w:rsidRDefault="008E0649" w:rsidP="00F43AFA">
            <w:pPr>
              <w:rPr>
                <w:rFonts w:ascii="Times New Roman" w:hAnsi="Times New Roman"/>
                <w:sz w:val="20"/>
                <w:szCs w:val="20"/>
              </w:rPr>
            </w:pPr>
            <w:r w:rsidRPr="00B9035E">
              <w:rPr>
                <w:rFonts w:ascii="Times New Roman" w:hAnsi="Times New Roman"/>
                <w:sz w:val="20"/>
                <w:szCs w:val="20"/>
              </w:rPr>
              <w:t xml:space="preserve">Dean </w:t>
            </w:r>
            <w:proofErr w:type="spellStart"/>
            <w:r w:rsidRPr="00B9035E">
              <w:rPr>
                <w:rFonts w:ascii="Times New Roman" w:hAnsi="Times New Roman"/>
                <w:sz w:val="20"/>
                <w:szCs w:val="20"/>
              </w:rPr>
              <w:t>Orrico</w:t>
            </w:r>
            <w:proofErr w:type="spellEnd"/>
          </w:p>
        </w:tc>
        <w:tc>
          <w:tcPr>
            <w:tcW w:w="3951" w:type="dxa"/>
          </w:tcPr>
          <w:p w:rsidR="008E0649" w:rsidRPr="00B9035E" w:rsidRDefault="008E0649" w:rsidP="00590B67">
            <w:pPr>
              <w:jc w:val="center"/>
              <w:rPr>
                <w:rFonts w:ascii="Times New Roman" w:hAnsi="Times New Roman"/>
                <w:sz w:val="20"/>
                <w:szCs w:val="20"/>
              </w:rPr>
            </w:pPr>
            <w:r w:rsidRPr="00B9035E">
              <w:rPr>
                <w:rFonts w:ascii="Times New Roman" w:hAnsi="Times New Roman"/>
                <w:sz w:val="20"/>
                <w:szCs w:val="20"/>
              </w:rPr>
              <w:t>-</w:t>
            </w:r>
          </w:p>
        </w:tc>
        <w:tc>
          <w:tcPr>
            <w:tcW w:w="3100" w:type="dxa"/>
          </w:tcPr>
          <w:p w:rsidR="008E0649" w:rsidRPr="00B9035E" w:rsidRDefault="008E0649" w:rsidP="00590B67">
            <w:pPr>
              <w:jc w:val="center"/>
              <w:rPr>
                <w:rFonts w:ascii="Times New Roman" w:hAnsi="Times New Roman"/>
                <w:sz w:val="20"/>
                <w:szCs w:val="20"/>
              </w:rPr>
            </w:pPr>
            <w:r w:rsidRPr="00B9035E">
              <w:rPr>
                <w:rFonts w:ascii="Times New Roman" w:hAnsi="Times New Roman"/>
                <w:sz w:val="20"/>
                <w:szCs w:val="20"/>
              </w:rPr>
              <w:t>-</w:t>
            </w:r>
          </w:p>
        </w:tc>
      </w:tr>
      <w:tr w:rsidR="008E0649" w:rsidRPr="00B9035E" w:rsidTr="00F43AFA">
        <w:trPr>
          <w:trHeight w:val="70"/>
        </w:trPr>
        <w:tc>
          <w:tcPr>
            <w:tcW w:w="3369" w:type="dxa"/>
          </w:tcPr>
          <w:p w:rsidR="008E0649" w:rsidRPr="00B9035E" w:rsidRDefault="008E0649" w:rsidP="00590B67">
            <w:pPr>
              <w:rPr>
                <w:rFonts w:ascii="Times New Roman" w:hAnsi="Times New Roman"/>
                <w:sz w:val="20"/>
                <w:szCs w:val="20"/>
              </w:rPr>
            </w:pPr>
            <w:r w:rsidRPr="00B9035E">
              <w:rPr>
                <w:rFonts w:ascii="Times New Roman" w:hAnsi="Times New Roman"/>
                <w:sz w:val="20"/>
                <w:szCs w:val="20"/>
              </w:rPr>
              <w:t>Nicholas Villiers</w:t>
            </w:r>
            <w:r w:rsidR="00C50E62">
              <w:rPr>
                <w:rFonts w:ascii="Times New Roman" w:hAnsi="Times New Roman"/>
                <w:sz w:val="20"/>
                <w:szCs w:val="20"/>
              </w:rPr>
              <w:t xml:space="preserve"> (Chairman)</w:t>
            </w:r>
          </w:p>
        </w:tc>
        <w:tc>
          <w:tcPr>
            <w:tcW w:w="3951" w:type="dxa"/>
          </w:tcPr>
          <w:p w:rsidR="008E0649" w:rsidRPr="00B9035E" w:rsidRDefault="008E0649">
            <w:pPr>
              <w:jc w:val="center"/>
              <w:rPr>
                <w:rFonts w:ascii="Times New Roman" w:hAnsi="Times New Roman"/>
                <w:sz w:val="20"/>
                <w:szCs w:val="20"/>
              </w:rPr>
            </w:pPr>
            <w:r w:rsidRPr="00B9035E">
              <w:rPr>
                <w:rFonts w:ascii="Times New Roman" w:hAnsi="Times New Roman"/>
                <w:sz w:val="20"/>
                <w:szCs w:val="20"/>
              </w:rPr>
              <w:t>£2</w:t>
            </w:r>
            <w:r w:rsidR="00C10BEA">
              <w:rPr>
                <w:rFonts w:ascii="Times New Roman" w:hAnsi="Times New Roman"/>
                <w:sz w:val="20"/>
                <w:szCs w:val="20"/>
              </w:rPr>
              <w:t>6</w:t>
            </w:r>
            <w:r w:rsidRPr="00B9035E">
              <w:rPr>
                <w:rFonts w:ascii="Times New Roman" w:hAnsi="Times New Roman"/>
                <w:sz w:val="20"/>
                <w:szCs w:val="20"/>
              </w:rPr>
              <w:t>,</w:t>
            </w:r>
            <w:r w:rsidR="00C10BEA">
              <w:rPr>
                <w:rFonts w:ascii="Times New Roman" w:hAnsi="Times New Roman"/>
                <w:sz w:val="20"/>
                <w:szCs w:val="20"/>
              </w:rPr>
              <w:t>500</w:t>
            </w:r>
          </w:p>
        </w:tc>
        <w:tc>
          <w:tcPr>
            <w:tcW w:w="3100" w:type="dxa"/>
          </w:tcPr>
          <w:p w:rsidR="008E0649" w:rsidRPr="00B9035E" w:rsidRDefault="008E0649" w:rsidP="00590B67">
            <w:pPr>
              <w:jc w:val="center"/>
              <w:rPr>
                <w:rFonts w:ascii="Times New Roman" w:hAnsi="Times New Roman"/>
                <w:sz w:val="20"/>
                <w:szCs w:val="20"/>
              </w:rPr>
            </w:pPr>
            <w:r w:rsidRPr="00B9035E">
              <w:rPr>
                <w:rFonts w:ascii="Times New Roman" w:hAnsi="Times New Roman"/>
                <w:sz w:val="20"/>
                <w:szCs w:val="20"/>
              </w:rPr>
              <w:t>£25,000</w:t>
            </w:r>
          </w:p>
        </w:tc>
      </w:tr>
      <w:tr w:rsidR="00C10BEA" w:rsidRPr="00B9035E" w:rsidTr="00F43AFA">
        <w:trPr>
          <w:trHeight w:val="70"/>
        </w:trPr>
        <w:tc>
          <w:tcPr>
            <w:tcW w:w="3369" w:type="dxa"/>
          </w:tcPr>
          <w:p w:rsidR="00C10BEA" w:rsidRPr="00B9035E" w:rsidRDefault="00C10BEA" w:rsidP="00590B67">
            <w:pPr>
              <w:rPr>
                <w:rFonts w:ascii="Times New Roman" w:hAnsi="Times New Roman"/>
                <w:sz w:val="20"/>
                <w:szCs w:val="20"/>
              </w:rPr>
            </w:pPr>
            <w:r w:rsidRPr="00321B7D">
              <w:rPr>
                <w:rFonts w:ascii="Times New Roman" w:hAnsi="Times New Roman"/>
                <w:sz w:val="20"/>
                <w:szCs w:val="20"/>
              </w:rPr>
              <w:t>Richard Hughes</w:t>
            </w:r>
          </w:p>
        </w:tc>
        <w:tc>
          <w:tcPr>
            <w:tcW w:w="3951" w:type="dxa"/>
          </w:tcPr>
          <w:p w:rsidR="00C10BEA" w:rsidRPr="00B9035E" w:rsidRDefault="00C10BEA">
            <w:pPr>
              <w:jc w:val="center"/>
              <w:rPr>
                <w:rFonts w:ascii="Times New Roman" w:hAnsi="Times New Roman"/>
                <w:sz w:val="20"/>
                <w:szCs w:val="20"/>
              </w:rPr>
            </w:pPr>
            <w:r w:rsidRPr="00B9035E">
              <w:rPr>
                <w:rFonts w:ascii="Times New Roman" w:hAnsi="Times New Roman"/>
                <w:sz w:val="20"/>
                <w:szCs w:val="20"/>
              </w:rPr>
              <w:t>£</w:t>
            </w:r>
            <w:r>
              <w:rPr>
                <w:rFonts w:ascii="Times New Roman" w:hAnsi="Times New Roman"/>
                <w:sz w:val="20"/>
                <w:szCs w:val="20"/>
              </w:rPr>
              <w:t>11</w:t>
            </w:r>
            <w:r w:rsidRPr="00B9035E">
              <w:rPr>
                <w:rFonts w:ascii="Times New Roman" w:hAnsi="Times New Roman"/>
                <w:sz w:val="20"/>
                <w:szCs w:val="20"/>
              </w:rPr>
              <w:t>,</w:t>
            </w:r>
            <w:r>
              <w:rPr>
                <w:rFonts w:ascii="Times New Roman" w:hAnsi="Times New Roman"/>
                <w:sz w:val="20"/>
                <w:szCs w:val="20"/>
              </w:rPr>
              <w:t>000</w:t>
            </w:r>
          </w:p>
        </w:tc>
        <w:tc>
          <w:tcPr>
            <w:tcW w:w="3100" w:type="dxa"/>
          </w:tcPr>
          <w:p w:rsidR="00C10BEA" w:rsidRPr="00B9035E" w:rsidRDefault="00C10BEA" w:rsidP="00590B67">
            <w:pPr>
              <w:jc w:val="center"/>
              <w:rPr>
                <w:rFonts w:ascii="Times New Roman" w:hAnsi="Times New Roman"/>
                <w:sz w:val="20"/>
                <w:szCs w:val="20"/>
              </w:rPr>
            </w:pPr>
            <w:r>
              <w:rPr>
                <w:rFonts w:ascii="Times New Roman" w:hAnsi="Times New Roman"/>
                <w:sz w:val="20"/>
                <w:szCs w:val="20"/>
              </w:rPr>
              <w:t>-</w:t>
            </w:r>
          </w:p>
        </w:tc>
      </w:tr>
    </w:tbl>
    <w:p w:rsidR="00A318B2" w:rsidRDefault="00A318B2" w:rsidP="00B44D91">
      <w:pPr>
        <w:autoSpaceDE w:val="0"/>
        <w:autoSpaceDN w:val="0"/>
        <w:adjustRightInd w:val="0"/>
        <w:rPr>
          <w:rFonts w:ascii="Times New Roman" w:eastAsia="Calibri" w:hAnsi="Times New Roman"/>
          <w:b/>
          <w:sz w:val="20"/>
          <w:szCs w:val="20"/>
          <w:lang w:eastAsia="en-GB"/>
        </w:rPr>
      </w:pPr>
    </w:p>
    <w:p w:rsidR="00F43AFA" w:rsidRDefault="00F43AFA" w:rsidP="00225DD1">
      <w:pPr>
        <w:autoSpaceDE w:val="0"/>
        <w:autoSpaceDN w:val="0"/>
        <w:adjustRightInd w:val="0"/>
        <w:jc w:val="both"/>
        <w:rPr>
          <w:rFonts w:ascii="Times New Roman" w:hAnsi="Times New Roman"/>
          <w:sz w:val="20"/>
          <w:szCs w:val="20"/>
        </w:rPr>
      </w:pPr>
      <w:r w:rsidRPr="00942D80">
        <w:rPr>
          <w:rFonts w:ascii="Times New Roman" w:hAnsi="Times New Roman"/>
          <w:sz w:val="20"/>
          <w:szCs w:val="20"/>
        </w:rPr>
        <w:t xml:space="preserve">The figures above represent emoluments earned as directors during the relevant financial year, which are paid quarterly in arrears. </w:t>
      </w:r>
      <w:r>
        <w:rPr>
          <w:rFonts w:ascii="Times New Roman" w:hAnsi="Times New Roman"/>
          <w:sz w:val="20"/>
          <w:szCs w:val="20"/>
        </w:rPr>
        <w:t xml:space="preserve"> Mr </w:t>
      </w:r>
      <w:proofErr w:type="spellStart"/>
      <w:r>
        <w:rPr>
          <w:rFonts w:ascii="Times New Roman" w:hAnsi="Times New Roman"/>
          <w:sz w:val="20"/>
          <w:szCs w:val="20"/>
        </w:rPr>
        <w:t>Orrico</w:t>
      </w:r>
      <w:proofErr w:type="spellEnd"/>
      <w:r>
        <w:rPr>
          <w:rFonts w:ascii="Times New Roman" w:hAnsi="Times New Roman"/>
          <w:sz w:val="20"/>
          <w:szCs w:val="20"/>
        </w:rPr>
        <w:t xml:space="preserve"> has waived his entitlement for remuneration for acting as a director, because of his employment by the Investment Manager.  </w:t>
      </w:r>
      <w:r w:rsidRPr="00942D80">
        <w:rPr>
          <w:rFonts w:ascii="Times New Roman" w:hAnsi="Times New Roman"/>
          <w:sz w:val="20"/>
          <w:szCs w:val="20"/>
        </w:rPr>
        <w:t>The directors receive no other remuneration or benefits from the Company other than the fees stated above. The directors are paid out of pocket expenses for attendance at Board meetings</w:t>
      </w:r>
      <w:r>
        <w:rPr>
          <w:rFonts w:ascii="Times New Roman" w:hAnsi="Times New Roman"/>
          <w:sz w:val="20"/>
          <w:szCs w:val="20"/>
        </w:rPr>
        <w:t xml:space="preserve"> and for any other expenditure they incur when acting on the Company’s behalf</w:t>
      </w:r>
      <w:r w:rsidRPr="00942D80">
        <w:rPr>
          <w:rFonts w:ascii="Times New Roman" w:hAnsi="Times New Roman"/>
          <w:sz w:val="20"/>
          <w:szCs w:val="20"/>
        </w:rPr>
        <w:t>.</w:t>
      </w:r>
    </w:p>
    <w:p w:rsidR="00F43AFA" w:rsidRPr="00B9035E" w:rsidRDefault="00F43AFA" w:rsidP="00B44D91">
      <w:pPr>
        <w:autoSpaceDE w:val="0"/>
        <w:autoSpaceDN w:val="0"/>
        <w:adjustRightInd w:val="0"/>
        <w:rPr>
          <w:rFonts w:ascii="Times New Roman" w:eastAsia="Calibri" w:hAnsi="Times New Roman"/>
          <w:b/>
          <w:sz w:val="20"/>
          <w:szCs w:val="20"/>
          <w:lang w:eastAsia="en-GB"/>
        </w:rPr>
      </w:pPr>
    </w:p>
    <w:p w:rsidR="00750224" w:rsidRDefault="00750224" w:rsidP="00AC5183">
      <w:pPr>
        <w:autoSpaceDE w:val="0"/>
        <w:autoSpaceDN w:val="0"/>
        <w:adjustRightInd w:val="0"/>
        <w:jc w:val="both"/>
        <w:rPr>
          <w:rFonts w:ascii="Times New Roman" w:hAnsi="Times New Roman"/>
          <w:sz w:val="20"/>
          <w:szCs w:val="20"/>
        </w:rPr>
      </w:pPr>
      <w:r>
        <w:rPr>
          <w:rFonts w:ascii="Times New Roman" w:hAnsi="Times New Roman"/>
          <w:sz w:val="20"/>
          <w:szCs w:val="20"/>
        </w:rPr>
        <w:t>The Board has considered the remuneration paid to the directors which</w:t>
      </w:r>
      <w:r w:rsidR="00CD2F8A">
        <w:rPr>
          <w:rFonts w:ascii="Times New Roman" w:hAnsi="Times New Roman"/>
          <w:sz w:val="20"/>
          <w:szCs w:val="20"/>
        </w:rPr>
        <w:t>, following</w:t>
      </w:r>
      <w:r>
        <w:rPr>
          <w:rFonts w:ascii="Times New Roman" w:hAnsi="Times New Roman"/>
          <w:sz w:val="20"/>
          <w:szCs w:val="20"/>
        </w:rPr>
        <w:t xml:space="preserve"> </w:t>
      </w:r>
      <w:r w:rsidR="00D2431A">
        <w:rPr>
          <w:rFonts w:ascii="Times New Roman" w:hAnsi="Times New Roman"/>
          <w:sz w:val="20"/>
          <w:szCs w:val="20"/>
        </w:rPr>
        <w:t>the approval of shareholders in general meeting</w:t>
      </w:r>
      <w:r w:rsidR="00CD2F8A">
        <w:rPr>
          <w:rFonts w:ascii="Times New Roman" w:hAnsi="Times New Roman"/>
          <w:sz w:val="20"/>
          <w:szCs w:val="20"/>
        </w:rPr>
        <w:t>,</w:t>
      </w:r>
      <w:r w:rsidR="00D2431A">
        <w:rPr>
          <w:rFonts w:ascii="Times New Roman" w:hAnsi="Times New Roman"/>
          <w:sz w:val="20"/>
          <w:szCs w:val="20"/>
        </w:rPr>
        <w:t xml:space="preserve"> </w:t>
      </w:r>
      <w:r w:rsidR="00CD2F8A">
        <w:rPr>
          <w:rFonts w:ascii="Times New Roman" w:hAnsi="Times New Roman"/>
          <w:sz w:val="20"/>
          <w:szCs w:val="20"/>
        </w:rPr>
        <w:t xml:space="preserve">was </w:t>
      </w:r>
      <w:r w:rsidR="00C10BEA">
        <w:rPr>
          <w:rFonts w:ascii="Times New Roman" w:hAnsi="Times New Roman"/>
          <w:sz w:val="20"/>
          <w:szCs w:val="20"/>
        </w:rPr>
        <w:t>i</w:t>
      </w:r>
      <w:r>
        <w:rPr>
          <w:rFonts w:ascii="Times New Roman" w:hAnsi="Times New Roman"/>
          <w:sz w:val="20"/>
          <w:szCs w:val="20"/>
        </w:rPr>
        <w:t xml:space="preserve">ncreased </w:t>
      </w:r>
      <w:r w:rsidR="00CD2F8A">
        <w:rPr>
          <w:rFonts w:ascii="Times New Roman" w:hAnsi="Times New Roman"/>
          <w:sz w:val="20"/>
          <w:szCs w:val="20"/>
        </w:rPr>
        <w:t xml:space="preserve">with effect from </w:t>
      </w:r>
      <w:r>
        <w:rPr>
          <w:rFonts w:ascii="Times New Roman" w:hAnsi="Times New Roman"/>
          <w:sz w:val="20"/>
          <w:szCs w:val="20"/>
        </w:rPr>
        <w:t>1 J</w:t>
      </w:r>
      <w:r w:rsidR="00C10BEA">
        <w:rPr>
          <w:rFonts w:ascii="Times New Roman" w:hAnsi="Times New Roman"/>
          <w:sz w:val="20"/>
          <w:szCs w:val="20"/>
        </w:rPr>
        <w:t>uly</w:t>
      </w:r>
      <w:r>
        <w:rPr>
          <w:rFonts w:ascii="Times New Roman" w:hAnsi="Times New Roman"/>
          <w:sz w:val="20"/>
          <w:szCs w:val="20"/>
        </w:rPr>
        <w:t xml:space="preserve"> 201</w:t>
      </w:r>
      <w:r w:rsidR="00C10BEA">
        <w:rPr>
          <w:rFonts w:ascii="Times New Roman" w:hAnsi="Times New Roman"/>
          <w:sz w:val="20"/>
          <w:szCs w:val="20"/>
        </w:rPr>
        <w:t>8</w:t>
      </w:r>
      <w:r w:rsidR="00963D05">
        <w:rPr>
          <w:rFonts w:ascii="Times New Roman" w:hAnsi="Times New Roman"/>
          <w:sz w:val="20"/>
          <w:szCs w:val="20"/>
        </w:rPr>
        <w:t xml:space="preserve"> to the following amount</w:t>
      </w:r>
      <w:r w:rsidR="00D2431A">
        <w:rPr>
          <w:rFonts w:ascii="Times New Roman" w:hAnsi="Times New Roman"/>
          <w:sz w:val="20"/>
          <w:szCs w:val="20"/>
        </w:rPr>
        <w:t>s</w:t>
      </w:r>
      <w:r w:rsidR="00963D05">
        <w:rPr>
          <w:rFonts w:ascii="Times New Roman" w:hAnsi="Times New Roman"/>
          <w:sz w:val="20"/>
          <w:szCs w:val="20"/>
        </w:rPr>
        <w:t>:</w:t>
      </w:r>
    </w:p>
    <w:p w:rsidR="00000F1B" w:rsidRPr="008D28E4" w:rsidRDefault="00000F1B" w:rsidP="008D28E4">
      <w:pPr>
        <w:autoSpaceDE w:val="0"/>
        <w:autoSpaceDN w:val="0"/>
        <w:adjustRightInd w:val="0"/>
        <w:jc w:val="both"/>
        <w:rPr>
          <w:rFonts w:ascii="Times New Roman" w:hAnsi="Times New Roman"/>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53"/>
      </w:tblGrid>
      <w:tr w:rsidR="00750224" w:rsidRPr="00F43AFA" w:rsidTr="008D28E4">
        <w:trPr>
          <w:trHeight w:val="42"/>
        </w:trPr>
        <w:tc>
          <w:tcPr>
            <w:tcW w:w="4503" w:type="dxa"/>
          </w:tcPr>
          <w:p w:rsidR="00750224" w:rsidRPr="00F43AFA" w:rsidRDefault="00750224" w:rsidP="008D28E4">
            <w:pPr>
              <w:rPr>
                <w:rFonts w:ascii="Times New Roman" w:hAnsi="Times New Roman"/>
                <w:b/>
                <w:sz w:val="20"/>
                <w:szCs w:val="20"/>
              </w:rPr>
            </w:pPr>
            <w:r w:rsidRPr="00F43AFA">
              <w:rPr>
                <w:rFonts w:ascii="Times New Roman" w:hAnsi="Times New Roman"/>
                <w:b/>
                <w:sz w:val="20"/>
                <w:szCs w:val="20"/>
              </w:rPr>
              <w:t>Director</w:t>
            </w:r>
          </w:p>
        </w:tc>
        <w:tc>
          <w:tcPr>
            <w:tcW w:w="5953" w:type="dxa"/>
          </w:tcPr>
          <w:p w:rsidR="00750224" w:rsidRPr="00F43AFA" w:rsidRDefault="00963D05" w:rsidP="008D28E4">
            <w:pPr>
              <w:jc w:val="center"/>
              <w:rPr>
                <w:rFonts w:ascii="Times New Roman" w:hAnsi="Times New Roman"/>
                <w:b/>
                <w:sz w:val="20"/>
                <w:szCs w:val="20"/>
              </w:rPr>
            </w:pPr>
            <w:r>
              <w:rPr>
                <w:rFonts w:ascii="Times New Roman" w:hAnsi="Times New Roman"/>
                <w:b/>
                <w:sz w:val="20"/>
                <w:szCs w:val="20"/>
              </w:rPr>
              <w:t>Fees from 1 July 2018</w:t>
            </w:r>
          </w:p>
        </w:tc>
      </w:tr>
      <w:tr w:rsidR="00750224" w:rsidRPr="00B9035E" w:rsidTr="008D28E4">
        <w:trPr>
          <w:trHeight w:val="42"/>
        </w:trPr>
        <w:tc>
          <w:tcPr>
            <w:tcW w:w="4503" w:type="dxa"/>
          </w:tcPr>
          <w:p w:rsidR="00750224" w:rsidRPr="00B9035E" w:rsidRDefault="00750224" w:rsidP="008D28E4">
            <w:pPr>
              <w:rPr>
                <w:rFonts w:ascii="Times New Roman" w:hAnsi="Times New Roman"/>
                <w:sz w:val="20"/>
                <w:szCs w:val="20"/>
              </w:rPr>
            </w:pPr>
          </w:p>
        </w:tc>
        <w:tc>
          <w:tcPr>
            <w:tcW w:w="5953" w:type="dxa"/>
          </w:tcPr>
          <w:p w:rsidR="00750224" w:rsidRPr="00B9035E" w:rsidRDefault="00750224" w:rsidP="008D28E4">
            <w:pPr>
              <w:jc w:val="center"/>
              <w:rPr>
                <w:rFonts w:ascii="Times New Roman" w:hAnsi="Times New Roman"/>
                <w:sz w:val="20"/>
                <w:szCs w:val="20"/>
              </w:rPr>
            </w:pPr>
          </w:p>
        </w:tc>
      </w:tr>
      <w:tr w:rsidR="00750224" w:rsidRPr="00B9035E" w:rsidTr="008D28E4">
        <w:trPr>
          <w:trHeight w:val="42"/>
        </w:trPr>
        <w:tc>
          <w:tcPr>
            <w:tcW w:w="4503" w:type="dxa"/>
          </w:tcPr>
          <w:p w:rsidR="00750224" w:rsidRPr="00B9035E" w:rsidRDefault="00750224" w:rsidP="008D28E4">
            <w:pPr>
              <w:rPr>
                <w:rFonts w:ascii="Times New Roman" w:hAnsi="Times New Roman"/>
                <w:sz w:val="20"/>
                <w:szCs w:val="20"/>
              </w:rPr>
            </w:pPr>
            <w:r w:rsidRPr="00B9035E">
              <w:rPr>
                <w:rFonts w:ascii="Times New Roman" w:hAnsi="Times New Roman"/>
                <w:sz w:val="20"/>
                <w:szCs w:val="20"/>
              </w:rPr>
              <w:t xml:space="preserve">Raymond </w:t>
            </w:r>
            <w:proofErr w:type="spellStart"/>
            <w:r w:rsidRPr="00B9035E">
              <w:rPr>
                <w:rFonts w:ascii="Times New Roman" w:hAnsi="Times New Roman"/>
                <w:sz w:val="20"/>
                <w:szCs w:val="20"/>
              </w:rPr>
              <w:t>Apsey</w:t>
            </w:r>
            <w:proofErr w:type="spellEnd"/>
          </w:p>
        </w:tc>
        <w:tc>
          <w:tcPr>
            <w:tcW w:w="5953" w:type="dxa"/>
          </w:tcPr>
          <w:p w:rsidR="00750224" w:rsidRPr="00B9035E" w:rsidRDefault="00750224" w:rsidP="008D28E4">
            <w:pPr>
              <w:jc w:val="center"/>
              <w:rPr>
                <w:rFonts w:ascii="Times New Roman" w:hAnsi="Times New Roman"/>
                <w:sz w:val="20"/>
                <w:szCs w:val="20"/>
              </w:rPr>
            </w:pPr>
            <w:r w:rsidRPr="00B9035E">
              <w:rPr>
                <w:rFonts w:ascii="Times New Roman" w:hAnsi="Times New Roman"/>
                <w:sz w:val="20"/>
                <w:szCs w:val="20"/>
              </w:rPr>
              <w:t>£2</w:t>
            </w:r>
            <w:r>
              <w:rPr>
                <w:rFonts w:ascii="Times New Roman" w:hAnsi="Times New Roman"/>
                <w:sz w:val="20"/>
                <w:szCs w:val="20"/>
              </w:rPr>
              <w:t>2</w:t>
            </w:r>
            <w:r w:rsidRPr="00B9035E">
              <w:rPr>
                <w:rFonts w:ascii="Times New Roman" w:hAnsi="Times New Roman"/>
                <w:sz w:val="20"/>
                <w:szCs w:val="20"/>
              </w:rPr>
              <w:t>,000</w:t>
            </w:r>
          </w:p>
        </w:tc>
      </w:tr>
      <w:tr w:rsidR="00750224" w:rsidRPr="00B9035E" w:rsidTr="008D28E4">
        <w:trPr>
          <w:trHeight w:val="42"/>
        </w:trPr>
        <w:tc>
          <w:tcPr>
            <w:tcW w:w="4503" w:type="dxa"/>
          </w:tcPr>
          <w:p w:rsidR="00750224" w:rsidRPr="00B9035E" w:rsidRDefault="00750224" w:rsidP="008D28E4">
            <w:pPr>
              <w:rPr>
                <w:rFonts w:ascii="Times New Roman" w:hAnsi="Times New Roman"/>
                <w:sz w:val="20"/>
                <w:szCs w:val="20"/>
              </w:rPr>
            </w:pPr>
            <w:r w:rsidRPr="00B9035E">
              <w:rPr>
                <w:rFonts w:ascii="Times New Roman" w:hAnsi="Times New Roman"/>
                <w:sz w:val="20"/>
                <w:szCs w:val="20"/>
              </w:rPr>
              <w:t>Philip Bisson</w:t>
            </w:r>
          </w:p>
        </w:tc>
        <w:tc>
          <w:tcPr>
            <w:tcW w:w="5953" w:type="dxa"/>
          </w:tcPr>
          <w:p w:rsidR="00750224" w:rsidRPr="00B9035E" w:rsidRDefault="00750224" w:rsidP="008D28E4">
            <w:pPr>
              <w:jc w:val="center"/>
              <w:rPr>
                <w:rFonts w:ascii="Times New Roman" w:hAnsi="Times New Roman"/>
                <w:sz w:val="20"/>
                <w:szCs w:val="20"/>
              </w:rPr>
            </w:pPr>
            <w:r w:rsidRPr="00B9035E">
              <w:rPr>
                <w:rFonts w:ascii="Times New Roman" w:hAnsi="Times New Roman"/>
                <w:sz w:val="20"/>
                <w:szCs w:val="20"/>
              </w:rPr>
              <w:t>£2</w:t>
            </w:r>
            <w:r>
              <w:rPr>
                <w:rFonts w:ascii="Times New Roman" w:hAnsi="Times New Roman"/>
                <w:sz w:val="20"/>
                <w:szCs w:val="20"/>
              </w:rPr>
              <w:t>2</w:t>
            </w:r>
            <w:r w:rsidRPr="00B9035E">
              <w:rPr>
                <w:rFonts w:ascii="Times New Roman" w:hAnsi="Times New Roman"/>
                <w:sz w:val="20"/>
                <w:szCs w:val="20"/>
              </w:rPr>
              <w:t>,000</w:t>
            </w:r>
          </w:p>
        </w:tc>
      </w:tr>
      <w:tr w:rsidR="00750224" w:rsidRPr="00B9035E" w:rsidTr="008D28E4">
        <w:trPr>
          <w:trHeight w:val="42"/>
        </w:trPr>
        <w:tc>
          <w:tcPr>
            <w:tcW w:w="4503" w:type="dxa"/>
          </w:tcPr>
          <w:p w:rsidR="00750224" w:rsidRPr="00B9035E" w:rsidRDefault="00750224" w:rsidP="008D28E4">
            <w:pPr>
              <w:rPr>
                <w:rFonts w:ascii="Times New Roman" w:hAnsi="Times New Roman"/>
                <w:sz w:val="20"/>
                <w:szCs w:val="20"/>
              </w:rPr>
            </w:pPr>
            <w:r w:rsidRPr="00B9035E">
              <w:rPr>
                <w:rFonts w:ascii="Times New Roman" w:hAnsi="Times New Roman"/>
                <w:sz w:val="20"/>
                <w:szCs w:val="20"/>
              </w:rPr>
              <w:t xml:space="preserve">Thomas Grose </w:t>
            </w:r>
          </w:p>
        </w:tc>
        <w:tc>
          <w:tcPr>
            <w:tcW w:w="5953" w:type="dxa"/>
          </w:tcPr>
          <w:p w:rsidR="00750224" w:rsidRPr="00B9035E" w:rsidRDefault="00750224" w:rsidP="008D28E4">
            <w:pPr>
              <w:jc w:val="center"/>
              <w:rPr>
                <w:rFonts w:ascii="Times New Roman" w:hAnsi="Times New Roman"/>
                <w:sz w:val="20"/>
                <w:szCs w:val="20"/>
              </w:rPr>
            </w:pPr>
            <w:r w:rsidRPr="00B9035E">
              <w:rPr>
                <w:rFonts w:ascii="Times New Roman" w:hAnsi="Times New Roman"/>
                <w:sz w:val="20"/>
                <w:szCs w:val="20"/>
              </w:rPr>
              <w:t>£2</w:t>
            </w:r>
            <w:r>
              <w:rPr>
                <w:rFonts w:ascii="Times New Roman" w:hAnsi="Times New Roman"/>
                <w:sz w:val="20"/>
                <w:szCs w:val="20"/>
              </w:rPr>
              <w:t>4</w:t>
            </w:r>
            <w:r w:rsidRPr="00B9035E">
              <w:rPr>
                <w:rFonts w:ascii="Times New Roman" w:hAnsi="Times New Roman"/>
                <w:sz w:val="20"/>
                <w:szCs w:val="20"/>
              </w:rPr>
              <w:t>,000</w:t>
            </w:r>
          </w:p>
        </w:tc>
      </w:tr>
      <w:tr w:rsidR="00750224" w:rsidRPr="00B9035E" w:rsidTr="008D28E4">
        <w:trPr>
          <w:trHeight w:val="42"/>
        </w:trPr>
        <w:tc>
          <w:tcPr>
            <w:tcW w:w="4503" w:type="dxa"/>
          </w:tcPr>
          <w:p w:rsidR="00750224" w:rsidRPr="00B9035E" w:rsidRDefault="00750224" w:rsidP="008D28E4">
            <w:pPr>
              <w:rPr>
                <w:rFonts w:ascii="Times New Roman" w:hAnsi="Times New Roman"/>
                <w:sz w:val="20"/>
                <w:szCs w:val="20"/>
              </w:rPr>
            </w:pPr>
            <w:r w:rsidRPr="00B9035E">
              <w:rPr>
                <w:rFonts w:ascii="Times New Roman" w:hAnsi="Times New Roman"/>
                <w:sz w:val="20"/>
                <w:szCs w:val="20"/>
              </w:rPr>
              <w:t xml:space="preserve">Dean </w:t>
            </w:r>
            <w:proofErr w:type="spellStart"/>
            <w:r w:rsidRPr="00B9035E">
              <w:rPr>
                <w:rFonts w:ascii="Times New Roman" w:hAnsi="Times New Roman"/>
                <w:sz w:val="20"/>
                <w:szCs w:val="20"/>
              </w:rPr>
              <w:t>Orrico</w:t>
            </w:r>
            <w:proofErr w:type="spellEnd"/>
          </w:p>
        </w:tc>
        <w:tc>
          <w:tcPr>
            <w:tcW w:w="5953" w:type="dxa"/>
          </w:tcPr>
          <w:p w:rsidR="00750224" w:rsidRPr="00B9035E" w:rsidRDefault="00750224" w:rsidP="008D28E4">
            <w:pPr>
              <w:jc w:val="center"/>
              <w:rPr>
                <w:rFonts w:ascii="Times New Roman" w:hAnsi="Times New Roman"/>
                <w:sz w:val="20"/>
                <w:szCs w:val="20"/>
              </w:rPr>
            </w:pPr>
            <w:r w:rsidRPr="00B9035E">
              <w:rPr>
                <w:rFonts w:ascii="Times New Roman" w:hAnsi="Times New Roman"/>
                <w:sz w:val="20"/>
                <w:szCs w:val="20"/>
              </w:rPr>
              <w:t>-</w:t>
            </w:r>
          </w:p>
        </w:tc>
      </w:tr>
      <w:tr w:rsidR="00750224" w:rsidRPr="00B9035E" w:rsidTr="008D28E4">
        <w:trPr>
          <w:trHeight w:val="70"/>
        </w:trPr>
        <w:tc>
          <w:tcPr>
            <w:tcW w:w="4503" w:type="dxa"/>
          </w:tcPr>
          <w:p w:rsidR="00750224" w:rsidRPr="00B9035E" w:rsidRDefault="00750224" w:rsidP="008D28E4">
            <w:pPr>
              <w:rPr>
                <w:rFonts w:ascii="Times New Roman" w:hAnsi="Times New Roman"/>
                <w:sz w:val="20"/>
                <w:szCs w:val="20"/>
              </w:rPr>
            </w:pPr>
            <w:r w:rsidRPr="00B9035E">
              <w:rPr>
                <w:rFonts w:ascii="Times New Roman" w:hAnsi="Times New Roman"/>
                <w:sz w:val="20"/>
                <w:szCs w:val="20"/>
              </w:rPr>
              <w:t>Nicholas Villiers</w:t>
            </w:r>
            <w:r>
              <w:rPr>
                <w:rFonts w:ascii="Times New Roman" w:hAnsi="Times New Roman"/>
                <w:sz w:val="20"/>
                <w:szCs w:val="20"/>
              </w:rPr>
              <w:t xml:space="preserve"> (Chairman)</w:t>
            </w:r>
          </w:p>
        </w:tc>
        <w:tc>
          <w:tcPr>
            <w:tcW w:w="5953" w:type="dxa"/>
          </w:tcPr>
          <w:p w:rsidR="00750224" w:rsidRPr="00B9035E" w:rsidRDefault="00750224" w:rsidP="008D28E4">
            <w:pPr>
              <w:jc w:val="center"/>
              <w:rPr>
                <w:rFonts w:ascii="Times New Roman" w:hAnsi="Times New Roman"/>
                <w:sz w:val="20"/>
                <w:szCs w:val="20"/>
              </w:rPr>
            </w:pPr>
            <w:r w:rsidRPr="00B9035E">
              <w:rPr>
                <w:rFonts w:ascii="Times New Roman" w:hAnsi="Times New Roman"/>
                <w:sz w:val="20"/>
                <w:szCs w:val="20"/>
              </w:rPr>
              <w:t>£2</w:t>
            </w:r>
            <w:r>
              <w:rPr>
                <w:rFonts w:ascii="Times New Roman" w:hAnsi="Times New Roman"/>
                <w:sz w:val="20"/>
                <w:szCs w:val="20"/>
              </w:rPr>
              <w:t>8</w:t>
            </w:r>
            <w:r w:rsidRPr="00B9035E">
              <w:rPr>
                <w:rFonts w:ascii="Times New Roman" w:hAnsi="Times New Roman"/>
                <w:sz w:val="20"/>
                <w:szCs w:val="20"/>
              </w:rPr>
              <w:t>,000</w:t>
            </w:r>
          </w:p>
        </w:tc>
      </w:tr>
      <w:tr w:rsidR="00C10BEA" w:rsidRPr="00B9035E" w:rsidTr="008D28E4">
        <w:trPr>
          <w:trHeight w:val="70"/>
        </w:trPr>
        <w:tc>
          <w:tcPr>
            <w:tcW w:w="4503" w:type="dxa"/>
          </w:tcPr>
          <w:p w:rsidR="00C10BEA" w:rsidRPr="00B9035E" w:rsidRDefault="00C10BEA" w:rsidP="008D28E4">
            <w:pPr>
              <w:rPr>
                <w:rFonts w:ascii="Times New Roman" w:hAnsi="Times New Roman"/>
                <w:sz w:val="20"/>
                <w:szCs w:val="20"/>
              </w:rPr>
            </w:pPr>
            <w:r w:rsidRPr="00321B7D">
              <w:rPr>
                <w:rFonts w:ascii="Times New Roman" w:hAnsi="Times New Roman"/>
                <w:sz w:val="20"/>
                <w:szCs w:val="20"/>
              </w:rPr>
              <w:t>Richard Hughes</w:t>
            </w:r>
          </w:p>
        </w:tc>
        <w:tc>
          <w:tcPr>
            <w:tcW w:w="5953" w:type="dxa"/>
          </w:tcPr>
          <w:p w:rsidR="00C10BEA" w:rsidRPr="00B9035E" w:rsidRDefault="00C10BEA">
            <w:pPr>
              <w:jc w:val="center"/>
              <w:rPr>
                <w:rFonts w:ascii="Times New Roman" w:hAnsi="Times New Roman"/>
                <w:sz w:val="20"/>
                <w:szCs w:val="20"/>
              </w:rPr>
            </w:pPr>
            <w:bookmarkStart w:id="23" w:name="OLE_LINK60"/>
            <w:r w:rsidRPr="00B9035E">
              <w:rPr>
                <w:rFonts w:ascii="Times New Roman" w:hAnsi="Times New Roman"/>
                <w:sz w:val="20"/>
                <w:szCs w:val="20"/>
              </w:rPr>
              <w:t>£</w:t>
            </w:r>
            <w:r>
              <w:rPr>
                <w:rFonts w:ascii="Times New Roman" w:hAnsi="Times New Roman"/>
                <w:sz w:val="20"/>
                <w:szCs w:val="20"/>
              </w:rPr>
              <w:t>22</w:t>
            </w:r>
            <w:r w:rsidRPr="00B9035E">
              <w:rPr>
                <w:rFonts w:ascii="Times New Roman" w:hAnsi="Times New Roman"/>
                <w:sz w:val="20"/>
                <w:szCs w:val="20"/>
              </w:rPr>
              <w:t>,</w:t>
            </w:r>
            <w:r>
              <w:rPr>
                <w:rFonts w:ascii="Times New Roman" w:hAnsi="Times New Roman"/>
                <w:sz w:val="20"/>
                <w:szCs w:val="20"/>
              </w:rPr>
              <w:t>000</w:t>
            </w:r>
            <w:bookmarkEnd w:id="23"/>
          </w:p>
        </w:tc>
      </w:tr>
    </w:tbl>
    <w:p w:rsidR="00750224" w:rsidRDefault="00750224" w:rsidP="00750224">
      <w:pPr>
        <w:autoSpaceDE w:val="0"/>
        <w:autoSpaceDN w:val="0"/>
        <w:adjustRightInd w:val="0"/>
        <w:jc w:val="both"/>
        <w:rPr>
          <w:rFonts w:ascii="Times New Roman" w:hAnsi="Times New Roman"/>
          <w:sz w:val="20"/>
          <w:szCs w:val="20"/>
        </w:rPr>
      </w:pPr>
    </w:p>
    <w:p w:rsidR="00750224" w:rsidRDefault="00750224" w:rsidP="00750224">
      <w:pPr>
        <w:autoSpaceDE w:val="0"/>
        <w:autoSpaceDN w:val="0"/>
        <w:adjustRightInd w:val="0"/>
        <w:jc w:val="both"/>
        <w:rPr>
          <w:rFonts w:ascii="Times New Roman" w:hAnsi="Times New Roman"/>
          <w:sz w:val="20"/>
          <w:szCs w:val="20"/>
        </w:rPr>
      </w:pPr>
      <w:r>
        <w:rPr>
          <w:rFonts w:ascii="Times New Roman" w:hAnsi="Times New Roman"/>
          <w:sz w:val="20"/>
          <w:szCs w:val="20"/>
        </w:rPr>
        <w:t>The above fees represent</w:t>
      </w:r>
      <w:r w:rsidR="00D2431A">
        <w:rPr>
          <w:rFonts w:ascii="Times New Roman" w:hAnsi="Times New Roman"/>
          <w:sz w:val="20"/>
          <w:szCs w:val="20"/>
        </w:rPr>
        <w:t>ed</w:t>
      </w:r>
      <w:r>
        <w:rPr>
          <w:rFonts w:ascii="Times New Roman" w:hAnsi="Times New Roman"/>
          <w:sz w:val="20"/>
          <w:szCs w:val="20"/>
        </w:rPr>
        <w:t xml:space="preserve"> an increase of £2,000 per annum per director, save that the Chairman’s fees </w:t>
      </w:r>
      <w:r w:rsidR="00D2431A">
        <w:rPr>
          <w:rFonts w:ascii="Times New Roman" w:hAnsi="Times New Roman"/>
          <w:sz w:val="20"/>
          <w:szCs w:val="20"/>
        </w:rPr>
        <w:t xml:space="preserve">were </w:t>
      </w:r>
      <w:r>
        <w:rPr>
          <w:rFonts w:ascii="Times New Roman" w:hAnsi="Times New Roman"/>
          <w:sz w:val="20"/>
          <w:szCs w:val="20"/>
        </w:rPr>
        <w:t xml:space="preserve">increased by £3,000 per annum, with an additional £2,000 </w:t>
      </w:r>
      <w:r w:rsidR="006C0CC2">
        <w:rPr>
          <w:rFonts w:ascii="Times New Roman" w:hAnsi="Times New Roman"/>
          <w:sz w:val="20"/>
          <w:szCs w:val="20"/>
        </w:rPr>
        <w:t xml:space="preserve">paid </w:t>
      </w:r>
      <w:r>
        <w:rPr>
          <w:rFonts w:ascii="Times New Roman" w:hAnsi="Times New Roman"/>
          <w:sz w:val="20"/>
          <w:szCs w:val="20"/>
        </w:rPr>
        <w:t>to Mr Grose as Chairman of the Audit Committee.</w:t>
      </w:r>
    </w:p>
    <w:p w:rsidR="00BD7C09" w:rsidRDefault="00BD7C09" w:rsidP="00B44D91">
      <w:pPr>
        <w:autoSpaceDE w:val="0"/>
        <w:autoSpaceDN w:val="0"/>
        <w:adjustRightInd w:val="0"/>
        <w:rPr>
          <w:rFonts w:ascii="Times New Roman" w:eastAsia="Calibri" w:hAnsi="Times New Roman"/>
          <w:b/>
          <w:sz w:val="20"/>
          <w:szCs w:val="20"/>
          <w:lang w:eastAsia="en-GB"/>
        </w:rPr>
      </w:pPr>
    </w:p>
    <w:p w:rsidR="00750224" w:rsidRDefault="00BD7C09" w:rsidP="00E54387">
      <w:pPr>
        <w:autoSpaceDE w:val="0"/>
        <w:autoSpaceDN w:val="0"/>
        <w:adjustRightInd w:val="0"/>
        <w:jc w:val="both"/>
        <w:rPr>
          <w:rFonts w:ascii="Times New Roman" w:hAnsi="Times New Roman"/>
          <w:sz w:val="20"/>
          <w:szCs w:val="20"/>
        </w:rPr>
      </w:pPr>
      <w:r w:rsidRPr="00E54387">
        <w:rPr>
          <w:rFonts w:ascii="Times New Roman" w:hAnsi="Times New Roman"/>
          <w:sz w:val="20"/>
          <w:szCs w:val="20"/>
        </w:rPr>
        <w:t xml:space="preserve">As explained in the Chairman’s Report, the </w:t>
      </w:r>
      <w:r w:rsidR="00E214AD">
        <w:rPr>
          <w:rFonts w:ascii="Times New Roman" w:hAnsi="Times New Roman"/>
          <w:sz w:val="20"/>
          <w:szCs w:val="20"/>
        </w:rPr>
        <w:t>B</w:t>
      </w:r>
      <w:r w:rsidRPr="00E54387">
        <w:rPr>
          <w:rFonts w:ascii="Times New Roman" w:hAnsi="Times New Roman"/>
          <w:sz w:val="20"/>
          <w:szCs w:val="20"/>
        </w:rPr>
        <w:t xml:space="preserve">oard anticipates that two additional directors will be appointed in the coming months. It is proposed that each new director will also be paid a fee of </w:t>
      </w:r>
      <w:r w:rsidRPr="00B9035E">
        <w:rPr>
          <w:rFonts w:ascii="Times New Roman" w:hAnsi="Times New Roman"/>
          <w:sz w:val="20"/>
          <w:szCs w:val="20"/>
        </w:rPr>
        <w:t>£</w:t>
      </w:r>
      <w:r>
        <w:rPr>
          <w:rFonts w:ascii="Times New Roman" w:hAnsi="Times New Roman"/>
          <w:sz w:val="20"/>
          <w:szCs w:val="20"/>
        </w:rPr>
        <w:t>22</w:t>
      </w:r>
      <w:r w:rsidRPr="00B9035E">
        <w:rPr>
          <w:rFonts w:ascii="Times New Roman" w:hAnsi="Times New Roman"/>
          <w:sz w:val="20"/>
          <w:szCs w:val="20"/>
        </w:rPr>
        <w:t>,</w:t>
      </w:r>
      <w:r>
        <w:rPr>
          <w:rFonts w:ascii="Times New Roman" w:hAnsi="Times New Roman"/>
          <w:sz w:val="20"/>
          <w:szCs w:val="20"/>
        </w:rPr>
        <w:t>000 per annum, payable quarterly in arrears.</w:t>
      </w:r>
    </w:p>
    <w:p w:rsidR="00BD7C09" w:rsidRDefault="00BD7C09" w:rsidP="00B44D91">
      <w:pPr>
        <w:autoSpaceDE w:val="0"/>
        <w:autoSpaceDN w:val="0"/>
        <w:adjustRightInd w:val="0"/>
        <w:rPr>
          <w:rFonts w:ascii="Times New Roman" w:eastAsia="Calibri" w:hAnsi="Times New Roman"/>
          <w:b/>
          <w:sz w:val="20"/>
          <w:szCs w:val="20"/>
          <w:lang w:eastAsia="en-GB"/>
        </w:rPr>
      </w:pPr>
    </w:p>
    <w:p w:rsidR="00B44D91" w:rsidRPr="00B9035E" w:rsidRDefault="00B44D91" w:rsidP="00B44D91">
      <w:pPr>
        <w:autoSpaceDE w:val="0"/>
        <w:autoSpaceDN w:val="0"/>
        <w:adjustRightInd w:val="0"/>
        <w:rPr>
          <w:rFonts w:ascii="Times New Roman" w:eastAsia="Calibri" w:hAnsi="Times New Roman"/>
          <w:sz w:val="20"/>
          <w:szCs w:val="20"/>
          <w:lang w:eastAsia="en-GB"/>
        </w:rPr>
      </w:pPr>
      <w:r w:rsidRPr="00B9035E">
        <w:rPr>
          <w:rFonts w:ascii="Times New Roman" w:eastAsia="Calibri" w:hAnsi="Times New Roman"/>
          <w:b/>
          <w:sz w:val="20"/>
          <w:szCs w:val="20"/>
          <w:lang w:eastAsia="en-GB"/>
        </w:rPr>
        <w:t>Board, Committee and Directors’ Performance Evaluation</w:t>
      </w:r>
    </w:p>
    <w:p w:rsidR="00B44D91" w:rsidRPr="00B9035E" w:rsidRDefault="00B44D91" w:rsidP="00B44D91">
      <w:pPr>
        <w:autoSpaceDE w:val="0"/>
        <w:autoSpaceDN w:val="0"/>
        <w:adjustRightInd w:val="0"/>
        <w:jc w:val="both"/>
        <w:rPr>
          <w:rFonts w:ascii="Times New Roman" w:eastAsia="Calibri" w:hAnsi="Times New Roman"/>
          <w:sz w:val="20"/>
          <w:szCs w:val="20"/>
          <w:lang w:eastAsia="en-GB"/>
        </w:rPr>
      </w:pPr>
      <w:r w:rsidRPr="00B9035E">
        <w:rPr>
          <w:rFonts w:ascii="Times New Roman" w:eastAsia="Calibri" w:hAnsi="Times New Roman"/>
          <w:sz w:val="20"/>
          <w:szCs w:val="20"/>
          <w:lang w:eastAsia="en-GB"/>
        </w:rPr>
        <w:t xml:space="preserve">The directors recognise the importance of the AIC Code in terms of evaluating the performance of the Board as a whole, its respective Committees and individual directors. During the year, the performance of the Board, Committees of the Board and individual directors was assessed in terms of: </w:t>
      </w:r>
    </w:p>
    <w:p w:rsidR="00B44D91" w:rsidRPr="00B9035E" w:rsidRDefault="00B44D91" w:rsidP="00B44D91">
      <w:pPr>
        <w:autoSpaceDE w:val="0"/>
        <w:autoSpaceDN w:val="0"/>
        <w:adjustRightInd w:val="0"/>
        <w:jc w:val="both"/>
        <w:rPr>
          <w:rFonts w:ascii="Times New Roman" w:eastAsia="Calibri" w:hAnsi="Times New Roman"/>
          <w:sz w:val="20"/>
          <w:szCs w:val="20"/>
          <w:lang w:eastAsia="en-GB"/>
        </w:rPr>
      </w:pPr>
    </w:p>
    <w:p w:rsidR="00B44D91" w:rsidRPr="00B9035E" w:rsidRDefault="00B44D91" w:rsidP="00A60442">
      <w:pPr>
        <w:pStyle w:val="ListParagraph"/>
        <w:numPr>
          <w:ilvl w:val="0"/>
          <w:numId w:val="16"/>
        </w:numPr>
        <w:autoSpaceDE w:val="0"/>
        <w:autoSpaceDN w:val="0"/>
        <w:adjustRightInd w:val="0"/>
        <w:jc w:val="both"/>
        <w:rPr>
          <w:rFonts w:ascii="Times New Roman" w:hAnsi="Times New Roman"/>
          <w:sz w:val="20"/>
          <w:szCs w:val="20"/>
        </w:rPr>
      </w:pPr>
      <w:r w:rsidRPr="00B9035E">
        <w:rPr>
          <w:rFonts w:ascii="Times New Roman" w:hAnsi="Times New Roman"/>
          <w:sz w:val="20"/>
          <w:szCs w:val="20"/>
        </w:rPr>
        <w:t xml:space="preserve">attendance at Board and Committee Meetings; </w:t>
      </w:r>
    </w:p>
    <w:p w:rsidR="00B44D91" w:rsidRPr="00B9035E" w:rsidRDefault="00B44D91" w:rsidP="00A60442">
      <w:pPr>
        <w:pStyle w:val="ListParagraph"/>
        <w:numPr>
          <w:ilvl w:val="0"/>
          <w:numId w:val="16"/>
        </w:numPr>
        <w:autoSpaceDE w:val="0"/>
        <w:autoSpaceDN w:val="0"/>
        <w:adjustRightInd w:val="0"/>
        <w:jc w:val="both"/>
        <w:rPr>
          <w:rFonts w:ascii="Times New Roman" w:hAnsi="Times New Roman"/>
          <w:sz w:val="20"/>
          <w:szCs w:val="20"/>
        </w:rPr>
      </w:pPr>
      <w:r w:rsidRPr="00B9035E">
        <w:rPr>
          <w:rFonts w:ascii="Times New Roman" w:hAnsi="Times New Roman"/>
          <w:sz w:val="20"/>
          <w:szCs w:val="20"/>
        </w:rPr>
        <w:t>the independence of individual directors;</w:t>
      </w:r>
    </w:p>
    <w:p w:rsidR="00B44D91" w:rsidRPr="009170B8" w:rsidRDefault="00B44D91" w:rsidP="00A60442">
      <w:pPr>
        <w:pStyle w:val="ListParagraph"/>
        <w:numPr>
          <w:ilvl w:val="0"/>
          <w:numId w:val="16"/>
        </w:numPr>
        <w:autoSpaceDE w:val="0"/>
        <w:autoSpaceDN w:val="0"/>
        <w:adjustRightInd w:val="0"/>
        <w:jc w:val="both"/>
        <w:rPr>
          <w:rFonts w:ascii="Times New Roman" w:hAnsi="Times New Roman"/>
          <w:sz w:val="20"/>
          <w:szCs w:val="20"/>
        </w:rPr>
      </w:pPr>
      <w:r w:rsidRPr="009170B8">
        <w:rPr>
          <w:rFonts w:ascii="Times New Roman" w:hAnsi="Times New Roman"/>
          <w:sz w:val="20"/>
          <w:szCs w:val="20"/>
        </w:rPr>
        <w:t>the ability of individual directors to make an effective contribution to the Board and Committees of the Board</w:t>
      </w:r>
      <w:r w:rsidR="00D77F0C">
        <w:rPr>
          <w:rFonts w:ascii="Times New Roman" w:hAnsi="Times New Roman"/>
          <w:sz w:val="20"/>
          <w:szCs w:val="20"/>
        </w:rPr>
        <w:t xml:space="preserve">, together with </w:t>
      </w:r>
      <w:r w:rsidRPr="009170B8">
        <w:rPr>
          <w:rFonts w:ascii="Times New Roman" w:hAnsi="Times New Roman"/>
          <w:sz w:val="20"/>
          <w:szCs w:val="20"/>
        </w:rPr>
        <w:t>the diversity of skills and experience each director brings to meetings; and</w:t>
      </w:r>
    </w:p>
    <w:p w:rsidR="00B44D91" w:rsidRPr="009170B8" w:rsidRDefault="00B44D91" w:rsidP="00A60442">
      <w:pPr>
        <w:pStyle w:val="ListParagraph"/>
        <w:numPr>
          <w:ilvl w:val="0"/>
          <w:numId w:val="17"/>
        </w:numPr>
        <w:autoSpaceDE w:val="0"/>
        <w:autoSpaceDN w:val="0"/>
        <w:adjustRightInd w:val="0"/>
        <w:jc w:val="both"/>
        <w:rPr>
          <w:rFonts w:ascii="Times New Roman" w:hAnsi="Times New Roman"/>
          <w:sz w:val="20"/>
          <w:szCs w:val="20"/>
        </w:rPr>
      </w:pPr>
      <w:r w:rsidRPr="009170B8">
        <w:rPr>
          <w:rFonts w:ascii="Times New Roman" w:hAnsi="Times New Roman"/>
          <w:sz w:val="20"/>
          <w:szCs w:val="20"/>
        </w:rPr>
        <w:t>the Board’s ability to effectively challenge the Investment Manager’s recommendations, suggest areas of debate and fix timetables for debates on the future strategy of the Company.</w:t>
      </w:r>
    </w:p>
    <w:p w:rsidR="00B44D91" w:rsidRPr="009170B8" w:rsidRDefault="00B44D91" w:rsidP="00B44D91">
      <w:pPr>
        <w:autoSpaceDE w:val="0"/>
        <w:autoSpaceDN w:val="0"/>
        <w:adjustRightInd w:val="0"/>
        <w:jc w:val="both"/>
        <w:rPr>
          <w:rFonts w:ascii="Times New Roman" w:eastAsia="Calibri" w:hAnsi="Times New Roman"/>
          <w:sz w:val="20"/>
          <w:szCs w:val="20"/>
          <w:lang w:eastAsia="en-GB"/>
        </w:rPr>
      </w:pPr>
    </w:p>
    <w:p w:rsidR="005C0691" w:rsidRPr="009170B8" w:rsidRDefault="005C0691" w:rsidP="005C0691">
      <w:pPr>
        <w:jc w:val="both"/>
      </w:pPr>
      <w:r w:rsidRPr="009170B8">
        <w:rPr>
          <w:rFonts w:ascii="Times New Roman" w:eastAsia="Calibri" w:hAnsi="Times New Roman"/>
          <w:sz w:val="20"/>
          <w:szCs w:val="20"/>
          <w:lang w:eastAsia="en-GB"/>
        </w:rPr>
        <w:t xml:space="preserve">The directors concluded that the performance evaluation process had </w:t>
      </w:r>
      <w:r w:rsidR="000142DA" w:rsidRPr="009170B8">
        <w:rPr>
          <w:rFonts w:ascii="Times New Roman" w:eastAsia="Calibri" w:hAnsi="Times New Roman"/>
          <w:sz w:val="20"/>
          <w:szCs w:val="20"/>
          <w:lang w:eastAsia="en-GB"/>
        </w:rPr>
        <w:t>prove</w:t>
      </w:r>
      <w:r w:rsidR="000142DA">
        <w:rPr>
          <w:rFonts w:ascii="Times New Roman" w:eastAsia="Calibri" w:hAnsi="Times New Roman"/>
          <w:sz w:val="20"/>
          <w:szCs w:val="20"/>
          <w:lang w:eastAsia="en-GB"/>
        </w:rPr>
        <w:t>n</w:t>
      </w:r>
      <w:r w:rsidR="000142DA" w:rsidRPr="009170B8">
        <w:rPr>
          <w:rFonts w:ascii="Times New Roman" w:eastAsia="Calibri" w:hAnsi="Times New Roman"/>
          <w:sz w:val="20"/>
          <w:szCs w:val="20"/>
          <w:lang w:eastAsia="en-GB"/>
        </w:rPr>
        <w:t xml:space="preserve"> </w:t>
      </w:r>
      <w:r w:rsidRPr="009170B8">
        <w:rPr>
          <w:rFonts w:ascii="Times New Roman" w:eastAsia="Calibri" w:hAnsi="Times New Roman"/>
          <w:sz w:val="20"/>
          <w:szCs w:val="20"/>
          <w:lang w:eastAsia="en-GB"/>
        </w:rPr>
        <w:t>successful</w:t>
      </w:r>
      <w:r>
        <w:rPr>
          <w:rFonts w:ascii="Times New Roman" w:eastAsia="Calibri" w:hAnsi="Times New Roman"/>
          <w:sz w:val="20"/>
          <w:szCs w:val="20"/>
          <w:lang w:eastAsia="en-GB"/>
        </w:rPr>
        <w:t>,</w:t>
      </w:r>
      <w:r w:rsidRPr="009170B8">
        <w:rPr>
          <w:rFonts w:ascii="Times New Roman" w:eastAsia="Calibri" w:hAnsi="Times New Roman"/>
          <w:sz w:val="20"/>
          <w:szCs w:val="20"/>
          <w:lang w:eastAsia="en-GB"/>
        </w:rPr>
        <w:t xml:space="preserve"> with the Board, the Committees of the Board and the individual directors scoring well in all areas. The Board and the Committees of the Board continued to be effective and the individual directors continued to </w:t>
      </w:r>
      <w:r w:rsidRPr="009170B8">
        <w:rPr>
          <w:rFonts w:ascii="Times New Roman" w:eastAsia="Calibri" w:hAnsi="Times New Roman"/>
          <w:bCs/>
          <w:sz w:val="20"/>
          <w:szCs w:val="20"/>
          <w:lang w:eastAsia="en-GB"/>
        </w:rPr>
        <w:t>demonstrate commitment to their respective roles and responsibilities.</w:t>
      </w:r>
    </w:p>
    <w:p w:rsidR="00C96F7B" w:rsidRPr="009170B8" w:rsidRDefault="00C96F7B" w:rsidP="00C96F7B">
      <w:pPr>
        <w:jc w:val="both"/>
        <w:rPr>
          <w:rFonts w:ascii="Times New Roman" w:hAnsi="Times New Roman"/>
          <w:b/>
          <w:bCs/>
          <w:sz w:val="20"/>
          <w:szCs w:val="20"/>
        </w:rPr>
      </w:pPr>
    </w:p>
    <w:p w:rsidR="00C96F7B" w:rsidRPr="00E5676A" w:rsidRDefault="00C96F7B" w:rsidP="00C96F7B">
      <w:pPr>
        <w:pStyle w:val="Heading2"/>
        <w:tabs>
          <w:tab w:val="right" w:pos="8222"/>
        </w:tabs>
        <w:rPr>
          <w:rFonts w:ascii="Times New Roman" w:hAnsi="Times New Roman"/>
        </w:rPr>
      </w:pPr>
      <w:r w:rsidRPr="00E5676A">
        <w:rPr>
          <w:rFonts w:ascii="Times New Roman" w:hAnsi="Times New Roman"/>
        </w:rPr>
        <w:t>Directors’ Report (continued)</w:t>
      </w:r>
    </w:p>
    <w:p w:rsidR="00C96F7B" w:rsidRPr="00E5676A" w:rsidRDefault="00C96F7B" w:rsidP="00C96F7B">
      <w:pPr>
        <w:pStyle w:val="Heading2"/>
        <w:tabs>
          <w:tab w:val="right" w:pos="8222"/>
        </w:tabs>
        <w:rPr>
          <w:rFonts w:ascii="Times New Roman" w:hAnsi="Times New Roman"/>
        </w:rPr>
      </w:pPr>
    </w:p>
    <w:p w:rsidR="00C96F7B" w:rsidRPr="00E54387" w:rsidRDefault="00C96F7B" w:rsidP="00E54387">
      <w:pPr>
        <w:autoSpaceDE w:val="0"/>
        <w:autoSpaceDN w:val="0"/>
        <w:adjustRightInd w:val="0"/>
        <w:rPr>
          <w:rFonts w:ascii="Times New Roman" w:eastAsia="Calibri" w:hAnsi="Times New Roman"/>
          <w:sz w:val="20"/>
          <w:szCs w:val="20"/>
          <w:lang w:eastAsia="en-GB"/>
        </w:rPr>
      </w:pPr>
      <w:r w:rsidRPr="00B9035E">
        <w:rPr>
          <w:rFonts w:ascii="Times New Roman" w:eastAsia="Calibri" w:hAnsi="Times New Roman"/>
          <w:b/>
          <w:sz w:val="20"/>
          <w:szCs w:val="20"/>
          <w:lang w:eastAsia="en-GB"/>
        </w:rPr>
        <w:t>Board, Committee and Directors’ Performance Evaluation</w:t>
      </w:r>
      <w:r>
        <w:rPr>
          <w:rFonts w:ascii="Times New Roman" w:eastAsia="Calibri" w:hAnsi="Times New Roman"/>
          <w:sz w:val="20"/>
          <w:szCs w:val="20"/>
          <w:lang w:eastAsia="en-GB"/>
        </w:rPr>
        <w:t xml:space="preserve"> </w:t>
      </w:r>
      <w:r>
        <w:rPr>
          <w:rFonts w:ascii="Times New Roman" w:hAnsi="Times New Roman"/>
          <w:b/>
          <w:bCs/>
          <w:sz w:val="20"/>
          <w:szCs w:val="20"/>
        </w:rPr>
        <w:t>(continued)</w:t>
      </w:r>
    </w:p>
    <w:p w:rsidR="007B59D7" w:rsidRPr="009170B8" w:rsidRDefault="007B59D7" w:rsidP="007B59D7">
      <w:pPr>
        <w:pStyle w:val="Heading5"/>
        <w:tabs>
          <w:tab w:val="left" w:pos="3402"/>
          <w:tab w:val="right" w:pos="8222"/>
        </w:tabs>
        <w:rPr>
          <w:rFonts w:ascii="Times New Roman" w:hAnsi="Times New Roman"/>
        </w:rPr>
      </w:pPr>
      <w:r w:rsidRPr="009170B8">
        <w:rPr>
          <w:rFonts w:ascii="Times New Roman" w:hAnsi="Times New Roman"/>
        </w:rPr>
        <w:t>Directors’ Attendance</w:t>
      </w:r>
    </w:p>
    <w:p w:rsidR="00026D7B" w:rsidRPr="00C87A19" w:rsidRDefault="00A62EBA" w:rsidP="00E5676A">
      <w:pPr>
        <w:pStyle w:val="Heading2"/>
        <w:tabs>
          <w:tab w:val="right" w:pos="8222"/>
        </w:tabs>
        <w:rPr>
          <w:rFonts w:ascii="Times New Roman" w:hAnsi="Times New Roman"/>
          <w:b w:val="0"/>
        </w:rPr>
      </w:pPr>
      <w:r w:rsidRPr="004E1B57">
        <w:rPr>
          <w:rFonts w:ascii="Times New Roman" w:hAnsi="Times New Roman"/>
          <w:b w:val="0"/>
          <w:bCs w:val="0"/>
          <w:sz w:val="20"/>
        </w:rPr>
        <w:t xml:space="preserve">The table below summarises the </w:t>
      </w:r>
      <w:r w:rsidR="00CA1FC3" w:rsidRPr="00C87A19">
        <w:rPr>
          <w:rFonts w:ascii="Times New Roman" w:hAnsi="Times New Roman"/>
          <w:b w:val="0"/>
          <w:bCs w:val="0"/>
          <w:sz w:val="20"/>
        </w:rPr>
        <w:t>d</w:t>
      </w:r>
      <w:r w:rsidRPr="00C87A19">
        <w:rPr>
          <w:rFonts w:ascii="Times New Roman" w:hAnsi="Times New Roman"/>
          <w:b w:val="0"/>
          <w:bCs w:val="0"/>
          <w:sz w:val="20"/>
        </w:rPr>
        <w:t xml:space="preserve">irectors’ attendance at each type of meeting held during the </w:t>
      </w:r>
      <w:r w:rsidR="00B84004" w:rsidRPr="00C87A19">
        <w:rPr>
          <w:rFonts w:ascii="Times New Roman" w:hAnsi="Times New Roman"/>
          <w:b w:val="0"/>
          <w:bCs w:val="0"/>
          <w:sz w:val="20"/>
        </w:rPr>
        <w:t>year</w:t>
      </w:r>
      <w:r w:rsidRPr="00C87A19">
        <w:rPr>
          <w:rFonts w:ascii="Times New Roman" w:hAnsi="Times New Roman"/>
          <w:b w:val="0"/>
          <w:bCs w:val="0"/>
          <w:sz w:val="20"/>
        </w:rPr>
        <w:t>.</w:t>
      </w:r>
    </w:p>
    <w:p w:rsidR="00026D7B" w:rsidRDefault="00026D7B" w:rsidP="00E5676A">
      <w:pPr>
        <w:pStyle w:val="Heading5"/>
        <w:tabs>
          <w:tab w:val="left" w:pos="3402"/>
          <w:tab w:val="right" w:pos="8222"/>
        </w:tabs>
        <w:rPr>
          <w:rFonts w:ascii="Times New Roman" w:hAnsi="Times New Roman"/>
        </w:rPr>
      </w:pPr>
      <w:bookmarkStart w:id="24" w:name="OLE_LINK38"/>
      <w:bookmarkStart w:id="25" w:name="OLE_LINK39"/>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992"/>
        <w:gridCol w:w="1276"/>
        <w:gridCol w:w="1929"/>
        <w:gridCol w:w="1233"/>
        <w:gridCol w:w="1338"/>
      </w:tblGrid>
      <w:tr w:rsidR="004772CD" w:rsidRPr="009170B8" w:rsidTr="007A324C">
        <w:trPr>
          <w:trHeight w:val="475"/>
        </w:trPr>
        <w:tc>
          <w:tcPr>
            <w:tcW w:w="2518" w:type="dxa"/>
          </w:tcPr>
          <w:p w:rsidR="00B06D4B" w:rsidRPr="009170B8" w:rsidRDefault="00B06D4B" w:rsidP="00A62EBA">
            <w:pPr>
              <w:jc w:val="center"/>
              <w:rPr>
                <w:rFonts w:ascii="Times New Roman" w:hAnsi="Times New Roman"/>
                <w:i/>
                <w:sz w:val="20"/>
                <w:szCs w:val="20"/>
              </w:rPr>
            </w:pPr>
          </w:p>
        </w:tc>
        <w:tc>
          <w:tcPr>
            <w:tcW w:w="1134" w:type="dxa"/>
            <w:vAlign w:val="bottom"/>
          </w:tcPr>
          <w:p w:rsidR="00B06D4B" w:rsidRPr="009170B8" w:rsidRDefault="004772CD" w:rsidP="00A318B2">
            <w:pPr>
              <w:jc w:val="center"/>
              <w:rPr>
                <w:rFonts w:ascii="Times New Roman" w:hAnsi="Times New Roman"/>
                <w:b/>
                <w:sz w:val="20"/>
                <w:szCs w:val="20"/>
              </w:rPr>
            </w:pPr>
            <w:r>
              <w:rPr>
                <w:rFonts w:ascii="Times New Roman" w:hAnsi="Times New Roman"/>
                <w:b/>
                <w:sz w:val="20"/>
                <w:szCs w:val="20"/>
              </w:rPr>
              <w:t xml:space="preserve">Quarterly </w:t>
            </w:r>
            <w:r w:rsidR="00B06D4B" w:rsidRPr="009170B8">
              <w:rPr>
                <w:rFonts w:ascii="Times New Roman" w:hAnsi="Times New Roman"/>
                <w:b/>
                <w:sz w:val="20"/>
                <w:szCs w:val="20"/>
              </w:rPr>
              <w:t>Board</w:t>
            </w:r>
          </w:p>
        </w:tc>
        <w:tc>
          <w:tcPr>
            <w:tcW w:w="992" w:type="dxa"/>
            <w:vAlign w:val="bottom"/>
          </w:tcPr>
          <w:p w:rsidR="00B06D4B" w:rsidRPr="009170B8" w:rsidRDefault="004772CD" w:rsidP="00A318B2">
            <w:pPr>
              <w:jc w:val="center"/>
              <w:rPr>
                <w:rFonts w:ascii="Times New Roman" w:hAnsi="Times New Roman"/>
                <w:b/>
                <w:sz w:val="20"/>
                <w:szCs w:val="20"/>
              </w:rPr>
            </w:pPr>
            <w:r>
              <w:rPr>
                <w:rFonts w:ascii="Times New Roman" w:hAnsi="Times New Roman"/>
                <w:b/>
                <w:sz w:val="20"/>
                <w:szCs w:val="20"/>
              </w:rPr>
              <w:t xml:space="preserve">Ad hoc Board </w:t>
            </w:r>
          </w:p>
        </w:tc>
        <w:tc>
          <w:tcPr>
            <w:tcW w:w="1276" w:type="dxa"/>
            <w:vAlign w:val="bottom"/>
          </w:tcPr>
          <w:p w:rsidR="004772CD" w:rsidRPr="009170B8" w:rsidRDefault="004772CD" w:rsidP="004772CD">
            <w:pPr>
              <w:jc w:val="center"/>
              <w:rPr>
                <w:rFonts w:ascii="Times New Roman" w:hAnsi="Times New Roman"/>
                <w:b/>
                <w:sz w:val="20"/>
                <w:szCs w:val="20"/>
              </w:rPr>
            </w:pPr>
            <w:r w:rsidRPr="009170B8">
              <w:rPr>
                <w:rFonts w:ascii="Times New Roman" w:hAnsi="Times New Roman"/>
                <w:b/>
                <w:sz w:val="20"/>
                <w:szCs w:val="20"/>
              </w:rPr>
              <w:t>Audit</w:t>
            </w:r>
          </w:p>
          <w:p w:rsidR="00B06D4B" w:rsidRPr="009170B8" w:rsidRDefault="004772CD" w:rsidP="00A318B2">
            <w:pPr>
              <w:jc w:val="center"/>
              <w:rPr>
                <w:rFonts w:ascii="Times New Roman" w:hAnsi="Times New Roman"/>
                <w:b/>
                <w:sz w:val="20"/>
                <w:szCs w:val="20"/>
              </w:rPr>
            </w:pPr>
            <w:r w:rsidRPr="009170B8">
              <w:rPr>
                <w:rFonts w:ascii="Times New Roman" w:hAnsi="Times New Roman"/>
                <w:b/>
                <w:sz w:val="20"/>
                <w:szCs w:val="20"/>
              </w:rPr>
              <w:t>Committee</w:t>
            </w:r>
            <w:r w:rsidRPr="009170B8" w:rsidDel="004772CD">
              <w:rPr>
                <w:rFonts w:ascii="Times New Roman" w:hAnsi="Times New Roman"/>
                <w:b/>
                <w:sz w:val="20"/>
                <w:szCs w:val="20"/>
              </w:rPr>
              <w:t xml:space="preserve"> </w:t>
            </w:r>
          </w:p>
        </w:tc>
        <w:tc>
          <w:tcPr>
            <w:tcW w:w="1929" w:type="dxa"/>
            <w:vAlign w:val="bottom"/>
          </w:tcPr>
          <w:p w:rsidR="004772CD" w:rsidRPr="009170B8" w:rsidRDefault="004772CD" w:rsidP="004772CD">
            <w:pPr>
              <w:ind w:left="-77"/>
              <w:jc w:val="center"/>
              <w:rPr>
                <w:rFonts w:ascii="Times New Roman" w:hAnsi="Times New Roman"/>
                <w:b/>
                <w:sz w:val="20"/>
                <w:szCs w:val="20"/>
              </w:rPr>
            </w:pPr>
            <w:r w:rsidRPr="009170B8">
              <w:rPr>
                <w:rFonts w:ascii="Times New Roman" w:hAnsi="Times New Roman"/>
                <w:b/>
                <w:sz w:val="20"/>
                <w:szCs w:val="20"/>
              </w:rPr>
              <w:t>Nomination and</w:t>
            </w:r>
          </w:p>
          <w:p w:rsidR="00B06D4B" w:rsidRPr="009170B8" w:rsidRDefault="004772CD" w:rsidP="004772CD">
            <w:pPr>
              <w:jc w:val="center"/>
              <w:rPr>
                <w:rFonts w:ascii="Times New Roman" w:hAnsi="Times New Roman"/>
                <w:sz w:val="20"/>
                <w:szCs w:val="20"/>
              </w:rPr>
            </w:pPr>
            <w:r w:rsidRPr="009170B8">
              <w:rPr>
                <w:rFonts w:ascii="Times New Roman" w:hAnsi="Times New Roman"/>
                <w:b/>
                <w:sz w:val="20"/>
                <w:szCs w:val="20"/>
              </w:rPr>
              <w:t>Remuneration Committee</w:t>
            </w:r>
            <w:r w:rsidRPr="009170B8" w:rsidDel="004772CD">
              <w:rPr>
                <w:rFonts w:ascii="Times New Roman" w:hAnsi="Times New Roman"/>
                <w:b/>
                <w:sz w:val="20"/>
                <w:szCs w:val="20"/>
              </w:rPr>
              <w:t xml:space="preserve"> </w:t>
            </w:r>
          </w:p>
        </w:tc>
        <w:tc>
          <w:tcPr>
            <w:tcW w:w="1233" w:type="dxa"/>
            <w:vAlign w:val="bottom"/>
          </w:tcPr>
          <w:p w:rsidR="00B06D4B" w:rsidRPr="009170B8" w:rsidRDefault="00B06D4B" w:rsidP="00A318B2">
            <w:pPr>
              <w:jc w:val="center"/>
              <w:rPr>
                <w:rFonts w:ascii="Times New Roman" w:hAnsi="Times New Roman"/>
                <w:b/>
                <w:sz w:val="20"/>
                <w:szCs w:val="20"/>
              </w:rPr>
            </w:pPr>
            <w:r w:rsidRPr="009170B8">
              <w:rPr>
                <w:rFonts w:ascii="Times New Roman" w:hAnsi="Times New Roman"/>
                <w:b/>
                <w:sz w:val="20"/>
                <w:szCs w:val="20"/>
              </w:rPr>
              <w:t>Dividend</w:t>
            </w:r>
          </w:p>
          <w:p w:rsidR="00B06D4B" w:rsidRPr="009170B8" w:rsidRDefault="00B06D4B" w:rsidP="00A318B2">
            <w:pPr>
              <w:jc w:val="center"/>
              <w:rPr>
                <w:rFonts w:ascii="Times New Roman" w:hAnsi="Times New Roman"/>
                <w:sz w:val="20"/>
                <w:szCs w:val="20"/>
              </w:rPr>
            </w:pPr>
            <w:r w:rsidRPr="009170B8">
              <w:rPr>
                <w:rFonts w:ascii="Times New Roman" w:hAnsi="Times New Roman"/>
                <w:b/>
                <w:sz w:val="20"/>
                <w:szCs w:val="20"/>
              </w:rPr>
              <w:t>Committee</w:t>
            </w:r>
          </w:p>
        </w:tc>
        <w:tc>
          <w:tcPr>
            <w:tcW w:w="1338" w:type="dxa"/>
          </w:tcPr>
          <w:p w:rsidR="00B06D4B" w:rsidRPr="009170B8" w:rsidRDefault="00B06D4B" w:rsidP="00A318B2">
            <w:pPr>
              <w:jc w:val="center"/>
              <w:rPr>
                <w:rFonts w:ascii="Times New Roman" w:hAnsi="Times New Roman"/>
                <w:b/>
                <w:sz w:val="20"/>
                <w:szCs w:val="20"/>
              </w:rPr>
            </w:pPr>
            <w:r>
              <w:rPr>
                <w:rFonts w:ascii="Times New Roman" w:hAnsi="Times New Roman"/>
                <w:b/>
                <w:sz w:val="20"/>
                <w:szCs w:val="20"/>
              </w:rPr>
              <w:t>Management Engagement Committee</w:t>
            </w:r>
          </w:p>
        </w:tc>
      </w:tr>
      <w:tr w:rsidR="00BB783A" w:rsidRPr="00501C83" w:rsidTr="007A324C">
        <w:trPr>
          <w:trHeight w:val="42"/>
        </w:trPr>
        <w:tc>
          <w:tcPr>
            <w:tcW w:w="2518" w:type="dxa"/>
          </w:tcPr>
          <w:p w:rsidR="00BB783A" w:rsidRPr="00501C83" w:rsidRDefault="00BB783A" w:rsidP="00A318B2">
            <w:pPr>
              <w:tabs>
                <w:tab w:val="right" w:pos="2673"/>
              </w:tabs>
              <w:rPr>
                <w:rFonts w:ascii="Times New Roman" w:hAnsi="Times New Roman"/>
                <w:sz w:val="20"/>
                <w:szCs w:val="20"/>
              </w:rPr>
            </w:pPr>
            <w:r w:rsidRPr="00501C83">
              <w:rPr>
                <w:rFonts w:ascii="Times New Roman" w:hAnsi="Times New Roman"/>
                <w:sz w:val="20"/>
                <w:szCs w:val="20"/>
              </w:rPr>
              <w:t>No. of meetings in the year</w:t>
            </w:r>
          </w:p>
        </w:tc>
        <w:tc>
          <w:tcPr>
            <w:tcW w:w="1134" w:type="dxa"/>
          </w:tcPr>
          <w:p w:rsidR="00BB783A" w:rsidRPr="00AC5183" w:rsidRDefault="00BB783A" w:rsidP="00A318B2">
            <w:pPr>
              <w:jc w:val="center"/>
              <w:rPr>
                <w:rFonts w:ascii="Times New Roman" w:hAnsi="Times New Roman"/>
                <w:sz w:val="20"/>
                <w:szCs w:val="20"/>
              </w:rPr>
            </w:pPr>
            <w:r>
              <w:rPr>
                <w:rFonts w:ascii="Times New Roman" w:hAnsi="Times New Roman"/>
                <w:sz w:val="20"/>
                <w:szCs w:val="20"/>
              </w:rPr>
              <w:t>4</w:t>
            </w:r>
          </w:p>
        </w:tc>
        <w:tc>
          <w:tcPr>
            <w:tcW w:w="992" w:type="dxa"/>
          </w:tcPr>
          <w:p w:rsidR="00BB783A" w:rsidRPr="00AC5183" w:rsidRDefault="00BB783A" w:rsidP="00A318B2">
            <w:pPr>
              <w:jc w:val="center"/>
              <w:rPr>
                <w:rFonts w:ascii="Times New Roman" w:hAnsi="Times New Roman"/>
                <w:sz w:val="20"/>
                <w:szCs w:val="20"/>
              </w:rPr>
            </w:pPr>
            <w:r>
              <w:rPr>
                <w:rFonts w:ascii="Times New Roman" w:hAnsi="Times New Roman"/>
                <w:sz w:val="20"/>
                <w:szCs w:val="20"/>
              </w:rPr>
              <w:t>2</w:t>
            </w:r>
          </w:p>
        </w:tc>
        <w:tc>
          <w:tcPr>
            <w:tcW w:w="1276" w:type="dxa"/>
          </w:tcPr>
          <w:p w:rsidR="00BB783A" w:rsidRPr="003B5950" w:rsidRDefault="00BB783A" w:rsidP="00A318B2">
            <w:pPr>
              <w:jc w:val="center"/>
              <w:rPr>
                <w:rFonts w:ascii="Times New Roman" w:hAnsi="Times New Roman"/>
                <w:sz w:val="20"/>
                <w:szCs w:val="20"/>
              </w:rPr>
            </w:pPr>
            <w:r>
              <w:rPr>
                <w:rFonts w:ascii="Times New Roman" w:hAnsi="Times New Roman"/>
                <w:sz w:val="20"/>
                <w:szCs w:val="20"/>
              </w:rPr>
              <w:t>2</w:t>
            </w:r>
          </w:p>
        </w:tc>
        <w:tc>
          <w:tcPr>
            <w:tcW w:w="1929" w:type="dxa"/>
          </w:tcPr>
          <w:p w:rsidR="00BB783A" w:rsidRPr="003B5950" w:rsidRDefault="00BB783A" w:rsidP="00A318B2">
            <w:pPr>
              <w:jc w:val="center"/>
              <w:rPr>
                <w:rFonts w:ascii="Times New Roman" w:hAnsi="Times New Roman"/>
                <w:sz w:val="20"/>
                <w:szCs w:val="20"/>
              </w:rPr>
            </w:pPr>
            <w:r>
              <w:rPr>
                <w:rFonts w:ascii="Times New Roman" w:hAnsi="Times New Roman"/>
                <w:sz w:val="20"/>
                <w:szCs w:val="20"/>
              </w:rPr>
              <w:t>1</w:t>
            </w:r>
          </w:p>
        </w:tc>
        <w:tc>
          <w:tcPr>
            <w:tcW w:w="1233" w:type="dxa"/>
          </w:tcPr>
          <w:p w:rsidR="00BB783A" w:rsidRPr="00AC5183" w:rsidRDefault="00BB783A" w:rsidP="00A318B2">
            <w:pPr>
              <w:jc w:val="center"/>
              <w:rPr>
                <w:rFonts w:ascii="Times New Roman" w:hAnsi="Times New Roman"/>
                <w:sz w:val="20"/>
                <w:szCs w:val="20"/>
              </w:rPr>
            </w:pPr>
            <w:r>
              <w:rPr>
                <w:rFonts w:ascii="Times New Roman" w:hAnsi="Times New Roman"/>
                <w:sz w:val="20"/>
                <w:szCs w:val="20"/>
              </w:rPr>
              <w:t>4</w:t>
            </w:r>
          </w:p>
        </w:tc>
        <w:tc>
          <w:tcPr>
            <w:tcW w:w="1338" w:type="dxa"/>
          </w:tcPr>
          <w:p w:rsidR="00BB783A" w:rsidRPr="00AC5183" w:rsidRDefault="00BB783A" w:rsidP="00A318B2">
            <w:pPr>
              <w:jc w:val="center"/>
              <w:rPr>
                <w:rFonts w:ascii="Times New Roman" w:hAnsi="Times New Roman"/>
                <w:sz w:val="20"/>
                <w:szCs w:val="20"/>
              </w:rPr>
            </w:pPr>
            <w:r>
              <w:rPr>
                <w:rFonts w:ascii="Times New Roman" w:hAnsi="Times New Roman"/>
                <w:sz w:val="20"/>
                <w:szCs w:val="20"/>
              </w:rPr>
              <w:t>1</w:t>
            </w:r>
          </w:p>
        </w:tc>
      </w:tr>
      <w:tr w:rsidR="00BA73F2" w:rsidRPr="00501C83" w:rsidTr="007A324C">
        <w:trPr>
          <w:trHeight w:val="42"/>
        </w:trPr>
        <w:tc>
          <w:tcPr>
            <w:tcW w:w="2518" w:type="dxa"/>
          </w:tcPr>
          <w:p w:rsidR="00BA73F2" w:rsidRPr="00501C83" w:rsidRDefault="00BA73F2" w:rsidP="00A318B2">
            <w:pPr>
              <w:tabs>
                <w:tab w:val="right" w:pos="2673"/>
              </w:tabs>
              <w:rPr>
                <w:rFonts w:ascii="Times New Roman" w:hAnsi="Times New Roman"/>
                <w:sz w:val="20"/>
                <w:szCs w:val="20"/>
              </w:rPr>
            </w:pPr>
            <w:r w:rsidRPr="00501C83">
              <w:rPr>
                <w:rFonts w:ascii="Times New Roman" w:hAnsi="Times New Roman"/>
                <w:sz w:val="20"/>
                <w:szCs w:val="20"/>
              </w:rPr>
              <w:t xml:space="preserve">Raymond </w:t>
            </w:r>
            <w:proofErr w:type="spellStart"/>
            <w:r w:rsidRPr="00501C83">
              <w:rPr>
                <w:rFonts w:ascii="Times New Roman" w:hAnsi="Times New Roman"/>
                <w:sz w:val="20"/>
                <w:szCs w:val="20"/>
              </w:rPr>
              <w:t>Apsey</w:t>
            </w:r>
            <w:proofErr w:type="spellEnd"/>
          </w:p>
        </w:tc>
        <w:tc>
          <w:tcPr>
            <w:tcW w:w="1134"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4</w:t>
            </w:r>
          </w:p>
        </w:tc>
        <w:tc>
          <w:tcPr>
            <w:tcW w:w="992" w:type="dxa"/>
          </w:tcPr>
          <w:p w:rsidR="00BA73F2" w:rsidRPr="003B5950" w:rsidRDefault="00BA73F2" w:rsidP="00A318B2">
            <w:pPr>
              <w:jc w:val="center"/>
              <w:rPr>
                <w:rFonts w:ascii="Times New Roman" w:hAnsi="Times New Roman"/>
                <w:sz w:val="20"/>
                <w:szCs w:val="20"/>
              </w:rPr>
            </w:pPr>
            <w:r w:rsidRPr="00AC5183">
              <w:rPr>
                <w:rFonts w:ascii="Times New Roman" w:hAnsi="Times New Roman"/>
                <w:sz w:val="20"/>
                <w:szCs w:val="20"/>
              </w:rPr>
              <w:t>1</w:t>
            </w:r>
          </w:p>
        </w:tc>
        <w:tc>
          <w:tcPr>
            <w:tcW w:w="1276"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2</w:t>
            </w:r>
          </w:p>
        </w:tc>
        <w:tc>
          <w:tcPr>
            <w:tcW w:w="1929"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1</w:t>
            </w:r>
          </w:p>
        </w:tc>
        <w:tc>
          <w:tcPr>
            <w:tcW w:w="1233" w:type="dxa"/>
          </w:tcPr>
          <w:p w:rsidR="00BA73F2" w:rsidRPr="003B5950" w:rsidRDefault="00BA73F2" w:rsidP="00A318B2">
            <w:pPr>
              <w:jc w:val="center"/>
              <w:rPr>
                <w:rFonts w:ascii="Times New Roman" w:hAnsi="Times New Roman"/>
                <w:sz w:val="20"/>
                <w:szCs w:val="20"/>
              </w:rPr>
            </w:pPr>
            <w:r w:rsidRPr="00AC5183">
              <w:rPr>
                <w:rFonts w:ascii="Times New Roman" w:hAnsi="Times New Roman"/>
                <w:sz w:val="20"/>
                <w:szCs w:val="20"/>
              </w:rPr>
              <w:t>0</w:t>
            </w:r>
          </w:p>
        </w:tc>
        <w:tc>
          <w:tcPr>
            <w:tcW w:w="1338"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1</w:t>
            </w:r>
          </w:p>
        </w:tc>
      </w:tr>
      <w:tr w:rsidR="00BA73F2" w:rsidRPr="00501C83" w:rsidTr="007A324C">
        <w:trPr>
          <w:trHeight w:val="42"/>
        </w:trPr>
        <w:tc>
          <w:tcPr>
            <w:tcW w:w="2518" w:type="dxa"/>
          </w:tcPr>
          <w:p w:rsidR="00BA73F2" w:rsidRPr="00501C83" w:rsidRDefault="00BA73F2" w:rsidP="00A318B2">
            <w:pPr>
              <w:rPr>
                <w:rFonts w:ascii="Times New Roman" w:hAnsi="Times New Roman"/>
                <w:sz w:val="20"/>
                <w:szCs w:val="20"/>
              </w:rPr>
            </w:pPr>
            <w:r w:rsidRPr="00501C83">
              <w:rPr>
                <w:rFonts w:ascii="Times New Roman" w:hAnsi="Times New Roman"/>
                <w:sz w:val="20"/>
                <w:szCs w:val="20"/>
              </w:rPr>
              <w:t>Philip Bisson</w:t>
            </w:r>
          </w:p>
        </w:tc>
        <w:tc>
          <w:tcPr>
            <w:tcW w:w="1134"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4</w:t>
            </w:r>
          </w:p>
        </w:tc>
        <w:tc>
          <w:tcPr>
            <w:tcW w:w="992"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0</w:t>
            </w:r>
          </w:p>
        </w:tc>
        <w:tc>
          <w:tcPr>
            <w:tcW w:w="1276"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2</w:t>
            </w:r>
          </w:p>
        </w:tc>
        <w:tc>
          <w:tcPr>
            <w:tcW w:w="1929"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1</w:t>
            </w:r>
          </w:p>
        </w:tc>
        <w:tc>
          <w:tcPr>
            <w:tcW w:w="1233" w:type="dxa"/>
          </w:tcPr>
          <w:p w:rsidR="00BA73F2" w:rsidRPr="003B5950" w:rsidRDefault="00BA73F2" w:rsidP="00A318B2">
            <w:pPr>
              <w:jc w:val="center"/>
              <w:rPr>
                <w:rFonts w:ascii="Times New Roman" w:hAnsi="Times New Roman"/>
                <w:sz w:val="20"/>
                <w:szCs w:val="20"/>
              </w:rPr>
            </w:pPr>
            <w:r w:rsidRPr="00AC5183">
              <w:rPr>
                <w:rFonts w:ascii="Times New Roman" w:hAnsi="Times New Roman"/>
                <w:sz w:val="20"/>
                <w:szCs w:val="20"/>
              </w:rPr>
              <w:t>0</w:t>
            </w:r>
          </w:p>
        </w:tc>
        <w:tc>
          <w:tcPr>
            <w:tcW w:w="1338"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1</w:t>
            </w:r>
          </w:p>
        </w:tc>
      </w:tr>
      <w:tr w:rsidR="00BA73F2" w:rsidRPr="00501C83" w:rsidTr="007A324C">
        <w:trPr>
          <w:trHeight w:val="42"/>
        </w:trPr>
        <w:tc>
          <w:tcPr>
            <w:tcW w:w="2518" w:type="dxa"/>
          </w:tcPr>
          <w:p w:rsidR="00BA73F2" w:rsidRPr="00501C83" w:rsidRDefault="00BA73F2" w:rsidP="00A318B2">
            <w:pPr>
              <w:rPr>
                <w:rFonts w:ascii="Times New Roman" w:hAnsi="Times New Roman"/>
                <w:sz w:val="20"/>
                <w:szCs w:val="20"/>
              </w:rPr>
            </w:pPr>
            <w:r w:rsidRPr="00501C83">
              <w:rPr>
                <w:rFonts w:ascii="Times New Roman" w:hAnsi="Times New Roman"/>
                <w:sz w:val="20"/>
                <w:szCs w:val="20"/>
              </w:rPr>
              <w:t>Thomas Grose</w:t>
            </w:r>
          </w:p>
        </w:tc>
        <w:tc>
          <w:tcPr>
            <w:tcW w:w="1134"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4</w:t>
            </w:r>
          </w:p>
        </w:tc>
        <w:tc>
          <w:tcPr>
            <w:tcW w:w="992" w:type="dxa"/>
          </w:tcPr>
          <w:p w:rsidR="00BA73F2" w:rsidRPr="003B5950" w:rsidRDefault="00BA73F2" w:rsidP="00A318B2">
            <w:pPr>
              <w:jc w:val="center"/>
              <w:rPr>
                <w:rFonts w:ascii="Times New Roman" w:hAnsi="Times New Roman"/>
                <w:sz w:val="20"/>
                <w:szCs w:val="20"/>
              </w:rPr>
            </w:pPr>
            <w:r w:rsidRPr="00AC5183">
              <w:rPr>
                <w:rFonts w:ascii="Times New Roman" w:hAnsi="Times New Roman"/>
                <w:sz w:val="20"/>
                <w:szCs w:val="20"/>
              </w:rPr>
              <w:t>1</w:t>
            </w:r>
          </w:p>
        </w:tc>
        <w:tc>
          <w:tcPr>
            <w:tcW w:w="1276"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2</w:t>
            </w:r>
          </w:p>
        </w:tc>
        <w:tc>
          <w:tcPr>
            <w:tcW w:w="1929"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1</w:t>
            </w:r>
          </w:p>
        </w:tc>
        <w:tc>
          <w:tcPr>
            <w:tcW w:w="1233" w:type="dxa"/>
          </w:tcPr>
          <w:p w:rsidR="00BA73F2" w:rsidRPr="003B5950" w:rsidRDefault="00BA73F2">
            <w:pPr>
              <w:jc w:val="center"/>
              <w:rPr>
                <w:rFonts w:ascii="Times New Roman" w:hAnsi="Times New Roman"/>
                <w:sz w:val="20"/>
                <w:szCs w:val="20"/>
              </w:rPr>
            </w:pPr>
            <w:r w:rsidRPr="003B5950">
              <w:rPr>
                <w:rFonts w:ascii="Times New Roman" w:hAnsi="Times New Roman"/>
                <w:sz w:val="20"/>
                <w:szCs w:val="20"/>
              </w:rPr>
              <w:t>3</w:t>
            </w:r>
          </w:p>
        </w:tc>
        <w:tc>
          <w:tcPr>
            <w:tcW w:w="1338"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1</w:t>
            </w:r>
          </w:p>
        </w:tc>
      </w:tr>
      <w:tr w:rsidR="00BA73F2" w:rsidRPr="00501C83" w:rsidTr="007A324C">
        <w:trPr>
          <w:trHeight w:val="42"/>
        </w:trPr>
        <w:tc>
          <w:tcPr>
            <w:tcW w:w="2518" w:type="dxa"/>
          </w:tcPr>
          <w:p w:rsidR="00BA73F2" w:rsidRPr="00501C83" w:rsidRDefault="00BA73F2" w:rsidP="00A318B2">
            <w:pPr>
              <w:rPr>
                <w:rFonts w:ascii="Times New Roman" w:hAnsi="Times New Roman"/>
                <w:sz w:val="20"/>
                <w:szCs w:val="20"/>
              </w:rPr>
            </w:pPr>
            <w:r w:rsidRPr="00501C83">
              <w:rPr>
                <w:rFonts w:ascii="Times New Roman" w:hAnsi="Times New Roman"/>
                <w:sz w:val="20"/>
                <w:szCs w:val="20"/>
              </w:rPr>
              <w:t xml:space="preserve">Dean </w:t>
            </w:r>
            <w:proofErr w:type="spellStart"/>
            <w:r w:rsidRPr="00501C83">
              <w:rPr>
                <w:rFonts w:ascii="Times New Roman" w:hAnsi="Times New Roman"/>
                <w:sz w:val="20"/>
                <w:szCs w:val="20"/>
              </w:rPr>
              <w:t>Orrico</w:t>
            </w:r>
            <w:proofErr w:type="spellEnd"/>
          </w:p>
        </w:tc>
        <w:tc>
          <w:tcPr>
            <w:tcW w:w="1134"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4</w:t>
            </w:r>
          </w:p>
        </w:tc>
        <w:tc>
          <w:tcPr>
            <w:tcW w:w="992" w:type="dxa"/>
          </w:tcPr>
          <w:p w:rsidR="00BA73F2" w:rsidRPr="003B5950" w:rsidRDefault="002F5A09" w:rsidP="00A318B2">
            <w:pPr>
              <w:jc w:val="center"/>
              <w:rPr>
                <w:rFonts w:ascii="Times New Roman" w:hAnsi="Times New Roman"/>
                <w:sz w:val="20"/>
                <w:szCs w:val="20"/>
              </w:rPr>
            </w:pPr>
            <w:r w:rsidRPr="00AC5183">
              <w:rPr>
                <w:rFonts w:ascii="Times New Roman" w:hAnsi="Times New Roman"/>
                <w:sz w:val="20"/>
                <w:szCs w:val="20"/>
              </w:rPr>
              <w:t>0</w:t>
            </w:r>
          </w:p>
        </w:tc>
        <w:tc>
          <w:tcPr>
            <w:tcW w:w="1276" w:type="dxa"/>
          </w:tcPr>
          <w:p w:rsidR="00BA73F2" w:rsidRPr="003B5950" w:rsidRDefault="00D67909">
            <w:pPr>
              <w:jc w:val="center"/>
              <w:rPr>
                <w:rFonts w:ascii="Times New Roman" w:hAnsi="Times New Roman"/>
                <w:sz w:val="20"/>
                <w:szCs w:val="20"/>
              </w:rPr>
            </w:pPr>
            <w:r>
              <w:rPr>
                <w:rFonts w:ascii="Times New Roman" w:hAnsi="Times New Roman"/>
                <w:sz w:val="20"/>
                <w:szCs w:val="20"/>
              </w:rPr>
              <w:t>0</w:t>
            </w:r>
          </w:p>
        </w:tc>
        <w:tc>
          <w:tcPr>
            <w:tcW w:w="1929"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1</w:t>
            </w:r>
          </w:p>
        </w:tc>
        <w:tc>
          <w:tcPr>
            <w:tcW w:w="1233"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0</w:t>
            </w:r>
          </w:p>
        </w:tc>
        <w:tc>
          <w:tcPr>
            <w:tcW w:w="1338"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1</w:t>
            </w:r>
          </w:p>
        </w:tc>
      </w:tr>
      <w:tr w:rsidR="00BA73F2" w:rsidRPr="009170B8" w:rsidTr="007A324C">
        <w:trPr>
          <w:trHeight w:val="42"/>
        </w:trPr>
        <w:tc>
          <w:tcPr>
            <w:tcW w:w="2518" w:type="dxa"/>
          </w:tcPr>
          <w:p w:rsidR="00BA73F2" w:rsidRPr="00501C83" w:rsidRDefault="00BA73F2" w:rsidP="00A318B2">
            <w:pPr>
              <w:rPr>
                <w:rFonts w:ascii="Times New Roman" w:hAnsi="Times New Roman"/>
                <w:sz w:val="20"/>
                <w:szCs w:val="20"/>
              </w:rPr>
            </w:pPr>
            <w:r w:rsidRPr="00501C83">
              <w:rPr>
                <w:rFonts w:ascii="Times New Roman" w:hAnsi="Times New Roman"/>
                <w:sz w:val="20"/>
                <w:szCs w:val="20"/>
              </w:rPr>
              <w:t>Nicholas Villiers</w:t>
            </w:r>
          </w:p>
        </w:tc>
        <w:tc>
          <w:tcPr>
            <w:tcW w:w="1134"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4</w:t>
            </w:r>
          </w:p>
        </w:tc>
        <w:tc>
          <w:tcPr>
            <w:tcW w:w="992" w:type="dxa"/>
          </w:tcPr>
          <w:p w:rsidR="00BA73F2" w:rsidRPr="003B5950" w:rsidRDefault="00BA73F2" w:rsidP="00A318B2">
            <w:pPr>
              <w:jc w:val="center"/>
              <w:rPr>
                <w:rFonts w:ascii="Times New Roman" w:hAnsi="Times New Roman"/>
                <w:sz w:val="20"/>
                <w:szCs w:val="20"/>
              </w:rPr>
            </w:pPr>
            <w:r w:rsidRPr="00AC5183">
              <w:rPr>
                <w:rFonts w:ascii="Times New Roman" w:hAnsi="Times New Roman"/>
                <w:sz w:val="20"/>
                <w:szCs w:val="20"/>
              </w:rPr>
              <w:t>2</w:t>
            </w:r>
          </w:p>
        </w:tc>
        <w:tc>
          <w:tcPr>
            <w:tcW w:w="1276"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2</w:t>
            </w:r>
          </w:p>
        </w:tc>
        <w:tc>
          <w:tcPr>
            <w:tcW w:w="1929" w:type="dxa"/>
          </w:tcPr>
          <w:p w:rsidR="00BA73F2" w:rsidRPr="003B5950" w:rsidRDefault="00BA73F2" w:rsidP="00A318B2">
            <w:pPr>
              <w:jc w:val="center"/>
              <w:rPr>
                <w:rFonts w:ascii="Times New Roman" w:hAnsi="Times New Roman"/>
                <w:sz w:val="20"/>
                <w:szCs w:val="20"/>
              </w:rPr>
            </w:pPr>
            <w:r w:rsidRPr="003B5950">
              <w:rPr>
                <w:rFonts w:ascii="Times New Roman" w:hAnsi="Times New Roman"/>
                <w:sz w:val="20"/>
                <w:szCs w:val="20"/>
              </w:rPr>
              <w:t>1</w:t>
            </w:r>
          </w:p>
        </w:tc>
        <w:tc>
          <w:tcPr>
            <w:tcW w:w="1233" w:type="dxa"/>
          </w:tcPr>
          <w:p w:rsidR="00BA73F2" w:rsidRPr="003B5950" w:rsidRDefault="00BA73F2" w:rsidP="00A318B2">
            <w:pPr>
              <w:jc w:val="center"/>
              <w:rPr>
                <w:rFonts w:ascii="Times New Roman" w:hAnsi="Times New Roman"/>
                <w:sz w:val="20"/>
                <w:szCs w:val="20"/>
              </w:rPr>
            </w:pPr>
            <w:r w:rsidRPr="00AC5183">
              <w:rPr>
                <w:rFonts w:ascii="Times New Roman" w:hAnsi="Times New Roman"/>
                <w:sz w:val="20"/>
                <w:szCs w:val="20"/>
              </w:rPr>
              <w:t>3</w:t>
            </w:r>
          </w:p>
        </w:tc>
        <w:tc>
          <w:tcPr>
            <w:tcW w:w="1338" w:type="dxa"/>
          </w:tcPr>
          <w:p w:rsidR="00BA73F2" w:rsidRPr="003B5950" w:rsidRDefault="00F54362" w:rsidP="00A318B2">
            <w:pPr>
              <w:jc w:val="center"/>
              <w:rPr>
                <w:rFonts w:ascii="Times New Roman" w:hAnsi="Times New Roman"/>
                <w:sz w:val="20"/>
                <w:szCs w:val="20"/>
              </w:rPr>
            </w:pPr>
            <w:r w:rsidRPr="00AC5183">
              <w:rPr>
                <w:rFonts w:ascii="Times New Roman" w:hAnsi="Times New Roman"/>
                <w:sz w:val="20"/>
                <w:szCs w:val="20"/>
              </w:rPr>
              <w:t>1</w:t>
            </w:r>
          </w:p>
        </w:tc>
      </w:tr>
      <w:tr w:rsidR="00C10BEA" w:rsidRPr="009170B8" w:rsidTr="007A324C">
        <w:trPr>
          <w:trHeight w:val="42"/>
        </w:trPr>
        <w:tc>
          <w:tcPr>
            <w:tcW w:w="2518" w:type="dxa"/>
          </w:tcPr>
          <w:p w:rsidR="00C10BEA" w:rsidRPr="00501C83" w:rsidRDefault="00C10BEA" w:rsidP="00A318B2">
            <w:pPr>
              <w:rPr>
                <w:rFonts w:ascii="Times New Roman" w:hAnsi="Times New Roman"/>
                <w:sz w:val="20"/>
                <w:szCs w:val="20"/>
              </w:rPr>
            </w:pPr>
            <w:r w:rsidRPr="00321B7D">
              <w:rPr>
                <w:rFonts w:ascii="Times New Roman" w:hAnsi="Times New Roman"/>
                <w:sz w:val="20"/>
                <w:szCs w:val="20"/>
              </w:rPr>
              <w:t>Richard Hughes</w:t>
            </w:r>
            <w:r w:rsidR="00762429">
              <w:rPr>
                <w:rFonts w:ascii="Times New Roman" w:hAnsi="Times New Roman"/>
                <w:sz w:val="20"/>
                <w:szCs w:val="20"/>
              </w:rPr>
              <w:t>*</w:t>
            </w:r>
          </w:p>
        </w:tc>
        <w:tc>
          <w:tcPr>
            <w:tcW w:w="1134" w:type="dxa"/>
          </w:tcPr>
          <w:p w:rsidR="00C10BEA" w:rsidRPr="003B5950" w:rsidRDefault="00F54362" w:rsidP="00A318B2">
            <w:pPr>
              <w:jc w:val="center"/>
              <w:rPr>
                <w:rFonts w:ascii="Times New Roman" w:hAnsi="Times New Roman"/>
                <w:sz w:val="20"/>
                <w:szCs w:val="20"/>
              </w:rPr>
            </w:pPr>
            <w:r w:rsidRPr="00AC5183">
              <w:rPr>
                <w:rFonts w:ascii="Times New Roman" w:hAnsi="Times New Roman"/>
                <w:sz w:val="20"/>
                <w:szCs w:val="20"/>
              </w:rPr>
              <w:t>2</w:t>
            </w:r>
          </w:p>
        </w:tc>
        <w:tc>
          <w:tcPr>
            <w:tcW w:w="992" w:type="dxa"/>
          </w:tcPr>
          <w:p w:rsidR="00C10BEA" w:rsidRPr="003B5950" w:rsidRDefault="00BA73F2" w:rsidP="00A318B2">
            <w:pPr>
              <w:jc w:val="center"/>
              <w:rPr>
                <w:rFonts w:ascii="Times New Roman" w:hAnsi="Times New Roman"/>
                <w:sz w:val="20"/>
                <w:szCs w:val="20"/>
              </w:rPr>
            </w:pPr>
            <w:r w:rsidRPr="00AC5183">
              <w:rPr>
                <w:rFonts w:ascii="Times New Roman" w:hAnsi="Times New Roman"/>
                <w:sz w:val="20"/>
                <w:szCs w:val="20"/>
              </w:rPr>
              <w:t>1</w:t>
            </w:r>
          </w:p>
        </w:tc>
        <w:tc>
          <w:tcPr>
            <w:tcW w:w="1276" w:type="dxa"/>
          </w:tcPr>
          <w:p w:rsidR="00C10BEA" w:rsidRPr="003B5950" w:rsidRDefault="00BA73F2" w:rsidP="00A318B2">
            <w:pPr>
              <w:jc w:val="center"/>
              <w:rPr>
                <w:rFonts w:ascii="Times New Roman" w:hAnsi="Times New Roman"/>
                <w:sz w:val="20"/>
                <w:szCs w:val="20"/>
              </w:rPr>
            </w:pPr>
            <w:r w:rsidRPr="00AC5183">
              <w:rPr>
                <w:rFonts w:ascii="Times New Roman" w:hAnsi="Times New Roman"/>
                <w:sz w:val="20"/>
                <w:szCs w:val="20"/>
              </w:rPr>
              <w:t>1</w:t>
            </w:r>
          </w:p>
        </w:tc>
        <w:tc>
          <w:tcPr>
            <w:tcW w:w="1929" w:type="dxa"/>
          </w:tcPr>
          <w:p w:rsidR="00C10BEA" w:rsidRPr="003B5950" w:rsidRDefault="00476BB8" w:rsidP="00A318B2">
            <w:pPr>
              <w:jc w:val="center"/>
              <w:rPr>
                <w:rFonts w:ascii="Times New Roman" w:hAnsi="Times New Roman"/>
                <w:sz w:val="20"/>
                <w:szCs w:val="20"/>
              </w:rPr>
            </w:pPr>
            <w:r>
              <w:rPr>
                <w:rFonts w:ascii="Times New Roman" w:hAnsi="Times New Roman"/>
                <w:sz w:val="20"/>
                <w:szCs w:val="20"/>
              </w:rPr>
              <w:t>0</w:t>
            </w:r>
          </w:p>
        </w:tc>
        <w:tc>
          <w:tcPr>
            <w:tcW w:w="1233" w:type="dxa"/>
          </w:tcPr>
          <w:p w:rsidR="00C10BEA" w:rsidRPr="003B5950" w:rsidRDefault="00BA73F2" w:rsidP="00A318B2">
            <w:pPr>
              <w:jc w:val="center"/>
              <w:rPr>
                <w:rFonts w:ascii="Times New Roman" w:hAnsi="Times New Roman"/>
                <w:sz w:val="20"/>
                <w:szCs w:val="20"/>
              </w:rPr>
            </w:pPr>
            <w:r w:rsidRPr="00AC5183">
              <w:rPr>
                <w:rFonts w:ascii="Times New Roman" w:hAnsi="Times New Roman"/>
                <w:sz w:val="20"/>
                <w:szCs w:val="20"/>
              </w:rPr>
              <w:t>1</w:t>
            </w:r>
          </w:p>
        </w:tc>
        <w:tc>
          <w:tcPr>
            <w:tcW w:w="1338" w:type="dxa"/>
          </w:tcPr>
          <w:p w:rsidR="00C10BEA" w:rsidRPr="003B5950" w:rsidRDefault="00F54362" w:rsidP="00A318B2">
            <w:pPr>
              <w:jc w:val="center"/>
              <w:rPr>
                <w:rFonts w:ascii="Times New Roman" w:hAnsi="Times New Roman"/>
                <w:sz w:val="20"/>
                <w:szCs w:val="20"/>
              </w:rPr>
            </w:pPr>
            <w:r w:rsidRPr="00AC5183">
              <w:rPr>
                <w:rFonts w:ascii="Times New Roman" w:hAnsi="Times New Roman"/>
                <w:sz w:val="20"/>
                <w:szCs w:val="20"/>
              </w:rPr>
              <w:t>1</w:t>
            </w:r>
          </w:p>
        </w:tc>
      </w:tr>
    </w:tbl>
    <w:p w:rsidR="00762429" w:rsidRPr="00133778" w:rsidRDefault="00762429" w:rsidP="00762429">
      <w:pPr>
        <w:autoSpaceDE w:val="0"/>
        <w:autoSpaceDN w:val="0"/>
        <w:adjustRightInd w:val="0"/>
        <w:jc w:val="both"/>
        <w:rPr>
          <w:rFonts w:ascii="Times New Roman" w:hAnsi="Times New Roman"/>
          <w:bCs/>
          <w:sz w:val="16"/>
          <w:szCs w:val="16"/>
        </w:rPr>
      </w:pPr>
      <w:r w:rsidRPr="00133778">
        <w:rPr>
          <w:rFonts w:ascii="Times New Roman" w:hAnsi="Times New Roman"/>
          <w:bCs/>
          <w:sz w:val="16"/>
          <w:szCs w:val="16"/>
        </w:rPr>
        <w:t xml:space="preserve">* </w:t>
      </w:r>
      <w:r>
        <w:rPr>
          <w:rFonts w:ascii="Times New Roman" w:hAnsi="Times New Roman"/>
          <w:bCs/>
          <w:sz w:val="16"/>
          <w:szCs w:val="16"/>
        </w:rPr>
        <w:t>Mr Hughes joined the board on 1 July 2018</w:t>
      </w:r>
    </w:p>
    <w:p w:rsidR="002B4D80" w:rsidRDefault="002B4D80" w:rsidP="007B59D7">
      <w:pPr>
        <w:pStyle w:val="Heading5"/>
        <w:rPr>
          <w:rFonts w:ascii="Times New Roman" w:hAnsi="Times New Roman"/>
          <w:i w:val="0"/>
        </w:rPr>
      </w:pPr>
    </w:p>
    <w:bookmarkEnd w:id="24"/>
    <w:bookmarkEnd w:id="25"/>
    <w:p w:rsidR="00B44D91" w:rsidRPr="009170B8" w:rsidRDefault="00B44D91" w:rsidP="00B44D91">
      <w:pPr>
        <w:jc w:val="both"/>
        <w:rPr>
          <w:rFonts w:ascii="Times New Roman" w:hAnsi="Times New Roman"/>
          <w:b/>
          <w:bCs/>
          <w:sz w:val="20"/>
          <w:szCs w:val="20"/>
        </w:rPr>
      </w:pPr>
      <w:r w:rsidRPr="009170B8">
        <w:rPr>
          <w:rFonts w:ascii="Times New Roman" w:hAnsi="Times New Roman"/>
          <w:b/>
          <w:bCs/>
          <w:sz w:val="20"/>
          <w:szCs w:val="20"/>
        </w:rPr>
        <w:t>Independence of Directors</w:t>
      </w:r>
    </w:p>
    <w:p w:rsidR="005A6F0F" w:rsidRPr="003B17AC" w:rsidRDefault="009D6139" w:rsidP="00E5676A">
      <w:pPr>
        <w:pStyle w:val="Heading5"/>
        <w:rPr>
          <w:rFonts w:ascii="Times New Roman" w:hAnsi="Times New Roman"/>
          <w:szCs w:val="20"/>
        </w:rPr>
      </w:pPr>
      <w:r w:rsidRPr="00E5676A">
        <w:rPr>
          <w:rFonts w:ascii="Times New Roman" w:hAnsi="Times New Roman"/>
          <w:i w:val="0"/>
          <w:szCs w:val="20"/>
        </w:rPr>
        <w:t xml:space="preserve">During the </w:t>
      </w:r>
      <w:r w:rsidR="00D2431A">
        <w:rPr>
          <w:rFonts w:ascii="Times New Roman" w:hAnsi="Times New Roman"/>
          <w:i w:val="0"/>
          <w:szCs w:val="20"/>
        </w:rPr>
        <w:t xml:space="preserve">first half of the </w:t>
      </w:r>
      <w:r w:rsidRPr="00E5676A">
        <w:rPr>
          <w:rFonts w:ascii="Times New Roman" w:hAnsi="Times New Roman"/>
          <w:i w:val="0"/>
          <w:szCs w:val="20"/>
        </w:rPr>
        <w:t>year</w:t>
      </w:r>
      <w:r w:rsidR="00CA5A90" w:rsidRPr="00E5676A">
        <w:rPr>
          <w:rFonts w:ascii="Times New Roman" w:hAnsi="Times New Roman"/>
          <w:i w:val="0"/>
          <w:szCs w:val="20"/>
        </w:rPr>
        <w:t>,</w:t>
      </w:r>
      <w:r w:rsidRPr="00E5676A">
        <w:rPr>
          <w:rFonts w:ascii="Times New Roman" w:hAnsi="Times New Roman"/>
          <w:i w:val="0"/>
          <w:szCs w:val="20"/>
        </w:rPr>
        <w:t xml:space="preserve"> the Board consisted of </w:t>
      </w:r>
      <w:r w:rsidR="00E54387">
        <w:rPr>
          <w:rFonts w:ascii="Times New Roman" w:hAnsi="Times New Roman"/>
          <w:i w:val="0"/>
          <w:szCs w:val="20"/>
        </w:rPr>
        <w:t>five</w:t>
      </w:r>
      <w:r w:rsidR="00E54387" w:rsidRPr="00E5676A">
        <w:rPr>
          <w:rFonts w:ascii="Times New Roman" w:hAnsi="Times New Roman"/>
          <w:i w:val="0"/>
          <w:szCs w:val="20"/>
        </w:rPr>
        <w:t xml:space="preserve"> </w:t>
      </w:r>
      <w:r w:rsidRPr="00E5676A">
        <w:rPr>
          <w:rFonts w:ascii="Times New Roman" w:hAnsi="Times New Roman"/>
          <w:i w:val="0"/>
          <w:szCs w:val="20"/>
        </w:rPr>
        <w:t xml:space="preserve">members, all of whom </w:t>
      </w:r>
      <w:r w:rsidR="00D2431A">
        <w:rPr>
          <w:rFonts w:ascii="Times New Roman" w:hAnsi="Times New Roman"/>
          <w:i w:val="0"/>
          <w:szCs w:val="20"/>
        </w:rPr>
        <w:t xml:space="preserve">were </w:t>
      </w:r>
      <w:r w:rsidRPr="00E5676A">
        <w:rPr>
          <w:rFonts w:ascii="Times New Roman" w:hAnsi="Times New Roman"/>
          <w:i w:val="0"/>
          <w:szCs w:val="20"/>
        </w:rPr>
        <w:t>non-executive</w:t>
      </w:r>
      <w:r w:rsidR="00D2431A">
        <w:rPr>
          <w:rFonts w:ascii="Times New Roman" w:hAnsi="Times New Roman"/>
          <w:i w:val="0"/>
          <w:szCs w:val="20"/>
        </w:rPr>
        <w:t xml:space="preserve">, increasing to six following the appointment of Mr Hughes as an additional </w:t>
      </w:r>
      <w:r w:rsidR="00873316">
        <w:rPr>
          <w:rFonts w:ascii="Times New Roman" w:hAnsi="Times New Roman"/>
          <w:i w:val="0"/>
          <w:szCs w:val="20"/>
        </w:rPr>
        <w:t>non-executive director</w:t>
      </w:r>
      <w:r w:rsidRPr="00E5676A">
        <w:rPr>
          <w:rFonts w:ascii="Times New Roman" w:hAnsi="Times New Roman"/>
          <w:i w:val="0"/>
          <w:szCs w:val="20"/>
        </w:rPr>
        <w:t xml:space="preserve">. Mr </w:t>
      </w:r>
      <w:proofErr w:type="spellStart"/>
      <w:r w:rsidRPr="00E5676A">
        <w:rPr>
          <w:rFonts w:ascii="Times New Roman" w:hAnsi="Times New Roman"/>
          <w:i w:val="0"/>
          <w:szCs w:val="20"/>
        </w:rPr>
        <w:t>Orrico</w:t>
      </w:r>
      <w:proofErr w:type="spellEnd"/>
      <w:r w:rsidRPr="00E5676A">
        <w:rPr>
          <w:rFonts w:ascii="Times New Roman" w:hAnsi="Times New Roman"/>
          <w:i w:val="0"/>
          <w:szCs w:val="20"/>
        </w:rPr>
        <w:t xml:space="preserve"> is a director of</w:t>
      </w:r>
      <w:r w:rsidR="005D6750" w:rsidRPr="00E5676A">
        <w:rPr>
          <w:rFonts w:ascii="Times New Roman" w:hAnsi="Times New Roman"/>
          <w:i w:val="0"/>
          <w:szCs w:val="20"/>
        </w:rPr>
        <w:t xml:space="preserve"> Middlefield Capital Corporation, an affiliate of</w:t>
      </w:r>
      <w:r w:rsidRPr="00E5676A">
        <w:rPr>
          <w:rFonts w:ascii="Times New Roman" w:hAnsi="Times New Roman"/>
          <w:i w:val="0"/>
          <w:szCs w:val="20"/>
        </w:rPr>
        <w:t xml:space="preserve"> the Investment Manager</w:t>
      </w:r>
      <w:r w:rsidR="00D01F77">
        <w:rPr>
          <w:rFonts w:ascii="Times New Roman" w:hAnsi="Times New Roman"/>
          <w:i w:val="0"/>
          <w:szCs w:val="20"/>
        </w:rPr>
        <w:t xml:space="preserve"> and President of Middlefield International Limited</w:t>
      </w:r>
      <w:r w:rsidRPr="00E5676A">
        <w:rPr>
          <w:rFonts w:ascii="Times New Roman" w:hAnsi="Times New Roman"/>
          <w:i w:val="0"/>
          <w:szCs w:val="20"/>
        </w:rPr>
        <w:t xml:space="preserve">. All the directors, apart from Mr </w:t>
      </w:r>
      <w:proofErr w:type="spellStart"/>
      <w:r w:rsidRPr="00E5676A">
        <w:rPr>
          <w:rFonts w:ascii="Times New Roman" w:hAnsi="Times New Roman"/>
          <w:i w:val="0"/>
          <w:szCs w:val="20"/>
        </w:rPr>
        <w:t>Orrico</w:t>
      </w:r>
      <w:proofErr w:type="spellEnd"/>
      <w:r w:rsidRPr="00E5676A">
        <w:rPr>
          <w:rFonts w:ascii="Times New Roman" w:hAnsi="Times New Roman"/>
          <w:i w:val="0"/>
          <w:szCs w:val="20"/>
        </w:rPr>
        <w:t xml:space="preserve">, are considered to be independent of the Investment Manager and free of any business or other relationship that could influence their ability to exercise independent judgement. The Board believes that Mr </w:t>
      </w:r>
      <w:proofErr w:type="spellStart"/>
      <w:r w:rsidRPr="00E5676A">
        <w:rPr>
          <w:rFonts w:ascii="Times New Roman" w:hAnsi="Times New Roman"/>
          <w:i w:val="0"/>
          <w:szCs w:val="20"/>
        </w:rPr>
        <w:t>Orrico’s</w:t>
      </w:r>
      <w:proofErr w:type="spellEnd"/>
      <w:r w:rsidRPr="00E5676A">
        <w:rPr>
          <w:rFonts w:ascii="Times New Roman" w:hAnsi="Times New Roman"/>
          <w:i w:val="0"/>
          <w:szCs w:val="20"/>
        </w:rPr>
        <w:t xml:space="preserve"> investment management experience adds considerable value to the Company. </w:t>
      </w:r>
      <w:r w:rsidR="00095797">
        <w:rPr>
          <w:rFonts w:ascii="Times New Roman" w:hAnsi="Times New Roman"/>
          <w:i w:val="0"/>
          <w:szCs w:val="20"/>
        </w:rPr>
        <w:t xml:space="preserve"> </w:t>
      </w:r>
      <w:r w:rsidR="00E54387">
        <w:rPr>
          <w:rFonts w:ascii="Times New Roman" w:hAnsi="Times New Roman"/>
          <w:i w:val="0"/>
          <w:szCs w:val="20"/>
        </w:rPr>
        <w:t>During the year under review, t</w:t>
      </w:r>
      <w:r w:rsidR="0085547E" w:rsidRPr="00095797">
        <w:rPr>
          <w:rFonts w:ascii="Times New Roman" w:hAnsi="Times New Roman"/>
          <w:i w:val="0"/>
          <w:szCs w:val="20"/>
        </w:rPr>
        <w:t xml:space="preserve">he entire Board </w:t>
      </w:r>
      <w:r w:rsidR="00E54387">
        <w:rPr>
          <w:rFonts w:ascii="Times New Roman" w:hAnsi="Times New Roman"/>
          <w:i w:val="0"/>
          <w:szCs w:val="20"/>
        </w:rPr>
        <w:t>were</w:t>
      </w:r>
      <w:r w:rsidR="0085547E" w:rsidRPr="00095797">
        <w:rPr>
          <w:rFonts w:ascii="Times New Roman" w:hAnsi="Times New Roman"/>
          <w:i w:val="0"/>
          <w:szCs w:val="20"/>
        </w:rPr>
        <w:t xml:space="preserve"> members of the </w:t>
      </w:r>
      <w:r w:rsidR="00095797" w:rsidRPr="00095797">
        <w:rPr>
          <w:rFonts w:ascii="Times New Roman" w:hAnsi="Times New Roman"/>
          <w:i w:val="0"/>
          <w:szCs w:val="20"/>
        </w:rPr>
        <w:t>Nomination</w:t>
      </w:r>
      <w:r w:rsidR="0085547E" w:rsidRPr="00095797">
        <w:rPr>
          <w:rFonts w:ascii="Times New Roman" w:hAnsi="Times New Roman"/>
          <w:i w:val="0"/>
          <w:szCs w:val="20"/>
        </w:rPr>
        <w:t xml:space="preserve"> &amp; </w:t>
      </w:r>
      <w:r w:rsidR="00095797" w:rsidRPr="00095797">
        <w:rPr>
          <w:rFonts w:ascii="Times New Roman" w:hAnsi="Times New Roman"/>
          <w:i w:val="0"/>
          <w:szCs w:val="20"/>
        </w:rPr>
        <w:t>Remuneration</w:t>
      </w:r>
      <w:r w:rsidR="0085547E" w:rsidRPr="00095797">
        <w:rPr>
          <w:rFonts w:ascii="Times New Roman" w:hAnsi="Times New Roman"/>
          <w:i w:val="0"/>
          <w:szCs w:val="20"/>
        </w:rPr>
        <w:t xml:space="preserve"> and M</w:t>
      </w:r>
      <w:r w:rsidR="00095797">
        <w:rPr>
          <w:rFonts w:ascii="Times New Roman" w:hAnsi="Times New Roman"/>
          <w:i w:val="0"/>
          <w:szCs w:val="20"/>
        </w:rPr>
        <w:t>anagement Engagement Committees</w:t>
      </w:r>
      <w:r w:rsidR="00960ABD">
        <w:rPr>
          <w:rFonts w:ascii="Times New Roman" w:hAnsi="Times New Roman"/>
          <w:i w:val="0"/>
          <w:szCs w:val="20"/>
        </w:rPr>
        <w:t>.</w:t>
      </w:r>
    </w:p>
    <w:p w:rsidR="00750224" w:rsidRPr="00E5676A" w:rsidRDefault="00750224" w:rsidP="00E54387">
      <w:pPr>
        <w:rPr>
          <w:rFonts w:ascii="Times New Roman" w:hAnsi="Times New Roman"/>
        </w:rPr>
      </w:pPr>
    </w:p>
    <w:p w:rsidR="00894794" w:rsidRPr="00F9062B" w:rsidRDefault="00E54387" w:rsidP="00F9062B">
      <w:pPr>
        <w:pStyle w:val="Heading5"/>
        <w:rPr>
          <w:rFonts w:ascii="Times New Roman" w:hAnsi="Times New Roman"/>
          <w:i w:val="0"/>
          <w:iCs w:val="0"/>
          <w:szCs w:val="20"/>
        </w:rPr>
      </w:pPr>
      <w:r w:rsidRPr="00F9062B">
        <w:rPr>
          <w:rFonts w:ascii="Times New Roman" w:hAnsi="Times New Roman"/>
          <w:i w:val="0"/>
          <w:szCs w:val="20"/>
        </w:rPr>
        <w:t xml:space="preserve">The Board believes that Mr Villiers, Mr Grose, Mr Bisson, Mr </w:t>
      </w:r>
      <w:proofErr w:type="spellStart"/>
      <w:r w:rsidRPr="00F9062B">
        <w:rPr>
          <w:rFonts w:ascii="Times New Roman" w:hAnsi="Times New Roman"/>
          <w:i w:val="0"/>
          <w:szCs w:val="20"/>
        </w:rPr>
        <w:t>Apsey</w:t>
      </w:r>
      <w:proofErr w:type="spellEnd"/>
      <w:r w:rsidRPr="00F9062B">
        <w:rPr>
          <w:rFonts w:ascii="Times New Roman" w:hAnsi="Times New Roman"/>
          <w:i w:val="0"/>
          <w:szCs w:val="20"/>
        </w:rPr>
        <w:t xml:space="preserve"> and Mr Hughes are independent in character and judgement and that their experience and knowledge of the specialised sector in which the Company operates adds significant strength to the Board. The directors believe that the Board has a balance of skills and experience which enable it to provide effective strategic leadership and proper governance of the Company. Information about the directors, including their relevant experience, can be found on page</w:t>
      </w:r>
      <w:r w:rsidR="00DF4F5A" w:rsidRPr="00F9062B">
        <w:rPr>
          <w:rFonts w:ascii="Times New Roman" w:hAnsi="Times New Roman"/>
          <w:i w:val="0"/>
          <w:szCs w:val="20"/>
        </w:rPr>
        <w:t>s</w:t>
      </w:r>
      <w:r w:rsidRPr="00F9062B">
        <w:rPr>
          <w:rFonts w:ascii="Times New Roman" w:hAnsi="Times New Roman"/>
          <w:i w:val="0"/>
          <w:szCs w:val="20"/>
        </w:rPr>
        <w:t xml:space="preserve"> 17</w:t>
      </w:r>
      <w:r w:rsidR="00DF4F5A" w:rsidRPr="00F9062B">
        <w:rPr>
          <w:rFonts w:ascii="Times New Roman" w:hAnsi="Times New Roman"/>
          <w:i w:val="0"/>
          <w:szCs w:val="20"/>
        </w:rPr>
        <w:t xml:space="preserve"> and 18</w:t>
      </w:r>
      <w:r w:rsidRPr="00F9062B">
        <w:rPr>
          <w:rFonts w:ascii="Times New Roman" w:hAnsi="Times New Roman"/>
          <w:i w:val="0"/>
          <w:szCs w:val="20"/>
        </w:rPr>
        <w:t xml:space="preserve">. The Board is of the view that length of service does not automatically compromise the independence or contribution of directors of an investment company, where continuity and experience can be a benefit to the Board. Furthermore, the Board agrees with the view expressed in the AIC Code that long serving directors should not be prevented from forming part of an independent majority or from acting as Chairman. Consequently, no limit </w:t>
      </w:r>
      <w:r w:rsidR="00871823" w:rsidRPr="00F9062B">
        <w:rPr>
          <w:rFonts w:ascii="Times New Roman" w:hAnsi="Times New Roman"/>
          <w:i w:val="0"/>
          <w:szCs w:val="20"/>
        </w:rPr>
        <w:t>had previously</w:t>
      </w:r>
      <w:r w:rsidRPr="00F9062B">
        <w:rPr>
          <w:rFonts w:ascii="Times New Roman" w:hAnsi="Times New Roman"/>
          <w:i w:val="0"/>
          <w:szCs w:val="20"/>
        </w:rPr>
        <w:t xml:space="preserve"> been imposed on the directors’ overall length of service.  However, the Board has noted that the AIC considers that directors who have served on the Board for more than nine years may not be independent and that certain corporate governance advisory bodies believe that directors should not serve more than nine years on an investment company’s Board.  Therefore, in the spirit of best corporate governance, the Board has decided that any director appointed in 2018 or thereafter shall only serve for a maximum of nine years before being required to retire from office.</w:t>
      </w:r>
    </w:p>
    <w:p w:rsidR="00894794" w:rsidRPr="0064692C" w:rsidRDefault="00894794" w:rsidP="00F9062B">
      <w:pPr>
        <w:pStyle w:val="Heading5"/>
        <w:rPr>
          <w:rFonts w:ascii="Times New Roman" w:hAnsi="Times New Roman"/>
          <w:szCs w:val="20"/>
        </w:rPr>
      </w:pPr>
    </w:p>
    <w:p w:rsidR="008B359C" w:rsidRPr="00E54387" w:rsidRDefault="008B359C" w:rsidP="00E54387">
      <w:pPr>
        <w:pStyle w:val="Heading2"/>
        <w:tabs>
          <w:tab w:val="right" w:pos="8222"/>
        </w:tabs>
        <w:rPr>
          <w:rFonts w:ascii="Times New Roman" w:hAnsi="Times New Roman"/>
          <w:b w:val="0"/>
        </w:rPr>
      </w:pPr>
      <w:r w:rsidRPr="00E54387">
        <w:rPr>
          <w:rFonts w:ascii="Times New Roman" w:hAnsi="Times New Roman"/>
        </w:rPr>
        <w:t>Board Composition and Succession</w:t>
      </w:r>
    </w:p>
    <w:p w:rsidR="008B359C" w:rsidRDefault="008B359C" w:rsidP="008B359C">
      <w:pPr>
        <w:spacing w:after="240"/>
        <w:jc w:val="both"/>
        <w:rPr>
          <w:rFonts w:ascii="Times New Roman" w:hAnsi="Times New Roman"/>
          <w:sz w:val="20"/>
          <w:szCs w:val="20"/>
        </w:rPr>
      </w:pPr>
      <w:r>
        <w:rPr>
          <w:rFonts w:ascii="Times New Roman" w:hAnsi="Times New Roman"/>
          <w:sz w:val="20"/>
          <w:szCs w:val="20"/>
        </w:rPr>
        <w:t>As stated in last year’s annual financial report, t</w:t>
      </w:r>
      <w:r w:rsidRPr="00E54387">
        <w:rPr>
          <w:rFonts w:ascii="Times New Roman" w:hAnsi="Times New Roman"/>
          <w:sz w:val="20"/>
          <w:szCs w:val="20"/>
        </w:rPr>
        <w:t xml:space="preserve">he Board has </w:t>
      </w:r>
      <w:r>
        <w:rPr>
          <w:rFonts w:ascii="Times New Roman" w:hAnsi="Times New Roman"/>
          <w:sz w:val="20"/>
          <w:szCs w:val="20"/>
        </w:rPr>
        <w:t xml:space="preserve">recognised </w:t>
      </w:r>
      <w:r w:rsidRPr="00E54387">
        <w:rPr>
          <w:rFonts w:ascii="Times New Roman" w:hAnsi="Times New Roman"/>
          <w:sz w:val="20"/>
          <w:szCs w:val="20"/>
        </w:rPr>
        <w:t xml:space="preserve">the merits of refreshing its composition, as well as planning for future succession.  </w:t>
      </w:r>
      <w:r>
        <w:rPr>
          <w:rFonts w:ascii="Times New Roman" w:hAnsi="Times New Roman"/>
          <w:sz w:val="20"/>
          <w:szCs w:val="20"/>
        </w:rPr>
        <w:t xml:space="preserve">As announced on 19 March 2019, Mr </w:t>
      </w:r>
      <w:proofErr w:type="spellStart"/>
      <w:r>
        <w:rPr>
          <w:rFonts w:ascii="Times New Roman" w:hAnsi="Times New Roman"/>
          <w:sz w:val="20"/>
          <w:szCs w:val="20"/>
        </w:rPr>
        <w:t>Apsey</w:t>
      </w:r>
      <w:proofErr w:type="spellEnd"/>
      <w:r>
        <w:rPr>
          <w:rFonts w:ascii="Times New Roman" w:hAnsi="Times New Roman"/>
          <w:sz w:val="20"/>
          <w:szCs w:val="20"/>
        </w:rPr>
        <w:t xml:space="preserve"> has indicated his </w:t>
      </w:r>
      <w:r w:rsidR="00BD7C09">
        <w:rPr>
          <w:rFonts w:ascii="Times New Roman" w:hAnsi="Times New Roman"/>
          <w:sz w:val="20"/>
          <w:szCs w:val="20"/>
        </w:rPr>
        <w:t>willingness</w:t>
      </w:r>
      <w:r>
        <w:rPr>
          <w:rFonts w:ascii="Times New Roman" w:hAnsi="Times New Roman"/>
          <w:sz w:val="20"/>
          <w:szCs w:val="20"/>
        </w:rPr>
        <w:t xml:space="preserve"> to retire as a director of the Company at the next Company and Cell Meeting, subject to the consent of the JFSC, which itself will be contingent upon the JFSC’s approval of a suitable Jersey-resident replacement.</w:t>
      </w:r>
      <w:r w:rsidR="000A575D">
        <w:rPr>
          <w:rFonts w:ascii="Times New Roman" w:hAnsi="Times New Roman"/>
          <w:sz w:val="20"/>
          <w:szCs w:val="20"/>
        </w:rPr>
        <w:t xml:space="preserve">  The Board thanks Mr </w:t>
      </w:r>
      <w:proofErr w:type="spellStart"/>
      <w:r w:rsidR="000A575D">
        <w:rPr>
          <w:rFonts w:ascii="Times New Roman" w:hAnsi="Times New Roman"/>
          <w:sz w:val="20"/>
          <w:szCs w:val="20"/>
        </w:rPr>
        <w:t>Apsey</w:t>
      </w:r>
      <w:proofErr w:type="spellEnd"/>
      <w:r w:rsidR="000A575D">
        <w:rPr>
          <w:rFonts w:ascii="Times New Roman" w:hAnsi="Times New Roman"/>
          <w:sz w:val="20"/>
          <w:szCs w:val="20"/>
        </w:rPr>
        <w:t xml:space="preserve"> for his loyal service and invaluable contributions to the Board</w:t>
      </w:r>
      <w:r w:rsidR="00175A17">
        <w:rPr>
          <w:rFonts w:ascii="Times New Roman" w:hAnsi="Times New Roman"/>
          <w:sz w:val="20"/>
          <w:szCs w:val="20"/>
        </w:rPr>
        <w:t xml:space="preserve"> during his tenure and wishes him well for the </w:t>
      </w:r>
      <w:r w:rsidR="00F55195">
        <w:rPr>
          <w:rFonts w:ascii="Times New Roman" w:hAnsi="Times New Roman"/>
          <w:sz w:val="20"/>
          <w:szCs w:val="20"/>
        </w:rPr>
        <w:t>future</w:t>
      </w:r>
      <w:r w:rsidR="000A575D">
        <w:rPr>
          <w:rFonts w:ascii="Times New Roman" w:hAnsi="Times New Roman"/>
          <w:sz w:val="20"/>
          <w:szCs w:val="20"/>
        </w:rPr>
        <w:t>.</w:t>
      </w:r>
    </w:p>
    <w:p w:rsidR="00E54387" w:rsidRDefault="008B359C">
      <w:pPr>
        <w:jc w:val="both"/>
        <w:rPr>
          <w:rFonts w:ascii="Times New Roman" w:hAnsi="Times New Roman"/>
          <w:sz w:val="20"/>
          <w:szCs w:val="20"/>
        </w:rPr>
      </w:pPr>
      <w:r w:rsidRPr="00E54387">
        <w:rPr>
          <w:rFonts w:ascii="Times New Roman" w:hAnsi="Times New Roman"/>
          <w:sz w:val="20"/>
          <w:szCs w:val="20"/>
        </w:rPr>
        <w:t xml:space="preserve">The Board has identified a shortlist of suitable candidates and anticipates that an additional </w:t>
      </w:r>
      <w:r w:rsidR="00BD7C09">
        <w:rPr>
          <w:rFonts w:ascii="Times New Roman" w:hAnsi="Times New Roman"/>
          <w:sz w:val="20"/>
          <w:szCs w:val="20"/>
        </w:rPr>
        <w:t xml:space="preserve">Jersey </w:t>
      </w:r>
      <w:r w:rsidRPr="00E54387">
        <w:rPr>
          <w:rFonts w:ascii="Times New Roman" w:hAnsi="Times New Roman"/>
          <w:sz w:val="20"/>
          <w:szCs w:val="20"/>
        </w:rPr>
        <w:t xml:space="preserve">director will be appointed </w:t>
      </w:r>
      <w:r>
        <w:rPr>
          <w:rFonts w:ascii="Times New Roman" w:hAnsi="Times New Roman"/>
          <w:sz w:val="20"/>
          <w:szCs w:val="20"/>
        </w:rPr>
        <w:t>at the conclusion of the next Company and Cell Meeting</w:t>
      </w:r>
      <w:r w:rsidR="00BD7C09">
        <w:rPr>
          <w:rFonts w:ascii="Times New Roman" w:hAnsi="Times New Roman"/>
          <w:sz w:val="20"/>
          <w:szCs w:val="20"/>
        </w:rPr>
        <w:t xml:space="preserve"> or shortly thereafter once approved by the JFSC.</w:t>
      </w:r>
      <w:r w:rsidR="00C4170C">
        <w:rPr>
          <w:rFonts w:ascii="Times New Roman" w:hAnsi="Times New Roman"/>
          <w:sz w:val="20"/>
          <w:szCs w:val="20"/>
        </w:rPr>
        <w:t xml:space="preserve"> </w:t>
      </w:r>
      <w:r w:rsidR="00BD7C09" w:rsidRPr="00E54387">
        <w:rPr>
          <w:rFonts w:ascii="Times New Roman" w:hAnsi="Times New Roman"/>
          <w:sz w:val="20"/>
          <w:szCs w:val="20"/>
        </w:rPr>
        <w:t xml:space="preserve">The Board also intends to appoint an additional UK-resident director at the conclusion of the next Company and Cell Meeting, or shortly thereafter, again subject to the approval of the JFSC.  </w:t>
      </w:r>
    </w:p>
    <w:p w:rsidR="00E54387" w:rsidRDefault="00E54387">
      <w:pPr>
        <w:jc w:val="both"/>
        <w:rPr>
          <w:rFonts w:ascii="Times New Roman" w:hAnsi="Times New Roman"/>
          <w:sz w:val="20"/>
          <w:szCs w:val="20"/>
        </w:rPr>
      </w:pPr>
    </w:p>
    <w:p w:rsidR="00E54387" w:rsidRDefault="00E54387" w:rsidP="00E54387">
      <w:pPr>
        <w:jc w:val="both"/>
        <w:rPr>
          <w:rFonts w:ascii="Times New Roman" w:hAnsi="Times New Roman"/>
          <w:sz w:val="20"/>
          <w:szCs w:val="20"/>
        </w:rPr>
      </w:pPr>
      <w:r w:rsidRPr="00C27A92">
        <w:rPr>
          <w:rFonts w:ascii="Times New Roman" w:hAnsi="Times New Roman"/>
          <w:sz w:val="20"/>
          <w:szCs w:val="20"/>
        </w:rPr>
        <w:t xml:space="preserve">Mr Villiers has served on the board for more than nine years and has spent 6 years as chairman.  Throughout his whole time in office, Mr Villiers has proved to be an exemplary director and chair.  Whilst being cognisant of the need for stability and experience and recognising Mr Villiers' ongoing invaluable contribution as chair, the board will consider whether Mr. Villiers should continue in this role and, if a change is deemed appropriate, will identify a suitable replacement chair.  This determination will be made prior to the </w:t>
      </w:r>
      <w:r w:rsidR="00871823">
        <w:rPr>
          <w:rFonts w:ascii="Times New Roman" w:hAnsi="Times New Roman"/>
          <w:sz w:val="20"/>
          <w:szCs w:val="20"/>
        </w:rPr>
        <w:t>C</w:t>
      </w:r>
      <w:r w:rsidRPr="00C27A92">
        <w:rPr>
          <w:rFonts w:ascii="Times New Roman" w:hAnsi="Times New Roman"/>
          <w:sz w:val="20"/>
          <w:szCs w:val="20"/>
        </w:rPr>
        <w:t xml:space="preserve">ompany and </w:t>
      </w:r>
      <w:r w:rsidR="00871823">
        <w:rPr>
          <w:rFonts w:ascii="Times New Roman" w:hAnsi="Times New Roman"/>
          <w:sz w:val="20"/>
          <w:szCs w:val="20"/>
        </w:rPr>
        <w:t>C</w:t>
      </w:r>
      <w:r w:rsidRPr="00C27A92">
        <w:rPr>
          <w:rFonts w:ascii="Times New Roman" w:hAnsi="Times New Roman"/>
          <w:sz w:val="20"/>
          <w:szCs w:val="20"/>
        </w:rPr>
        <w:t xml:space="preserve">ell </w:t>
      </w:r>
      <w:r w:rsidR="00871823">
        <w:rPr>
          <w:rFonts w:ascii="Times New Roman" w:hAnsi="Times New Roman"/>
          <w:sz w:val="20"/>
          <w:szCs w:val="20"/>
        </w:rPr>
        <w:t>M</w:t>
      </w:r>
      <w:r w:rsidRPr="00C27A92">
        <w:rPr>
          <w:rFonts w:ascii="Times New Roman" w:hAnsi="Times New Roman"/>
          <w:sz w:val="20"/>
          <w:szCs w:val="20"/>
        </w:rPr>
        <w:t>eeting to be held in 2020.</w:t>
      </w:r>
    </w:p>
    <w:p w:rsidR="00E04A57" w:rsidRDefault="00E04A57" w:rsidP="00E54387">
      <w:pPr>
        <w:jc w:val="both"/>
        <w:rPr>
          <w:rFonts w:ascii="Times New Roman" w:hAnsi="Times New Roman"/>
          <w:sz w:val="20"/>
          <w:szCs w:val="20"/>
        </w:rPr>
      </w:pPr>
    </w:p>
    <w:p w:rsidR="00E04A57" w:rsidRDefault="00E04A57" w:rsidP="00E54387">
      <w:pPr>
        <w:jc w:val="both"/>
        <w:rPr>
          <w:rFonts w:ascii="Times New Roman" w:hAnsi="Times New Roman"/>
          <w:sz w:val="20"/>
          <w:szCs w:val="20"/>
        </w:rPr>
      </w:pPr>
    </w:p>
    <w:p w:rsidR="00E04A57" w:rsidRDefault="00E04A57" w:rsidP="00E54387">
      <w:pPr>
        <w:jc w:val="both"/>
        <w:rPr>
          <w:rFonts w:ascii="Times New Roman" w:hAnsi="Times New Roman"/>
          <w:sz w:val="20"/>
          <w:szCs w:val="20"/>
        </w:rPr>
      </w:pPr>
    </w:p>
    <w:p w:rsidR="00E04A57" w:rsidRDefault="00E04A57" w:rsidP="00E54387">
      <w:pPr>
        <w:jc w:val="both"/>
        <w:rPr>
          <w:rFonts w:ascii="Times New Roman" w:hAnsi="Times New Roman"/>
          <w:sz w:val="20"/>
          <w:szCs w:val="20"/>
        </w:rPr>
      </w:pPr>
    </w:p>
    <w:p w:rsidR="00C96F7B" w:rsidRDefault="00C96F7B">
      <w:pPr>
        <w:pStyle w:val="Heading2"/>
        <w:tabs>
          <w:tab w:val="right" w:pos="8222"/>
        </w:tabs>
        <w:rPr>
          <w:rFonts w:ascii="Times New Roman" w:hAnsi="Times New Roman"/>
        </w:rPr>
      </w:pPr>
      <w:r w:rsidRPr="00E5676A">
        <w:rPr>
          <w:rFonts w:ascii="Times New Roman" w:hAnsi="Times New Roman"/>
        </w:rPr>
        <w:t>Directors’ Report (continued)</w:t>
      </w:r>
    </w:p>
    <w:p w:rsidR="007D5BB4" w:rsidRPr="00F9062B" w:rsidRDefault="007D5BB4" w:rsidP="00F9062B"/>
    <w:p w:rsidR="00C96F7B" w:rsidRPr="00E54387" w:rsidRDefault="00C96F7B" w:rsidP="00E54387">
      <w:pPr>
        <w:pStyle w:val="Heading2"/>
        <w:tabs>
          <w:tab w:val="right" w:pos="8222"/>
        </w:tabs>
        <w:rPr>
          <w:rFonts w:ascii="Times New Roman" w:hAnsi="Times New Roman"/>
          <w:b w:val="0"/>
        </w:rPr>
      </w:pPr>
      <w:r w:rsidRPr="00E54387">
        <w:rPr>
          <w:rFonts w:ascii="Times New Roman" w:hAnsi="Times New Roman"/>
        </w:rPr>
        <w:t xml:space="preserve">Board Composition and Succession </w:t>
      </w:r>
      <w:r w:rsidRPr="00140415">
        <w:rPr>
          <w:rFonts w:ascii="Times New Roman" w:hAnsi="Times New Roman"/>
        </w:rPr>
        <w:t>(continued)</w:t>
      </w:r>
    </w:p>
    <w:p w:rsidR="00A840E1" w:rsidRPr="00F54362" w:rsidRDefault="00A840E1" w:rsidP="00AC5183">
      <w:pPr>
        <w:jc w:val="both"/>
        <w:rPr>
          <w:rFonts w:ascii="Times New Roman" w:hAnsi="Times New Roman"/>
          <w:szCs w:val="20"/>
        </w:rPr>
      </w:pPr>
      <w:r w:rsidRPr="00B7185B">
        <w:rPr>
          <w:rFonts w:ascii="Times New Roman" w:hAnsi="Times New Roman"/>
          <w:sz w:val="20"/>
          <w:szCs w:val="20"/>
        </w:rPr>
        <w:t>As required by the FCA’s Listing Rules, full biographical details of any additional director</w:t>
      </w:r>
      <w:r>
        <w:rPr>
          <w:rFonts w:ascii="Times New Roman" w:hAnsi="Times New Roman"/>
          <w:sz w:val="20"/>
          <w:szCs w:val="20"/>
        </w:rPr>
        <w:t>s</w:t>
      </w:r>
      <w:r w:rsidRPr="00B7185B">
        <w:rPr>
          <w:rFonts w:ascii="Times New Roman" w:hAnsi="Times New Roman"/>
          <w:sz w:val="20"/>
          <w:szCs w:val="20"/>
        </w:rPr>
        <w:t xml:space="preserve"> appointed will be announced and he or she will stand for re-election at the next subsequent </w:t>
      </w:r>
      <w:r>
        <w:rPr>
          <w:rFonts w:ascii="Times New Roman" w:hAnsi="Times New Roman"/>
          <w:sz w:val="20"/>
          <w:szCs w:val="20"/>
        </w:rPr>
        <w:t>C</w:t>
      </w:r>
      <w:r w:rsidRPr="00B7185B">
        <w:rPr>
          <w:rFonts w:ascii="Times New Roman" w:hAnsi="Times New Roman"/>
          <w:sz w:val="20"/>
          <w:szCs w:val="20"/>
        </w:rPr>
        <w:t xml:space="preserve">ompany and </w:t>
      </w:r>
      <w:r>
        <w:rPr>
          <w:rFonts w:ascii="Times New Roman" w:hAnsi="Times New Roman"/>
          <w:sz w:val="20"/>
          <w:szCs w:val="20"/>
        </w:rPr>
        <w:t>C</w:t>
      </w:r>
      <w:r w:rsidRPr="00B7185B">
        <w:rPr>
          <w:rFonts w:ascii="Times New Roman" w:hAnsi="Times New Roman"/>
          <w:sz w:val="20"/>
          <w:szCs w:val="20"/>
        </w:rPr>
        <w:t xml:space="preserve">ell </w:t>
      </w:r>
      <w:r>
        <w:rPr>
          <w:rFonts w:ascii="Times New Roman" w:hAnsi="Times New Roman"/>
          <w:sz w:val="20"/>
          <w:szCs w:val="20"/>
        </w:rPr>
        <w:t>M</w:t>
      </w:r>
      <w:r w:rsidRPr="00B7185B">
        <w:rPr>
          <w:rFonts w:ascii="Times New Roman" w:hAnsi="Times New Roman"/>
          <w:sz w:val="20"/>
          <w:szCs w:val="20"/>
        </w:rPr>
        <w:t>eeting convened after their appointment</w:t>
      </w:r>
      <w:r>
        <w:rPr>
          <w:rFonts w:ascii="Times New Roman" w:hAnsi="Times New Roman"/>
          <w:sz w:val="20"/>
          <w:szCs w:val="20"/>
        </w:rPr>
        <w:t xml:space="preserve"> and annually thereafter</w:t>
      </w:r>
      <w:r w:rsidRPr="00B7185B">
        <w:rPr>
          <w:rFonts w:ascii="Times New Roman" w:hAnsi="Times New Roman"/>
          <w:sz w:val="20"/>
          <w:szCs w:val="20"/>
        </w:rPr>
        <w:t>.</w:t>
      </w:r>
    </w:p>
    <w:p w:rsidR="002E6FF3" w:rsidRPr="009170B8" w:rsidRDefault="002E6FF3" w:rsidP="002E6FF3"/>
    <w:p w:rsidR="00B44D91" w:rsidRPr="009170B8" w:rsidRDefault="00B44D91" w:rsidP="00B44D91">
      <w:pPr>
        <w:pStyle w:val="Heading5"/>
        <w:rPr>
          <w:rFonts w:ascii="Times New Roman" w:hAnsi="Times New Roman"/>
          <w:b/>
          <w:i w:val="0"/>
          <w:szCs w:val="20"/>
        </w:rPr>
      </w:pPr>
      <w:r w:rsidRPr="009170B8">
        <w:rPr>
          <w:rFonts w:ascii="Times New Roman" w:hAnsi="Times New Roman"/>
          <w:b/>
          <w:i w:val="0"/>
          <w:szCs w:val="20"/>
        </w:rPr>
        <w:t>Internal Control</w:t>
      </w:r>
      <w:r w:rsidR="005C0691">
        <w:rPr>
          <w:rFonts w:ascii="Times New Roman" w:hAnsi="Times New Roman"/>
          <w:b/>
          <w:i w:val="0"/>
          <w:szCs w:val="20"/>
        </w:rPr>
        <w:t>s</w:t>
      </w:r>
    </w:p>
    <w:p w:rsidR="005C0691" w:rsidRPr="009170B8" w:rsidRDefault="005C0691" w:rsidP="005C0691">
      <w:pPr>
        <w:spacing w:after="240"/>
        <w:jc w:val="both"/>
        <w:rPr>
          <w:rFonts w:ascii="Times New Roman" w:hAnsi="Times New Roman"/>
          <w:sz w:val="20"/>
          <w:szCs w:val="20"/>
        </w:rPr>
      </w:pPr>
      <w:r w:rsidRPr="00BB5BFC">
        <w:rPr>
          <w:rFonts w:ascii="Times New Roman" w:hAnsi="Times New Roman"/>
          <w:sz w:val="20"/>
          <w:szCs w:val="20"/>
        </w:rPr>
        <w:t xml:space="preserve">The </w:t>
      </w:r>
      <w:r w:rsidR="00EA6374">
        <w:rPr>
          <w:rFonts w:ascii="Times New Roman" w:hAnsi="Times New Roman"/>
          <w:sz w:val="20"/>
          <w:szCs w:val="20"/>
        </w:rPr>
        <w:t>d</w:t>
      </w:r>
      <w:r w:rsidRPr="00BB5BFC">
        <w:rPr>
          <w:rFonts w:ascii="Times New Roman" w:hAnsi="Times New Roman"/>
          <w:sz w:val="20"/>
          <w:szCs w:val="20"/>
        </w:rPr>
        <w:t xml:space="preserve">irectors are responsible for overseeing the effectiveness of the </w:t>
      </w:r>
      <w:r w:rsidR="00EA6374">
        <w:rPr>
          <w:rFonts w:ascii="Times New Roman" w:hAnsi="Times New Roman"/>
          <w:sz w:val="20"/>
          <w:szCs w:val="20"/>
        </w:rPr>
        <w:t xml:space="preserve">Company’s </w:t>
      </w:r>
      <w:r w:rsidRPr="00BB5BFC">
        <w:rPr>
          <w:rFonts w:ascii="Times New Roman" w:hAnsi="Times New Roman"/>
          <w:sz w:val="20"/>
          <w:szCs w:val="20"/>
        </w:rPr>
        <w:t xml:space="preserve">internal financial control systems, which are designed to ensure that proper accounting records are maintained, that the financial information on which business decisions are made and which is issued for publication is reliable, and that the assets of the Company are safeguarded. </w:t>
      </w:r>
      <w:r w:rsidR="004B6572">
        <w:rPr>
          <w:rFonts w:ascii="Times New Roman" w:hAnsi="Times New Roman"/>
          <w:sz w:val="20"/>
          <w:szCs w:val="20"/>
        </w:rPr>
        <w:t>However, such system can only be designed to manage rather than eliminate the risk of failure to achieve business objectives and therefore can only provide reasonable and not absolute assurance against material misstatement or loss.</w:t>
      </w:r>
      <w:r w:rsidRPr="00BB5BFC">
        <w:rPr>
          <w:rFonts w:ascii="Times New Roman" w:hAnsi="Times New Roman"/>
          <w:sz w:val="20"/>
          <w:szCs w:val="20"/>
        </w:rPr>
        <w:t xml:space="preserve"> </w:t>
      </w:r>
    </w:p>
    <w:p w:rsidR="00B44D91" w:rsidRPr="00026D7B" w:rsidRDefault="005C0691" w:rsidP="00E5676A">
      <w:pPr>
        <w:pStyle w:val="Heading5"/>
        <w:rPr>
          <w:rFonts w:ascii="Times New Roman" w:hAnsi="Times New Roman"/>
          <w:szCs w:val="20"/>
        </w:rPr>
      </w:pPr>
      <w:r w:rsidRPr="00026D7B">
        <w:rPr>
          <w:rFonts w:ascii="Times New Roman" w:hAnsi="Times New Roman"/>
          <w:i w:val="0"/>
          <w:iCs w:val="0"/>
          <w:szCs w:val="20"/>
        </w:rPr>
        <w:t xml:space="preserve">The Company receives reports from the </w:t>
      </w:r>
      <w:r w:rsidR="00514A54">
        <w:rPr>
          <w:rFonts w:ascii="Times New Roman" w:hAnsi="Times New Roman"/>
          <w:i w:val="0"/>
          <w:iCs w:val="0"/>
          <w:szCs w:val="20"/>
        </w:rPr>
        <w:t xml:space="preserve">Secretary and </w:t>
      </w:r>
      <w:r w:rsidRPr="00026D7B">
        <w:rPr>
          <w:rFonts w:ascii="Times New Roman" w:hAnsi="Times New Roman"/>
          <w:i w:val="0"/>
          <w:iCs w:val="0"/>
          <w:szCs w:val="20"/>
        </w:rPr>
        <w:t xml:space="preserve">Administrator relating to its activities.  Documented contractual arrangements are in place with the </w:t>
      </w:r>
      <w:r w:rsidR="00514A54">
        <w:rPr>
          <w:rFonts w:ascii="Times New Roman" w:hAnsi="Times New Roman"/>
          <w:i w:val="0"/>
          <w:iCs w:val="0"/>
          <w:szCs w:val="20"/>
        </w:rPr>
        <w:t xml:space="preserve">Secretary and </w:t>
      </w:r>
      <w:r w:rsidRPr="00026D7B">
        <w:rPr>
          <w:rFonts w:ascii="Times New Roman" w:hAnsi="Times New Roman"/>
          <w:i w:val="0"/>
          <w:iCs w:val="0"/>
          <w:szCs w:val="20"/>
        </w:rPr>
        <w:t xml:space="preserve">Administrator, which define the areas where the Company has delegated authority to </w:t>
      </w:r>
      <w:r w:rsidR="00514A54">
        <w:rPr>
          <w:rFonts w:ascii="Times New Roman" w:hAnsi="Times New Roman"/>
          <w:i w:val="0"/>
          <w:iCs w:val="0"/>
          <w:szCs w:val="20"/>
        </w:rPr>
        <w:t>it</w:t>
      </w:r>
      <w:r w:rsidRPr="00026D7B">
        <w:rPr>
          <w:rFonts w:ascii="Times New Roman" w:hAnsi="Times New Roman"/>
          <w:i w:val="0"/>
          <w:iCs w:val="0"/>
          <w:szCs w:val="20"/>
        </w:rPr>
        <w:t>.</w:t>
      </w:r>
    </w:p>
    <w:p w:rsidR="00026D7B" w:rsidRPr="003B17AC" w:rsidRDefault="00026D7B" w:rsidP="00E5676A">
      <w:pPr>
        <w:pStyle w:val="Heading5"/>
        <w:rPr>
          <w:rFonts w:ascii="Times New Roman" w:hAnsi="Times New Roman"/>
          <w:szCs w:val="20"/>
        </w:rPr>
      </w:pPr>
    </w:p>
    <w:p w:rsidR="005C0691" w:rsidRPr="009170B8" w:rsidRDefault="005C0691" w:rsidP="005C0691">
      <w:pPr>
        <w:pStyle w:val="Heading6"/>
        <w:rPr>
          <w:rFonts w:ascii="Times New Roman" w:hAnsi="Times New Roman"/>
          <w:b/>
          <w:i w:val="0"/>
          <w:szCs w:val="20"/>
        </w:rPr>
      </w:pPr>
      <w:r w:rsidRPr="00BB5BFC">
        <w:rPr>
          <w:rFonts w:ascii="Times New Roman" w:hAnsi="Times New Roman"/>
          <w:b/>
          <w:i w:val="0"/>
          <w:szCs w:val="20"/>
        </w:rPr>
        <w:t>Audit Committee</w:t>
      </w:r>
    </w:p>
    <w:p w:rsidR="005C0691" w:rsidRPr="009170B8" w:rsidRDefault="005C0691" w:rsidP="005C0691">
      <w:pPr>
        <w:spacing w:after="240"/>
        <w:jc w:val="both"/>
        <w:rPr>
          <w:rFonts w:ascii="Times New Roman" w:hAnsi="Times New Roman"/>
          <w:sz w:val="20"/>
          <w:szCs w:val="20"/>
        </w:rPr>
      </w:pPr>
      <w:r w:rsidRPr="00BB5BFC">
        <w:rPr>
          <w:rFonts w:ascii="Times New Roman" w:hAnsi="Times New Roman"/>
          <w:sz w:val="20"/>
          <w:szCs w:val="20"/>
        </w:rPr>
        <w:t xml:space="preserve">On 26 May 2010 an Audit Committee was established. </w:t>
      </w:r>
      <w:r w:rsidR="00963D05">
        <w:rPr>
          <w:rFonts w:ascii="Times New Roman" w:hAnsi="Times New Roman"/>
          <w:sz w:val="20"/>
          <w:szCs w:val="20"/>
        </w:rPr>
        <w:t xml:space="preserve">The current </w:t>
      </w:r>
      <w:r w:rsidRPr="00BB5BFC">
        <w:rPr>
          <w:rFonts w:ascii="Times New Roman" w:hAnsi="Times New Roman"/>
          <w:sz w:val="20"/>
          <w:szCs w:val="20"/>
        </w:rPr>
        <w:t xml:space="preserve">members are Thomas Grose (Chairman), Raymond </w:t>
      </w:r>
      <w:proofErr w:type="spellStart"/>
      <w:r w:rsidRPr="00BB5BFC">
        <w:rPr>
          <w:rFonts w:ascii="Times New Roman" w:hAnsi="Times New Roman"/>
          <w:sz w:val="20"/>
          <w:szCs w:val="20"/>
        </w:rPr>
        <w:t>Apsey</w:t>
      </w:r>
      <w:proofErr w:type="spellEnd"/>
      <w:r w:rsidRPr="00BB5BFC">
        <w:rPr>
          <w:rFonts w:ascii="Times New Roman" w:hAnsi="Times New Roman"/>
          <w:sz w:val="20"/>
          <w:szCs w:val="20"/>
        </w:rPr>
        <w:t>, Nicholas Villiers</w:t>
      </w:r>
      <w:r w:rsidR="00BA73F2">
        <w:rPr>
          <w:rFonts w:ascii="Times New Roman" w:hAnsi="Times New Roman"/>
          <w:sz w:val="20"/>
          <w:szCs w:val="20"/>
        </w:rPr>
        <w:t xml:space="preserve">, </w:t>
      </w:r>
      <w:r w:rsidRPr="00BB5BFC">
        <w:rPr>
          <w:rFonts w:ascii="Times New Roman" w:hAnsi="Times New Roman"/>
          <w:sz w:val="20"/>
          <w:szCs w:val="20"/>
        </w:rPr>
        <w:t>Philip Bisson</w:t>
      </w:r>
      <w:r w:rsidR="00BA73F2">
        <w:rPr>
          <w:rFonts w:ascii="Times New Roman" w:hAnsi="Times New Roman"/>
          <w:sz w:val="20"/>
          <w:szCs w:val="20"/>
        </w:rPr>
        <w:t xml:space="preserve"> and Richard Hughes</w:t>
      </w:r>
      <w:r w:rsidR="00963D05">
        <w:rPr>
          <w:rFonts w:ascii="Times New Roman" w:hAnsi="Times New Roman"/>
          <w:sz w:val="20"/>
          <w:szCs w:val="20"/>
        </w:rPr>
        <w:t xml:space="preserve"> (from 1 July 2018)</w:t>
      </w:r>
      <w:r w:rsidRPr="00BA73F2">
        <w:rPr>
          <w:rFonts w:ascii="Times New Roman" w:hAnsi="Times New Roman"/>
          <w:sz w:val="20"/>
          <w:szCs w:val="20"/>
        </w:rPr>
        <w:t>.</w:t>
      </w:r>
      <w:r w:rsidRPr="00BB5BFC">
        <w:rPr>
          <w:rFonts w:ascii="Times New Roman" w:hAnsi="Times New Roman"/>
          <w:sz w:val="20"/>
          <w:szCs w:val="20"/>
        </w:rPr>
        <w:t xml:space="preserve">  A separate report from the Audit Committee is i</w:t>
      </w:r>
      <w:r w:rsidRPr="009170B8">
        <w:rPr>
          <w:rFonts w:ascii="Times New Roman" w:hAnsi="Times New Roman"/>
          <w:sz w:val="20"/>
          <w:szCs w:val="20"/>
        </w:rPr>
        <w:t xml:space="preserve">ncluded at </w:t>
      </w:r>
      <w:r w:rsidRPr="00026D7B">
        <w:rPr>
          <w:rFonts w:ascii="Times New Roman" w:hAnsi="Times New Roman"/>
          <w:sz w:val="20"/>
          <w:szCs w:val="20"/>
        </w:rPr>
        <w:t xml:space="preserve">pages </w:t>
      </w:r>
      <w:r w:rsidR="00916D00" w:rsidRPr="00E5676A">
        <w:rPr>
          <w:rFonts w:ascii="Times New Roman" w:hAnsi="Times New Roman"/>
          <w:sz w:val="20"/>
          <w:szCs w:val="20"/>
        </w:rPr>
        <w:t>2</w:t>
      </w:r>
      <w:r w:rsidR="00A66792">
        <w:rPr>
          <w:rFonts w:ascii="Times New Roman" w:hAnsi="Times New Roman"/>
          <w:sz w:val="20"/>
          <w:szCs w:val="20"/>
        </w:rPr>
        <w:t>5</w:t>
      </w:r>
      <w:r w:rsidRPr="00E5676A">
        <w:rPr>
          <w:rFonts w:ascii="Times New Roman" w:hAnsi="Times New Roman"/>
          <w:sz w:val="20"/>
          <w:szCs w:val="20"/>
        </w:rPr>
        <w:t xml:space="preserve"> to </w:t>
      </w:r>
      <w:r w:rsidR="00916D00" w:rsidRPr="00E5676A">
        <w:rPr>
          <w:rFonts w:ascii="Times New Roman" w:hAnsi="Times New Roman"/>
          <w:sz w:val="20"/>
          <w:szCs w:val="20"/>
        </w:rPr>
        <w:t>2</w:t>
      </w:r>
      <w:r w:rsidR="00A66792">
        <w:rPr>
          <w:rFonts w:ascii="Times New Roman" w:hAnsi="Times New Roman"/>
          <w:sz w:val="20"/>
          <w:szCs w:val="20"/>
        </w:rPr>
        <w:t>7</w:t>
      </w:r>
      <w:r w:rsidRPr="00026D7B">
        <w:rPr>
          <w:rFonts w:ascii="Times New Roman" w:hAnsi="Times New Roman"/>
          <w:sz w:val="20"/>
          <w:szCs w:val="20"/>
        </w:rPr>
        <w:t>.</w:t>
      </w:r>
    </w:p>
    <w:p w:rsidR="005C0691" w:rsidRPr="005C0691" w:rsidRDefault="005C0691" w:rsidP="005C0691">
      <w:pPr>
        <w:autoSpaceDE w:val="0"/>
        <w:autoSpaceDN w:val="0"/>
        <w:adjustRightInd w:val="0"/>
        <w:jc w:val="both"/>
        <w:rPr>
          <w:rFonts w:ascii="Times New Roman" w:hAnsi="Times New Roman"/>
          <w:b/>
          <w:sz w:val="20"/>
          <w:szCs w:val="20"/>
        </w:rPr>
      </w:pPr>
      <w:r w:rsidRPr="005C0691">
        <w:rPr>
          <w:rFonts w:ascii="Times New Roman" w:hAnsi="Times New Roman"/>
          <w:b/>
          <w:sz w:val="20"/>
          <w:szCs w:val="20"/>
        </w:rPr>
        <w:t>Nomination and Remuneration Committee</w:t>
      </w:r>
    </w:p>
    <w:p w:rsidR="0064692C" w:rsidRDefault="0064692C" w:rsidP="0064692C">
      <w:pPr>
        <w:autoSpaceDE w:val="0"/>
        <w:autoSpaceDN w:val="0"/>
        <w:adjustRightInd w:val="0"/>
        <w:spacing w:after="20"/>
        <w:jc w:val="both"/>
        <w:rPr>
          <w:rFonts w:ascii="Times New Roman" w:hAnsi="Times New Roman"/>
          <w:sz w:val="20"/>
          <w:szCs w:val="20"/>
        </w:rPr>
      </w:pPr>
      <w:r w:rsidRPr="005C0691">
        <w:rPr>
          <w:rFonts w:ascii="Times New Roman" w:hAnsi="Times New Roman"/>
          <w:sz w:val="20"/>
          <w:szCs w:val="20"/>
        </w:rPr>
        <w:t xml:space="preserve">The Board has also established a Nomination and Remuneration Committee, which meets when necessary. </w:t>
      </w:r>
      <w:r>
        <w:rPr>
          <w:rFonts w:ascii="Times New Roman" w:hAnsi="Times New Roman"/>
          <w:sz w:val="20"/>
          <w:szCs w:val="20"/>
        </w:rPr>
        <w:t>At the present time, t</w:t>
      </w:r>
      <w:r w:rsidRPr="005C0691">
        <w:rPr>
          <w:rFonts w:ascii="Times New Roman" w:hAnsi="Times New Roman"/>
          <w:sz w:val="20"/>
          <w:szCs w:val="20"/>
        </w:rPr>
        <w:t>he current members are all the directors of the Compan</w:t>
      </w:r>
      <w:r>
        <w:rPr>
          <w:rFonts w:ascii="Times New Roman" w:hAnsi="Times New Roman"/>
          <w:sz w:val="20"/>
          <w:szCs w:val="20"/>
        </w:rPr>
        <w:t>y, whose summary biographical details are set out on page</w:t>
      </w:r>
      <w:r w:rsidR="00DF4F5A">
        <w:rPr>
          <w:rFonts w:ascii="Times New Roman" w:hAnsi="Times New Roman"/>
          <w:sz w:val="20"/>
          <w:szCs w:val="20"/>
        </w:rPr>
        <w:t>s</w:t>
      </w:r>
      <w:r>
        <w:rPr>
          <w:rFonts w:ascii="Times New Roman" w:hAnsi="Times New Roman"/>
          <w:sz w:val="20"/>
          <w:szCs w:val="20"/>
        </w:rPr>
        <w:t xml:space="preserve"> 17</w:t>
      </w:r>
      <w:r w:rsidR="00DF4F5A">
        <w:rPr>
          <w:rFonts w:ascii="Times New Roman" w:hAnsi="Times New Roman"/>
          <w:sz w:val="20"/>
          <w:szCs w:val="20"/>
        </w:rPr>
        <w:t xml:space="preserve"> and 18</w:t>
      </w:r>
      <w:r w:rsidRPr="005C0691">
        <w:rPr>
          <w:rFonts w:ascii="Times New Roman" w:hAnsi="Times New Roman"/>
          <w:sz w:val="20"/>
          <w:szCs w:val="20"/>
        </w:rPr>
        <w:t>.</w:t>
      </w:r>
      <w:r>
        <w:rPr>
          <w:rFonts w:ascii="Times New Roman" w:hAnsi="Times New Roman"/>
          <w:sz w:val="20"/>
          <w:szCs w:val="20"/>
        </w:rPr>
        <w:t xml:space="preserve">  However, with effect from 1 July 2019, it is intended that as a result of his role as President of Middlefield International Limited, Mr </w:t>
      </w:r>
      <w:proofErr w:type="spellStart"/>
      <w:r>
        <w:rPr>
          <w:rFonts w:ascii="Times New Roman" w:hAnsi="Times New Roman"/>
          <w:sz w:val="20"/>
          <w:szCs w:val="20"/>
        </w:rPr>
        <w:t>Orrico</w:t>
      </w:r>
      <w:proofErr w:type="spellEnd"/>
      <w:r>
        <w:rPr>
          <w:rFonts w:ascii="Times New Roman" w:hAnsi="Times New Roman"/>
          <w:sz w:val="20"/>
          <w:szCs w:val="20"/>
        </w:rPr>
        <w:t xml:space="preserve"> will no longer be a member of the Nomination and Remuneration Committee. The key terms </w:t>
      </w:r>
      <w:r w:rsidRPr="0085547E">
        <w:rPr>
          <w:rFonts w:ascii="Times New Roman" w:hAnsi="Times New Roman"/>
          <w:sz w:val="20"/>
          <w:szCs w:val="20"/>
        </w:rPr>
        <w:t xml:space="preserve">of reference </w:t>
      </w:r>
      <w:r>
        <w:rPr>
          <w:rFonts w:ascii="Times New Roman" w:hAnsi="Times New Roman"/>
          <w:sz w:val="20"/>
          <w:szCs w:val="20"/>
        </w:rPr>
        <w:t xml:space="preserve">of the Nomination and Remuneration Committee </w:t>
      </w:r>
      <w:r w:rsidRPr="0085547E">
        <w:rPr>
          <w:rFonts w:ascii="Times New Roman" w:hAnsi="Times New Roman"/>
          <w:sz w:val="20"/>
          <w:szCs w:val="20"/>
        </w:rPr>
        <w:t>are set out below.</w:t>
      </w:r>
    </w:p>
    <w:p w:rsidR="00E54387" w:rsidRPr="00F9062B" w:rsidRDefault="00E54387" w:rsidP="00F9062B">
      <w:pPr>
        <w:pStyle w:val="ListParagraph"/>
        <w:numPr>
          <w:ilvl w:val="0"/>
          <w:numId w:val="11"/>
        </w:numPr>
        <w:spacing w:after="240"/>
        <w:ind w:right="-2"/>
        <w:jc w:val="both"/>
        <w:rPr>
          <w:rFonts w:ascii="Times New Roman" w:eastAsia="Times New Roman" w:hAnsi="Times New Roman"/>
          <w:sz w:val="20"/>
          <w:szCs w:val="20"/>
          <w:lang w:eastAsia="en-US"/>
        </w:rPr>
      </w:pPr>
      <w:r w:rsidRPr="00F9062B">
        <w:rPr>
          <w:rFonts w:ascii="Times New Roman" w:eastAsia="Times New Roman" w:hAnsi="Times New Roman"/>
          <w:sz w:val="20"/>
          <w:szCs w:val="20"/>
          <w:lang w:eastAsia="en-US"/>
        </w:rPr>
        <w:t>The Committee oversees the process of identifying and nominating prospective directors.</w:t>
      </w:r>
    </w:p>
    <w:p w:rsidR="00D63446" w:rsidRPr="00C87A19" w:rsidRDefault="009D6139" w:rsidP="008D28E4">
      <w:pPr>
        <w:pStyle w:val="ListParagraph"/>
        <w:numPr>
          <w:ilvl w:val="0"/>
          <w:numId w:val="11"/>
        </w:numPr>
        <w:spacing w:after="240"/>
        <w:ind w:right="-2"/>
        <w:jc w:val="both"/>
        <w:rPr>
          <w:rFonts w:ascii="Times New Roman" w:hAnsi="Times New Roman"/>
          <w:sz w:val="20"/>
          <w:szCs w:val="20"/>
        </w:rPr>
      </w:pPr>
      <w:r w:rsidRPr="0085547E">
        <w:rPr>
          <w:rFonts w:ascii="Times New Roman" w:eastAsia="Times New Roman" w:hAnsi="Times New Roman"/>
          <w:sz w:val="20"/>
          <w:szCs w:val="20"/>
          <w:lang w:eastAsia="en-US"/>
        </w:rPr>
        <w:t>The Committee considers and monitors the level and structure of remuneration of the directors of the Company and</w:t>
      </w:r>
      <w:r w:rsidRPr="009D6139">
        <w:rPr>
          <w:rFonts w:ascii="Times New Roman" w:hAnsi="Times New Roman"/>
          <w:sz w:val="20"/>
          <w:szCs w:val="20"/>
        </w:rPr>
        <w:t xml:space="preserve"> </w:t>
      </w:r>
      <w:r w:rsidR="0063725D">
        <w:rPr>
          <w:rFonts w:ascii="Times New Roman" w:hAnsi="Times New Roman"/>
          <w:sz w:val="20"/>
          <w:szCs w:val="20"/>
        </w:rPr>
        <w:t xml:space="preserve">the </w:t>
      </w:r>
      <w:r w:rsidRPr="009D6139">
        <w:rPr>
          <w:rFonts w:ascii="Times New Roman" w:hAnsi="Times New Roman"/>
          <w:sz w:val="20"/>
          <w:szCs w:val="20"/>
        </w:rPr>
        <w:t xml:space="preserve">Fund. </w:t>
      </w:r>
    </w:p>
    <w:p w:rsidR="002D7247" w:rsidRPr="00C87A19" w:rsidRDefault="009D6139" w:rsidP="00C87A19">
      <w:pPr>
        <w:pStyle w:val="ListParagraph"/>
        <w:numPr>
          <w:ilvl w:val="0"/>
          <w:numId w:val="11"/>
        </w:numPr>
        <w:spacing w:after="240"/>
        <w:ind w:right="-2"/>
        <w:jc w:val="both"/>
        <w:rPr>
          <w:rFonts w:ascii="Times New Roman" w:hAnsi="Times New Roman"/>
          <w:sz w:val="20"/>
          <w:szCs w:val="20"/>
        </w:rPr>
      </w:pPr>
      <w:r w:rsidRPr="009D6139">
        <w:rPr>
          <w:rFonts w:ascii="Times New Roman" w:hAnsi="Times New Roman"/>
          <w:sz w:val="20"/>
          <w:szCs w:val="20"/>
        </w:rPr>
        <w:t>The Committee is authorised, in consultation with the Secretary, where necessary to fulfil its duties, to obtain outside legal or other professional advice</w:t>
      </w:r>
      <w:r w:rsidR="00321966">
        <w:rPr>
          <w:rFonts w:ascii="Times New Roman" w:hAnsi="Times New Roman"/>
          <w:sz w:val="20"/>
          <w:szCs w:val="20"/>
        </w:rPr>
        <w:t>,</w:t>
      </w:r>
      <w:r w:rsidRPr="009D6139">
        <w:rPr>
          <w:rFonts w:ascii="Times New Roman" w:hAnsi="Times New Roman"/>
          <w:sz w:val="20"/>
          <w:szCs w:val="20"/>
        </w:rPr>
        <w:t xml:space="preserve"> including the advice of independent remuneration consultants, to secure the attendance of external advisors at its meetings, if it considers this necessary, and to obtain reliable up-to-date information about remuneration in other companies, </w:t>
      </w:r>
      <w:r w:rsidR="00321966">
        <w:rPr>
          <w:rFonts w:ascii="Times New Roman" w:hAnsi="Times New Roman"/>
          <w:sz w:val="20"/>
          <w:szCs w:val="20"/>
        </w:rPr>
        <w:t xml:space="preserve">all </w:t>
      </w:r>
      <w:r w:rsidRPr="009D6139">
        <w:rPr>
          <w:rFonts w:ascii="Times New Roman" w:hAnsi="Times New Roman"/>
          <w:sz w:val="20"/>
          <w:szCs w:val="20"/>
        </w:rPr>
        <w:t>at the expense of the Fund.</w:t>
      </w:r>
    </w:p>
    <w:p w:rsidR="005A6F0F" w:rsidRPr="009170B8" w:rsidRDefault="009D6139" w:rsidP="00A60442">
      <w:pPr>
        <w:pStyle w:val="ListParagraph"/>
        <w:numPr>
          <w:ilvl w:val="0"/>
          <w:numId w:val="11"/>
        </w:numPr>
        <w:spacing w:after="240"/>
        <w:ind w:right="-2"/>
        <w:jc w:val="both"/>
        <w:rPr>
          <w:rFonts w:ascii="Times New Roman" w:hAnsi="Times New Roman"/>
          <w:sz w:val="20"/>
          <w:szCs w:val="20"/>
        </w:rPr>
      </w:pPr>
      <w:r w:rsidRPr="009D6139">
        <w:rPr>
          <w:rFonts w:ascii="Times New Roman" w:hAnsi="Times New Roman"/>
          <w:sz w:val="20"/>
          <w:szCs w:val="20"/>
        </w:rPr>
        <w:t xml:space="preserve">The Committee considers the overall levels of insurance cover for the Company, including </w:t>
      </w:r>
      <w:r w:rsidR="00C25D98">
        <w:rPr>
          <w:rFonts w:ascii="Times New Roman" w:hAnsi="Times New Roman"/>
          <w:sz w:val="20"/>
          <w:szCs w:val="20"/>
        </w:rPr>
        <w:t>d</w:t>
      </w:r>
      <w:r w:rsidR="00C25D98" w:rsidRPr="009D6139">
        <w:rPr>
          <w:rFonts w:ascii="Times New Roman" w:hAnsi="Times New Roman"/>
          <w:sz w:val="20"/>
          <w:szCs w:val="20"/>
        </w:rPr>
        <w:t xml:space="preserve">irectors’ </w:t>
      </w:r>
      <w:r w:rsidRPr="009D6139">
        <w:rPr>
          <w:rFonts w:ascii="Times New Roman" w:hAnsi="Times New Roman"/>
          <w:sz w:val="20"/>
          <w:szCs w:val="20"/>
        </w:rPr>
        <w:t xml:space="preserve">and </w:t>
      </w:r>
      <w:r w:rsidR="00C25D98">
        <w:rPr>
          <w:rFonts w:ascii="Times New Roman" w:hAnsi="Times New Roman"/>
          <w:sz w:val="20"/>
          <w:szCs w:val="20"/>
        </w:rPr>
        <w:t>o</w:t>
      </w:r>
      <w:r w:rsidR="00C25D98" w:rsidRPr="009D6139">
        <w:rPr>
          <w:rFonts w:ascii="Times New Roman" w:hAnsi="Times New Roman"/>
          <w:sz w:val="20"/>
          <w:szCs w:val="20"/>
        </w:rPr>
        <w:t xml:space="preserve">fficers’ </w:t>
      </w:r>
      <w:r w:rsidR="00C25D98">
        <w:rPr>
          <w:rFonts w:ascii="Times New Roman" w:hAnsi="Times New Roman"/>
          <w:sz w:val="20"/>
          <w:szCs w:val="20"/>
        </w:rPr>
        <w:t>l</w:t>
      </w:r>
      <w:r w:rsidR="00C25D98" w:rsidRPr="009D6139">
        <w:rPr>
          <w:rFonts w:ascii="Times New Roman" w:hAnsi="Times New Roman"/>
          <w:sz w:val="20"/>
          <w:szCs w:val="20"/>
        </w:rPr>
        <w:t xml:space="preserve">iability </w:t>
      </w:r>
      <w:r w:rsidR="00C25D98">
        <w:rPr>
          <w:rFonts w:ascii="Times New Roman" w:hAnsi="Times New Roman"/>
          <w:sz w:val="20"/>
          <w:szCs w:val="20"/>
        </w:rPr>
        <w:t>i</w:t>
      </w:r>
      <w:r w:rsidR="00C25D98" w:rsidRPr="009D6139">
        <w:rPr>
          <w:rFonts w:ascii="Times New Roman" w:hAnsi="Times New Roman"/>
          <w:sz w:val="20"/>
          <w:szCs w:val="20"/>
        </w:rPr>
        <w:t>nsurance</w:t>
      </w:r>
      <w:r w:rsidRPr="009D6139">
        <w:rPr>
          <w:rFonts w:ascii="Times New Roman" w:hAnsi="Times New Roman"/>
          <w:sz w:val="20"/>
          <w:szCs w:val="20"/>
        </w:rPr>
        <w:t xml:space="preserve">.  </w:t>
      </w:r>
    </w:p>
    <w:p w:rsidR="00EE7AC0" w:rsidRPr="00C87A19" w:rsidRDefault="009D6139" w:rsidP="00C87A19">
      <w:pPr>
        <w:pStyle w:val="ListParagraph"/>
        <w:numPr>
          <w:ilvl w:val="0"/>
          <w:numId w:val="11"/>
        </w:numPr>
        <w:spacing w:after="240"/>
        <w:ind w:right="-2"/>
        <w:jc w:val="both"/>
        <w:rPr>
          <w:rFonts w:ascii="Times New Roman" w:hAnsi="Times New Roman"/>
          <w:sz w:val="20"/>
          <w:szCs w:val="20"/>
        </w:rPr>
      </w:pPr>
      <w:r w:rsidRPr="009D6139">
        <w:rPr>
          <w:rFonts w:ascii="Times New Roman" w:hAnsi="Times New Roman"/>
          <w:sz w:val="20"/>
          <w:szCs w:val="20"/>
        </w:rPr>
        <w:t>The Committee conducts a process annually to evaluate the performance of the Board and its individual directors.</w:t>
      </w:r>
    </w:p>
    <w:p w:rsidR="00026D7B" w:rsidRPr="00EE7AC0" w:rsidRDefault="009D6139" w:rsidP="005A6F0F">
      <w:pPr>
        <w:pStyle w:val="ListParagraph"/>
        <w:numPr>
          <w:ilvl w:val="0"/>
          <w:numId w:val="11"/>
        </w:numPr>
        <w:spacing w:after="240"/>
        <w:ind w:right="-2"/>
        <w:jc w:val="both"/>
        <w:rPr>
          <w:rFonts w:ascii="Times New Roman" w:hAnsi="Times New Roman"/>
          <w:sz w:val="20"/>
          <w:szCs w:val="20"/>
        </w:rPr>
      </w:pPr>
      <w:r w:rsidRPr="009D6139">
        <w:rPr>
          <w:rFonts w:ascii="Times New Roman" w:hAnsi="Times New Roman"/>
          <w:sz w:val="20"/>
          <w:szCs w:val="20"/>
        </w:rPr>
        <w:t>The Committee considers such other topics as directed by the Board.</w:t>
      </w:r>
    </w:p>
    <w:p w:rsidR="00B44D91" w:rsidRPr="009170B8" w:rsidRDefault="009D6139" w:rsidP="005A6F0F">
      <w:pPr>
        <w:jc w:val="both"/>
        <w:rPr>
          <w:rFonts w:ascii="Times New Roman" w:eastAsia="Calibri" w:hAnsi="Times New Roman"/>
          <w:sz w:val="20"/>
          <w:szCs w:val="20"/>
          <w:lang w:eastAsia="en-GB"/>
        </w:rPr>
      </w:pPr>
      <w:r w:rsidRPr="009D6139">
        <w:rPr>
          <w:rFonts w:ascii="Times New Roman" w:hAnsi="Times New Roman"/>
          <w:sz w:val="20"/>
          <w:szCs w:val="20"/>
        </w:rPr>
        <w:t>The Board believes that, subject to any exception explained above and the nature of the Company as an investment fund, it has complied with the applicable provisions of the AIC Code and AIC Guide throughout the year.</w:t>
      </w:r>
      <w:r w:rsidRPr="009D6139">
        <w:rPr>
          <w:rFonts w:ascii="Times New Roman" w:eastAsia="Calibri" w:hAnsi="Times New Roman"/>
          <w:sz w:val="20"/>
          <w:szCs w:val="20"/>
          <w:lang w:eastAsia="en-GB"/>
        </w:rPr>
        <w:t xml:space="preserve"> The Board has noted the recommendations of the </w:t>
      </w:r>
      <w:r w:rsidR="001E205C">
        <w:rPr>
          <w:rFonts w:ascii="Times New Roman" w:eastAsia="Calibri" w:hAnsi="Times New Roman"/>
          <w:sz w:val="20"/>
          <w:szCs w:val="20"/>
          <w:lang w:eastAsia="en-GB"/>
        </w:rPr>
        <w:t>AIC</w:t>
      </w:r>
      <w:r w:rsidR="001E205C" w:rsidRPr="009D6139">
        <w:rPr>
          <w:rFonts w:ascii="Times New Roman" w:eastAsia="Calibri" w:hAnsi="Times New Roman"/>
          <w:sz w:val="20"/>
          <w:szCs w:val="20"/>
          <w:lang w:eastAsia="en-GB"/>
        </w:rPr>
        <w:t xml:space="preserve"> </w:t>
      </w:r>
      <w:r w:rsidRPr="009D6139">
        <w:rPr>
          <w:rFonts w:ascii="Times New Roman" w:eastAsia="Calibri" w:hAnsi="Times New Roman"/>
          <w:sz w:val="20"/>
          <w:szCs w:val="20"/>
          <w:lang w:eastAsia="en-GB"/>
        </w:rPr>
        <w:t>relating to Board diversity. The Board</w:t>
      </w:r>
      <w:r w:rsidR="0016075F">
        <w:rPr>
          <w:rFonts w:ascii="Times New Roman" w:eastAsia="Calibri" w:hAnsi="Times New Roman"/>
          <w:sz w:val="20"/>
          <w:szCs w:val="20"/>
          <w:lang w:eastAsia="en-GB"/>
        </w:rPr>
        <w:t>,</w:t>
      </w:r>
      <w:r w:rsidRPr="009D6139">
        <w:rPr>
          <w:rFonts w:ascii="Times New Roman" w:eastAsia="Calibri" w:hAnsi="Times New Roman"/>
          <w:sz w:val="20"/>
          <w:szCs w:val="20"/>
          <w:lang w:eastAsia="en-GB"/>
        </w:rPr>
        <w:t xml:space="preserve"> </w:t>
      </w:r>
      <w:r w:rsidR="00B14322">
        <w:rPr>
          <w:rFonts w:ascii="Times New Roman" w:eastAsia="Calibri" w:hAnsi="Times New Roman"/>
          <w:sz w:val="20"/>
          <w:szCs w:val="20"/>
          <w:lang w:eastAsia="en-GB"/>
        </w:rPr>
        <w:t>advised by the</w:t>
      </w:r>
      <w:r w:rsidRPr="009D6139">
        <w:rPr>
          <w:rFonts w:ascii="Times New Roman" w:eastAsia="Calibri" w:hAnsi="Times New Roman"/>
          <w:sz w:val="20"/>
          <w:szCs w:val="20"/>
          <w:lang w:eastAsia="en-GB"/>
        </w:rPr>
        <w:t xml:space="preserve"> Nomination</w:t>
      </w:r>
      <w:r w:rsidR="00B14322">
        <w:rPr>
          <w:rFonts w:ascii="Times New Roman" w:eastAsia="Calibri" w:hAnsi="Times New Roman"/>
          <w:sz w:val="20"/>
          <w:szCs w:val="20"/>
          <w:lang w:eastAsia="en-GB"/>
        </w:rPr>
        <w:t xml:space="preserve"> and Remuneration</w:t>
      </w:r>
      <w:r w:rsidRPr="009D6139">
        <w:rPr>
          <w:rFonts w:ascii="Times New Roman" w:eastAsia="Calibri" w:hAnsi="Times New Roman"/>
          <w:sz w:val="20"/>
          <w:szCs w:val="20"/>
          <w:lang w:eastAsia="en-GB"/>
        </w:rPr>
        <w:t xml:space="preserve"> Committee</w:t>
      </w:r>
      <w:r w:rsidR="00B14322">
        <w:rPr>
          <w:rFonts w:ascii="Times New Roman" w:eastAsia="Calibri" w:hAnsi="Times New Roman"/>
          <w:sz w:val="20"/>
          <w:szCs w:val="20"/>
          <w:lang w:eastAsia="en-GB"/>
        </w:rPr>
        <w:t>,</w:t>
      </w:r>
      <w:r w:rsidRPr="009D6139">
        <w:rPr>
          <w:rFonts w:ascii="Times New Roman" w:eastAsia="Calibri" w:hAnsi="Times New Roman"/>
          <w:sz w:val="20"/>
          <w:szCs w:val="20"/>
          <w:lang w:eastAsia="en-GB"/>
        </w:rPr>
        <w:t xml:space="preserve"> considers diversity, including the balance of skills, knowledge, diversity (including gender) and experience amongst other factors when reviewing the composition of the Board and appointing new directors, but does not consider it appropriate to establish targets or quotas in this regard. Board diversity is carefully considered and will continue to be considered in the future. </w:t>
      </w:r>
    </w:p>
    <w:p w:rsidR="00B44D91" w:rsidRDefault="00B44D91" w:rsidP="00B44D91">
      <w:pPr>
        <w:rPr>
          <w:rFonts w:ascii="Times New Roman" w:eastAsia="Calibri" w:hAnsi="Times New Roman"/>
          <w:sz w:val="20"/>
          <w:szCs w:val="20"/>
          <w:lang w:eastAsia="en-GB"/>
        </w:rPr>
      </w:pPr>
    </w:p>
    <w:p w:rsidR="00B44D91" w:rsidRPr="009170B8" w:rsidRDefault="00B44D91" w:rsidP="00B44D91">
      <w:pPr>
        <w:rPr>
          <w:rFonts w:ascii="Times New Roman" w:hAnsi="Times New Roman"/>
          <w:b/>
          <w:sz w:val="20"/>
          <w:szCs w:val="20"/>
        </w:rPr>
      </w:pPr>
      <w:r w:rsidRPr="009170B8">
        <w:rPr>
          <w:rStyle w:val="A2"/>
          <w:rFonts w:ascii="Times New Roman" w:hAnsi="Times New Roman"/>
          <w:b/>
          <w:sz w:val="20"/>
          <w:szCs w:val="20"/>
        </w:rPr>
        <w:t>Management Engagement Committee</w:t>
      </w:r>
    </w:p>
    <w:p w:rsidR="0064692C" w:rsidRPr="00E5676A" w:rsidRDefault="0064692C" w:rsidP="0064692C">
      <w:pPr>
        <w:jc w:val="both"/>
        <w:rPr>
          <w:rFonts w:ascii="Times New Roman" w:eastAsia="Calibri" w:hAnsi="Times New Roman"/>
          <w:sz w:val="20"/>
          <w:szCs w:val="20"/>
          <w:lang w:eastAsia="en-GB"/>
        </w:rPr>
      </w:pPr>
      <w:r w:rsidRPr="00BB5BFC">
        <w:rPr>
          <w:rFonts w:ascii="Times New Roman" w:hAnsi="Times New Roman"/>
          <w:sz w:val="20"/>
          <w:szCs w:val="20"/>
        </w:rPr>
        <w:t>The Board established a Management Engagement Committee (the “</w:t>
      </w:r>
      <w:r>
        <w:rPr>
          <w:rFonts w:ascii="Times New Roman" w:hAnsi="Times New Roman"/>
          <w:sz w:val="20"/>
          <w:szCs w:val="20"/>
        </w:rPr>
        <w:t xml:space="preserve">M.E. </w:t>
      </w:r>
      <w:r w:rsidRPr="00BB5BFC">
        <w:rPr>
          <w:rFonts w:ascii="Times New Roman" w:hAnsi="Times New Roman"/>
          <w:sz w:val="20"/>
          <w:szCs w:val="20"/>
        </w:rPr>
        <w:t xml:space="preserve">Committee”) at </w:t>
      </w:r>
      <w:r w:rsidRPr="00B9035E">
        <w:rPr>
          <w:rFonts w:ascii="Times New Roman" w:hAnsi="Times New Roman"/>
          <w:sz w:val="20"/>
          <w:szCs w:val="20"/>
        </w:rPr>
        <w:t xml:space="preserve">its meeting held on 20 November 2013. The principal function of the </w:t>
      </w:r>
      <w:r>
        <w:rPr>
          <w:rFonts w:ascii="Times New Roman" w:hAnsi="Times New Roman"/>
          <w:sz w:val="20"/>
          <w:szCs w:val="20"/>
        </w:rPr>
        <w:t xml:space="preserve">M.E. </w:t>
      </w:r>
      <w:r w:rsidRPr="00B9035E">
        <w:rPr>
          <w:rFonts w:ascii="Times New Roman" w:hAnsi="Times New Roman"/>
          <w:sz w:val="20"/>
          <w:szCs w:val="20"/>
        </w:rPr>
        <w:t xml:space="preserve">Committee is to monitor the performance and terms of engagement of the Company’s key service providers. </w:t>
      </w:r>
      <w:r>
        <w:rPr>
          <w:rFonts w:ascii="Times New Roman" w:hAnsi="Times New Roman"/>
          <w:sz w:val="20"/>
          <w:szCs w:val="20"/>
        </w:rPr>
        <w:t>At the present time, t</w:t>
      </w:r>
      <w:r w:rsidRPr="009D6139">
        <w:rPr>
          <w:rFonts w:ascii="Times New Roman" w:hAnsi="Times New Roman"/>
          <w:sz w:val="20"/>
          <w:szCs w:val="20"/>
        </w:rPr>
        <w:t xml:space="preserve">he </w:t>
      </w:r>
      <w:r>
        <w:rPr>
          <w:rFonts w:ascii="Times New Roman" w:hAnsi="Times New Roman"/>
          <w:sz w:val="20"/>
          <w:szCs w:val="20"/>
        </w:rPr>
        <w:t xml:space="preserve">M.E. Committee’s </w:t>
      </w:r>
      <w:r w:rsidRPr="00B9035E">
        <w:rPr>
          <w:rFonts w:ascii="Times New Roman" w:hAnsi="Times New Roman"/>
          <w:sz w:val="20"/>
          <w:szCs w:val="20"/>
        </w:rPr>
        <w:t xml:space="preserve">current </w:t>
      </w:r>
      <w:r w:rsidRPr="009D6139">
        <w:rPr>
          <w:rFonts w:ascii="Times New Roman" w:hAnsi="Times New Roman"/>
          <w:sz w:val="20"/>
          <w:szCs w:val="20"/>
        </w:rPr>
        <w:t xml:space="preserve">members </w:t>
      </w:r>
      <w:r w:rsidRPr="00B9035E">
        <w:rPr>
          <w:rFonts w:ascii="Times New Roman" w:hAnsi="Times New Roman"/>
          <w:sz w:val="20"/>
          <w:szCs w:val="20"/>
        </w:rPr>
        <w:t>are</w:t>
      </w:r>
      <w:r w:rsidRPr="009D6139">
        <w:rPr>
          <w:rFonts w:ascii="Times New Roman" w:hAnsi="Times New Roman"/>
          <w:sz w:val="20"/>
          <w:szCs w:val="20"/>
        </w:rPr>
        <w:t xml:space="preserve"> all the directors of the Company. </w:t>
      </w:r>
      <w:r>
        <w:rPr>
          <w:rFonts w:ascii="Times New Roman" w:hAnsi="Times New Roman"/>
          <w:sz w:val="20"/>
          <w:szCs w:val="20"/>
        </w:rPr>
        <w:t xml:space="preserve">However, with effect from 1 July 2019, it is proposed that as a result of his role as President of Middlefield International Limited, and notwithstanding the fact that Mr </w:t>
      </w:r>
      <w:proofErr w:type="spellStart"/>
      <w:r>
        <w:rPr>
          <w:rFonts w:ascii="Times New Roman" w:hAnsi="Times New Roman"/>
          <w:sz w:val="20"/>
          <w:szCs w:val="20"/>
        </w:rPr>
        <w:t>Orrico</w:t>
      </w:r>
      <w:proofErr w:type="spellEnd"/>
      <w:r>
        <w:rPr>
          <w:rFonts w:ascii="Times New Roman" w:hAnsi="Times New Roman"/>
          <w:sz w:val="20"/>
          <w:szCs w:val="20"/>
        </w:rPr>
        <w:t xml:space="preserve"> has, to date, not taken part in discussing any contractual arrangements between the Company and the Investment Manager, Mr </w:t>
      </w:r>
      <w:proofErr w:type="spellStart"/>
      <w:r>
        <w:rPr>
          <w:rFonts w:ascii="Times New Roman" w:hAnsi="Times New Roman"/>
          <w:sz w:val="20"/>
          <w:szCs w:val="20"/>
        </w:rPr>
        <w:t>Orrico</w:t>
      </w:r>
      <w:proofErr w:type="spellEnd"/>
      <w:r>
        <w:rPr>
          <w:rFonts w:ascii="Times New Roman" w:hAnsi="Times New Roman"/>
          <w:sz w:val="20"/>
          <w:szCs w:val="20"/>
        </w:rPr>
        <w:t xml:space="preserve"> will no longer be a member of the Management Engagement Committee. </w:t>
      </w:r>
      <w:r w:rsidRPr="009D6139">
        <w:rPr>
          <w:rFonts w:ascii="Times New Roman" w:hAnsi="Times New Roman"/>
          <w:sz w:val="20"/>
          <w:szCs w:val="20"/>
        </w:rPr>
        <w:t xml:space="preserve"> The Chairman of the </w:t>
      </w:r>
      <w:r>
        <w:rPr>
          <w:rFonts w:ascii="Times New Roman" w:hAnsi="Times New Roman"/>
          <w:sz w:val="20"/>
          <w:szCs w:val="20"/>
        </w:rPr>
        <w:t xml:space="preserve">M.E. </w:t>
      </w:r>
      <w:r w:rsidRPr="009D6139">
        <w:rPr>
          <w:rFonts w:ascii="Times New Roman" w:hAnsi="Times New Roman"/>
          <w:sz w:val="20"/>
          <w:szCs w:val="20"/>
        </w:rPr>
        <w:t xml:space="preserve">Committee </w:t>
      </w:r>
      <w:r w:rsidRPr="00B9035E">
        <w:rPr>
          <w:rFonts w:ascii="Times New Roman" w:hAnsi="Times New Roman"/>
          <w:sz w:val="20"/>
          <w:szCs w:val="20"/>
        </w:rPr>
        <w:t>is</w:t>
      </w:r>
      <w:r w:rsidRPr="009D6139">
        <w:rPr>
          <w:rFonts w:ascii="Times New Roman" w:hAnsi="Times New Roman"/>
          <w:sz w:val="20"/>
          <w:szCs w:val="20"/>
        </w:rPr>
        <w:t xml:space="preserve"> Thomas Grose or, failing him, any UK</w:t>
      </w:r>
      <w:r>
        <w:rPr>
          <w:rFonts w:ascii="Times New Roman" w:hAnsi="Times New Roman"/>
          <w:sz w:val="20"/>
          <w:szCs w:val="20"/>
        </w:rPr>
        <w:t>-resident</w:t>
      </w:r>
      <w:r w:rsidRPr="009D6139">
        <w:rPr>
          <w:rFonts w:ascii="Times New Roman" w:hAnsi="Times New Roman"/>
          <w:sz w:val="20"/>
          <w:szCs w:val="20"/>
        </w:rPr>
        <w:t xml:space="preserve"> member of the </w:t>
      </w:r>
      <w:r>
        <w:rPr>
          <w:rFonts w:ascii="Times New Roman" w:hAnsi="Times New Roman"/>
          <w:sz w:val="20"/>
          <w:szCs w:val="20"/>
        </w:rPr>
        <w:t xml:space="preserve">M.E. </w:t>
      </w:r>
      <w:r w:rsidRPr="009D6139">
        <w:rPr>
          <w:rFonts w:ascii="Times New Roman" w:hAnsi="Times New Roman"/>
          <w:sz w:val="20"/>
          <w:szCs w:val="20"/>
        </w:rPr>
        <w:t>Committee other than the Chairman of the Company.  For the purposes of transacting</w:t>
      </w:r>
      <w:r>
        <w:rPr>
          <w:rFonts w:ascii="Times New Roman" w:hAnsi="Times New Roman"/>
          <w:sz w:val="20"/>
          <w:szCs w:val="20"/>
        </w:rPr>
        <w:t xml:space="preserve"> </w:t>
      </w:r>
      <w:r w:rsidRPr="009D6139">
        <w:rPr>
          <w:rFonts w:ascii="Times New Roman" w:hAnsi="Times New Roman"/>
          <w:sz w:val="20"/>
          <w:szCs w:val="20"/>
        </w:rPr>
        <w:t xml:space="preserve">business, a quorum of the </w:t>
      </w:r>
      <w:r>
        <w:rPr>
          <w:rFonts w:ascii="Times New Roman" w:hAnsi="Times New Roman"/>
          <w:sz w:val="20"/>
          <w:szCs w:val="20"/>
        </w:rPr>
        <w:t xml:space="preserve">M.E. </w:t>
      </w:r>
      <w:r w:rsidRPr="009D6139">
        <w:rPr>
          <w:rFonts w:ascii="Times New Roman" w:hAnsi="Times New Roman"/>
          <w:sz w:val="20"/>
          <w:szCs w:val="20"/>
        </w:rPr>
        <w:t xml:space="preserve">Committee </w:t>
      </w:r>
      <w:r w:rsidRPr="00B9035E">
        <w:rPr>
          <w:rFonts w:ascii="Times New Roman" w:hAnsi="Times New Roman"/>
          <w:sz w:val="20"/>
          <w:szCs w:val="20"/>
        </w:rPr>
        <w:t>is</w:t>
      </w:r>
      <w:r w:rsidRPr="009D6139">
        <w:rPr>
          <w:rFonts w:ascii="Times New Roman" w:hAnsi="Times New Roman"/>
          <w:sz w:val="20"/>
          <w:szCs w:val="20"/>
        </w:rPr>
        <w:t xml:space="preserve"> not less than two members of the </w:t>
      </w:r>
      <w:r w:rsidRPr="00E5676A">
        <w:rPr>
          <w:rFonts w:ascii="Times New Roman" w:eastAsia="Calibri" w:hAnsi="Times New Roman"/>
          <w:sz w:val="20"/>
          <w:szCs w:val="20"/>
          <w:lang w:eastAsia="en-GB"/>
        </w:rPr>
        <w:t>M.E. Committee and all meetings must take place in the UK.</w:t>
      </w:r>
    </w:p>
    <w:p w:rsidR="00C96F7B" w:rsidRDefault="00C96F7B" w:rsidP="00E5676A">
      <w:pPr>
        <w:jc w:val="both"/>
        <w:rPr>
          <w:rFonts w:ascii="Times New Roman" w:hAnsi="Times New Roman"/>
          <w:sz w:val="20"/>
          <w:szCs w:val="20"/>
        </w:rPr>
      </w:pPr>
    </w:p>
    <w:p w:rsidR="00E54387" w:rsidRDefault="00E54387" w:rsidP="00C96F7B">
      <w:pPr>
        <w:pStyle w:val="Heading2"/>
        <w:tabs>
          <w:tab w:val="right" w:pos="8222"/>
        </w:tabs>
        <w:rPr>
          <w:rFonts w:ascii="Times New Roman" w:hAnsi="Times New Roman"/>
        </w:rPr>
      </w:pPr>
    </w:p>
    <w:p w:rsidR="00E54387" w:rsidRDefault="00E54387" w:rsidP="00F9062B"/>
    <w:p w:rsidR="00C96F7B" w:rsidRPr="00E5676A" w:rsidRDefault="00C96F7B" w:rsidP="00C96F7B">
      <w:pPr>
        <w:pStyle w:val="Heading2"/>
        <w:tabs>
          <w:tab w:val="right" w:pos="8222"/>
        </w:tabs>
        <w:rPr>
          <w:rFonts w:ascii="Times New Roman" w:hAnsi="Times New Roman"/>
          <w:b w:val="0"/>
          <w:bCs w:val="0"/>
        </w:rPr>
      </w:pPr>
      <w:r w:rsidRPr="00E5676A">
        <w:rPr>
          <w:rFonts w:ascii="Times New Roman" w:hAnsi="Times New Roman"/>
        </w:rPr>
        <w:t>Directors’ Report (continued)</w:t>
      </w:r>
    </w:p>
    <w:p w:rsidR="00C96F7B" w:rsidRDefault="00C96F7B" w:rsidP="00C96F7B">
      <w:pPr>
        <w:rPr>
          <w:rFonts w:ascii="Times New Roman" w:hAnsi="Times New Roman"/>
          <w:bCs/>
          <w:i/>
          <w:sz w:val="20"/>
          <w:szCs w:val="20"/>
        </w:rPr>
      </w:pPr>
    </w:p>
    <w:p w:rsidR="00C96F7B" w:rsidRDefault="00C96F7B" w:rsidP="00C96F7B">
      <w:pPr>
        <w:rPr>
          <w:rStyle w:val="A2"/>
          <w:rFonts w:ascii="Times New Roman" w:hAnsi="Times New Roman"/>
          <w:b/>
          <w:sz w:val="20"/>
          <w:szCs w:val="20"/>
        </w:rPr>
      </w:pPr>
      <w:r w:rsidRPr="009170B8">
        <w:rPr>
          <w:rStyle w:val="A2"/>
          <w:rFonts w:ascii="Times New Roman" w:hAnsi="Times New Roman"/>
          <w:b/>
          <w:sz w:val="20"/>
          <w:szCs w:val="20"/>
        </w:rPr>
        <w:t>Management Engagement Committee</w:t>
      </w:r>
      <w:r>
        <w:rPr>
          <w:rStyle w:val="A2"/>
          <w:rFonts w:ascii="Times New Roman" w:hAnsi="Times New Roman"/>
          <w:b/>
          <w:sz w:val="20"/>
          <w:szCs w:val="20"/>
        </w:rPr>
        <w:t xml:space="preserve"> (continued)</w:t>
      </w:r>
    </w:p>
    <w:p w:rsidR="00750224" w:rsidRPr="009170B8" w:rsidRDefault="00750224" w:rsidP="00750224">
      <w:pPr>
        <w:rPr>
          <w:rFonts w:ascii="Times New Roman" w:hAnsi="Times New Roman"/>
          <w:b/>
          <w:sz w:val="20"/>
          <w:szCs w:val="20"/>
        </w:rPr>
      </w:pPr>
      <w:bookmarkStart w:id="26" w:name="OLE_LINK52"/>
    </w:p>
    <w:p w:rsidR="005C0691" w:rsidRPr="009170B8" w:rsidRDefault="005C0691" w:rsidP="005C0691">
      <w:pPr>
        <w:rPr>
          <w:rFonts w:ascii="Times New Roman" w:hAnsi="Times New Roman"/>
          <w:sz w:val="20"/>
          <w:szCs w:val="20"/>
        </w:rPr>
      </w:pPr>
      <w:r w:rsidRPr="009170B8">
        <w:rPr>
          <w:rFonts w:ascii="Times New Roman" w:hAnsi="Times New Roman"/>
          <w:bCs/>
          <w:i/>
          <w:sz w:val="20"/>
          <w:szCs w:val="20"/>
        </w:rPr>
        <w:t>Duties</w:t>
      </w:r>
    </w:p>
    <w:bookmarkEnd w:id="26"/>
    <w:p w:rsidR="005C0691" w:rsidRDefault="005C0691" w:rsidP="005C0691">
      <w:pPr>
        <w:rPr>
          <w:rFonts w:ascii="Times New Roman" w:hAnsi="Times New Roman"/>
          <w:sz w:val="20"/>
          <w:szCs w:val="20"/>
        </w:rPr>
      </w:pPr>
      <w:r w:rsidRPr="009170B8">
        <w:rPr>
          <w:rFonts w:ascii="Times New Roman" w:hAnsi="Times New Roman"/>
          <w:sz w:val="20"/>
          <w:szCs w:val="20"/>
        </w:rPr>
        <w:t xml:space="preserve">The </w:t>
      </w:r>
      <w:r w:rsidR="006B529F">
        <w:rPr>
          <w:rFonts w:ascii="Times New Roman" w:hAnsi="Times New Roman"/>
          <w:sz w:val="20"/>
          <w:szCs w:val="20"/>
        </w:rPr>
        <w:t xml:space="preserve">M.E. </w:t>
      </w:r>
      <w:r w:rsidRPr="009170B8">
        <w:rPr>
          <w:rFonts w:ascii="Times New Roman" w:hAnsi="Times New Roman"/>
          <w:sz w:val="20"/>
          <w:szCs w:val="20"/>
        </w:rPr>
        <w:t>Committee</w:t>
      </w:r>
      <w:r w:rsidR="006B529F">
        <w:rPr>
          <w:rFonts w:ascii="Times New Roman" w:hAnsi="Times New Roman"/>
          <w:sz w:val="20"/>
          <w:szCs w:val="20"/>
        </w:rPr>
        <w:t>’s key duty</w:t>
      </w:r>
      <w:r w:rsidRPr="009170B8">
        <w:rPr>
          <w:rFonts w:ascii="Times New Roman" w:hAnsi="Times New Roman"/>
          <w:sz w:val="20"/>
          <w:szCs w:val="20"/>
        </w:rPr>
        <w:t xml:space="preserve"> </w:t>
      </w:r>
      <w:r w:rsidR="006B529F">
        <w:rPr>
          <w:rFonts w:ascii="Times New Roman" w:hAnsi="Times New Roman"/>
          <w:sz w:val="20"/>
          <w:szCs w:val="20"/>
        </w:rPr>
        <w:t xml:space="preserve">is </w:t>
      </w:r>
      <w:r w:rsidRPr="009170B8">
        <w:rPr>
          <w:rFonts w:ascii="Times New Roman" w:hAnsi="Times New Roman"/>
          <w:sz w:val="20"/>
          <w:szCs w:val="20"/>
        </w:rPr>
        <w:t xml:space="preserve">to review </w:t>
      </w:r>
      <w:r w:rsidR="006B529F">
        <w:rPr>
          <w:rFonts w:ascii="Times New Roman" w:hAnsi="Times New Roman"/>
          <w:sz w:val="20"/>
          <w:szCs w:val="20"/>
        </w:rPr>
        <w:t xml:space="preserve">the performance by </w:t>
      </w:r>
      <w:r w:rsidR="00C50E62">
        <w:rPr>
          <w:rFonts w:ascii="Times New Roman" w:hAnsi="Times New Roman"/>
          <w:sz w:val="20"/>
          <w:szCs w:val="20"/>
        </w:rPr>
        <w:t>service providers</w:t>
      </w:r>
      <w:r w:rsidR="006B529F">
        <w:rPr>
          <w:rFonts w:ascii="Times New Roman" w:hAnsi="Times New Roman"/>
          <w:sz w:val="20"/>
          <w:szCs w:val="20"/>
        </w:rPr>
        <w:t xml:space="preserve"> of their duties and </w:t>
      </w:r>
      <w:r w:rsidRPr="009170B8">
        <w:rPr>
          <w:rFonts w:ascii="Times New Roman" w:hAnsi="Times New Roman"/>
          <w:sz w:val="20"/>
          <w:szCs w:val="20"/>
        </w:rPr>
        <w:t>the terms of</w:t>
      </w:r>
      <w:r w:rsidR="006B529F">
        <w:rPr>
          <w:rFonts w:ascii="Times New Roman" w:hAnsi="Times New Roman"/>
          <w:sz w:val="20"/>
          <w:szCs w:val="20"/>
        </w:rPr>
        <w:t xml:space="preserve"> the following agreements</w:t>
      </w:r>
      <w:r w:rsidRPr="009170B8">
        <w:rPr>
          <w:rFonts w:ascii="Times New Roman" w:hAnsi="Times New Roman"/>
          <w:sz w:val="20"/>
          <w:szCs w:val="20"/>
        </w:rPr>
        <w:t>:</w:t>
      </w:r>
    </w:p>
    <w:p w:rsidR="006B529F" w:rsidRPr="009170B8" w:rsidRDefault="006B529F" w:rsidP="005C0691">
      <w:pPr>
        <w:rPr>
          <w:rFonts w:ascii="Times New Roman" w:hAnsi="Times New Roman"/>
          <w:sz w:val="20"/>
          <w:szCs w:val="20"/>
        </w:rPr>
      </w:pPr>
    </w:p>
    <w:p w:rsidR="005C0691" w:rsidRPr="009170B8" w:rsidRDefault="005C0691" w:rsidP="00A60442">
      <w:pPr>
        <w:numPr>
          <w:ilvl w:val="0"/>
          <w:numId w:val="15"/>
        </w:numPr>
        <w:tabs>
          <w:tab w:val="clear" w:pos="2520"/>
          <w:tab w:val="num" w:pos="0"/>
          <w:tab w:val="num" w:pos="1276"/>
        </w:tabs>
        <w:ind w:hanging="1953"/>
        <w:rPr>
          <w:rFonts w:ascii="Times New Roman" w:hAnsi="Times New Roman"/>
          <w:sz w:val="20"/>
          <w:szCs w:val="20"/>
        </w:rPr>
      </w:pPr>
      <w:r w:rsidRPr="009170B8">
        <w:rPr>
          <w:rFonts w:ascii="Times New Roman" w:hAnsi="Times New Roman"/>
          <w:sz w:val="20"/>
          <w:szCs w:val="20"/>
        </w:rPr>
        <w:t>the Administration and Secretarial Agreement;</w:t>
      </w:r>
    </w:p>
    <w:p w:rsidR="005C0691" w:rsidRPr="009170B8" w:rsidRDefault="006B529F" w:rsidP="00A60442">
      <w:pPr>
        <w:numPr>
          <w:ilvl w:val="0"/>
          <w:numId w:val="15"/>
        </w:numPr>
        <w:tabs>
          <w:tab w:val="clear" w:pos="2520"/>
          <w:tab w:val="num" w:pos="0"/>
          <w:tab w:val="num" w:pos="1276"/>
        </w:tabs>
        <w:ind w:hanging="1953"/>
        <w:rPr>
          <w:rFonts w:ascii="Times New Roman" w:hAnsi="Times New Roman"/>
          <w:sz w:val="20"/>
          <w:szCs w:val="20"/>
        </w:rPr>
      </w:pPr>
      <w:r>
        <w:rPr>
          <w:rFonts w:ascii="Times New Roman" w:hAnsi="Times New Roman"/>
          <w:sz w:val="20"/>
          <w:szCs w:val="20"/>
        </w:rPr>
        <w:t>a</w:t>
      </w:r>
      <w:r w:rsidR="005C0691" w:rsidRPr="009170B8">
        <w:rPr>
          <w:rFonts w:ascii="Times New Roman" w:hAnsi="Times New Roman"/>
          <w:sz w:val="20"/>
          <w:szCs w:val="20"/>
        </w:rPr>
        <w:t>greements</w:t>
      </w:r>
      <w:r>
        <w:rPr>
          <w:rFonts w:ascii="Times New Roman" w:hAnsi="Times New Roman"/>
          <w:sz w:val="20"/>
          <w:szCs w:val="20"/>
        </w:rPr>
        <w:t xml:space="preserve"> for the provision of legal advice</w:t>
      </w:r>
      <w:r w:rsidR="005C0691" w:rsidRPr="009170B8">
        <w:rPr>
          <w:rFonts w:ascii="Times New Roman" w:hAnsi="Times New Roman"/>
          <w:sz w:val="20"/>
          <w:szCs w:val="20"/>
        </w:rPr>
        <w:t>;</w:t>
      </w:r>
    </w:p>
    <w:p w:rsidR="005C0691" w:rsidRPr="009170B8" w:rsidRDefault="005C0691" w:rsidP="00A60442">
      <w:pPr>
        <w:numPr>
          <w:ilvl w:val="0"/>
          <w:numId w:val="15"/>
        </w:numPr>
        <w:tabs>
          <w:tab w:val="clear" w:pos="2520"/>
          <w:tab w:val="num" w:pos="0"/>
          <w:tab w:val="num" w:pos="1276"/>
        </w:tabs>
        <w:ind w:hanging="1953"/>
        <w:rPr>
          <w:rFonts w:ascii="Times New Roman" w:hAnsi="Times New Roman"/>
          <w:sz w:val="20"/>
          <w:szCs w:val="20"/>
        </w:rPr>
      </w:pPr>
      <w:r w:rsidRPr="009170B8">
        <w:rPr>
          <w:rFonts w:ascii="Times New Roman" w:hAnsi="Times New Roman"/>
          <w:sz w:val="20"/>
          <w:szCs w:val="20"/>
        </w:rPr>
        <w:t>the Investment Management  and Advisory Services Agreement</w:t>
      </w:r>
      <w:r w:rsidR="006B529F">
        <w:rPr>
          <w:rFonts w:ascii="Times New Roman" w:hAnsi="Times New Roman"/>
          <w:sz w:val="20"/>
          <w:szCs w:val="20"/>
        </w:rPr>
        <w:t>, as amended and novated</w:t>
      </w:r>
      <w:r w:rsidRPr="009170B8">
        <w:rPr>
          <w:rFonts w:ascii="Times New Roman" w:hAnsi="Times New Roman"/>
          <w:sz w:val="20"/>
          <w:szCs w:val="20"/>
        </w:rPr>
        <w:t>; and</w:t>
      </w:r>
    </w:p>
    <w:p w:rsidR="005C0691" w:rsidRPr="009170B8" w:rsidRDefault="005C0691" w:rsidP="00A60442">
      <w:pPr>
        <w:numPr>
          <w:ilvl w:val="0"/>
          <w:numId w:val="15"/>
        </w:numPr>
        <w:tabs>
          <w:tab w:val="clear" w:pos="2520"/>
          <w:tab w:val="num" w:pos="0"/>
          <w:tab w:val="num" w:pos="1276"/>
        </w:tabs>
        <w:ind w:hanging="1953"/>
        <w:rPr>
          <w:rFonts w:ascii="Times New Roman" w:hAnsi="Times New Roman"/>
          <w:sz w:val="20"/>
          <w:szCs w:val="20"/>
        </w:rPr>
      </w:pPr>
      <w:r w:rsidRPr="009170B8">
        <w:rPr>
          <w:rFonts w:ascii="Times New Roman" w:hAnsi="Times New Roman"/>
          <w:sz w:val="20"/>
          <w:szCs w:val="20"/>
        </w:rPr>
        <w:t xml:space="preserve">any other agreements </w:t>
      </w:r>
      <w:r w:rsidR="006B529F">
        <w:rPr>
          <w:rFonts w:ascii="Times New Roman" w:hAnsi="Times New Roman"/>
          <w:sz w:val="20"/>
          <w:szCs w:val="20"/>
        </w:rPr>
        <w:t xml:space="preserve">for the provision of services </w:t>
      </w:r>
      <w:r w:rsidRPr="009170B8">
        <w:rPr>
          <w:rFonts w:ascii="Times New Roman" w:hAnsi="Times New Roman"/>
          <w:sz w:val="20"/>
          <w:szCs w:val="20"/>
        </w:rPr>
        <w:t>the Company has entered into</w:t>
      </w:r>
      <w:r w:rsidR="006B529F">
        <w:rPr>
          <w:rFonts w:ascii="Times New Roman" w:hAnsi="Times New Roman"/>
          <w:sz w:val="20"/>
          <w:szCs w:val="20"/>
        </w:rPr>
        <w:t xml:space="preserve"> or will in future enter into</w:t>
      </w:r>
      <w:r w:rsidRPr="009170B8">
        <w:rPr>
          <w:rFonts w:ascii="Times New Roman" w:hAnsi="Times New Roman"/>
          <w:sz w:val="20"/>
          <w:szCs w:val="20"/>
        </w:rPr>
        <w:t xml:space="preserve">. </w:t>
      </w:r>
    </w:p>
    <w:p w:rsidR="005C0691" w:rsidRDefault="005C0691" w:rsidP="005A6F0F">
      <w:pPr>
        <w:autoSpaceDE w:val="0"/>
        <w:autoSpaceDN w:val="0"/>
        <w:adjustRightInd w:val="0"/>
        <w:jc w:val="both"/>
        <w:rPr>
          <w:rFonts w:ascii="Times New Roman" w:eastAsia="Calibri" w:hAnsi="Times New Roman"/>
          <w:sz w:val="20"/>
          <w:szCs w:val="20"/>
          <w:lang w:eastAsia="en-GB"/>
        </w:rPr>
      </w:pPr>
    </w:p>
    <w:p w:rsidR="005C0691" w:rsidRPr="009170B8" w:rsidRDefault="003E3C9C" w:rsidP="005C0691">
      <w:pPr>
        <w:autoSpaceDE w:val="0"/>
        <w:autoSpaceDN w:val="0"/>
        <w:adjustRightInd w:val="0"/>
        <w:jc w:val="both"/>
        <w:rPr>
          <w:rFonts w:ascii="Times New Roman" w:eastAsia="Calibri" w:hAnsi="Times New Roman"/>
          <w:sz w:val="20"/>
          <w:szCs w:val="20"/>
          <w:lang w:eastAsia="en-GB"/>
        </w:rPr>
      </w:pPr>
      <w:r w:rsidRPr="001F5EE5">
        <w:rPr>
          <w:rFonts w:ascii="Times New Roman" w:eastAsia="Calibri" w:hAnsi="Times New Roman"/>
          <w:sz w:val="20"/>
          <w:szCs w:val="20"/>
          <w:lang w:eastAsia="en-GB"/>
        </w:rPr>
        <w:t>The M.E. Com</w:t>
      </w:r>
      <w:r w:rsidR="00AD4F86" w:rsidRPr="001F5EE5">
        <w:rPr>
          <w:rFonts w:ascii="Times New Roman" w:eastAsia="Calibri" w:hAnsi="Times New Roman"/>
          <w:sz w:val="20"/>
          <w:szCs w:val="20"/>
          <w:lang w:eastAsia="en-GB"/>
        </w:rPr>
        <w:t xml:space="preserve">mittee meets at least annually to </w:t>
      </w:r>
      <w:r w:rsidRPr="001F5EE5">
        <w:rPr>
          <w:rFonts w:ascii="Times New Roman" w:eastAsia="Calibri" w:hAnsi="Times New Roman"/>
          <w:sz w:val="20"/>
          <w:szCs w:val="20"/>
          <w:lang w:eastAsia="en-GB"/>
        </w:rPr>
        <w:t>specifically conside</w:t>
      </w:r>
      <w:r w:rsidR="00AD4F86" w:rsidRPr="001F5EE5">
        <w:rPr>
          <w:rFonts w:ascii="Times New Roman" w:eastAsia="Calibri" w:hAnsi="Times New Roman"/>
          <w:sz w:val="20"/>
          <w:szCs w:val="20"/>
          <w:lang w:eastAsia="en-GB"/>
        </w:rPr>
        <w:t xml:space="preserve">r the ongoing administrative </w:t>
      </w:r>
      <w:r w:rsidR="00225DD1">
        <w:rPr>
          <w:rFonts w:ascii="Times New Roman" w:eastAsia="Calibri" w:hAnsi="Times New Roman"/>
          <w:sz w:val="20"/>
          <w:szCs w:val="20"/>
          <w:lang w:eastAsia="en-GB"/>
        </w:rPr>
        <w:t>and</w:t>
      </w:r>
      <w:r w:rsidRPr="001F5EE5">
        <w:rPr>
          <w:rFonts w:ascii="Times New Roman" w:eastAsia="Calibri" w:hAnsi="Times New Roman"/>
          <w:sz w:val="20"/>
          <w:szCs w:val="20"/>
          <w:lang w:eastAsia="en-GB"/>
        </w:rPr>
        <w:t xml:space="preserve"> secretarial and investment management </w:t>
      </w:r>
      <w:r w:rsidR="00AD4F86" w:rsidRPr="001F5EE5">
        <w:rPr>
          <w:rFonts w:ascii="Times New Roman" w:eastAsia="Calibri" w:hAnsi="Times New Roman"/>
          <w:sz w:val="20"/>
          <w:szCs w:val="20"/>
          <w:lang w:eastAsia="en-GB"/>
        </w:rPr>
        <w:t xml:space="preserve">requirements </w:t>
      </w:r>
      <w:r w:rsidRPr="001F5EE5">
        <w:rPr>
          <w:rFonts w:ascii="Times New Roman" w:eastAsia="Calibri" w:hAnsi="Times New Roman"/>
          <w:sz w:val="20"/>
          <w:szCs w:val="20"/>
          <w:lang w:eastAsia="en-GB"/>
        </w:rPr>
        <w:t xml:space="preserve">of the Company.  </w:t>
      </w:r>
      <w:r w:rsidR="005C0691" w:rsidRPr="001F5EE5">
        <w:rPr>
          <w:rFonts w:ascii="Times New Roman" w:eastAsia="Calibri" w:hAnsi="Times New Roman"/>
          <w:sz w:val="20"/>
          <w:szCs w:val="20"/>
          <w:lang w:eastAsia="en-GB"/>
        </w:rPr>
        <w:t xml:space="preserve">The quality and timeliness of reports to the Board </w:t>
      </w:r>
      <w:r w:rsidR="00E62B32" w:rsidRPr="001F5EE5">
        <w:rPr>
          <w:rFonts w:ascii="Times New Roman" w:eastAsia="Calibri" w:hAnsi="Times New Roman"/>
          <w:sz w:val="20"/>
          <w:szCs w:val="20"/>
          <w:lang w:eastAsia="en-GB"/>
        </w:rPr>
        <w:t>are</w:t>
      </w:r>
      <w:r w:rsidR="005C0691" w:rsidRPr="001F5EE5">
        <w:rPr>
          <w:rFonts w:ascii="Times New Roman" w:eastAsia="Calibri" w:hAnsi="Times New Roman"/>
          <w:sz w:val="20"/>
          <w:szCs w:val="20"/>
          <w:lang w:eastAsia="en-GB"/>
        </w:rPr>
        <w:t xml:space="preserve"> also taken into account and</w:t>
      </w:r>
      <w:r w:rsidR="005C0691" w:rsidRPr="00BB5BFC">
        <w:rPr>
          <w:rFonts w:ascii="Times New Roman" w:eastAsia="Calibri" w:hAnsi="Times New Roman"/>
          <w:sz w:val="20"/>
          <w:szCs w:val="20"/>
          <w:lang w:eastAsia="en-GB"/>
        </w:rPr>
        <w:t xml:space="preserve"> the overall </w:t>
      </w:r>
      <w:r w:rsidR="000809E9">
        <w:rPr>
          <w:rFonts w:ascii="Times New Roman" w:eastAsia="Calibri" w:hAnsi="Times New Roman"/>
          <w:sz w:val="20"/>
          <w:szCs w:val="20"/>
          <w:lang w:eastAsia="en-GB"/>
        </w:rPr>
        <w:t>management</w:t>
      </w:r>
      <w:r w:rsidR="000809E9" w:rsidRPr="00BB5BFC">
        <w:rPr>
          <w:rFonts w:ascii="Times New Roman" w:eastAsia="Calibri" w:hAnsi="Times New Roman"/>
          <w:sz w:val="20"/>
          <w:szCs w:val="20"/>
          <w:lang w:eastAsia="en-GB"/>
        </w:rPr>
        <w:t xml:space="preserve"> </w:t>
      </w:r>
      <w:r w:rsidR="005C0691" w:rsidRPr="00BB5BFC">
        <w:rPr>
          <w:rFonts w:ascii="Times New Roman" w:eastAsia="Calibri" w:hAnsi="Times New Roman"/>
          <w:sz w:val="20"/>
          <w:szCs w:val="20"/>
          <w:lang w:eastAsia="en-GB"/>
        </w:rPr>
        <w:t xml:space="preserve">of the Company’s affairs by the Investment Manager is considered. Based on its recent review of activities, and taking into account the performance of the portfolio, the other services provided by the key service providers, and the risk and governance environment in which the Company operates, the Board believes that the </w:t>
      </w:r>
      <w:r w:rsidR="000809E9">
        <w:rPr>
          <w:rFonts w:ascii="Times New Roman" w:eastAsia="Calibri" w:hAnsi="Times New Roman"/>
          <w:sz w:val="20"/>
          <w:szCs w:val="20"/>
          <w:lang w:eastAsia="en-GB"/>
        </w:rPr>
        <w:t xml:space="preserve">retention </w:t>
      </w:r>
      <w:r w:rsidR="005C0691" w:rsidRPr="00BB5BFC">
        <w:rPr>
          <w:rFonts w:ascii="Times New Roman" w:eastAsia="Calibri" w:hAnsi="Times New Roman"/>
          <w:sz w:val="20"/>
          <w:szCs w:val="20"/>
          <w:lang w:eastAsia="en-GB"/>
        </w:rPr>
        <w:t xml:space="preserve">of the current key service providers </w:t>
      </w:r>
      <w:r w:rsidR="000809E9">
        <w:rPr>
          <w:rFonts w:ascii="Times New Roman" w:eastAsia="Calibri" w:hAnsi="Times New Roman"/>
          <w:sz w:val="20"/>
          <w:szCs w:val="20"/>
          <w:lang w:eastAsia="en-GB"/>
        </w:rPr>
        <w:t xml:space="preserve">on the current terms of their appointment </w:t>
      </w:r>
      <w:r w:rsidR="005C0691" w:rsidRPr="00BB5BFC">
        <w:rPr>
          <w:rFonts w:ascii="Times New Roman" w:eastAsia="Calibri" w:hAnsi="Times New Roman"/>
          <w:sz w:val="20"/>
          <w:szCs w:val="20"/>
          <w:lang w:eastAsia="en-GB"/>
        </w:rPr>
        <w:t>remains in the best interests of the Company and its shareholders.</w:t>
      </w:r>
    </w:p>
    <w:p w:rsidR="00FE09C7" w:rsidRPr="00FC6B76" w:rsidRDefault="00FE09C7" w:rsidP="00E5676A">
      <w:pPr>
        <w:autoSpaceDE w:val="0"/>
        <w:autoSpaceDN w:val="0"/>
        <w:adjustRightInd w:val="0"/>
        <w:jc w:val="both"/>
        <w:rPr>
          <w:rFonts w:ascii="Times New Roman" w:hAnsi="Times New Roman"/>
          <w:sz w:val="20"/>
          <w:szCs w:val="20"/>
        </w:rPr>
      </w:pPr>
    </w:p>
    <w:p w:rsidR="00FE09C7" w:rsidRDefault="00FE09C7" w:rsidP="00E5676A">
      <w:pPr>
        <w:autoSpaceDE w:val="0"/>
        <w:autoSpaceDN w:val="0"/>
        <w:adjustRightInd w:val="0"/>
        <w:jc w:val="both"/>
        <w:rPr>
          <w:rFonts w:ascii="Times New Roman" w:eastAsia="Calibri" w:hAnsi="Times New Roman"/>
          <w:sz w:val="20"/>
          <w:szCs w:val="20"/>
          <w:lang w:eastAsia="en-GB"/>
        </w:rPr>
      </w:pPr>
      <w:r w:rsidRPr="00B9035E">
        <w:rPr>
          <w:rFonts w:ascii="Times New Roman" w:hAnsi="Times New Roman"/>
          <w:sz w:val="20"/>
          <w:szCs w:val="20"/>
        </w:rPr>
        <w:t xml:space="preserve">The Board regularly reviews the </w:t>
      </w:r>
      <w:r w:rsidRPr="00B9035E">
        <w:rPr>
          <w:rFonts w:ascii="Times New Roman" w:hAnsi="Times New Roman"/>
          <w:sz w:val="20"/>
          <w:szCs w:val="20"/>
          <w:lang w:eastAsia="en-GB"/>
        </w:rPr>
        <w:t>performance of the services provided by these companies. A summary</w:t>
      </w:r>
      <w:r w:rsidRPr="00B9035E">
        <w:rPr>
          <w:rFonts w:ascii="Times New Roman" w:hAnsi="Times New Roman"/>
          <w:sz w:val="20"/>
          <w:szCs w:val="20"/>
        </w:rPr>
        <w:t xml:space="preserve"> </w:t>
      </w:r>
      <w:r w:rsidRPr="00B9035E">
        <w:rPr>
          <w:rFonts w:ascii="Times New Roman" w:hAnsi="Times New Roman"/>
          <w:sz w:val="20"/>
          <w:szCs w:val="20"/>
          <w:lang w:eastAsia="en-GB"/>
        </w:rPr>
        <w:t>of the terms of the agreements with JTC Fund Solutions (Jersey) Limited (“</w:t>
      </w:r>
      <w:r>
        <w:rPr>
          <w:rFonts w:ascii="Times New Roman" w:hAnsi="Times New Roman"/>
          <w:sz w:val="20"/>
          <w:szCs w:val="20"/>
          <w:lang w:eastAsia="en-GB"/>
        </w:rPr>
        <w:t>JTCF</w:t>
      </w:r>
      <w:r w:rsidRPr="00B9035E">
        <w:rPr>
          <w:rFonts w:ascii="Times New Roman" w:hAnsi="Times New Roman"/>
          <w:sz w:val="20"/>
          <w:szCs w:val="20"/>
          <w:lang w:eastAsia="en-GB"/>
        </w:rPr>
        <w:t xml:space="preserve">SL”) and with </w:t>
      </w:r>
      <w:r w:rsidR="00C50E62" w:rsidRPr="00C87A19">
        <w:rPr>
          <w:rFonts w:ascii="Times New Roman" w:hAnsi="Times New Roman"/>
          <w:sz w:val="20"/>
          <w:szCs w:val="20"/>
          <w:lang w:eastAsia="en-GB"/>
        </w:rPr>
        <w:t xml:space="preserve">Middlefield Limited (“ML”) </w:t>
      </w:r>
      <w:r w:rsidRPr="00B9035E">
        <w:rPr>
          <w:rFonts w:ascii="Times New Roman" w:hAnsi="Times New Roman"/>
          <w:sz w:val="20"/>
          <w:szCs w:val="20"/>
          <w:lang w:eastAsia="en-GB"/>
        </w:rPr>
        <w:t xml:space="preserve">and </w:t>
      </w:r>
      <w:r w:rsidR="00C50E62" w:rsidRPr="00C87A19">
        <w:rPr>
          <w:rFonts w:ascii="Times New Roman" w:hAnsi="Times New Roman"/>
          <w:sz w:val="20"/>
          <w:szCs w:val="20"/>
          <w:lang w:eastAsia="en-GB"/>
        </w:rPr>
        <w:t xml:space="preserve">Middlefield International Limited (“MIL”) </w:t>
      </w:r>
      <w:r w:rsidRPr="00B9035E">
        <w:rPr>
          <w:rFonts w:ascii="Times New Roman" w:hAnsi="Times New Roman"/>
          <w:sz w:val="20"/>
          <w:szCs w:val="20"/>
          <w:lang w:eastAsia="en-GB"/>
        </w:rPr>
        <w:t xml:space="preserve">are set out in note 2 to the financial statements. After due consideration of the resources and reputations of </w:t>
      </w:r>
      <w:r>
        <w:rPr>
          <w:rFonts w:ascii="Times New Roman" w:hAnsi="Times New Roman"/>
          <w:sz w:val="20"/>
          <w:szCs w:val="20"/>
          <w:lang w:eastAsia="en-GB"/>
        </w:rPr>
        <w:t>JTCF</w:t>
      </w:r>
      <w:r w:rsidRPr="00B9035E">
        <w:rPr>
          <w:rFonts w:ascii="Times New Roman" w:hAnsi="Times New Roman"/>
          <w:sz w:val="20"/>
          <w:szCs w:val="20"/>
          <w:lang w:eastAsia="en-GB"/>
        </w:rPr>
        <w:t>SL, M</w:t>
      </w:r>
      <w:r>
        <w:rPr>
          <w:rFonts w:ascii="Times New Roman" w:hAnsi="Times New Roman"/>
          <w:sz w:val="20"/>
          <w:szCs w:val="20"/>
          <w:lang w:eastAsia="en-GB"/>
        </w:rPr>
        <w:t>L</w:t>
      </w:r>
      <w:r w:rsidRPr="00B9035E">
        <w:rPr>
          <w:rFonts w:ascii="Times New Roman" w:hAnsi="Times New Roman"/>
          <w:sz w:val="20"/>
          <w:szCs w:val="20"/>
          <w:lang w:eastAsia="en-GB"/>
        </w:rPr>
        <w:t xml:space="preserve"> and MIL, the Board believes it is in the interests of</w:t>
      </w:r>
      <w:r w:rsidRPr="00B9035E">
        <w:rPr>
          <w:rFonts w:ascii="Times New Roman" w:hAnsi="Times New Roman"/>
          <w:sz w:val="20"/>
          <w:szCs w:val="20"/>
        </w:rPr>
        <w:t xml:space="preserve"> </w:t>
      </w:r>
      <w:r w:rsidRPr="00B9035E">
        <w:rPr>
          <w:rFonts w:ascii="Times New Roman" w:hAnsi="Times New Roman"/>
          <w:sz w:val="20"/>
          <w:szCs w:val="20"/>
          <w:lang w:eastAsia="en-GB"/>
        </w:rPr>
        <w:t xml:space="preserve">shareholders to retain the services of </w:t>
      </w:r>
      <w:r>
        <w:rPr>
          <w:rFonts w:ascii="Times New Roman" w:hAnsi="Times New Roman"/>
          <w:sz w:val="20"/>
          <w:szCs w:val="20"/>
          <w:lang w:eastAsia="en-GB"/>
        </w:rPr>
        <w:t xml:space="preserve">all three providers </w:t>
      </w:r>
      <w:r w:rsidRPr="00B9035E">
        <w:rPr>
          <w:rFonts w:ascii="Times New Roman" w:hAnsi="Times New Roman"/>
          <w:sz w:val="20"/>
          <w:szCs w:val="20"/>
          <w:lang w:eastAsia="en-GB"/>
        </w:rPr>
        <w:t xml:space="preserve">for the foreseeable future.  </w:t>
      </w:r>
      <w:r w:rsidRPr="00B9035E">
        <w:rPr>
          <w:rFonts w:ascii="Times New Roman" w:hAnsi="Times New Roman"/>
          <w:sz w:val="20"/>
          <w:szCs w:val="20"/>
        </w:rPr>
        <w:t xml:space="preserve">Having reviewed the investment management and advisory services provided by ML and MIL and having regard to the Fund’s investment performance since the Fund’s launch in May 2006, the directors are of the view that the portfolio should remain </w:t>
      </w:r>
      <w:r>
        <w:rPr>
          <w:rFonts w:ascii="Times New Roman" w:hAnsi="Times New Roman"/>
          <w:sz w:val="20"/>
          <w:szCs w:val="20"/>
        </w:rPr>
        <w:t xml:space="preserve">managed by </w:t>
      </w:r>
      <w:r w:rsidR="00AD54D4">
        <w:rPr>
          <w:rFonts w:ascii="Times New Roman" w:hAnsi="Times New Roman"/>
          <w:sz w:val="20"/>
          <w:szCs w:val="20"/>
        </w:rPr>
        <w:t xml:space="preserve">the </w:t>
      </w:r>
      <w:r w:rsidRPr="00B9035E">
        <w:rPr>
          <w:rFonts w:ascii="Times New Roman" w:hAnsi="Times New Roman"/>
          <w:sz w:val="20"/>
          <w:szCs w:val="20"/>
        </w:rPr>
        <w:t xml:space="preserve">Investment Manager </w:t>
      </w:r>
      <w:r w:rsidRPr="00E5676A">
        <w:rPr>
          <w:rFonts w:ascii="Times New Roman" w:eastAsia="Calibri" w:hAnsi="Times New Roman"/>
          <w:sz w:val="20"/>
          <w:szCs w:val="20"/>
          <w:lang w:eastAsia="en-GB"/>
        </w:rPr>
        <w:t>for the foreseeable future.</w:t>
      </w:r>
    </w:p>
    <w:p w:rsidR="00FC6B76" w:rsidRPr="00E5676A" w:rsidRDefault="00FC6B76" w:rsidP="00E5676A">
      <w:pPr>
        <w:autoSpaceDE w:val="0"/>
        <w:autoSpaceDN w:val="0"/>
        <w:adjustRightInd w:val="0"/>
        <w:jc w:val="both"/>
        <w:rPr>
          <w:rFonts w:ascii="Times New Roman" w:eastAsia="Calibri" w:hAnsi="Times New Roman"/>
          <w:sz w:val="20"/>
          <w:szCs w:val="20"/>
          <w:lang w:eastAsia="en-GB"/>
        </w:rPr>
      </w:pPr>
    </w:p>
    <w:p w:rsidR="005A6F0F" w:rsidRDefault="009D6139" w:rsidP="00E5676A">
      <w:pPr>
        <w:autoSpaceDE w:val="0"/>
        <w:autoSpaceDN w:val="0"/>
        <w:adjustRightInd w:val="0"/>
        <w:jc w:val="both"/>
        <w:rPr>
          <w:rFonts w:ascii="Times New Roman" w:eastAsia="Calibri" w:hAnsi="Times New Roman"/>
          <w:sz w:val="20"/>
          <w:szCs w:val="20"/>
          <w:lang w:eastAsia="en-GB"/>
        </w:rPr>
      </w:pPr>
      <w:r w:rsidRPr="00E5676A">
        <w:rPr>
          <w:rFonts w:ascii="Times New Roman" w:eastAsia="Calibri" w:hAnsi="Times New Roman"/>
          <w:sz w:val="20"/>
          <w:szCs w:val="20"/>
          <w:lang w:eastAsia="en-GB"/>
        </w:rPr>
        <w:t xml:space="preserve">The </w:t>
      </w:r>
      <w:r w:rsidR="000809E9" w:rsidRPr="00E5676A">
        <w:rPr>
          <w:rFonts w:ascii="Times New Roman" w:eastAsia="Calibri" w:hAnsi="Times New Roman"/>
          <w:sz w:val="20"/>
          <w:szCs w:val="20"/>
          <w:lang w:eastAsia="en-GB"/>
        </w:rPr>
        <w:t xml:space="preserve">FCA’s </w:t>
      </w:r>
      <w:r w:rsidRPr="00E5676A">
        <w:rPr>
          <w:rFonts w:ascii="Times New Roman" w:eastAsia="Calibri" w:hAnsi="Times New Roman"/>
          <w:sz w:val="20"/>
          <w:szCs w:val="20"/>
          <w:lang w:eastAsia="en-GB"/>
        </w:rPr>
        <w:t>Listing Rules also require the following additional information:</w:t>
      </w:r>
    </w:p>
    <w:p w:rsidR="000871D0" w:rsidRDefault="00814BDD" w:rsidP="005C0691">
      <w:pPr>
        <w:pStyle w:val="hugin"/>
        <w:jc w:val="both"/>
        <w:rPr>
          <w:sz w:val="20"/>
          <w:szCs w:val="20"/>
        </w:rPr>
      </w:pPr>
      <w:r w:rsidRPr="00E5676A">
        <w:rPr>
          <w:rFonts w:eastAsia="Calibri"/>
          <w:sz w:val="20"/>
          <w:szCs w:val="20"/>
        </w:rPr>
        <w:t xml:space="preserve">During the year under review and up to the date of this report, </w:t>
      </w:r>
      <w:r w:rsidR="00FD77FA" w:rsidRPr="00E5676A">
        <w:rPr>
          <w:rFonts w:eastAsia="Calibri"/>
          <w:sz w:val="20"/>
          <w:szCs w:val="20"/>
        </w:rPr>
        <w:t>M</w:t>
      </w:r>
      <w:r w:rsidR="00C50E62">
        <w:rPr>
          <w:rFonts w:eastAsia="Calibri"/>
          <w:sz w:val="20"/>
          <w:szCs w:val="20"/>
        </w:rPr>
        <w:t>L</w:t>
      </w:r>
      <w:r w:rsidRPr="00E5676A">
        <w:rPr>
          <w:rFonts w:eastAsia="Calibri"/>
          <w:sz w:val="20"/>
          <w:szCs w:val="20"/>
        </w:rPr>
        <w:t xml:space="preserve"> </w:t>
      </w:r>
      <w:r w:rsidR="005C0691" w:rsidRPr="00E5676A">
        <w:rPr>
          <w:rFonts w:eastAsia="Calibri"/>
          <w:sz w:val="20"/>
          <w:szCs w:val="20"/>
        </w:rPr>
        <w:t xml:space="preserve">has acted as the </w:t>
      </w:r>
      <w:r w:rsidRPr="00E5676A">
        <w:rPr>
          <w:rFonts w:eastAsia="Calibri"/>
          <w:sz w:val="20"/>
          <w:szCs w:val="20"/>
        </w:rPr>
        <w:t>Company’s</w:t>
      </w:r>
      <w:r>
        <w:rPr>
          <w:sz w:val="20"/>
          <w:szCs w:val="20"/>
        </w:rPr>
        <w:t xml:space="preserve"> </w:t>
      </w:r>
      <w:r w:rsidR="005C0691" w:rsidRPr="00B9035E">
        <w:rPr>
          <w:sz w:val="20"/>
          <w:szCs w:val="20"/>
        </w:rPr>
        <w:t>discretionary investment manager</w:t>
      </w:r>
      <w:r w:rsidR="00FD77FA" w:rsidRPr="00B9035E">
        <w:rPr>
          <w:sz w:val="20"/>
          <w:szCs w:val="20"/>
        </w:rPr>
        <w:t>.</w:t>
      </w:r>
      <w:r w:rsidR="005C0691" w:rsidRPr="00B9035E">
        <w:rPr>
          <w:sz w:val="20"/>
          <w:szCs w:val="20"/>
        </w:rPr>
        <w:t xml:space="preserve"> </w:t>
      </w:r>
      <w:r w:rsidR="00FD77FA" w:rsidRPr="00B9035E">
        <w:rPr>
          <w:sz w:val="20"/>
          <w:szCs w:val="20"/>
        </w:rPr>
        <w:t>MIL provides</w:t>
      </w:r>
      <w:r w:rsidR="005C0691" w:rsidRPr="00B9035E">
        <w:rPr>
          <w:sz w:val="20"/>
          <w:szCs w:val="20"/>
        </w:rPr>
        <w:t xml:space="preserve"> investment advisory services to the Company</w:t>
      </w:r>
      <w:r>
        <w:rPr>
          <w:sz w:val="20"/>
          <w:szCs w:val="20"/>
        </w:rPr>
        <w:t xml:space="preserve"> and the Investment Manager</w:t>
      </w:r>
      <w:r w:rsidR="005C0691" w:rsidRPr="00B9035E">
        <w:rPr>
          <w:sz w:val="20"/>
          <w:szCs w:val="20"/>
        </w:rPr>
        <w:t xml:space="preserve">. </w:t>
      </w:r>
      <w:r>
        <w:rPr>
          <w:sz w:val="20"/>
          <w:szCs w:val="20"/>
        </w:rPr>
        <w:t xml:space="preserve"> T</w:t>
      </w:r>
      <w:r w:rsidR="005C0691" w:rsidRPr="00B9035E">
        <w:rPr>
          <w:sz w:val="20"/>
          <w:szCs w:val="20"/>
        </w:rPr>
        <w:t xml:space="preserve">he Company </w:t>
      </w:r>
      <w:r>
        <w:rPr>
          <w:sz w:val="20"/>
          <w:szCs w:val="20"/>
        </w:rPr>
        <w:t xml:space="preserve">pays an annual fee of </w:t>
      </w:r>
      <w:r w:rsidR="005C0691" w:rsidRPr="00B9035E">
        <w:rPr>
          <w:sz w:val="20"/>
          <w:szCs w:val="20"/>
        </w:rPr>
        <w:t>0.70 per cent</w:t>
      </w:r>
      <w:r w:rsidR="00FD77FA" w:rsidRPr="00B9035E">
        <w:rPr>
          <w:sz w:val="20"/>
          <w:szCs w:val="20"/>
        </w:rPr>
        <w:t>.</w:t>
      </w:r>
      <w:r w:rsidR="005C0691" w:rsidRPr="00B9035E">
        <w:rPr>
          <w:sz w:val="20"/>
          <w:szCs w:val="20"/>
        </w:rPr>
        <w:t xml:space="preserve"> of NAV</w:t>
      </w:r>
      <w:r>
        <w:rPr>
          <w:sz w:val="20"/>
          <w:szCs w:val="20"/>
        </w:rPr>
        <w:t xml:space="preserve"> to the Manager and the </w:t>
      </w:r>
      <w:r w:rsidR="005C0691" w:rsidRPr="00B9035E">
        <w:rPr>
          <w:sz w:val="20"/>
          <w:szCs w:val="20"/>
        </w:rPr>
        <w:t xml:space="preserve">agreement can be terminated by </w:t>
      </w:r>
      <w:r>
        <w:rPr>
          <w:sz w:val="20"/>
          <w:szCs w:val="20"/>
        </w:rPr>
        <w:t>either party on  90 days’ written notice</w:t>
      </w:r>
      <w:r w:rsidR="005C0691" w:rsidRPr="00B9035E">
        <w:rPr>
          <w:sz w:val="20"/>
          <w:szCs w:val="20"/>
        </w:rPr>
        <w:t>.</w:t>
      </w:r>
    </w:p>
    <w:p w:rsidR="003E3C9C" w:rsidRPr="009170B8" w:rsidRDefault="005C0691" w:rsidP="004626CF">
      <w:pPr>
        <w:spacing w:after="240"/>
        <w:jc w:val="both"/>
        <w:rPr>
          <w:rFonts w:ascii="Times New Roman" w:hAnsi="Times New Roman"/>
          <w:sz w:val="20"/>
          <w:szCs w:val="20"/>
        </w:rPr>
      </w:pPr>
      <w:r w:rsidRPr="0012480E">
        <w:rPr>
          <w:rFonts w:ascii="Times New Roman" w:hAnsi="Times New Roman"/>
          <w:sz w:val="20"/>
          <w:szCs w:val="20"/>
          <w:lang w:eastAsia="en-GB"/>
        </w:rPr>
        <w:t>For the purposes of the Alternative Investment Fund Managers Directive (the “</w:t>
      </w:r>
      <w:r w:rsidR="004836B0" w:rsidRPr="0012480E">
        <w:rPr>
          <w:rFonts w:ascii="Times New Roman" w:hAnsi="Times New Roman"/>
          <w:sz w:val="20"/>
          <w:szCs w:val="20"/>
          <w:lang w:eastAsia="en-GB"/>
        </w:rPr>
        <w:t>AIFMD</w:t>
      </w:r>
      <w:r w:rsidRPr="0012480E">
        <w:rPr>
          <w:rFonts w:ascii="Times New Roman" w:hAnsi="Times New Roman"/>
          <w:sz w:val="20"/>
          <w:szCs w:val="20"/>
          <w:lang w:eastAsia="en-GB"/>
        </w:rPr>
        <w:t xml:space="preserve">”), which was implemented into UK law with effect from 22 July 2013, the Company has been classified as a non-EU Alternative Investment Fund </w:t>
      </w:r>
      <w:r w:rsidR="004836B0" w:rsidRPr="0012480E">
        <w:rPr>
          <w:rFonts w:ascii="Times New Roman" w:hAnsi="Times New Roman"/>
          <w:sz w:val="20"/>
          <w:szCs w:val="20"/>
          <w:lang w:eastAsia="en-GB"/>
        </w:rPr>
        <w:t xml:space="preserve">(an “AIF”) </w:t>
      </w:r>
      <w:r w:rsidRPr="0012480E">
        <w:rPr>
          <w:rFonts w:ascii="Times New Roman" w:hAnsi="Times New Roman"/>
          <w:sz w:val="20"/>
          <w:szCs w:val="20"/>
          <w:lang w:eastAsia="en-GB"/>
        </w:rPr>
        <w:t>managed by a non-EU Alternative Investment Fund Manager</w:t>
      </w:r>
      <w:r w:rsidR="004836B0" w:rsidRPr="0012480E">
        <w:rPr>
          <w:rFonts w:ascii="Times New Roman" w:hAnsi="Times New Roman"/>
          <w:sz w:val="20"/>
          <w:szCs w:val="20"/>
          <w:lang w:eastAsia="en-GB"/>
        </w:rPr>
        <w:t xml:space="preserve"> (an “AIFM”)</w:t>
      </w:r>
      <w:r w:rsidRPr="0012480E">
        <w:rPr>
          <w:rFonts w:ascii="Times New Roman" w:hAnsi="Times New Roman"/>
          <w:sz w:val="20"/>
          <w:szCs w:val="20"/>
          <w:lang w:eastAsia="en-GB"/>
        </w:rPr>
        <w:t xml:space="preserve">. As such, the Company is not subject to the full scope of the Directive and therefore does not incur the additional costs, such as those incurred in having to appoint a depositary, that would have been applicable had it been deemed to be managed by an EU </w:t>
      </w:r>
      <w:r w:rsidR="004836B0" w:rsidRPr="0012480E">
        <w:rPr>
          <w:rFonts w:ascii="Times New Roman" w:hAnsi="Times New Roman"/>
          <w:sz w:val="20"/>
          <w:szCs w:val="20"/>
          <w:lang w:eastAsia="en-GB"/>
        </w:rPr>
        <w:t>AIFM</w:t>
      </w:r>
      <w:r w:rsidRPr="0012480E">
        <w:rPr>
          <w:rFonts w:ascii="Times New Roman" w:hAnsi="Times New Roman"/>
          <w:sz w:val="20"/>
          <w:szCs w:val="20"/>
          <w:lang w:eastAsia="en-GB"/>
        </w:rPr>
        <w:t>.</w:t>
      </w:r>
      <w:r w:rsidR="00252CC1">
        <w:rPr>
          <w:rFonts w:ascii="Times New Roman" w:hAnsi="Times New Roman"/>
          <w:sz w:val="20"/>
          <w:szCs w:val="20"/>
          <w:lang w:eastAsia="en-GB"/>
        </w:rPr>
        <w:t xml:space="preserve"> </w:t>
      </w:r>
      <w:r w:rsidRPr="00BB5BFC">
        <w:rPr>
          <w:rFonts w:ascii="Times New Roman" w:hAnsi="Times New Roman"/>
          <w:sz w:val="20"/>
          <w:szCs w:val="20"/>
          <w:lang w:eastAsia="en-GB"/>
        </w:rPr>
        <w:t xml:space="preserve">Note </w:t>
      </w:r>
      <w:r w:rsidR="00BA75C4">
        <w:rPr>
          <w:rFonts w:ascii="Times New Roman" w:hAnsi="Times New Roman"/>
          <w:sz w:val="20"/>
          <w:szCs w:val="20"/>
          <w:lang w:eastAsia="en-GB"/>
        </w:rPr>
        <w:t>20</w:t>
      </w:r>
      <w:r w:rsidRPr="00BB5BFC">
        <w:rPr>
          <w:rFonts w:ascii="Times New Roman" w:hAnsi="Times New Roman"/>
          <w:sz w:val="20"/>
          <w:szCs w:val="20"/>
          <w:lang w:eastAsia="en-GB"/>
        </w:rPr>
        <w:t xml:space="preserve"> lists all investments </w:t>
      </w:r>
      <w:r w:rsidR="004626CF">
        <w:rPr>
          <w:rFonts w:ascii="Times New Roman" w:hAnsi="Times New Roman"/>
          <w:sz w:val="20"/>
          <w:szCs w:val="20"/>
          <w:lang w:eastAsia="en-GB"/>
        </w:rPr>
        <w:t>in</w:t>
      </w:r>
      <w:r w:rsidR="004626CF" w:rsidRPr="00BB5BFC">
        <w:rPr>
          <w:rFonts w:ascii="Times New Roman" w:hAnsi="Times New Roman"/>
          <w:sz w:val="20"/>
          <w:szCs w:val="20"/>
          <w:lang w:eastAsia="en-GB"/>
        </w:rPr>
        <w:t xml:space="preserve"> </w:t>
      </w:r>
      <w:r w:rsidRPr="00BB5BFC">
        <w:rPr>
          <w:rFonts w:ascii="Times New Roman" w:hAnsi="Times New Roman"/>
          <w:sz w:val="20"/>
          <w:szCs w:val="20"/>
          <w:lang w:eastAsia="en-GB"/>
        </w:rPr>
        <w:t>the Fund’s investment portfolio.</w:t>
      </w:r>
      <w:r w:rsidR="006810AC">
        <w:rPr>
          <w:rFonts w:ascii="Times New Roman" w:hAnsi="Times New Roman"/>
          <w:sz w:val="20"/>
          <w:szCs w:val="20"/>
          <w:lang w:eastAsia="en-GB"/>
        </w:rPr>
        <w:t xml:space="preserve"> </w:t>
      </w:r>
      <w:r w:rsidRPr="00BB5BFC">
        <w:rPr>
          <w:rFonts w:ascii="Times New Roman" w:hAnsi="Times New Roman"/>
          <w:sz w:val="20"/>
          <w:szCs w:val="20"/>
          <w:lang w:eastAsia="en-GB"/>
        </w:rPr>
        <w:t xml:space="preserve">The Terms of Reference </w:t>
      </w:r>
      <w:r w:rsidR="004626CF">
        <w:rPr>
          <w:rFonts w:ascii="Times New Roman" w:hAnsi="Times New Roman"/>
          <w:sz w:val="20"/>
          <w:szCs w:val="20"/>
          <w:lang w:eastAsia="en-GB"/>
        </w:rPr>
        <w:t xml:space="preserve">of </w:t>
      </w:r>
      <w:r w:rsidRPr="00BB5BFC">
        <w:rPr>
          <w:rFonts w:ascii="Times New Roman" w:hAnsi="Times New Roman"/>
          <w:sz w:val="20"/>
          <w:szCs w:val="20"/>
          <w:lang w:eastAsia="en-GB"/>
        </w:rPr>
        <w:t>the Audit</w:t>
      </w:r>
      <w:r w:rsidRPr="00BB5BFC">
        <w:rPr>
          <w:rFonts w:ascii="Times New Roman" w:hAnsi="Times New Roman"/>
          <w:sz w:val="20"/>
          <w:szCs w:val="20"/>
        </w:rPr>
        <w:t xml:space="preserve"> Committee</w:t>
      </w:r>
      <w:r w:rsidRPr="009170B8">
        <w:rPr>
          <w:rFonts w:ascii="Times New Roman" w:hAnsi="Times New Roman"/>
          <w:sz w:val="20"/>
          <w:szCs w:val="20"/>
        </w:rPr>
        <w:t>,</w:t>
      </w:r>
      <w:r w:rsidRPr="00BB5BFC">
        <w:rPr>
          <w:rFonts w:ascii="Times New Roman" w:hAnsi="Times New Roman"/>
          <w:sz w:val="20"/>
          <w:szCs w:val="20"/>
        </w:rPr>
        <w:t xml:space="preserve"> the Nomination and Remuneration Committee</w:t>
      </w:r>
      <w:r w:rsidRPr="009170B8">
        <w:rPr>
          <w:rFonts w:ascii="Times New Roman" w:hAnsi="Times New Roman"/>
          <w:sz w:val="20"/>
          <w:szCs w:val="20"/>
        </w:rPr>
        <w:t xml:space="preserve"> and the Management Engagement Committee </w:t>
      </w:r>
      <w:r w:rsidRPr="00BB5BFC">
        <w:rPr>
          <w:rFonts w:ascii="Times New Roman" w:hAnsi="Times New Roman"/>
          <w:sz w:val="20"/>
          <w:szCs w:val="20"/>
        </w:rPr>
        <w:t xml:space="preserve">are </w:t>
      </w:r>
      <w:r w:rsidR="004626CF">
        <w:rPr>
          <w:rFonts w:ascii="Times New Roman" w:hAnsi="Times New Roman"/>
          <w:sz w:val="20"/>
          <w:szCs w:val="20"/>
        </w:rPr>
        <w:t xml:space="preserve">all </w:t>
      </w:r>
      <w:r w:rsidRPr="00BB5BFC">
        <w:rPr>
          <w:rFonts w:ascii="Times New Roman" w:hAnsi="Times New Roman"/>
          <w:sz w:val="20"/>
          <w:szCs w:val="20"/>
        </w:rPr>
        <w:t xml:space="preserve">available for inspection at the Company’s registered office during normal business hours. </w:t>
      </w:r>
    </w:p>
    <w:p w:rsidR="00252CC1" w:rsidRPr="00252CC1" w:rsidRDefault="00252CC1" w:rsidP="00252CC1">
      <w:pPr>
        <w:pStyle w:val="Heading4"/>
        <w:tabs>
          <w:tab w:val="clear" w:pos="3402"/>
          <w:tab w:val="clear" w:pos="8222"/>
        </w:tabs>
        <w:rPr>
          <w:rFonts w:ascii="Times New Roman" w:hAnsi="Times New Roman"/>
          <w:szCs w:val="20"/>
        </w:rPr>
      </w:pPr>
      <w:r w:rsidRPr="00252CC1">
        <w:rPr>
          <w:rFonts w:ascii="Times New Roman" w:hAnsi="Times New Roman"/>
          <w:szCs w:val="20"/>
        </w:rPr>
        <w:t xml:space="preserve">Social, Community, </w:t>
      </w:r>
      <w:r w:rsidR="004E19BE" w:rsidRPr="00252CC1">
        <w:rPr>
          <w:rFonts w:ascii="Times New Roman" w:hAnsi="Times New Roman"/>
          <w:szCs w:val="20"/>
        </w:rPr>
        <w:t>Environmental</w:t>
      </w:r>
      <w:r w:rsidRPr="00252CC1">
        <w:rPr>
          <w:rFonts w:ascii="Times New Roman" w:hAnsi="Times New Roman"/>
          <w:szCs w:val="20"/>
        </w:rPr>
        <w:t xml:space="preserve"> and Human Rights</w:t>
      </w:r>
    </w:p>
    <w:p w:rsidR="00252CC1" w:rsidRPr="00D54AA3" w:rsidRDefault="00E54387" w:rsidP="00D54AA3">
      <w:pPr>
        <w:spacing w:after="240"/>
        <w:jc w:val="both"/>
        <w:rPr>
          <w:rFonts w:ascii="Times New Roman" w:hAnsi="Times New Roman"/>
          <w:sz w:val="20"/>
          <w:szCs w:val="20"/>
        </w:rPr>
      </w:pPr>
      <w:r w:rsidRPr="00F9062B">
        <w:rPr>
          <w:rFonts w:ascii="Times New Roman" w:hAnsi="Times New Roman"/>
          <w:sz w:val="20"/>
          <w:szCs w:val="20"/>
          <w:lang w:eastAsia="en-GB"/>
        </w:rPr>
        <w:t xml:space="preserve">The Investment Manager believes that companies should act in a socially responsible manner. Although the Investment Manager’s priority at all times is the best economic interests of its clients, it recognises that, increasingly, non-financial issues such as social and environmental factors have the potential to impact the share price, as well as the reputation of companies. Specialists at the Investment Manager are tasked with assessing how companies deal with and report on social and environmental risks and issues specific to the industry. Their aim is to incorporate environmental, social and governance (“ESG”) criteria into the Investment Manager’s processes when making stock selection decisions and promoting ESG disclosure. The Investment </w:t>
      </w:r>
      <w:r w:rsidR="00871823">
        <w:rPr>
          <w:rFonts w:ascii="Times New Roman" w:hAnsi="Times New Roman"/>
          <w:sz w:val="20"/>
          <w:szCs w:val="20"/>
          <w:lang w:eastAsia="en-GB"/>
        </w:rPr>
        <w:t>M</w:t>
      </w:r>
      <w:r w:rsidRPr="00F9062B">
        <w:rPr>
          <w:rFonts w:ascii="Times New Roman" w:hAnsi="Times New Roman"/>
          <w:sz w:val="20"/>
          <w:szCs w:val="20"/>
          <w:lang w:eastAsia="en-GB"/>
        </w:rPr>
        <w:t>anager is mindful of the impact which it can have upon shaping the consideration given to ESG matters by the Fund’s investee companies. In addition to taking into account ESG matters in portfolio construction decisions, the Investment Manager conducts ongoing investee company monitoring, and this engagement process may include voting and communication with management and company board members.</w:t>
      </w:r>
      <w:r>
        <w:rPr>
          <w:rFonts w:ascii="Times New Roman" w:hAnsi="Times New Roman"/>
          <w:sz w:val="20"/>
          <w:szCs w:val="20"/>
          <w:lang w:eastAsia="en-GB"/>
        </w:rPr>
        <w:t xml:space="preserve"> </w:t>
      </w:r>
      <w:r w:rsidR="004E19BE" w:rsidRPr="004E19BE">
        <w:rPr>
          <w:rFonts w:ascii="Times New Roman" w:hAnsi="Times New Roman"/>
          <w:sz w:val="20"/>
          <w:szCs w:val="20"/>
        </w:rPr>
        <w:t xml:space="preserve"> </w:t>
      </w:r>
    </w:p>
    <w:p w:rsidR="00750224" w:rsidRDefault="00750224">
      <w:pPr>
        <w:rPr>
          <w:rFonts w:ascii="Times New Roman" w:hAnsi="Times New Roman"/>
          <w:b/>
          <w:bCs/>
          <w:sz w:val="20"/>
          <w:szCs w:val="20"/>
        </w:rPr>
      </w:pPr>
      <w:r>
        <w:rPr>
          <w:rFonts w:ascii="Times New Roman" w:hAnsi="Times New Roman"/>
          <w:szCs w:val="20"/>
        </w:rPr>
        <w:br w:type="page"/>
      </w:r>
    </w:p>
    <w:p w:rsidR="00750224" w:rsidRPr="00E5676A" w:rsidRDefault="00750224" w:rsidP="00750224">
      <w:pPr>
        <w:pStyle w:val="Heading2"/>
        <w:tabs>
          <w:tab w:val="right" w:pos="8222"/>
        </w:tabs>
        <w:rPr>
          <w:rFonts w:ascii="Times New Roman" w:hAnsi="Times New Roman"/>
          <w:b w:val="0"/>
          <w:bCs w:val="0"/>
        </w:rPr>
      </w:pPr>
      <w:r w:rsidRPr="00E5676A">
        <w:rPr>
          <w:rFonts w:ascii="Times New Roman" w:hAnsi="Times New Roman"/>
        </w:rPr>
        <w:t>Directors’ Report (continued)</w:t>
      </w:r>
    </w:p>
    <w:p w:rsidR="00750224" w:rsidRDefault="00750224" w:rsidP="00750224">
      <w:pPr>
        <w:rPr>
          <w:rFonts w:ascii="Times New Roman" w:hAnsi="Times New Roman"/>
          <w:bCs/>
          <w:i/>
          <w:sz w:val="20"/>
          <w:szCs w:val="20"/>
        </w:rPr>
      </w:pPr>
    </w:p>
    <w:p w:rsidR="00B44D91" w:rsidRPr="009170B8" w:rsidRDefault="00B44D91" w:rsidP="00B44D91">
      <w:pPr>
        <w:pStyle w:val="Heading4"/>
        <w:tabs>
          <w:tab w:val="clear" w:pos="3402"/>
          <w:tab w:val="clear" w:pos="8222"/>
        </w:tabs>
        <w:rPr>
          <w:rFonts w:ascii="Times New Roman" w:hAnsi="Times New Roman"/>
          <w:szCs w:val="20"/>
        </w:rPr>
      </w:pPr>
      <w:r w:rsidRPr="009170B8">
        <w:rPr>
          <w:rFonts w:ascii="Times New Roman" w:hAnsi="Times New Roman"/>
          <w:szCs w:val="20"/>
        </w:rPr>
        <w:t>Independent Auditor</w:t>
      </w:r>
    </w:p>
    <w:p w:rsidR="006810AC" w:rsidRDefault="005C0691" w:rsidP="005A6F0F">
      <w:pPr>
        <w:spacing w:after="240"/>
        <w:jc w:val="both"/>
        <w:rPr>
          <w:rFonts w:ascii="Times New Roman" w:hAnsi="Times New Roman"/>
          <w:sz w:val="20"/>
          <w:szCs w:val="20"/>
        </w:rPr>
      </w:pPr>
      <w:r w:rsidRPr="00BB5BFC">
        <w:rPr>
          <w:rFonts w:ascii="Times New Roman" w:hAnsi="Times New Roman"/>
          <w:sz w:val="20"/>
          <w:szCs w:val="20"/>
        </w:rPr>
        <w:t xml:space="preserve">Deloitte LLP has expressed its willingness to continue in office as auditor and a resolution to re-appoint it will be proposed at the </w:t>
      </w:r>
      <w:r>
        <w:rPr>
          <w:rFonts w:ascii="Times New Roman" w:hAnsi="Times New Roman"/>
          <w:sz w:val="20"/>
          <w:szCs w:val="20"/>
        </w:rPr>
        <w:t>C</w:t>
      </w:r>
      <w:r w:rsidRPr="00BB5BFC">
        <w:rPr>
          <w:rFonts w:ascii="Times New Roman" w:hAnsi="Times New Roman"/>
          <w:sz w:val="20"/>
          <w:szCs w:val="20"/>
        </w:rPr>
        <w:t>ompany</w:t>
      </w:r>
      <w:r w:rsidR="004626CF">
        <w:rPr>
          <w:rFonts w:ascii="Times New Roman" w:hAnsi="Times New Roman"/>
          <w:sz w:val="20"/>
          <w:szCs w:val="20"/>
        </w:rPr>
        <w:t>’s</w:t>
      </w:r>
      <w:r w:rsidRPr="00BB5BFC">
        <w:rPr>
          <w:rFonts w:ascii="Times New Roman" w:hAnsi="Times New Roman"/>
          <w:sz w:val="20"/>
          <w:szCs w:val="20"/>
        </w:rPr>
        <w:t xml:space="preserve"> </w:t>
      </w:r>
      <w:r w:rsidR="004626CF">
        <w:rPr>
          <w:rFonts w:ascii="Times New Roman" w:hAnsi="Times New Roman"/>
          <w:sz w:val="20"/>
          <w:szCs w:val="20"/>
        </w:rPr>
        <w:t xml:space="preserve">and </w:t>
      </w:r>
      <w:r w:rsidR="00735183">
        <w:rPr>
          <w:rFonts w:ascii="Times New Roman" w:hAnsi="Times New Roman"/>
          <w:sz w:val="20"/>
          <w:szCs w:val="20"/>
        </w:rPr>
        <w:t>Fund</w:t>
      </w:r>
      <w:r w:rsidR="0068366F">
        <w:rPr>
          <w:rFonts w:ascii="Times New Roman" w:hAnsi="Times New Roman"/>
          <w:sz w:val="20"/>
          <w:szCs w:val="20"/>
        </w:rPr>
        <w:t>’s</w:t>
      </w:r>
      <w:r w:rsidR="004626CF">
        <w:rPr>
          <w:rFonts w:ascii="Times New Roman" w:hAnsi="Times New Roman"/>
          <w:sz w:val="20"/>
          <w:szCs w:val="20"/>
        </w:rPr>
        <w:t xml:space="preserve"> forthcoming </w:t>
      </w:r>
      <w:r w:rsidRPr="00BB5BFC">
        <w:rPr>
          <w:rFonts w:ascii="Times New Roman" w:hAnsi="Times New Roman"/>
          <w:sz w:val="20"/>
          <w:szCs w:val="20"/>
        </w:rPr>
        <w:t>annual general meetings.</w:t>
      </w:r>
    </w:p>
    <w:p w:rsidR="00C50E62" w:rsidRDefault="00C50E62" w:rsidP="00C87A19">
      <w:pPr>
        <w:spacing w:after="240"/>
        <w:jc w:val="both"/>
        <w:rPr>
          <w:rFonts w:ascii="Times New Roman" w:hAnsi="Times New Roman"/>
          <w:sz w:val="20"/>
          <w:szCs w:val="20"/>
        </w:rPr>
      </w:pPr>
      <w:r w:rsidRPr="00C87A19">
        <w:rPr>
          <w:rFonts w:ascii="Times New Roman" w:hAnsi="Times New Roman"/>
          <w:sz w:val="20"/>
          <w:szCs w:val="20"/>
        </w:rPr>
        <w:t xml:space="preserve">Each of the persons who is a director at the date of approval of this </w:t>
      </w:r>
      <w:r w:rsidR="006556B7">
        <w:rPr>
          <w:rFonts w:ascii="Times New Roman" w:hAnsi="Times New Roman"/>
          <w:sz w:val="20"/>
          <w:szCs w:val="20"/>
        </w:rPr>
        <w:t>a</w:t>
      </w:r>
      <w:r w:rsidR="006556B7" w:rsidRPr="00C87A19">
        <w:rPr>
          <w:rFonts w:ascii="Times New Roman" w:hAnsi="Times New Roman"/>
          <w:sz w:val="20"/>
          <w:szCs w:val="20"/>
        </w:rPr>
        <w:t xml:space="preserve">nnual </w:t>
      </w:r>
      <w:r w:rsidR="006556B7">
        <w:rPr>
          <w:rFonts w:ascii="Times New Roman" w:hAnsi="Times New Roman"/>
          <w:sz w:val="20"/>
          <w:szCs w:val="20"/>
        </w:rPr>
        <w:t>financial r</w:t>
      </w:r>
      <w:r w:rsidR="006556B7" w:rsidRPr="00C87A19">
        <w:rPr>
          <w:rFonts w:ascii="Times New Roman" w:hAnsi="Times New Roman"/>
          <w:sz w:val="20"/>
          <w:szCs w:val="20"/>
        </w:rPr>
        <w:t xml:space="preserve">eport </w:t>
      </w:r>
      <w:r w:rsidRPr="00C87A19">
        <w:rPr>
          <w:rFonts w:ascii="Times New Roman" w:hAnsi="Times New Roman"/>
          <w:sz w:val="20"/>
          <w:szCs w:val="20"/>
        </w:rPr>
        <w:t>confirms that:</w:t>
      </w:r>
    </w:p>
    <w:p w:rsidR="00C50E62" w:rsidRPr="00C87A19" w:rsidRDefault="00C50E62" w:rsidP="00C87A19">
      <w:pPr>
        <w:pStyle w:val="ListParagraph"/>
        <w:numPr>
          <w:ilvl w:val="0"/>
          <w:numId w:val="43"/>
        </w:numPr>
        <w:spacing w:after="240"/>
        <w:jc w:val="both"/>
        <w:rPr>
          <w:rFonts w:ascii="Times New Roman" w:hAnsi="Times New Roman"/>
          <w:sz w:val="20"/>
          <w:szCs w:val="20"/>
        </w:rPr>
      </w:pPr>
      <w:r w:rsidRPr="00C87A19">
        <w:rPr>
          <w:rFonts w:ascii="Times New Roman" w:hAnsi="Times New Roman"/>
          <w:sz w:val="20"/>
          <w:szCs w:val="20"/>
        </w:rPr>
        <w:t xml:space="preserve">so far as the director is aware, there is no relevant audit information of which the Company's auditor is unaware; and </w:t>
      </w:r>
    </w:p>
    <w:p w:rsidR="00C50E62" w:rsidRPr="00C87A19" w:rsidRDefault="00C50E62" w:rsidP="00C87A19">
      <w:pPr>
        <w:pStyle w:val="ListParagraph"/>
        <w:numPr>
          <w:ilvl w:val="0"/>
          <w:numId w:val="43"/>
        </w:numPr>
        <w:spacing w:after="240"/>
        <w:jc w:val="both"/>
        <w:rPr>
          <w:rFonts w:ascii="Times New Roman" w:hAnsi="Times New Roman"/>
          <w:sz w:val="20"/>
          <w:szCs w:val="20"/>
        </w:rPr>
      </w:pPr>
      <w:r w:rsidRPr="00C87A19">
        <w:rPr>
          <w:rFonts w:ascii="Times New Roman" w:hAnsi="Times New Roman"/>
          <w:sz w:val="20"/>
          <w:szCs w:val="20"/>
        </w:rPr>
        <w:t>the director has taken all steps that he should have taken as a director in order to make himself aware of any relevant audit information and to establish that the Company's auditor is aware of that information.</w:t>
      </w:r>
    </w:p>
    <w:p w:rsidR="005C0691" w:rsidRPr="009170B8" w:rsidRDefault="005C0691" w:rsidP="005C0691">
      <w:pPr>
        <w:jc w:val="both"/>
        <w:rPr>
          <w:rFonts w:ascii="Times New Roman" w:hAnsi="Times New Roman"/>
          <w:b/>
          <w:bCs/>
          <w:sz w:val="20"/>
          <w:szCs w:val="20"/>
        </w:rPr>
      </w:pPr>
      <w:r w:rsidRPr="009170B8">
        <w:rPr>
          <w:rFonts w:ascii="Times New Roman" w:hAnsi="Times New Roman"/>
          <w:b/>
          <w:bCs/>
          <w:sz w:val="20"/>
          <w:szCs w:val="20"/>
        </w:rPr>
        <w:t>Meetings of Shareholders</w:t>
      </w:r>
    </w:p>
    <w:p w:rsidR="00AA6E18" w:rsidRDefault="005C0691" w:rsidP="005C0691">
      <w:pPr>
        <w:pStyle w:val="AgreementHeading3CharChar"/>
        <w:numPr>
          <w:ilvl w:val="0"/>
          <w:numId w:val="0"/>
        </w:numPr>
        <w:spacing w:line="240" w:lineRule="auto"/>
        <w:rPr>
          <w:rFonts w:ascii="Times New Roman" w:hAnsi="Times New Roman"/>
          <w:sz w:val="20"/>
          <w:szCs w:val="20"/>
        </w:rPr>
      </w:pPr>
      <w:r w:rsidRPr="00BB5BFC">
        <w:rPr>
          <w:rFonts w:ascii="Times New Roman" w:hAnsi="Times New Roman"/>
          <w:sz w:val="20"/>
          <w:szCs w:val="20"/>
        </w:rPr>
        <w:t xml:space="preserve">The notices of the next </w:t>
      </w:r>
      <w:r w:rsidRPr="009170B8">
        <w:rPr>
          <w:rFonts w:ascii="Times New Roman" w:hAnsi="Times New Roman"/>
          <w:sz w:val="20"/>
          <w:szCs w:val="20"/>
        </w:rPr>
        <w:t>AGM</w:t>
      </w:r>
      <w:r w:rsidR="004D7848">
        <w:rPr>
          <w:rFonts w:ascii="Times New Roman" w:hAnsi="Times New Roman"/>
          <w:sz w:val="20"/>
          <w:szCs w:val="20"/>
        </w:rPr>
        <w:t>s</w:t>
      </w:r>
      <w:r w:rsidRPr="00BB5BFC">
        <w:rPr>
          <w:rFonts w:ascii="Times New Roman" w:hAnsi="Times New Roman"/>
          <w:sz w:val="20"/>
          <w:szCs w:val="20"/>
        </w:rPr>
        <w:t xml:space="preserve"> are included at the </w:t>
      </w:r>
      <w:r w:rsidR="004D7848">
        <w:rPr>
          <w:rFonts w:ascii="Times New Roman" w:hAnsi="Times New Roman"/>
          <w:sz w:val="20"/>
          <w:szCs w:val="20"/>
        </w:rPr>
        <w:t xml:space="preserve">end </w:t>
      </w:r>
      <w:r w:rsidRPr="00BB5BFC">
        <w:rPr>
          <w:rFonts w:ascii="Times New Roman" w:hAnsi="Times New Roman"/>
          <w:sz w:val="20"/>
          <w:szCs w:val="20"/>
        </w:rPr>
        <w:t>of</w:t>
      </w:r>
      <w:r w:rsidRPr="009170B8">
        <w:rPr>
          <w:rFonts w:ascii="Times New Roman" w:hAnsi="Times New Roman"/>
          <w:sz w:val="20"/>
          <w:szCs w:val="20"/>
        </w:rPr>
        <w:t xml:space="preserve"> this annual financial report. </w:t>
      </w:r>
    </w:p>
    <w:p w:rsidR="00297D93" w:rsidRDefault="0064692C" w:rsidP="00F9062B">
      <w:pPr>
        <w:pStyle w:val="AgreementHeading3CharChar"/>
        <w:numPr>
          <w:ilvl w:val="0"/>
          <w:numId w:val="0"/>
        </w:numPr>
        <w:spacing w:line="240" w:lineRule="auto"/>
        <w:rPr>
          <w:rFonts w:ascii="Times New Roman" w:hAnsi="Times New Roman"/>
          <w:sz w:val="20"/>
          <w:szCs w:val="20"/>
        </w:rPr>
      </w:pPr>
      <w:r w:rsidRPr="00E210ED">
        <w:rPr>
          <w:rFonts w:ascii="Times New Roman" w:hAnsi="Times New Roman"/>
          <w:sz w:val="20"/>
          <w:szCs w:val="20"/>
        </w:rPr>
        <w:t xml:space="preserve">In addition to the business usually proposed at each Company Annual General Meeting and Cell Annual General Meeting, the Board of directors also intends to propose to shareholders the replacement of the Company’s and the Cell’s Articles of Association, which were adopted by shareholders in May 2013, with new Articles of Association. The only material change will be to remove the requirement for shareholders to approve each director’s remuneration individually in advance, whilst retaining the existing cap on aggregate directors’ fees (which </w:t>
      </w:r>
      <w:r>
        <w:rPr>
          <w:rFonts w:ascii="Times New Roman" w:hAnsi="Times New Roman"/>
          <w:sz w:val="20"/>
          <w:szCs w:val="20"/>
        </w:rPr>
        <w:t>may</w:t>
      </w:r>
      <w:r w:rsidRPr="00E210ED">
        <w:rPr>
          <w:rFonts w:ascii="Times New Roman" w:hAnsi="Times New Roman"/>
          <w:sz w:val="20"/>
          <w:szCs w:val="20"/>
        </w:rPr>
        <w:t xml:space="preserve"> only be amended with shareholder approval), which will afford the directors greater flexibility in managing the directors’ remuneration and facilitate the appointment of new directors as part of the Board’s succession planning and refreshment of the composition of the Board. The other changes are immaterial and intended to reflect changes over the last several years to Jersey corporate law and best practice.  </w:t>
      </w:r>
    </w:p>
    <w:p w:rsidR="00297D93" w:rsidRPr="0070263B" w:rsidRDefault="00297D93" w:rsidP="00F9062B">
      <w:pPr>
        <w:jc w:val="both"/>
        <w:rPr>
          <w:rFonts w:ascii="Times New Roman" w:hAnsi="Times New Roman"/>
          <w:sz w:val="20"/>
          <w:szCs w:val="20"/>
        </w:rPr>
      </w:pPr>
      <w:r w:rsidRPr="00F9062B">
        <w:rPr>
          <w:rFonts w:ascii="Times New Roman" w:hAnsi="Times New Roman"/>
          <w:sz w:val="20"/>
          <w:szCs w:val="20"/>
        </w:rPr>
        <w:t xml:space="preserve">Copies of the Company’s and Cell’s Articles of Association, as proposed to be amended, together with comparisons showing all changes to the existing Articles of Association, have been uploaded to the Company’s website </w:t>
      </w:r>
      <w:hyperlink r:id="rId18" w:history="1">
        <w:r w:rsidRPr="00F9062B">
          <w:rPr>
            <w:rStyle w:val="Hyperlink"/>
            <w:rFonts w:ascii="Times New Roman" w:hAnsi="Times New Roman"/>
            <w:sz w:val="20"/>
            <w:szCs w:val="20"/>
          </w:rPr>
          <w:t>http://www.middlefield.co.uk/mcit.htm</w:t>
        </w:r>
      </w:hyperlink>
      <w:r w:rsidRPr="00F9062B">
        <w:rPr>
          <w:rFonts w:ascii="Times New Roman" w:hAnsi="Times New Roman"/>
          <w:sz w:val="20"/>
          <w:szCs w:val="20"/>
        </w:rPr>
        <w:t xml:space="preserve"> and will be available for inspection at the Company Annual General Meeting and Cell Annual General Meeting.  Electronic copies can also be requested from the Assistant Secretary by e-mail to </w:t>
      </w:r>
      <w:hyperlink r:id="rId19" w:history="1">
        <w:r w:rsidRPr="00F9062B">
          <w:rPr>
            <w:rStyle w:val="Hyperlink"/>
            <w:rFonts w:ascii="Times New Roman" w:hAnsi="Times New Roman"/>
            <w:color w:val="auto"/>
            <w:sz w:val="20"/>
            <w:szCs w:val="20"/>
          </w:rPr>
          <w:t>fundservicesgsy@jtcgroup.com</w:t>
        </w:r>
      </w:hyperlink>
      <w:r w:rsidRPr="00F9062B">
        <w:rPr>
          <w:rFonts w:ascii="Times New Roman" w:hAnsi="Times New Roman"/>
          <w:sz w:val="20"/>
          <w:szCs w:val="20"/>
        </w:rPr>
        <w:t>.  They will also be available for inspection</w:t>
      </w:r>
      <w:r w:rsidR="00133242" w:rsidRPr="0070263B">
        <w:rPr>
          <w:rFonts w:ascii="Times New Roman" w:hAnsi="Times New Roman"/>
          <w:sz w:val="20"/>
          <w:szCs w:val="20"/>
        </w:rPr>
        <w:t>:</w:t>
      </w:r>
      <w:r w:rsidRPr="00F9062B">
        <w:rPr>
          <w:rFonts w:ascii="Times New Roman" w:hAnsi="Times New Roman"/>
          <w:sz w:val="20"/>
          <w:szCs w:val="20"/>
        </w:rPr>
        <w:t xml:space="preserve"> </w:t>
      </w:r>
    </w:p>
    <w:p w:rsidR="0070263B" w:rsidRPr="0070263B" w:rsidRDefault="0070263B" w:rsidP="00F9062B">
      <w:pPr>
        <w:jc w:val="both"/>
        <w:rPr>
          <w:rFonts w:ascii="Times New Roman" w:hAnsi="Times New Roman"/>
          <w:sz w:val="20"/>
          <w:szCs w:val="20"/>
        </w:rPr>
      </w:pPr>
    </w:p>
    <w:p w:rsidR="00297D93" w:rsidRPr="00F9062B" w:rsidRDefault="00297D93" w:rsidP="00F9062B">
      <w:pPr>
        <w:pStyle w:val="ListParagraph"/>
        <w:numPr>
          <w:ilvl w:val="0"/>
          <w:numId w:val="75"/>
        </w:numPr>
        <w:ind w:left="567" w:hanging="425"/>
        <w:rPr>
          <w:rFonts w:ascii="Times New Roman" w:hAnsi="Times New Roman"/>
          <w:sz w:val="20"/>
          <w:szCs w:val="20"/>
        </w:rPr>
      </w:pPr>
      <w:r w:rsidRPr="00F9062B">
        <w:rPr>
          <w:rFonts w:ascii="Times New Roman" w:hAnsi="Times New Roman"/>
          <w:sz w:val="20"/>
          <w:szCs w:val="20"/>
        </w:rPr>
        <w:t>from the date of this notice until the conclusion of the relevant Annual General Meeting at the registered offices of Middlefield International Limited and the Company and the Cell and</w:t>
      </w:r>
      <w:r w:rsidR="0070263B" w:rsidRPr="0070263B">
        <w:rPr>
          <w:rFonts w:ascii="Times New Roman" w:hAnsi="Times New Roman"/>
          <w:sz w:val="20"/>
          <w:szCs w:val="20"/>
        </w:rPr>
        <w:t>;</w:t>
      </w:r>
      <w:r w:rsidRPr="00F9062B">
        <w:rPr>
          <w:rFonts w:ascii="Times New Roman" w:hAnsi="Times New Roman"/>
          <w:sz w:val="20"/>
          <w:szCs w:val="20"/>
        </w:rPr>
        <w:t xml:space="preserve"> </w:t>
      </w:r>
    </w:p>
    <w:p w:rsidR="00297D93" w:rsidRPr="00F9062B" w:rsidRDefault="00297D93" w:rsidP="00F9062B">
      <w:pPr>
        <w:pStyle w:val="ListParagraph"/>
        <w:numPr>
          <w:ilvl w:val="0"/>
          <w:numId w:val="75"/>
        </w:numPr>
        <w:ind w:left="567" w:hanging="425"/>
        <w:rPr>
          <w:rFonts w:ascii="Times New Roman" w:hAnsi="Times New Roman"/>
          <w:sz w:val="20"/>
          <w:szCs w:val="20"/>
        </w:rPr>
      </w:pPr>
      <w:r w:rsidRPr="00F9062B">
        <w:rPr>
          <w:rFonts w:ascii="Times New Roman" w:hAnsi="Times New Roman"/>
          <w:sz w:val="20"/>
          <w:szCs w:val="20"/>
        </w:rPr>
        <w:t>at the place of the relevant Annual General Meeting for at least 15 minutes before and during the meeting.</w:t>
      </w:r>
    </w:p>
    <w:p w:rsidR="00297D93" w:rsidRPr="0070263B" w:rsidRDefault="00297D93" w:rsidP="00F9062B">
      <w:pPr>
        <w:jc w:val="both"/>
        <w:rPr>
          <w:rFonts w:ascii="Times New Roman" w:hAnsi="Times New Roman"/>
          <w:sz w:val="20"/>
          <w:szCs w:val="20"/>
        </w:rPr>
      </w:pPr>
    </w:p>
    <w:p w:rsidR="00E54387" w:rsidRPr="00F9062B" w:rsidRDefault="00E54387" w:rsidP="00F9062B">
      <w:pPr>
        <w:jc w:val="both"/>
        <w:rPr>
          <w:rFonts w:ascii="Times New Roman" w:hAnsi="Times New Roman"/>
          <w:b/>
          <w:bCs/>
          <w:sz w:val="20"/>
          <w:szCs w:val="20"/>
        </w:rPr>
      </w:pPr>
      <w:r w:rsidRPr="00F9062B">
        <w:rPr>
          <w:rFonts w:ascii="Times New Roman" w:hAnsi="Times New Roman"/>
          <w:b/>
          <w:bCs/>
          <w:sz w:val="20"/>
          <w:szCs w:val="20"/>
        </w:rPr>
        <w:t>Institutional Voting Policy</w:t>
      </w:r>
      <w:r w:rsidRPr="00F9062B">
        <w:rPr>
          <w:color w:val="1F497D"/>
          <w:lang w:val="en-CA"/>
        </w:rPr>
        <w:t> </w:t>
      </w:r>
    </w:p>
    <w:p w:rsidR="00F6073E" w:rsidRPr="00F6073E" w:rsidRDefault="00F6073E" w:rsidP="00F9062B">
      <w:pPr>
        <w:pStyle w:val="AgreementHeading3CharChar"/>
        <w:numPr>
          <w:ilvl w:val="0"/>
          <w:numId w:val="0"/>
        </w:numPr>
        <w:spacing w:line="240" w:lineRule="auto"/>
        <w:rPr>
          <w:rFonts w:ascii="Times New Roman" w:hAnsi="Times New Roman"/>
          <w:sz w:val="20"/>
          <w:szCs w:val="20"/>
        </w:rPr>
      </w:pPr>
      <w:r w:rsidRPr="00F6073E">
        <w:rPr>
          <w:rFonts w:ascii="Times New Roman" w:hAnsi="Times New Roman"/>
          <w:sz w:val="20"/>
          <w:szCs w:val="20"/>
        </w:rPr>
        <w:t>As a general policy, the Company bases its decision on whether to vote on matters proposed by its investees based on the nature of the matter being proposed.  However, it will always vote on matters proposed by issuers which represent more than 4% of the Company’s net asset value. For all holdings in issuers representing 4% or less of the Company’s net assets at the reference date, the Investment Manager will decide whether to vote on any proposals put to the relevant issuer’s shareholders.</w:t>
      </w:r>
    </w:p>
    <w:p w:rsidR="00AA6E18" w:rsidRDefault="00F6073E" w:rsidP="005C0691">
      <w:pPr>
        <w:pStyle w:val="AgreementHeading3CharChar"/>
        <w:numPr>
          <w:ilvl w:val="0"/>
          <w:numId w:val="0"/>
        </w:numPr>
        <w:spacing w:line="240" w:lineRule="auto"/>
        <w:rPr>
          <w:rFonts w:ascii="Times New Roman" w:hAnsi="Times New Roman"/>
          <w:sz w:val="20"/>
          <w:szCs w:val="20"/>
        </w:rPr>
      </w:pPr>
      <w:r w:rsidRPr="00F6073E">
        <w:rPr>
          <w:rFonts w:ascii="Times New Roman" w:hAnsi="Times New Roman"/>
          <w:sz w:val="20"/>
          <w:szCs w:val="20"/>
        </w:rPr>
        <w:t>Matters to be voted on may be of a routine nature, including the appointment and compensation of auditors or the election of the board of directors. Examples of non-routine matters include, but are not limited to, stock-based compensation, shareholder rights plans, corporate restructuring plans including mergers and acquisitions, or supermajority approval proposals. A decision to invest in an issuer is generally an endorsement of the issuer’s management.  Therefore, the Company will generally vote with management of the issuer on routine matters and in a manner that will maximize the value of the Company’s investment in the issuer for non-routine matters.</w:t>
      </w:r>
    </w:p>
    <w:p w:rsidR="00AA6E18" w:rsidRDefault="00AA6E18" w:rsidP="005C0691">
      <w:pPr>
        <w:pStyle w:val="AgreementHeading3CharChar"/>
        <w:numPr>
          <w:ilvl w:val="0"/>
          <w:numId w:val="0"/>
        </w:numPr>
        <w:spacing w:line="240" w:lineRule="auto"/>
        <w:rPr>
          <w:rFonts w:ascii="Times New Roman" w:hAnsi="Times New Roman"/>
          <w:sz w:val="20"/>
          <w:szCs w:val="20"/>
        </w:rPr>
      </w:pPr>
    </w:p>
    <w:p w:rsidR="00AA6E18" w:rsidRDefault="00AA6E18" w:rsidP="005C0691">
      <w:pPr>
        <w:pStyle w:val="AgreementHeading3CharChar"/>
        <w:numPr>
          <w:ilvl w:val="0"/>
          <w:numId w:val="0"/>
        </w:numPr>
        <w:spacing w:line="240" w:lineRule="auto"/>
        <w:rPr>
          <w:rFonts w:ascii="Times New Roman" w:hAnsi="Times New Roman"/>
          <w:sz w:val="20"/>
          <w:szCs w:val="20"/>
        </w:rPr>
      </w:pPr>
    </w:p>
    <w:p w:rsidR="00AA6E18" w:rsidRDefault="00AA6E18" w:rsidP="005C0691">
      <w:pPr>
        <w:pStyle w:val="AgreementHeading3CharChar"/>
        <w:numPr>
          <w:ilvl w:val="0"/>
          <w:numId w:val="0"/>
        </w:numPr>
        <w:spacing w:line="240" w:lineRule="auto"/>
        <w:rPr>
          <w:rFonts w:ascii="Times New Roman" w:hAnsi="Times New Roman"/>
          <w:sz w:val="20"/>
          <w:szCs w:val="20"/>
        </w:rPr>
      </w:pPr>
    </w:p>
    <w:p w:rsidR="00AA6E18" w:rsidRDefault="00AA6E18" w:rsidP="005C0691">
      <w:pPr>
        <w:pStyle w:val="AgreementHeading3CharChar"/>
        <w:numPr>
          <w:ilvl w:val="0"/>
          <w:numId w:val="0"/>
        </w:numPr>
        <w:spacing w:line="240" w:lineRule="auto"/>
        <w:rPr>
          <w:rFonts w:ascii="Times New Roman" w:hAnsi="Times New Roman"/>
          <w:sz w:val="20"/>
          <w:szCs w:val="20"/>
        </w:rPr>
      </w:pPr>
    </w:p>
    <w:p w:rsidR="00AA6E18" w:rsidRDefault="00AA6E18" w:rsidP="005C0691">
      <w:pPr>
        <w:pStyle w:val="AgreementHeading3CharChar"/>
        <w:numPr>
          <w:ilvl w:val="0"/>
          <w:numId w:val="0"/>
        </w:numPr>
        <w:spacing w:line="240" w:lineRule="auto"/>
        <w:rPr>
          <w:rFonts w:ascii="Times New Roman" w:hAnsi="Times New Roman"/>
          <w:sz w:val="20"/>
          <w:szCs w:val="20"/>
        </w:rPr>
      </w:pPr>
    </w:p>
    <w:p w:rsidR="00AA6E18" w:rsidRDefault="00AA6E18" w:rsidP="005C0691">
      <w:pPr>
        <w:pStyle w:val="AgreementHeading3CharChar"/>
        <w:numPr>
          <w:ilvl w:val="0"/>
          <w:numId w:val="0"/>
        </w:numPr>
        <w:spacing w:line="240" w:lineRule="auto"/>
        <w:rPr>
          <w:rFonts w:ascii="Times New Roman" w:hAnsi="Times New Roman"/>
          <w:sz w:val="20"/>
          <w:szCs w:val="20"/>
        </w:rPr>
      </w:pPr>
    </w:p>
    <w:p w:rsidR="00AA6E18" w:rsidRDefault="00AA6E18" w:rsidP="005C0691">
      <w:pPr>
        <w:pStyle w:val="AgreementHeading3CharChar"/>
        <w:numPr>
          <w:ilvl w:val="0"/>
          <w:numId w:val="0"/>
        </w:numPr>
        <w:spacing w:line="240" w:lineRule="auto"/>
        <w:rPr>
          <w:rFonts w:ascii="Times New Roman" w:hAnsi="Times New Roman"/>
          <w:sz w:val="20"/>
          <w:szCs w:val="20"/>
        </w:rPr>
      </w:pPr>
    </w:p>
    <w:p w:rsidR="007B59D7" w:rsidRPr="009170B8" w:rsidRDefault="007B59D7" w:rsidP="007B59D7">
      <w:pPr>
        <w:pStyle w:val="Heading2"/>
        <w:tabs>
          <w:tab w:val="right" w:pos="8222"/>
        </w:tabs>
        <w:rPr>
          <w:rFonts w:ascii="Times New Roman" w:hAnsi="Times New Roman"/>
        </w:rPr>
      </w:pPr>
      <w:r w:rsidRPr="009170B8">
        <w:rPr>
          <w:rFonts w:ascii="Times New Roman" w:hAnsi="Times New Roman"/>
        </w:rPr>
        <w:t>Directors’ Responsibilities</w:t>
      </w:r>
    </w:p>
    <w:p w:rsidR="007B59D7" w:rsidRPr="009170B8" w:rsidRDefault="007B59D7" w:rsidP="007B59D7">
      <w:pPr>
        <w:tabs>
          <w:tab w:val="right" w:pos="8222"/>
        </w:tabs>
        <w:jc w:val="both"/>
        <w:rPr>
          <w:rFonts w:ascii="Times New Roman" w:hAnsi="Times New Roman"/>
          <w:sz w:val="20"/>
          <w:szCs w:val="20"/>
        </w:rPr>
      </w:pPr>
    </w:p>
    <w:p w:rsidR="005C0691" w:rsidRPr="009170B8" w:rsidRDefault="005C0691" w:rsidP="005C0691">
      <w:pPr>
        <w:tabs>
          <w:tab w:val="right" w:pos="8222"/>
        </w:tabs>
        <w:spacing w:after="240"/>
        <w:jc w:val="both"/>
        <w:rPr>
          <w:rFonts w:ascii="Times New Roman" w:hAnsi="Times New Roman"/>
          <w:sz w:val="20"/>
          <w:szCs w:val="20"/>
        </w:rPr>
      </w:pPr>
      <w:r w:rsidRPr="00BB5BFC">
        <w:rPr>
          <w:rFonts w:ascii="Times New Roman" w:hAnsi="Times New Roman"/>
          <w:sz w:val="20"/>
          <w:szCs w:val="20"/>
        </w:rPr>
        <w:t xml:space="preserve">The directors are responsible for preparing the </w:t>
      </w:r>
      <w:r w:rsidR="00FE09C7">
        <w:rPr>
          <w:rFonts w:ascii="Times New Roman" w:hAnsi="Times New Roman"/>
          <w:sz w:val="20"/>
          <w:szCs w:val="20"/>
        </w:rPr>
        <w:t>annual financial report</w:t>
      </w:r>
      <w:r w:rsidRPr="00BB5BFC">
        <w:rPr>
          <w:rFonts w:ascii="Times New Roman" w:hAnsi="Times New Roman"/>
          <w:sz w:val="20"/>
          <w:szCs w:val="20"/>
        </w:rPr>
        <w:t xml:space="preserve"> in accordance with applicable law and regulations.</w:t>
      </w:r>
    </w:p>
    <w:p w:rsidR="005C0691" w:rsidRPr="009170B8" w:rsidRDefault="00B60D71" w:rsidP="005C0691">
      <w:pPr>
        <w:tabs>
          <w:tab w:val="right" w:pos="8222"/>
        </w:tabs>
        <w:spacing w:after="240"/>
        <w:jc w:val="both"/>
        <w:rPr>
          <w:rFonts w:ascii="Times New Roman" w:hAnsi="Times New Roman"/>
          <w:sz w:val="20"/>
          <w:szCs w:val="20"/>
        </w:rPr>
      </w:pPr>
      <w:r>
        <w:rPr>
          <w:rFonts w:ascii="Times New Roman" w:hAnsi="Times New Roman"/>
          <w:sz w:val="20"/>
          <w:szCs w:val="20"/>
        </w:rPr>
        <w:t>The Companies (Jersey) Law 1991, as amended (the “</w:t>
      </w:r>
      <w:r w:rsidRPr="00BB5BFC">
        <w:rPr>
          <w:rFonts w:ascii="Times New Roman" w:hAnsi="Times New Roman"/>
          <w:sz w:val="20"/>
          <w:szCs w:val="20"/>
        </w:rPr>
        <w:t>Compan</w:t>
      </w:r>
      <w:r>
        <w:rPr>
          <w:rFonts w:ascii="Times New Roman" w:hAnsi="Times New Roman"/>
          <w:sz w:val="20"/>
          <w:szCs w:val="20"/>
        </w:rPr>
        <w:t>ies</w:t>
      </w:r>
      <w:r w:rsidRPr="00BB5BFC">
        <w:rPr>
          <w:rFonts w:ascii="Times New Roman" w:hAnsi="Times New Roman"/>
          <w:sz w:val="20"/>
          <w:szCs w:val="20"/>
        </w:rPr>
        <w:t xml:space="preserve"> </w:t>
      </w:r>
      <w:r>
        <w:rPr>
          <w:rFonts w:ascii="Times New Roman" w:hAnsi="Times New Roman"/>
          <w:sz w:val="20"/>
          <w:szCs w:val="20"/>
        </w:rPr>
        <w:t>L</w:t>
      </w:r>
      <w:r w:rsidR="005C0691" w:rsidRPr="00BB5BFC">
        <w:rPr>
          <w:rFonts w:ascii="Times New Roman" w:hAnsi="Times New Roman"/>
          <w:sz w:val="20"/>
          <w:szCs w:val="20"/>
        </w:rPr>
        <w:t>aw</w:t>
      </w:r>
      <w:r>
        <w:rPr>
          <w:rFonts w:ascii="Times New Roman" w:hAnsi="Times New Roman"/>
          <w:sz w:val="20"/>
          <w:szCs w:val="20"/>
        </w:rPr>
        <w:t>”)</w:t>
      </w:r>
      <w:r w:rsidR="005C0691" w:rsidRPr="00BB5BFC">
        <w:rPr>
          <w:rFonts w:ascii="Times New Roman" w:hAnsi="Times New Roman"/>
          <w:sz w:val="20"/>
          <w:szCs w:val="20"/>
        </w:rPr>
        <w:t xml:space="preserve"> requires the directors to prepare financial statements for each financial year which gives a true and fair view of the state of affairs of the Company </w:t>
      </w:r>
      <w:r w:rsidR="006C0CC2">
        <w:rPr>
          <w:rFonts w:ascii="Times New Roman" w:hAnsi="Times New Roman"/>
          <w:sz w:val="20"/>
          <w:szCs w:val="20"/>
        </w:rPr>
        <w:t xml:space="preserve">and Fund </w:t>
      </w:r>
      <w:r w:rsidR="005C0691" w:rsidRPr="00BB5BFC">
        <w:rPr>
          <w:rFonts w:ascii="Times New Roman" w:hAnsi="Times New Roman"/>
          <w:sz w:val="20"/>
          <w:szCs w:val="20"/>
        </w:rPr>
        <w:t xml:space="preserve">as at the end of the financial year and of the profit or loss for that year. The directors have elected to prepare the financial statements under International Financial Reporting Standards </w:t>
      </w:r>
      <w:r w:rsidR="00E24A68">
        <w:rPr>
          <w:rFonts w:ascii="Times New Roman" w:hAnsi="Times New Roman"/>
          <w:sz w:val="20"/>
          <w:szCs w:val="20"/>
        </w:rPr>
        <w:t>(</w:t>
      </w:r>
      <w:r w:rsidR="00225DD1">
        <w:rPr>
          <w:rFonts w:ascii="Times New Roman" w:hAnsi="Times New Roman"/>
          <w:sz w:val="20"/>
          <w:szCs w:val="20"/>
        </w:rPr>
        <w:t>“</w:t>
      </w:r>
      <w:r w:rsidR="005C0691" w:rsidRPr="00BB5BFC">
        <w:rPr>
          <w:rFonts w:ascii="Times New Roman" w:hAnsi="Times New Roman"/>
          <w:sz w:val="20"/>
          <w:szCs w:val="20"/>
        </w:rPr>
        <w:t>IFRS</w:t>
      </w:r>
      <w:r w:rsidR="00225DD1">
        <w:rPr>
          <w:rFonts w:ascii="Times New Roman" w:hAnsi="Times New Roman"/>
          <w:sz w:val="20"/>
          <w:szCs w:val="20"/>
        </w:rPr>
        <w:t>”</w:t>
      </w:r>
      <w:r w:rsidR="00E24A68">
        <w:rPr>
          <w:rFonts w:ascii="Times New Roman" w:hAnsi="Times New Roman"/>
          <w:sz w:val="20"/>
          <w:szCs w:val="20"/>
        </w:rPr>
        <w:t>)</w:t>
      </w:r>
      <w:r w:rsidR="005C0691" w:rsidRPr="00BB5BFC">
        <w:rPr>
          <w:rFonts w:ascii="Times New Roman" w:hAnsi="Times New Roman"/>
          <w:sz w:val="20"/>
          <w:szCs w:val="20"/>
        </w:rPr>
        <w:t xml:space="preserve"> as adopted by the European Union.</w:t>
      </w:r>
    </w:p>
    <w:p w:rsidR="005C0691" w:rsidRPr="009170B8" w:rsidRDefault="005C0691" w:rsidP="005C0691">
      <w:pPr>
        <w:tabs>
          <w:tab w:val="right" w:pos="8222"/>
        </w:tabs>
        <w:spacing w:after="240"/>
        <w:jc w:val="both"/>
        <w:rPr>
          <w:rFonts w:ascii="Times New Roman" w:hAnsi="Times New Roman"/>
          <w:sz w:val="20"/>
          <w:szCs w:val="20"/>
        </w:rPr>
      </w:pPr>
      <w:r w:rsidRPr="00BB5BFC">
        <w:rPr>
          <w:rFonts w:ascii="Times New Roman" w:hAnsi="Times New Roman"/>
          <w:sz w:val="20"/>
          <w:szCs w:val="20"/>
        </w:rPr>
        <w:t>International Accounting Standard 1 requires that financial statements present fairly for each financial period the Company’s</w:t>
      </w:r>
      <w:r w:rsidR="006C0CC2">
        <w:rPr>
          <w:rFonts w:ascii="Times New Roman" w:hAnsi="Times New Roman"/>
          <w:sz w:val="20"/>
          <w:szCs w:val="20"/>
        </w:rPr>
        <w:t xml:space="preserve"> and Fund’s</w:t>
      </w:r>
      <w:r w:rsidRPr="00BB5BFC">
        <w:rPr>
          <w:rFonts w:ascii="Times New Roman" w:hAnsi="Times New Roman"/>
          <w:sz w:val="20"/>
          <w:szCs w:val="20"/>
        </w:rPr>
        <w:t xml:space="preserve"> financial position, financial performance and cash flows.  This requires the faithful representation of the effects of transactions, other events and conditions in accordance with the definitions and recognition criteria for assets, liabilities, income and expenses set out in the International Accounting Standards Board’s ‘Framework for the preparation and presentation of financial statements’.  In virtually all circumstances, a fair presentation will be achieved by compliance with all applicable IFRS.  However, directors are also required to:</w:t>
      </w:r>
    </w:p>
    <w:p w:rsidR="005C0691" w:rsidRPr="009170B8" w:rsidRDefault="005C0691" w:rsidP="005C0691">
      <w:pPr>
        <w:numPr>
          <w:ilvl w:val="0"/>
          <w:numId w:val="1"/>
        </w:numPr>
        <w:tabs>
          <w:tab w:val="right" w:pos="8222"/>
        </w:tabs>
        <w:spacing w:after="240"/>
        <w:jc w:val="both"/>
        <w:rPr>
          <w:rFonts w:ascii="Times New Roman" w:hAnsi="Times New Roman"/>
          <w:sz w:val="20"/>
          <w:szCs w:val="20"/>
        </w:rPr>
      </w:pPr>
      <w:r w:rsidRPr="00BB5BFC">
        <w:rPr>
          <w:rFonts w:ascii="Times New Roman" w:hAnsi="Times New Roman"/>
          <w:sz w:val="20"/>
          <w:szCs w:val="20"/>
        </w:rPr>
        <w:t>properly select and apply accounting policies;</w:t>
      </w:r>
    </w:p>
    <w:p w:rsidR="005C0691" w:rsidRPr="009170B8" w:rsidRDefault="005C0691" w:rsidP="005C0691">
      <w:pPr>
        <w:numPr>
          <w:ilvl w:val="0"/>
          <w:numId w:val="1"/>
        </w:numPr>
        <w:tabs>
          <w:tab w:val="right" w:pos="8222"/>
        </w:tabs>
        <w:spacing w:after="240"/>
        <w:jc w:val="both"/>
        <w:rPr>
          <w:rFonts w:ascii="Times New Roman" w:hAnsi="Times New Roman"/>
          <w:sz w:val="20"/>
          <w:szCs w:val="20"/>
        </w:rPr>
      </w:pPr>
      <w:r w:rsidRPr="00BB5BFC">
        <w:rPr>
          <w:rFonts w:ascii="Times New Roman" w:hAnsi="Times New Roman"/>
          <w:sz w:val="20"/>
          <w:szCs w:val="20"/>
        </w:rPr>
        <w:t xml:space="preserve">present information, including accounting policies, in a manner that provides relevant, reliable, comparable and understandable information; </w:t>
      </w:r>
    </w:p>
    <w:p w:rsidR="005C0691" w:rsidRPr="009170B8" w:rsidRDefault="005C0691" w:rsidP="005C0691">
      <w:pPr>
        <w:numPr>
          <w:ilvl w:val="0"/>
          <w:numId w:val="1"/>
        </w:numPr>
        <w:tabs>
          <w:tab w:val="right" w:pos="8222"/>
        </w:tabs>
        <w:spacing w:after="240"/>
        <w:jc w:val="both"/>
        <w:rPr>
          <w:rFonts w:ascii="Times New Roman" w:hAnsi="Times New Roman"/>
          <w:sz w:val="20"/>
          <w:szCs w:val="20"/>
        </w:rPr>
      </w:pPr>
      <w:r w:rsidRPr="00BB5BFC">
        <w:rPr>
          <w:rFonts w:ascii="Times New Roman" w:hAnsi="Times New Roman"/>
          <w:sz w:val="20"/>
          <w:szCs w:val="20"/>
        </w:rPr>
        <w:t>provide additional disclosures when compliance with the specific requirements in IFRS are insufficient to enable users to understand the impact of particular transactions, other events and conditions on the Company’s</w:t>
      </w:r>
      <w:r w:rsidR="006C0CC2">
        <w:rPr>
          <w:rFonts w:ascii="Times New Roman" w:hAnsi="Times New Roman"/>
          <w:sz w:val="20"/>
          <w:szCs w:val="20"/>
        </w:rPr>
        <w:t xml:space="preserve"> and Fund’s</w:t>
      </w:r>
      <w:r w:rsidRPr="00BB5BFC">
        <w:rPr>
          <w:rFonts w:ascii="Times New Roman" w:hAnsi="Times New Roman"/>
          <w:sz w:val="20"/>
          <w:szCs w:val="20"/>
        </w:rPr>
        <w:t xml:space="preserve"> financial position and performance</w:t>
      </w:r>
      <w:r>
        <w:rPr>
          <w:rFonts w:ascii="Times New Roman" w:hAnsi="Times New Roman"/>
          <w:sz w:val="20"/>
          <w:szCs w:val="20"/>
        </w:rPr>
        <w:t xml:space="preserve">; </w:t>
      </w:r>
      <w:r w:rsidRPr="00BB5BFC">
        <w:rPr>
          <w:rFonts w:ascii="Times New Roman" w:hAnsi="Times New Roman"/>
          <w:sz w:val="20"/>
          <w:szCs w:val="20"/>
        </w:rPr>
        <w:t>and</w:t>
      </w:r>
    </w:p>
    <w:p w:rsidR="005C0691" w:rsidRPr="009170B8" w:rsidRDefault="005C0691" w:rsidP="005C0691">
      <w:pPr>
        <w:numPr>
          <w:ilvl w:val="0"/>
          <w:numId w:val="1"/>
        </w:numPr>
        <w:tabs>
          <w:tab w:val="right" w:pos="8222"/>
        </w:tabs>
        <w:spacing w:after="240"/>
        <w:jc w:val="both"/>
        <w:rPr>
          <w:rFonts w:ascii="Times New Roman" w:hAnsi="Times New Roman"/>
          <w:sz w:val="20"/>
          <w:szCs w:val="20"/>
        </w:rPr>
      </w:pPr>
      <w:r w:rsidRPr="009170B8">
        <w:rPr>
          <w:rFonts w:ascii="Times New Roman" w:hAnsi="Times New Roman"/>
          <w:sz w:val="20"/>
          <w:szCs w:val="20"/>
        </w:rPr>
        <w:t xml:space="preserve">make an assessment on the Company’s </w:t>
      </w:r>
      <w:r w:rsidR="006C0CC2">
        <w:rPr>
          <w:rFonts w:ascii="Times New Roman" w:hAnsi="Times New Roman"/>
          <w:sz w:val="20"/>
          <w:szCs w:val="20"/>
        </w:rPr>
        <w:t xml:space="preserve">and Fund’s </w:t>
      </w:r>
      <w:r w:rsidRPr="009170B8">
        <w:rPr>
          <w:rFonts w:ascii="Times New Roman" w:hAnsi="Times New Roman"/>
          <w:sz w:val="20"/>
          <w:szCs w:val="20"/>
        </w:rPr>
        <w:t>ability to continue as a going concern</w:t>
      </w:r>
      <w:r>
        <w:rPr>
          <w:rFonts w:ascii="Times New Roman" w:hAnsi="Times New Roman"/>
          <w:sz w:val="20"/>
          <w:szCs w:val="20"/>
        </w:rPr>
        <w:t>.</w:t>
      </w:r>
    </w:p>
    <w:p w:rsidR="005C0691" w:rsidRPr="009170B8" w:rsidRDefault="005C0691" w:rsidP="005C0691">
      <w:pPr>
        <w:pStyle w:val="BodyText"/>
        <w:tabs>
          <w:tab w:val="clear" w:pos="3402"/>
        </w:tabs>
        <w:spacing w:after="240"/>
        <w:rPr>
          <w:rFonts w:ascii="Times New Roman" w:hAnsi="Times New Roman"/>
          <w:szCs w:val="20"/>
        </w:rPr>
      </w:pPr>
      <w:r w:rsidRPr="00BB5BFC">
        <w:rPr>
          <w:rFonts w:ascii="Times New Roman" w:hAnsi="Times New Roman"/>
          <w:szCs w:val="20"/>
        </w:rPr>
        <w:t>The directors are responsible for keeping proper accounting records that disclose with reasonable accuracy at any time the financial position of the Company and enable them to ensure that the financial statements comply with the Companies Law.  They are also responsible for safeguarding the assets of the Company</w:t>
      </w:r>
      <w:r w:rsidR="006C0CC2">
        <w:rPr>
          <w:rFonts w:ascii="Times New Roman" w:hAnsi="Times New Roman"/>
          <w:szCs w:val="20"/>
        </w:rPr>
        <w:t xml:space="preserve"> and Fund,</w:t>
      </w:r>
      <w:r w:rsidRPr="00BB5BFC">
        <w:rPr>
          <w:rFonts w:ascii="Times New Roman" w:hAnsi="Times New Roman"/>
          <w:szCs w:val="20"/>
        </w:rPr>
        <w:t xml:space="preserve"> and hence for taking reasonable steps for the prevention and detection of fraud and other irregularities.</w:t>
      </w:r>
    </w:p>
    <w:p w:rsidR="00750224" w:rsidRDefault="005C0691" w:rsidP="008D28E4">
      <w:pPr>
        <w:tabs>
          <w:tab w:val="right" w:pos="8222"/>
        </w:tabs>
        <w:spacing w:after="240"/>
        <w:jc w:val="both"/>
        <w:rPr>
          <w:rFonts w:ascii="Times New Roman" w:hAnsi="Times New Roman"/>
          <w:bCs/>
          <w:i/>
          <w:sz w:val="20"/>
          <w:szCs w:val="20"/>
        </w:rPr>
      </w:pPr>
      <w:r w:rsidRPr="00BB5BFC">
        <w:rPr>
          <w:rFonts w:ascii="Times New Roman" w:hAnsi="Times New Roman"/>
          <w:sz w:val="20"/>
          <w:szCs w:val="20"/>
        </w:rPr>
        <w:t xml:space="preserve">The directors are responsible for the maintenance and integrity of the corporate and financial information included on the Company’s website.  Legislation in Jersey and the United Kingdom governing the preparation and dissemination of financial statements may differ from legislation in other jurisdictions. Having taken advice from the Audit Committee, the Board considers the report and accounts, taken as a whole, as fair, balanced and understandable and that it provides the information necessary for shareholders to assess the Company’s </w:t>
      </w:r>
      <w:r w:rsidR="006C0CC2">
        <w:rPr>
          <w:rFonts w:ascii="Times New Roman" w:hAnsi="Times New Roman"/>
          <w:sz w:val="20"/>
          <w:szCs w:val="20"/>
        </w:rPr>
        <w:t xml:space="preserve">and Fund’s </w:t>
      </w:r>
      <w:r w:rsidRPr="00BB5BFC">
        <w:rPr>
          <w:rFonts w:ascii="Times New Roman" w:hAnsi="Times New Roman"/>
          <w:sz w:val="20"/>
          <w:szCs w:val="20"/>
        </w:rPr>
        <w:t>performance, business model and strategy.</w:t>
      </w:r>
    </w:p>
    <w:p w:rsidR="005C0691" w:rsidRPr="009170B8" w:rsidRDefault="005C0691" w:rsidP="005C0691">
      <w:pPr>
        <w:pStyle w:val="Heading1"/>
        <w:spacing w:after="240"/>
        <w:jc w:val="left"/>
        <w:rPr>
          <w:rFonts w:ascii="Times New Roman" w:hAnsi="Times New Roman"/>
          <w:b w:val="0"/>
          <w:bCs w:val="0"/>
          <w:sz w:val="20"/>
          <w:szCs w:val="20"/>
        </w:rPr>
      </w:pPr>
      <w:r w:rsidRPr="00BB5BFC">
        <w:rPr>
          <w:rFonts w:ascii="Times New Roman" w:hAnsi="Times New Roman"/>
          <w:sz w:val="20"/>
          <w:szCs w:val="20"/>
        </w:rPr>
        <w:t>Directors’ responsibility statement</w:t>
      </w:r>
    </w:p>
    <w:p w:rsidR="005C0691" w:rsidRPr="009170B8" w:rsidRDefault="005C0691" w:rsidP="005C0691">
      <w:pPr>
        <w:pStyle w:val="Heading1"/>
        <w:spacing w:after="240"/>
        <w:jc w:val="left"/>
        <w:rPr>
          <w:rFonts w:ascii="Times New Roman" w:hAnsi="Times New Roman"/>
          <w:b w:val="0"/>
          <w:bCs w:val="0"/>
          <w:sz w:val="20"/>
          <w:szCs w:val="20"/>
        </w:rPr>
      </w:pPr>
      <w:r w:rsidRPr="00BB5BFC">
        <w:rPr>
          <w:rFonts w:ascii="Times New Roman" w:hAnsi="Times New Roman"/>
          <w:b w:val="0"/>
          <w:bCs w:val="0"/>
          <w:sz w:val="20"/>
          <w:szCs w:val="20"/>
        </w:rPr>
        <w:t>We confirm that to the best of our knowledge:</w:t>
      </w:r>
    </w:p>
    <w:p w:rsidR="005C0691" w:rsidRPr="009170B8" w:rsidRDefault="005C0691" w:rsidP="005C0691">
      <w:pPr>
        <w:pStyle w:val="Heading1"/>
        <w:numPr>
          <w:ilvl w:val="0"/>
          <w:numId w:val="2"/>
        </w:numPr>
        <w:spacing w:after="240"/>
        <w:jc w:val="both"/>
        <w:rPr>
          <w:rFonts w:ascii="Times New Roman" w:hAnsi="Times New Roman"/>
          <w:b w:val="0"/>
          <w:bCs w:val="0"/>
          <w:sz w:val="20"/>
          <w:szCs w:val="20"/>
        </w:rPr>
      </w:pPr>
      <w:r w:rsidRPr="00BB5BFC">
        <w:rPr>
          <w:rFonts w:ascii="Times New Roman" w:hAnsi="Times New Roman"/>
          <w:b w:val="0"/>
          <w:bCs w:val="0"/>
          <w:sz w:val="20"/>
          <w:szCs w:val="20"/>
        </w:rPr>
        <w:t>the financial statements, prepared in accordance with International Financial Reporting Standards as adopted by the European Union, give a true and fair view of the assets, liabilities, financial position and profit or loss of the Company</w:t>
      </w:r>
      <w:r w:rsidR="006C0CC2">
        <w:rPr>
          <w:rFonts w:ascii="Times New Roman" w:hAnsi="Times New Roman"/>
          <w:b w:val="0"/>
          <w:bCs w:val="0"/>
          <w:sz w:val="20"/>
          <w:szCs w:val="20"/>
        </w:rPr>
        <w:t xml:space="preserve"> and Fund</w:t>
      </w:r>
      <w:r w:rsidRPr="00BB5BFC">
        <w:rPr>
          <w:rFonts w:ascii="Times New Roman" w:hAnsi="Times New Roman"/>
          <w:b w:val="0"/>
          <w:bCs w:val="0"/>
          <w:sz w:val="20"/>
          <w:szCs w:val="20"/>
        </w:rPr>
        <w:t xml:space="preserve">; </w:t>
      </w:r>
    </w:p>
    <w:p w:rsidR="00C50E62" w:rsidRDefault="005C0691" w:rsidP="005C0691">
      <w:pPr>
        <w:numPr>
          <w:ilvl w:val="0"/>
          <w:numId w:val="2"/>
        </w:numPr>
        <w:spacing w:after="240"/>
        <w:jc w:val="both"/>
        <w:rPr>
          <w:rFonts w:ascii="Times New Roman" w:hAnsi="Times New Roman"/>
          <w:sz w:val="20"/>
          <w:szCs w:val="20"/>
        </w:rPr>
      </w:pPr>
      <w:r w:rsidRPr="00BB5BFC">
        <w:rPr>
          <w:rFonts w:ascii="Times New Roman" w:hAnsi="Times New Roman"/>
          <w:sz w:val="20"/>
          <w:szCs w:val="20"/>
        </w:rPr>
        <w:t xml:space="preserve">the Chairman’s </w:t>
      </w:r>
      <w:r>
        <w:rPr>
          <w:rFonts w:ascii="Times New Roman" w:hAnsi="Times New Roman"/>
          <w:sz w:val="20"/>
          <w:szCs w:val="20"/>
        </w:rPr>
        <w:t>Report</w:t>
      </w:r>
      <w:r w:rsidRPr="00BB5BFC">
        <w:rPr>
          <w:rFonts w:ascii="Times New Roman" w:hAnsi="Times New Roman"/>
          <w:sz w:val="20"/>
          <w:szCs w:val="20"/>
        </w:rPr>
        <w:t>, Investment Manager’s Report and Notes to the Financial Statements incorporated herein by reference include a fair review of the development, performance and position of the Company</w:t>
      </w:r>
      <w:r w:rsidR="006C0CC2">
        <w:rPr>
          <w:rFonts w:ascii="Times New Roman" w:hAnsi="Times New Roman"/>
          <w:sz w:val="20"/>
          <w:szCs w:val="20"/>
        </w:rPr>
        <w:t xml:space="preserve"> and Fund</w:t>
      </w:r>
      <w:r w:rsidRPr="00BB5BFC">
        <w:rPr>
          <w:rFonts w:ascii="Times New Roman" w:hAnsi="Times New Roman"/>
          <w:sz w:val="20"/>
          <w:szCs w:val="20"/>
        </w:rPr>
        <w:t>, together with a description of the principal risks and uncertainties that it faces</w:t>
      </w:r>
      <w:r w:rsidR="00C50E62">
        <w:rPr>
          <w:rFonts w:ascii="Times New Roman" w:hAnsi="Times New Roman"/>
          <w:sz w:val="20"/>
          <w:szCs w:val="20"/>
        </w:rPr>
        <w:t>;</w:t>
      </w:r>
      <w:r w:rsidR="0068366F">
        <w:rPr>
          <w:rFonts w:ascii="Times New Roman" w:hAnsi="Times New Roman"/>
          <w:sz w:val="20"/>
          <w:szCs w:val="20"/>
        </w:rPr>
        <w:t xml:space="preserve"> and</w:t>
      </w:r>
    </w:p>
    <w:p w:rsidR="005C0691" w:rsidRPr="009170B8" w:rsidRDefault="00C50E62" w:rsidP="005C0691">
      <w:pPr>
        <w:numPr>
          <w:ilvl w:val="0"/>
          <w:numId w:val="2"/>
        </w:numPr>
        <w:spacing w:after="240"/>
        <w:jc w:val="both"/>
        <w:rPr>
          <w:rFonts w:ascii="Times New Roman" w:hAnsi="Times New Roman"/>
          <w:sz w:val="20"/>
          <w:szCs w:val="20"/>
        </w:rPr>
      </w:pPr>
      <w:r w:rsidRPr="00C87A19">
        <w:rPr>
          <w:rFonts w:ascii="Times New Roman" w:hAnsi="Times New Roman"/>
          <w:sz w:val="20"/>
          <w:szCs w:val="20"/>
        </w:rPr>
        <w:t xml:space="preserve">the Annual Report and financial statements, taken as a whole, are fair, balanced and understandable and provide the information necessary for shareholders to assess the Company's </w:t>
      </w:r>
      <w:r w:rsidR="006C0CC2">
        <w:rPr>
          <w:rFonts w:ascii="Times New Roman" w:hAnsi="Times New Roman"/>
          <w:sz w:val="20"/>
          <w:szCs w:val="20"/>
        </w:rPr>
        <w:t xml:space="preserve">and Fund’s </w:t>
      </w:r>
      <w:r w:rsidRPr="00C87A19">
        <w:rPr>
          <w:rFonts w:ascii="Times New Roman" w:hAnsi="Times New Roman"/>
          <w:sz w:val="20"/>
          <w:szCs w:val="20"/>
        </w:rPr>
        <w:t>position and performance, business model and strategy.</w:t>
      </w:r>
    </w:p>
    <w:p w:rsidR="005C0691" w:rsidRPr="009170B8" w:rsidRDefault="005C0691" w:rsidP="005C0691">
      <w:pPr>
        <w:rPr>
          <w:rFonts w:ascii="Times New Roman" w:hAnsi="Times New Roman"/>
          <w:sz w:val="20"/>
        </w:rPr>
      </w:pPr>
      <w:r w:rsidRPr="00BB5BFC">
        <w:rPr>
          <w:rFonts w:ascii="Times New Roman" w:hAnsi="Times New Roman"/>
          <w:sz w:val="20"/>
          <w:szCs w:val="20"/>
        </w:rPr>
        <w:t>By order of the Board:</w:t>
      </w:r>
    </w:p>
    <w:p w:rsidR="007B59D7" w:rsidRPr="009170B8" w:rsidRDefault="002410F8" w:rsidP="007B59D7">
      <w:pPr>
        <w:rPr>
          <w:rFonts w:ascii="Times New Roman" w:hAnsi="Times New Roman"/>
          <w:sz w:val="20"/>
        </w:rPr>
      </w:pPr>
      <w:r w:rsidRPr="009170B8">
        <w:rPr>
          <w:rFonts w:ascii="Times New Roman" w:hAnsi="Times New Roman"/>
          <w:sz w:val="20"/>
        </w:rPr>
        <w:tab/>
      </w:r>
      <w:r w:rsidRPr="009170B8">
        <w:rPr>
          <w:rFonts w:ascii="Times New Roman" w:hAnsi="Times New Roman"/>
          <w:sz w:val="20"/>
        </w:rPr>
        <w:tab/>
      </w:r>
    </w:p>
    <w:bookmarkEnd w:id="9"/>
    <w:bookmarkEnd w:id="10"/>
    <w:p w:rsidR="007B59D7" w:rsidRPr="009170B8" w:rsidRDefault="007B59D7" w:rsidP="007B59D7">
      <w:pPr>
        <w:pStyle w:val="Heading1"/>
        <w:jc w:val="left"/>
        <w:rPr>
          <w:rFonts w:ascii="Times New Roman" w:hAnsi="Times New Roman"/>
          <w:b w:val="0"/>
          <w:bCs w:val="0"/>
          <w:sz w:val="20"/>
        </w:rPr>
      </w:pPr>
    </w:p>
    <w:p w:rsidR="007B59D7" w:rsidRPr="00D060EE" w:rsidRDefault="00340F70" w:rsidP="007B59D7">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C50E62" w:rsidRPr="00524F0B" w:rsidRDefault="00BA2B3B" w:rsidP="00CA1FC3">
      <w:pPr>
        <w:pStyle w:val="Heading1"/>
        <w:jc w:val="left"/>
        <w:rPr>
          <w:rFonts w:ascii="Times New Roman" w:hAnsi="Times New Roman"/>
          <w:b w:val="0"/>
          <w:bCs w:val="0"/>
          <w:sz w:val="20"/>
          <w:szCs w:val="20"/>
        </w:rPr>
      </w:pPr>
      <w:r w:rsidRPr="00524F0B">
        <w:rPr>
          <w:rFonts w:ascii="Times New Roman" w:hAnsi="Times New Roman"/>
          <w:b w:val="0"/>
          <w:bCs w:val="0"/>
          <w:sz w:val="20"/>
          <w:szCs w:val="20"/>
        </w:rPr>
        <w:t>Thomas Grose</w:t>
      </w:r>
      <w:r w:rsidR="00A36A46">
        <w:rPr>
          <w:rFonts w:ascii="Times New Roman" w:hAnsi="Times New Roman"/>
          <w:bCs w:val="0"/>
          <w:sz w:val="20"/>
          <w:szCs w:val="20"/>
        </w:rPr>
        <w:tab/>
      </w:r>
      <w:r w:rsidR="00A36A46">
        <w:rPr>
          <w:rFonts w:ascii="Times New Roman" w:hAnsi="Times New Roman"/>
          <w:bCs w:val="0"/>
          <w:sz w:val="20"/>
          <w:szCs w:val="20"/>
        </w:rPr>
        <w:tab/>
      </w:r>
      <w:r w:rsidR="00A36A46">
        <w:rPr>
          <w:rFonts w:ascii="Times New Roman" w:hAnsi="Times New Roman"/>
          <w:bCs w:val="0"/>
          <w:sz w:val="20"/>
          <w:szCs w:val="20"/>
        </w:rPr>
        <w:tab/>
      </w:r>
      <w:r w:rsidR="00A36A46">
        <w:rPr>
          <w:rFonts w:ascii="Times New Roman" w:hAnsi="Times New Roman"/>
          <w:bCs w:val="0"/>
          <w:sz w:val="20"/>
          <w:szCs w:val="20"/>
        </w:rPr>
        <w:tab/>
      </w:r>
      <w:r>
        <w:rPr>
          <w:rFonts w:ascii="Times New Roman" w:hAnsi="Times New Roman"/>
          <w:bCs w:val="0"/>
          <w:sz w:val="20"/>
          <w:szCs w:val="20"/>
        </w:rPr>
        <w:t xml:space="preserve">              </w:t>
      </w:r>
      <w:r w:rsidRPr="00524F0B">
        <w:rPr>
          <w:rFonts w:ascii="Times New Roman" w:hAnsi="Times New Roman"/>
          <w:b w:val="0"/>
          <w:bCs w:val="0"/>
          <w:sz w:val="20"/>
          <w:szCs w:val="20"/>
        </w:rPr>
        <w:t>Nicholas Villiers</w:t>
      </w:r>
    </w:p>
    <w:p w:rsidR="005A6F0F" w:rsidRDefault="00A06B82" w:rsidP="00CA1FC3">
      <w:pPr>
        <w:pStyle w:val="Heading1"/>
        <w:jc w:val="left"/>
        <w:rPr>
          <w:rFonts w:ascii="Times New Roman" w:hAnsi="Times New Roman"/>
          <w:b w:val="0"/>
          <w:bCs w:val="0"/>
          <w:sz w:val="20"/>
          <w:szCs w:val="20"/>
        </w:rPr>
      </w:pPr>
      <w:r w:rsidRPr="009170B8">
        <w:rPr>
          <w:rFonts w:ascii="Times New Roman" w:hAnsi="Times New Roman"/>
          <w:bCs w:val="0"/>
          <w:sz w:val="20"/>
          <w:szCs w:val="20"/>
        </w:rPr>
        <w:t>Director</w:t>
      </w:r>
      <w:r w:rsidRPr="009170B8">
        <w:rPr>
          <w:rFonts w:ascii="Times New Roman" w:hAnsi="Times New Roman"/>
          <w:b w:val="0"/>
          <w:bCs w:val="0"/>
          <w:sz w:val="20"/>
          <w:szCs w:val="20"/>
        </w:rPr>
        <w:tab/>
      </w:r>
      <w:r w:rsidRPr="009170B8">
        <w:rPr>
          <w:rFonts w:ascii="Times New Roman" w:hAnsi="Times New Roman"/>
          <w:b w:val="0"/>
          <w:bCs w:val="0"/>
          <w:sz w:val="20"/>
          <w:szCs w:val="20"/>
        </w:rPr>
        <w:tab/>
      </w:r>
      <w:r w:rsidRPr="009170B8">
        <w:rPr>
          <w:rFonts w:ascii="Times New Roman" w:hAnsi="Times New Roman"/>
          <w:b w:val="0"/>
          <w:bCs w:val="0"/>
          <w:sz w:val="20"/>
          <w:szCs w:val="20"/>
        </w:rPr>
        <w:tab/>
      </w:r>
      <w:r w:rsidRPr="009170B8">
        <w:rPr>
          <w:rFonts w:ascii="Times New Roman" w:hAnsi="Times New Roman"/>
          <w:b w:val="0"/>
          <w:bCs w:val="0"/>
          <w:sz w:val="20"/>
          <w:szCs w:val="20"/>
        </w:rPr>
        <w:tab/>
      </w:r>
      <w:r w:rsidRPr="009170B8">
        <w:rPr>
          <w:rFonts w:ascii="Times New Roman" w:hAnsi="Times New Roman"/>
          <w:b w:val="0"/>
          <w:bCs w:val="0"/>
          <w:sz w:val="20"/>
          <w:szCs w:val="20"/>
        </w:rPr>
        <w:tab/>
      </w:r>
      <w:proofErr w:type="spellStart"/>
      <w:r w:rsidRPr="009170B8">
        <w:rPr>
          <w:rFonts w:ascii="Times New Roman" w:hAnsi="Times New Roman"/>
          <w:bCs w:val="0"/>
          <w:sz w:val="20"/>
          <w:szCs w:val="20"/>
        </w:rPr>
        <w:t>Director</w:t>
      </w:r>
      <w:proofErr w:type="spellEnd"/>
      <w:r w:rsidR="007B59D7" w:rsidRPr="009170B8">
        <w:rPr>
          <w:rFonts w:ascii="Times New Roman" w:hAnsi="Times New Roman"/>
          <w:b w:val="0"/>
          <w:bCs w:val="0"/>
          <w:sz w:val="20"/>
          <w:szCs w:val="20"/>
        </w:rPr>
        <w:tab/>
      </w:r>
      <w:r w:rsidR="007B59D7" w:rsidRPr="009170B8">
        <w:rPr>
          <w:rFonts w:ascii="Times New Roman" w:hAnsi="Times New Roman"/>
          <w:b w:val="0"/>
          <w:bCs w:val="0"/>
          <w:sz w:val="20"/>
          <w:szCs w:val="20"/>
        </w:rPr>
        <w:tab/>
      </w:r>
      <w:r w:rsidR="007B59D7" w:rsidRPr="009170B8">
        <w:rPr>
          <w:rFonts w:ascii="Times New Roman" w:hAnsi="Times New Roman"/>
          <w:b w:val="0"/>
          <w:bCs w:val="0"/>
          <w:sz w:val="20"/>
          <w:szCs w:val="20"/>
        </w:rPr>
        <w:tab/>
      </w:r>
      <w:r w:rsidR="007B59D7" w:rsidRPr="009170B8">
        <w:rPr>
          <w:rFonts w:ascii="Times New Roman" w:hAnsi="Times New Roman"/>
          <w:b w:val="0"/>
          <w:bCs w:val="0"/>
          <w:sz w:val="20"/>
          <w:szCs w:val="20"/>
        </w:rPr>
        <w:tab/>
      </w:r>
    </w:p>
    <w:p w:rsidR="00945C61" w:rsidRPr="00945C61" w:rsidRDefault="00945C61" w:rsidP="00945C61"/>
    <w:p w:rsidR="00D419A5" w:rsidRPr="009170B8" w:rsidRDefault="005A6F0F" w:rsidP="00CA1FC3">
      <w:pPr>
        <w:pStyle w:val="Heading1"/>
        <w:jc w:val="left"/>
        <w:rPr>
          <w:rFonts w:ascii="Times New Roman" w:hAnsi="Times New Roman"/>
          <w:sz w:val="24"/>
        </w:rPr>
      </w:pPr>
      <w:r w:rsidRPr="00F03B1A">
        <w:rPr>
          <w:rFonts w:ascii="Times New Roman" w:hAnsi="Times New Roman"/>
          <w:bCs w:val="0"/>
          <w:sz w:val="20"/>
          <w:szCs w:val="20"/>
        </w:rPr>
        <w:t>Date</w:t>
      </w:r>
      <w:r w:rsidR="00945C61" w:rsidRPr="00F03B1A">
        <w:rPr>
          <w:rFonts w:ascii="Times New Roman" w:hAnsi="Times New Roman"/>
          <w:bCs w:val="0"/>
          <w:sz w:val="20"/>
          <w:szCs w:val="20"/>
        </w:rPr>
        <w:t>:</w:t>
      </w:r>
      <w:r w:rsidR="007B5B87">
        <w:rPr>
          <w:rFonts w:ascii="Times New Roman" w:hAnsi="Times New Roman"/>
          <w:bCs w:val="0"/>
          <w:sz w:val="20"/>
          <w:szCs w:val="20"/>
        </w:rPr>
        <w:t xml:space="preserve"> </w:t>
      </w:r>
      <w:r w:rsidR="007B5B87" w:rsidRPr="00171C7E">
        <w:rPr>
          <w:rFonts w:ascii="Times New Roman" w:hAnsi="Times New Roman"/>
          <w:b w:val="0"/>
          <w:bCs w:val="0"/>
          <w:sz w:val="20"/>
          <w:szCs w:val="20"/>
        </w:rPr>
        <w:t>1</w:t>
      </w:r>
      <w:r w:rsidR="00C10BEA">
        <w:rPr>
          <w:rFonts w:ascii="Times New Roman" w:hAnsi="Times New Roman"/>
          <w:b w:val="0"/>
          <w:bCs w:val="0"/>
          <w:sz w:val="20"/>
          <w:szCs w:val="20"/>
        </w:rPr>
        <w:t>1</w:t>
      </w:r>
      <w:r w:rsidR="007B5B87" w:rsidRPr="00171C7E">
        <w:rPr>
          <w:rFonts w:ascii="Times New Roman" w:hAnsi="Times New Roman"/>
          <w:b w:val="0"/>
          <w:bCs w:val="0"/>
          <w:sz w:val="20"/>
          <w:szCs w:val="20"/>
        </w:rPr>
        <w:t xml:space="preserve"> April 201</w:t>
      </w:r>
      <w:r w:rsidR="00C10BEA">
        <w:rPr>
          <w:rFonts w:ascii="Times New Roman" w:hAnsi="Times New Roman"/>
          <w:b w:val="0"/>
          <w:bCs w:val="0"/>
          <w:sz w:val="20"/>
          <w:szCs w:val="20"/>
        </w:rPr>
        <w:t>9</w:t>
      </w:r>
      <w:r w:rsidR="00CA1FC3" w:rsidRPr="009170B8">
        <w:rPr>
          <w:rFonts w:ascii="Times New Roman" w:hAnsi="Times New Roman"/>
          <w:b w:val="0"/>
          <w:bCs w:val="0"/>
          <w:sz w:val="20"/>
          <w:szCs w:val="20"/>
        </w:rPr>
        <w:tab/>
      </w:r>
      <w:r w:rsidR="00CA1FC3" w:rsidRPr="009170B8">
        <w:rPr>
          <w:rFonts w:ascii="Times New Roman" w:hAnsi="Times New Roman"/>
          <w:b w:val="0"/>
          <w:bCs w:val="0"/>
          <w:sz w:val="20"/>
          <w:szCs w:val="20"/>
        </w:rPr>
        <w:tab/>
      </w:r>
      <w:r w:rsidR="00CA1FC3" w:rsidRPr="009170B8">
        <w:rPr>
          <w:rFonts w:ascii="Times New Roman" w:hAnsi="Times New Roman"/>
          <w:b w:val="0"/>
          <w:bCs w:val="0"/>
          <w:sz w:val="20"/>
          <w:szCs w:val="20"/>
        </w:rPr>
        <w:tab/>
      </w:r>
      <w:r w:rsidR="00CA1FC3" w:rsidRPr="009170B8">
        <w:rPr>
          <w:rFonts w:ascii="Times New Roman" w:hAnsi="Times New Roman"/>
          <w:b w:val="0"/>
          <w:bCs w:val="0"/>
          <w:sz w:val="20"/>
          <w:szCs w:val="20"/>
        </w:rPr>
        <w:tab/>
      </w:r>
      <w:r w:rsidR="00CA1FC3" w:rsidRPr="009170B8">
        <w:rPr>
          <w:rFonts w:ascii="Times New Roman" w:hAnsi="Times New Roman"/>
          <w:b w:val="0"/>
          <w:bCs w:val="0"/>
          <w:sz w:val="20"/>
          <w:szCs w:val="20"/>
        </w:rPr>
        <w:tab/>
      </w:r>
      <w:r w:rsidR="007B59D7" w:rsidRPr="009170B8">
        <w:rPr>
          <w:rFonts w:ascii="Times New Roman" w:hAnsi="Times New Roman"/>
          <w:b w:val="0"/>
          <w:bCs w:val="0"/>
          <w:sz w:val="20"/>
          <w:szCs w:val="20"/>
        </w:rPr>
        <w:tab/>
      </w:r>
      <w:r w:rsidR="007B59D7" w:rsidRPr="009170B8">
        <w:rPr>
          <w:rFonts w:ascii="Times New Roman" w:hAnsi="Times New Roman"/>
          <w:b w:val="0"/>
          <w:bCs w:val="0"/>
          <w:sz w:val="20"/>
          <w:szCs w:val="20"/>
        </w:rPr>
        <w:tab/>
      </w:r>
      <w:r w:rsidR="007B59D7" w:rsidRPr="009170B8">
        <w:rPr>
          <w:rFonts w:ascii="Times New Roman" w:hAnsi="Times New Roman"/>
          <w:b w:val="0"/>
          <w:bCs w:val="0"/>
          <w:sz w:val="20"/>
          <w:szCs w:val="20"/>
        </w:rPr>
        <w:tab/>
      </w:r>
      <w:r w:rsidR="007B59D7" w:rsidRPr="009170B8">
        <w:rPr>
          <w:rFonts w:ascii="Times New Roman" w:hAnsi="Times New Roman"/>
          <w:b w:val="0"/>
          <w:bCs w:val="0"/>
          <w:sz w:val="20"/>
          <w:szCs w:val="20"/>
        </w:rPr>
        <w:tab/>
      </w:r>
      <w:r w:rsidR="007B59D7" w:rsidRPr="009170B8">
        <w:rPr>
          <w:rFonts w:ascii="Times New Roman" w:hAnsi="Times New Roman"/>
          <w:b w:val="0"/>
          <w:bCs w:val="0"/>
          <w:sz w:val="20"/>
        </w:rPr>
        <w:br w:type="page"/>
      </w:r>
    </w:p>
    <w:p w:rsidR="00B44D91" w:rsidRPr="009170B8" w:rsidRDefault="00B44D91" w:rsidP="00B44D91">
      <w:pPr>
        <w:pStyle w:val="Heading2"/>
        <w:tabs>
          <w:tab w:val="right" w:pos="8222"/>
        </w:tabs>
        <w:rPr>
          <w:rFonts w:ascii="Times New Roman" w:hAnsi="Times New Roman"/>
        </w:rPr>
      </w:pPr>
      <w:r w:rsidRPr="009170B8">
        <w:rPr>
          <w:rFonts w:ascii="Times New Roman" w:hAnsi="Times New Roman"/>
        </w:rPr>
        <w:t>Report of the Audit Committee</w:t>
      </w:r>
    </w:p>
    <w:p w:rsidR="00B44D91" w:rsidRPr="009170B8" w:rsidRDefault="00B44D91" w:rsidP="00B44D91">
      <w:pPr>
        <w:pStyle w:val="Heading2"/>
        <w:tabs>
          <w:tab w:val="right" w:pos="8222"/>
        </w:tabs>
        <w:rPr>
          <w:rFonts w:ascii="Times New Roman" w:hAnsi="Times New Roman"/>
          <w:sz w:val="20"/>
          <w:szCs w:val="20"/>
        </w:rPr>
      </w:pPr>
    </w:p>
    <w:p w:rsidR="00C560E4" w:rsidRPr="009170B8" w:rsidRDefault="009D6139" w:rsidP="00C560E4">
      <w:pPr>
        <w:spacing w:after="240"/>
        <w:jc w:val="both"/>
        <w:rPr>
          <w:rFonts w:ascii="Times New Roman" w:hAnsi="Times New Roman"/>
          <w:sz w:val="20"/>
          <w:szCs w:val="20"/>
        </w:rPr>
      </w:pPr>
      <w:r w:rsidRPr="009D6139">
        <w:rPr>
          <w:rFonts w:ascii="Times New Roman" w:hAnsi="Times New Roman"/>
          <w:sz w:val="20"/>
          <w:szCs w:val="20"/>
        </w:rPr>
        <w:t>This is the report of the Audit Committee and it has been prepared with reference to the AIC Code. The Company has an established Audit Committee which has operated since 2010 and which reports formally at least twice each year to the main Board. It has formally delegated duties and responsibilities within written terms of reference which are reviewed and reapproved annually. The function of the Audit Committee is to ensure that the Company maintains high standards of integrity, financial reporting and internal controls.</w:t>
      </w:r>
    </w:p>
    <w:p w:rsidR="002E6FF3" w:rsidRPr="009170B8" w:rsidRDefault="009D6139" w:rsidP="00C560E4">
      <w:pPr>
        <w:spacing w:after="240"/>
        <w:jc w:val="both"/>
        <w:rPr>
          <w:rFonts w:ascii="Times New Roman" w:hAnsi="Times New Roman"/>
          <w:sz w:val="20"/>
          <w:szCs w:val="20"/>
        </w:rPr>
      </w:pPr>
      <w:r w:rsidRPr="009D6139">
        <w:rPr>
          <w:rFonts w:ascii="Times New Roman" w:hAnsi="Times New Roman"/>
          <w:sz w:val="20"/>
          <w:szCs w:val="20"/>
        </w:rPr>
        <w:t xml:space="preserve">The Audit Committee is chaired by Thomas Grose, a non-executive independent </w:t>
      </w:r>
      <w:r w:rsidR="00102569" w:rsidRPr="009170B8">
        <w:rPr>
          <w:rFonts w:ascii="Times New Roman" w:hAnsi="Times New Roman"/>
          <w:sz w:val="20"/>
          <w:szCs w:val="20"/>
        </w:rPr>
        <w:t>d</w:t>
      </w:r>
      <w:r w:rsidRPr="009D6139">
        <w:rPr>
          <w:rFonts w:ascii="Times New Roman" w:hAnsi="Times New Roman"/>
          <w:sz w:val="20"/>
          <w:szCs w:val="20"/>
        </w:rPr>
        <w:t>irector and its other members are</w:t>
      </w:r>
      <w:r w:rsidR="008831E9" w:rsidRPr="009170B8">
        <w:rPr>
          <w:rFonts w:ascii="Times New Roman" w:hAnsi="Times New Roman"/>
          <w:sz w:val="20"/>
          <w:szCs w:val="20"/>
        </w:rPr>
        <w:t xml:space="preserve"> Nicholas Villiers, Raymond </w:t>
      </w:r>
      <w:proofErr w:type="spellStart"/>
      <w:r w:rsidR="008831E9" w:rsidRPr="009170B8">
        <w:rPr>
          <w:rFonts w:ascii="Times New Roman" w:hAnsi="Times New Roman"/>
          <w:sz w:val="20"/>
          <w:szCs w:val="20"/>
        </w:rPr>
        <w:t>Apsey</w:t>
      </w:r>
      <w:proofErr w:type="spellEnd"/>
      <w:r w:rsidR="00C10BEA">
        <w:rPr>
          <w:rFonts w:ascii="Times New Roman" w:hAnsi="Times New Roman"/>
          <w:sz w:val="20"/>
          <w:szCs w:val="20"/>
        </w:rPr>
        <w:t>,</w:t>
      </w:r>
      <w:r w:rsidR="008831E9" w:rsidRPr="009170B8">
        <w:rPr>
          <w:rFonts w:ascii="Times New Roman" w:hAnsi="Times New Roman"/>
          <w:sz w:val="20"/>
          <w:szCs w:val="20"/>
        </w:rPr>
        <w:t xml:space="preserve"> Philip Bisson</w:t>
      </w:r>
      <w:r w:rsidR="00C10BEA">
        <w:rPr>
          <w:rFonts w:ascii="Times New Roman" w:hAnsi="Times New Roman"/>
          <w:sz w:val="20"/>
          <w:szCs w:val="20"/>
        </w:rPr>
        <w:t xml:space="preserve"> </w:t>
      </w:r>
      <w:r w:rsidR="00C10BEA" w:rsidRPr="00BA73F2">
        <w:rPr>
          <w:rFonts w:ascii="Times New Roman" w:hAnsi="Times New Roman"/>
          <w:sz w:val="20"/>
          <w:szCs w:val="20"/>
        </w:rPr>
        <w:t>and Richard Hughes</w:t>
      </w:r>
      <w:r w:rsidR="00963D05">
        <w:rPr>
          <w:rFonts w:ascii="Times New Roman" w:hAnsi="Times New Roman"/>
          <w:sz w:val="20"/>
          <w:szCs w:val="20"/>
        </w:rPr>
        <w:t xml:space="preserve"> (from 1 July 2018)</w:t>
      </w:r>
      <w:r w:rsidR="008831E9" w:rsidRPr="009170B8">
        <w:rPr>
          <w:rFonts w:ascii="Times New Roman" w:hAnsi="Times New Roman"/>
          <w:sz w:val="20"/>
          <w:szCs w:val="20"/>
        </w:rPr>
        <w:t xml:space="preserve"> who are</w:t>
      </w:r>
      <w:r w:rsidRPr="009D6139">
        <w:rPr>
          <w:rFonts w:ascii="Times New Roman" w:hAnsi="Times New Roman"/>
          <w:sz w:val="20"/>
          <w:szCs w:val="20"/>
        </w:rPr>
        <w:t xml:space="preserve"> also independent non-executive directors. </w:t>
      </w:r>
      <w:r w:rsidR="008831E9" w:rsidRPr="009170B8">
        <w:rPr>
          <w:rFonts w:ascii="Times New Roman" w:hAnsi="Times New Roman"/>
          <w:sz w:val="20"/>
          <w:szCs w:val="20"/>
        </w:rPr>
        <w:t>Their summary biographical</w:t>
      </w:r>
      <w:r w:rsidR="00916D00">
        <w:rPr>
          <w:rFonts w:ascii="Times New Roman" w:hAnsi="Times New Roman"/>
          <w:sz w:val="20"/>
          <w:szCs w:val="20"/>
        </w:rPr>
        <w:t xml:space="preserve"> details </w:t>
      </w:r>
      <w:r w:rsidR="00C52640">
        <w:rPr>
          <w:rFonts w:ascii="Times New Roman" w:hAnsi="Times New Roman"/>
          <w:sz w:val="20"/>
          <w:szCs w:val="20"/>
        </w:rPr>
        <w:t xml:space="preserve">and relevant sector experience </w:t>
      </w:r>
      <w:r w:rsidR="00916D00">
        <w:rPr>
          <w:rFonts w:ascii="Times New Roman" w:hAnsi="Times New Roman"/>
          <w:sz w:val="20"/>
          <w:szCs w:val="20"/>
        </w:rPr>
        <w:t>are set out on page</w:t>
      </w:r>
      <w:r w:rsidR="00DF4F5A">
        <w:rPr>
          <w:rFonts w:ascii="Times New Roman" w:hAnsi="Times New Roman"/>
          <w:sz w:val="20"/>
          <w:szCs w:val="20"/>
        </w:rPr>
        <w:t>s</w:t>
      </w:r>
      <w:r w:rsidR="00916D00">
        <w:rPr>
          <w:rFonts w:ascii="Times New Roman" w:hAnsi="Times New Roman"/>
          <w:sz w:val="20"/>
          <w:szCs w:val="20"/>
        </w:rPr>
        <w:t xml:space="preserve"> </w:t>
      </w:r>
      <w:r w:rsidR="00916D00" w:rsidRPr="00E5676A">
        <w:rPr>
          <w:rFonts w:ascii="Times New Roman" w:hAnsi="Times New Roman"/>
          <w:sz w:val="20"/>
          <w:szCs w:val="20"/>
        </w:rPr>
        <w:t>1</w:t>
      </w:r>
      <w:r w:rsidR="00000F1B">
        <w:rPr>
          <w:rFonts w:ascii="Times New Roman" w:hAnsi="Times New Roman"/>
          <w:sz w:val="20"/>
          <w:szCs w:val="20"/>
        </w:rPr>
        <w:t>7</w:t>
      </w:r>
      <w:r w:rsidR="00A66792">
        <w:rPr>
          <w:rFonts w:ascii="Times New Roman" w:hAnsi="Times New Roman"/>
          <w:sz w:val="20"/>
          <w:szCs w:val="20"/>
        </w:rPr>
        <w:t xml:space="preserve"> and 18</w:t>
      </w:r>
      <w:r w:rsidR="00E2655C" w:rsidRPr="004016AE">
        <w:rPr>
          <w:rFonts w:ascii="Times New Roman" w:hAnsi="Times New Roman"/>
          <w:sz w:val="20"/>
          <w:szCs w:val="20"/>
        </w:rPr>
        <w:t>.</w:t>
      </w:r>
    </w:p>
    <w:p w:rsidR="00C560E4" w:rsidRPr="009170B8" w:rsidRDefault="00102569" w:rsidP="00353C10">
      <w:pPr>
        <w:spacing w:after="240"/>
        <w:jc w:val="both"/>
        <w:rPr>
          <w:rFonts w:ascii="Times New Roman" w:hAnsi="Times New Roman"/>
          <w:sz w:val="20"/>
          <w:szCs w:val="20"/>
        </w:rPr>
      </w:pPr>
      <w:r w:rsidRPr="009170B8">
        <w:rPr>
          <w:rFonts w:ascii="Times New Roman" w:hAnsi="Times New Roman"/>
          <w:sz w:val="20"/>
          <w:szCs w:val="20"/>
        </w:rPr>
        <w:t>T</w:t>
      </w:r>
      <w:r w:rsidR="009D6139" w:rsidRPr="009D6139">
        <w:rPr>
          <w:rFonts w:ascii="Times New Roman" w:hAnsi="Times New Roman"/>
          <w:sz w:val="20"/>
          <w:szCs w:val="20"/>
        </w:rPr>
        <w:t xml:space="preserve">he members do not have any links with the Company’s external auditor. They are also independent of the management teams of the Investment Manager, the </w:t>
      </w:r>
      <w:r w:rsidRPr="009170B8">
        <w:rPr>
          <w:rFonts w:ascii="Times New Roman" w:hAnsi="Times New Roman"/>
          <w:sz w:val="20"/>
          <w:szCs w:val="20"/>
        </w:rPr>
        <w:t>A</w:t>
      </w:r>
      <w:r w:rsidR="009D6139" w:rsidRPr="009D6139">
        <w:rPr>
          <w:rFonts w:ascii="Times New Roman" w:hAnsi="Times New Roman"/>
          <w:sz w:val="20"/>
          <w:szCs w:val="20"/>
        </w:rPr>
        <w:t xml:space="preserve">dministrator and all other service providers. The Audit Committee meets formally no less than twice a year in London and on an </w:t>
      </w:r>
      <w:r w:rsidR="009D6139" w:rsidRPr="009D6139">
        <w:rPr>
          <w:rFonts w:ascii="Times New Roman" w:hAnsi="Times New Roman"/>
          <w:i/>
          <w:sz w:val="20"/>
          <w:szCs w:val="20"/>
        </w:rPr>
        <w:t>ad hoc</w:t>
      </w:r>
      <w:r w:rsidR="009D6139" w:rsidRPr="009D6139">
        <w:rPr>
          <w:rFonts w:ascii="Times New Roman" w:hAnsi="Times New Roman"/>
          <w:sz w:val="20"/>
          <w:szCs w:val="20"/>
        </w:rPr>
        <w:t xml:space="preserve"> basis if required. The membership of the Audit Committee and its terms of reference are kept under review. </w:t>
      </w:r>
    </w:p>
    <w:p w:rsidR="00C560E4" w:rsidRPr="009170B8" w:rsidRDefault="009D6139" w:rsidP="00C560E4">
      <w:pPr>
        <w:autoSpaceDE w:val="0"/>
        <w:autoSpaceDN w:val="0"/>
        <w:adjustRightInd w:val="0"/>
        <w:jc w:val="both"/>
        <w:rPr>
          <w:rFonts w:ascii="Times New Roman" w:hAnsi="Times New Roman"/>
          <w:sz w:val="20"/>
          <w:szCs w:val="20"/>
        </w:rPr>
      </w:pPr>
      <w:r w:rsidRPr="009D6139">
        <w:rPr>
          <w:rFonts w:ascii="Times New Roman" w:hAnsi="Times New Roman"/>
          <w:sz w:val="20"/>
          <w:szCs w:val="20"/>
        </w:rPr>
        <w:t>The Audit Committee considers the financial reporting by the Company and the Fund, the internal controls, and relations with the Company’s and the Fund’s external auditor.  In addition, the Audit Committee reviews the independence and objectivity of the auditor. The Committee meets at least twice a year to review the internal financial and non-financial controls, to approve the contents of the half-yearly and annual financial reports to shareholders and to review accounting policies. Representatives of Deloitte LLP, the Company’s auditor, attend the Committee meeting at which the draft annual financial report is reviewed and can speak to Committee members without the presence of representatives of the Investment Manager. The audit programme and timetable are drawn up and agreed with the Company’s auditor in advance of the financial year end. Items for audit focus are discussed, agreed and given particular attention during the audit process. The auditor reports to the Committee on these items, among other matters. This report is considered by the Committee and discussed with the auditor and the Investment Manager prior to approval and signature of the annual financial report.</w:t>
      </w:r>
    </w:p>
    <w:p w:rsidR="00C560E4" w:rsidRPr="009170B8" w:rsidRDefault="00C560E4" w:rsidP="00C560E4">
      <w:pPr>
        <w:autoSpaceDE w:val="0"/>
        <w:autoSpaceDN w:val="0"/>
        <w:adjustRightInd w:val="0"/>
        <w:jc w:val="both"/>
        <w:rPr>
          <w:rFonts w:ascii="Times New Roman" w:hAnsi="Times New Roman"/>
          <w:sz w:val="20"/>
          <w:szCs w:val="20"/>
          <w:highlight w:val="green"/>
        </w:rPr>
      </w:pPr>
    </w:p>
    <w:p w:rsidR="00C560E4" w:rsidRPr="009170B8" w:rsidRDefault="009D6139" w:rsidP="00C560E4">
      <w:pPr>
        <w:autoSpaceDE w:val="0"/>
        <w:autoSpaceDN w:val="0"/>
        <w:adjustRightInd w:val="0"/>
        <w:spacing w:after="240"/>
        <w:jc w:val="both"/>
        <w:rPr>
          <w:rFonts w:ascii="Times New Roman" w:hAnsi="Times New Roman"/>
          <w:sz w:val="20"/>
          <w:szCs w:val="20"/>
        </w:rPr>
      </w:pPr>
      <w:r w:rsidRPr="009D6139">
        <w:rPr>
          <w:rFonts w:ascii="Times New Roman" w:hAnsi="Times New Roman"/>
          <w:sz w:val="20"/>
          <w:szCs w:val="20"/>
        </w:rPr>
        <w:t>The Audit Committee is authorised by the Board to investigate any activity within its terms of reference and to consult with outside legal or other independent professional advisers when deemed necessary in order to adequately discharge their duties and responsibilities, which include:</w:t>
      </w:r>
    </w:p>
    <w:p w:rsidR="00C560E4" w:rsidRPr="009170B8" w:rsidRDefault="009D6139" w:rsidP="00A60442">
      <w:pPr>
        <w:numPr>
          <w:ilvl w:val="0"/>
          <w:numId w:val="10"/>
        </w:numPr>
        <w:autoSpaceDE w:val="0"/>
        <w:autoSpaceDN w:val="0"/>
        <w:adjustRightInd w:val="0"/>
        <w:ind w:left="714" w:hanging="357"/>
        <w:jc w:val="both"/>
        <w:rPr>
          <w:rFonts w:ascii="Times New Roman" w:hAnsi="Times New Roman"/>
          <w:sz w:val="20"/>
          <w:szCs w:val="20"/>
        </w:rPr>
      </w:pPr>
      <w:r w:rsidRPr="009D6139">
        <w:rPr>
          <w:rFonts w:ascii="Times New Roman" w:hAnsi="Times New Roman"/>
          <w:sz w:val="20"/>
          <w:szCs w:val="20"/>
        </w:rPr>
        <w:t>Considering the appointment, resignation or dismissal of the external auditor and their independence and objectivity, particularly in circumstances where non-audit services have been provided.</w:t>
      </w:r>
    </w:p>
    <w:p w:rsidR="00C560E4" w:rsidRPr="009170B8" w:rsidRDefault="009D6139" w:rsidP="00A60442">
      <w:pPr>
        <w:numPr>
          <w:ilvl w:val="0"/>
          <w:numId w:val="10"/>
        </w:numPr>
        <w:autoSpaceDE w:val="0"/>
        <w:autoSpaceDN w:val="0"/>
        <w:adjustRightInd w:val="0"/>
        <w:ind w:left="714" w:hanging="357"/>
        <w:jc w:val="both"/>
        <w:rPr>
          <w:rFonts w:ascii="Times New Roman" w:hAnsi="Times New Roman"/>
          <w:sz w:val="20"/>
          <w:szCs w:val="20"/>
        </w:rPr>
      </w:pPr>
      <w:r w:rsidRPr="009D6139">
        <w:rPr>
          <w:rFonts w:ascii="Times New Roman" w:hAnsi="Times New Roman"/>
          <w:sz w:val="20"/>
          <w:szCs w:val="20"/>
        </w:rPr>
        <w:t>Reviewing the cost effectiveness of the external audit from time to time.</w:t>
      </w:r>
    </w:p>
    <w:p w:rsidR="00C560E4" w:rsidRPr="009170B8" w:rsidRDefault="009D6139" w:rsidP="00A60442">
      <w:pPr>
        <w:numPr>
          <w:ilvl w:val="0"/>
          <w:numId w:val="10"/>
        </w:numPr>
        <w:autoSpaceDE w:val="0"/>
        <w:autoSpaceDN w:val="0"/>
        <w:adjustRightInd w:val="0"/>
        <w:ind w:left="714" w:hanging="357"/>
        <w:jc w:val="both"/>
        <w:rPr>
          <w:rFonts w:ascii="Times New Roman" w:hAnsi="Times New Roman"/>
          <w:sz w:val="20"/>
          <w:szCs w:val="20"/>
        </w:rPr>
      </w:pPr>
      <w:r w:rsidRPr="009D6139">
        <w:rPr>
          <w:rFonts w:ascii="Times New Roman" w:hAnsi="Times New Roman"/>
          <w:sz w:val="20"/>
          <w:szCs w:val="20"/>
        </w:rPr>
        <w:t>Reviewing and challenging the half-yearly and annual financial reports, focusing particularly on changes in accounting policies and practice, areas of accounting judgement and estimation, significant adjustments arising from audit or other review and the going concern assumption.</w:t>
      </w:r>
    </w:p>
    <w:p w:rsidR="00C560E4" w:rsidRPr="009170B8" w:rsidRDefault="009D6139" w:rsidP="00A60442">
      <w:pPr>
        <w:numPr>
          <w:ilvl w:val="0"/>
          <w:numId w:val="10"/>
        </w:numPr>
        <w:autoSpaceDE w:val="0"/>
        <w:autoSpaceDN w:val="0"/>
        <w:adjustRightInd w:val="0"/>
        <w:ind w:left="714" w:hanging="357"/>
        <w:jc w:val="both"/>
        <w:rPr>
          <w:rFonts w:ascii="Times New Roman" w:hAnsi="Times New Roman"/>
          <w:sz w:val="20"/>
          <w:szCs w:val="20"/>
        </w:rPr>
      </w:pPr>
      <w:r w:rsidRPr="009D6139">
        <w:rPr>
          <w:rFonts w:ascii="Times New Roman" w:hAnsi="Times New Roman"/>
          <w:sz w:val="20"/>
          <w:szCs w:val="20"/>
        </w:rPr>
        <w:t xml:space="preserve">Reviewing compliance with accounting standards and law and regulations including the Companies (Jersey) Law, 1991, as amended and the </w:t>
      </w:r>
      <w:r w:rsidR="007B5B87">
        <w:rPr>
          <w:rFonts w:ascii="Times New Roman" w:hAnsi="Times New Roman"/>
          <w:sz w:val="20"/>
          <w:szCs w:val="20"/>
        </w:rPr>
        <w:t>FCA</w:t>
      </w:r>
      <w:r w:rsidR="007B5B87" w:rsidRPr="009D6139">
        <w:rPr>
          <w:rFonts w:ascii="Times New Roman" w:hAnsi="Times New Roman"/>
          <w:sz w:val="20"/>
          <w:szCs w:val="20"/>
        </w:rPr>
        <w:t xml:space="preserve">’s </w:t>
      </w:r>
      <w:r w:rsidRPr="009D6139">
        <w:rPr>
          <w:rFonts w:ascii="Times New Roman" w:hAnsi="Times New Roman"/>
          <w:sz w:val="20"/>
          <w:szCs w:val="20"/>
        </w:rPr>
        <w:t>Listing and Disclosure</w:t>
      </w:r>
      <w:r w:rsidR="004B6572">
        <w:rPr>
          <w:rFonts w:ascii="Times New Roman" w:hAnsi="Times New Roman"/>
          <w:sz w:val="20"/>
          <w:szCs w:val="20"/>
        </w:rPr>
        <w:t xml:space="preserve"> Guidance</w:t>
      </w:r>
      <w:r w:rsidRPr="009D6139">
        <w:rPr>
          <w:rFonts w:ascii="Times New Roman" w:hAnsi="Times New Roman"/>
          <w:sz w:val="20"/>
          <w:szCs w:val="20"/>
        </w:rPr>
        <w:t xml:space="preserve"> and Transparency Rules.</w:t>
      </w:r>
    </w:p>
    <w:p w:rsidR="00C560E4" w:rsidRPr="009170B8" w:rsidRDefault="009D6139" w:rsidP="00A60442">
      <w:pPr>
        <w:numPr>
          <w:ilvl w:val="0"/>
          <w:numId w:val="10"/>
        </w:numPr>
        <w:autoSpaceDE w:val="0"/>
        <w:autoSpaceDN w:val="0"/>
        <w:adjustRightInd w:val="0"/>
        <w:ind w:left="714" w:hanging="357"/>
        <w:jc w:val="both"/>
        <w:rPr>
          <w:rFonts w:ascii="Times New Roman" w:hAnsi="Times New Roman"/>
          <w:sz w:val="20"/>
          <w:szCs w:val="20"/>
        </w:rPr>
      </w:pPr>
      <w:r w:rsidRPr="009D6139">
        <w:rPr>
          <w:rFonts w:ascii="Times New Roman" w:hAnsi="Times New Roman"/>
          <w:sz w:val="20"/>
          <w:szCs w:val="20"/>
        </w:rPr>
        <w:t>Completing regular risk management reviews of internal controls, which include the review of the Fund’s Risk Register.</w:t>
      </w:r>
    </w:p>
    <w:p w:rsidR="00C560E4" w:rsidRPr="009170B8" w:rsidRDefault="009D6139" w:rsidP="00A60442">
      <w:pPr>
        <w:numPr>
          <w:ilvl w:val="0"/>
          <w:numId w:val="10"/>
        </w:numPr>
        <w:autoSpaceDE w:val="0"/>
        <w:autoSpaceDN w:val="0"/>
        <w:adjustRightInd w:val="0"/>
        <w:ind w:left="714" w:hanging="357"/>
        <w:jc w:val="both"/>
        <w:rPr>
          <w:rFonts w:ascii="Times New Roman" w:hAnsi="Times New Roman"/>
          <w:sz w:val="20"/>
          <w:szCs w:val="20"/>
        </w:rPr>
      </w:pPr>
      <w:r w:rsidRPr="009D6139">
        <w:rPr>
          <w:rFonts w:ascii="Times New Roman" w:hAnsi="Times New Roman"/>
          <w:sz w:val="20"/>
          <w:szCs w:val="20"/>
        </w:rPr>
        <w:t>Reviewing the</w:t>
      </w:r>
      <w:r w:rsidR="00462312">
        <w:rPr>
          <w:rFonts w:ascii="Times New Roman" w:hAnsi="Times New Roman"/>
          <w:sz w:val="20"/>
          <w:szCs w:val="20"/>
        </w:rPr>
        <w:t xml:space="preserve"> effectiveness of</w:t>
      </w:r>
      <w:r w:rsidRPr="009D6139">
        <w:rPr>
          <w:rFonts w:ascii="Times New Roman" w:hAnsi="Times New Roman"/>
          <w:sz w:val="20"/>
          <w:szCs w:val="20"/>
        </w:rPr>
        <w:t xml:space="preserve"> </w:t>
      </w:r>
      <w:r w:rsidR="00462312">
        <w:rPr>
          <w:rFonts w:ascii="Times New Roman" w:hAnsi="Times New Roman"/>
          <w:sz w:val="20"/>
          <w:szCs w:val="20"/>
        </w:rPr>
        <w:t xml:space="preserve">the </w:t>
      </w:r>
      <w:r w:rsidRPr="009D6139">
        <w:rPr>
          <w:rFonts w:ascii="Times New Roman" w:hAnsi="Times New Roman"/>
          <w:sz w:val="20"/>
          <w:szCs w:val="20"/>
        </w:rPr>
        <w:t>Company’s system of internal controls, including financial, operating, compliance</w:t>
      </w:r>
      <w:r w:rsidR="00462312">
        <w:rPr>
          <w:rFonts w:ascii="Times New Roman" w:hAnsi="Times New Roman"/>
          <w:sz w:val="20"/>
          <w:szCs w:val="20"/>
        </w:rPr>
        <w:t>, fraud</w:t>
      </w:r>
      <w:r w:rsidRPr="009D6139">
        <w:rPr>
          <w:rFonts w:ascii="Times New Roman" w:hAnsi="Times New Roman"/>
          <w:sz w:val="20"/>
          <w:szCs w:val="20"/>
        </w:rPr>
        <w:t xml:space="preserve"> and risk management controls and to make and report to the Board any recommendations that may arise.</w:t>
      </w:r>
    </w:p>
    <w:p w:rsidR="00C560E4" w:rsidRPr="009170B8" w:rsidRDefault="009D6139" w:rsidP="00A60442">
      <w:pPr>
        <w:numPr>
          <w:ilvl w:val="0"/>
          <w:numId w:val="10"/>
        </w:numPr>
        <w:autoSpaceDE w:val="0"/>
        <w:autoSpaceDN w:val="0"/>
        <w:adjustRightInd w:val="0"/>
        <w:ind w:left="714" w:hanging="357"/>
        <w:jc w:val="both"/>
        <w:rPr>
          <w:rFonts w:ascii="Times New Roman" w:hAnsi="Times New Roman"/>
          <w:sz w:val="20"/>
          <w:szCs w:val="20"/>
        </w:rPr>
      </w:pPr>
      <w:r w:rsidRPr="009D6139">
        <w:rPr>
          <w:rFonts w:ascii="Times New Roman" w:hAnsi="Times New Roman"/>
          <w:sz w:val="20"/>
          <w:szCs w:val="20"/>
        </w:rPr>
        <w:t>Considering the major findings of internal investigations and make recommendations to the Board on appropriate action.</w:t>
      </w:r>
    </w:p>
    <w:p w:rsidR="00C560E4" w:rsidRPr="009170B8" w:rsidRDefault="009D6139" w:rsidP="00A60442">
      <w:pPr>
        <w:numPr>
          <w:ilvl w:val="0"/>
          <w:numId w:val="10"/>
        </w:numPr>
        <w:autoSpaceDE w:val="0"/>
        <w:autoSpaceDN w:val="0"/>
        <w:adjustRightInd w:val="0"/>
        <w:spacing w:after="240"/>
        <w:jc w:val="both"/>
        <w:rPr>
          <w:rFonts w:ascii="Times New Roman" w:hAnsi="Times New Roman"/>
          <w:sz w:val="20"/>
          <w:szCs w:val="20"/>
        </w:rPr>
      </w:pPr>
      <w:r w:rsidRPr="009D6139">
        <w:rPr>
          <w:rFonts w:ascii="Times New Roman" w:hAnsi="Times New Roman"/>
          <w:sz w:val="20"/>
          <w:szCs w:val="20"/>
        </w:rPr>
        <w:t xml:space="preserve">Ensuring that arrangements exist whereby service providers and management may raise concerns over irregularities in financial reporting or other matters in confidence and that such concerns are independently investigated and remediated with appropriate action. </w:t>
      </w:r>
    </w:p>
    <w:p w:rsidR="00C560E4" w:rsidRPr="009170B8" w:rsidRDefault="009D6139" w:rsidP="00C560E4">
      <w:pPr>
        <w:autoSpaceDE w:val="0"/>
        <w:autoSpaceDN w:val="0"/>
        <w:adjustRightInd w:val="0"/>
        <w:jc w:val="both"/>
        <w:rPr>
          <w:rFonts w:ascii="Times New Roman" w:hAnsi="Times New Roman"/>
          <w:sz w:val="20"/>
          <w:szCs w:val="20"/>
        </w:rPr>
      </w:pPr>
      <w:r w:rsidRPr="009D6139">
        <w:rPr>
          <w:rFonts w:ascii="Times New Roman" w:hAnsi="Times New Roman"/>
          <w:sz w:val="20"/>
          <w:szCs w:val="20"/>
        </w:rPr>
        <w:t>The Audit Committee, having reviewed the effectiveness of the internal control systems of the Administrator</w:t>
      </w:r>
      <w:r w:rsidR="00704E80">
        <w:rPr>
          <w:rFonts w:ascii="Times New Roman" w:hAnsi="Times New Roman"/>
          <w:sz w:val="20"/>
          <w:szCs w:val="20"/>
        </w:rPr>
        <w:t xml:space="preserve"> on a quarterly basis</w:t>
      </w:r>
      <w:r w:rsidRPr="009D6139">
        <w:rPr>
          <w:rFonts w:ascii="Times New Roman" w:hAnsi="Times New Roman"/>
          <w:sz w:val="20"/>
          <w:szCs w:val="20"/>
        </w:rPr>
        <w:t>, and having regard to the role of its external auditor, does not consider that there is a need for the Company or Fund to establish its own internal audit function.</w:t>
      </w:r>
    </w:p>
    <w:p w:rsidR="00B44D91" w:rsidRDefault="00B44D91" w:rsidP="00C560E4">
      <w:pPr>
        <w:rPr>
          <w:rFonts w:ascii="Times New Roman" w:hAnsi="Times New Roman"/>
          <w:color w:val="000000"/>
          <w:sz w:val="20"/>
          <w:szCs w:val="20"/>
        </w:rPr>
      </w:pPr>
    </w:p>
    <w:p w:rsidR="004016AE" w:rsidRDefault="004016AE" w:rsidP="00C560E4">
      <w:pPr>
        <w:rPr>
          <w:rFonts w:ascii="Times New Roman" w:hAnsi="Times New Roman"/>
          <w:color w:val="000000"/>
          <w:sz w:val="20"/>
          <w:szCs w:val="20"/>
        </w:rPr>
      </w:pPr>
    </w:p>
    <w:p w:rsidR="004016AE" w:rsidRDefault="004016AE" w:rsidP="00C560E4">
      <w:pPr>
        <w:rPr>
          <w:rFonts w:ascii="Times New Roman" w:hAnsi="Times New Roman"/>
          <w:color w:val="000000"/>
          <w:sz w:val="20"/>
          <w:szCs w:val="20"/>
        </w:rPr>
      </w:pPr>
    </w:p>
    <w:p w:rsidR="004016AE" w:rsidRDefault="004016AE" w:rsidP="00C560E4">
      <w:pPr>
        <w:rPr>
          <w:rFonts w:ascii="Times New Roman" w:hAnsi="Times New Roman"/>
          <w:color w:val="000000"/>
          <w:sz w:val="20"/>
          <w:szCs w:val="20"/>
        </w:rPr>
      </w:pPr>
    </w:p>
    <w:p w:rsidR="004016AE" w:rsidRDefault="004016AE" w:rsidP="00C560E4">
      <w:pPr>
        <w:rPr>
          <w:rFonts w:ascii="Times New Roman" w:hAnsi="Times New Roman"/>
          <w:color w:val="000000"/>
          <w:sz w:val="20"/>
          <w:szCs w:val="20"/>
        </w:rPr>
      </w:pPr>
    </w:p>
    <w:p w:rsidR="004016AE" w:rsidRDefault="004016AE" w:rsidP="00C560E4">
      <w:pPr>
        <w:rPr>
          <w:rFonts w:ascii="Times New Roman" w:hAnsi="Times New Roman"/>
          <w:color w:val="000000"/>
          <w:sz w:val="20"/>
          <w:szCs w:val="20"/>
        </w:rPr>
      </w:pPr>
    </w:p>
    <w:p w:rsidR="004016AE" w:rsidRDefault="004016AE" w:rsidP="00C560E4">
      <w:pPr>
        <w:rPr>
          <w:rFonts w:ascii="Times New Roman" w:hAnsi="Times New Roman"/>
          <w:color w:val="000000"/>
          <w:sz w:val="20"/>
          <w:szCs w:val="20"/>
        </w:rPr>
      </w:pPr>
    </w:p>
    <w:p w:rsidR="004016AE" w:rsidRDefault="004016AE" w:rsidP="00C560E4">
      <w:pPr>
        <w:rPr>
          <w:rFonts w:ascii="Times New Roman" w:hAnsi="Times New Roman"/>
          <w:color w:val="000000"/>
          <w:sz w:val="20"/>
          <w:szCs w:val="20"/>
        </w:rPr>
      </w:pPr>
    </w:p>
    <w:p w:rsidR="008831E9" w:rsidRPr="009170B8" w:rsidRDefault="008831E9">
      <w:pPr>
        <w:rPr>
          <w:rFonts w:ascii="Times New Roman" w:hAnsi="Times New Roman"/>
          <w:b/>
          <w:bCs/>
        </w:rPr>
      </w:pPr>
      <w:r w:rsidRPr="009170B8">
        <w:rPr>
          <w:rFonts w:ascii="Times New Roman" w:hAnsi="Times New Roman"/>
        </w:rPr>
        <w:br w:type="page"/>
      </w:r>
    </w:p>
    <w:p w:rsidR="008831E9" w:rsidRPr="009170B8" w:rsidRDefault="008831E9" w:rsidP="008831E9">
      <w:pPr>
        <w:pStyle w:val="Heading2"/>
        <w:tabs>
          <w:tab w:val="right" w:pos="8222"/>
        </w:tabs>
        <w:rPr>
          <w:rFonts w:ascii="Times New Roman" w:hAnsi="Times New Roman"/>
        </w:rPr>
      </w:pPr>
      <w:r w:rsidRPr="009170B8">
        <w:rPr>
          <w:rFonts w:ascii="Times New Roman" w:hAnsi="Times New Roman"/>
        </w:rPr>
        <w:t>Report of the Audit Committee (continued)</w:t>
      </w:r>
    </w:p>
    <w:p w:rsidR="008831E9" w:rsidRPr="009170B8" w:rsidRDefault="008831E9" w:rsidP="00C560E4">
      <w:pPr>
        <w:jc w:val="both"/>
        <w:rPr>
          <w:rFonts w:ascii="Times New Roman" w:hAnsi="Times New Roman"/>
          <w:sz w:val="20"/>
          <w:szCs w:val="20"/>
        </w:rPr>
      </w:pPr>
    </w:p>
    <w:p w:rsidR="00C560E4" w:rsidRPr="009170B8" w:rsidRDefault="009D6139" w:rsidP="00C560E4">
      <w:pPr>
        <w:jc w:val="both"/>
        <w:rPr>
          <w:rFonts w:ascii="Times New Roman" w:eastAsia="Calibri" w:hAnsi="Times New Roman"/>
          <w:sz w:val="20"/>
          <w:szCs w:val="20"/>
          <w:lang w:eastAsia="en-GB"/>
        </w:rPr>
      </w:pPr>
      <w:r w:rsidRPr="009D6139">
        <w:rPr>
          <w:rFonts w:ascii="Times New Roman" w:hAnsi="Times New Roman"/>
          <w:sz w:val="20"/>
          <w:szCs w:val="20"/>
        </w:rPr>
        <w:t xml:space="preserve">Some of the principal duties of the Audit Committee are to consider the appointment of the external auditor, to discuss and agree with the external auditor the nature and scope of the audit, to review the scope of and to discuss the results and the effectiveness of the audit and the independence and objectivity of the auditor, to review the external auditor`s letter of engagement and management letter and to analyse the key procedures adopted by the Company`s outsourced service providers including the Administrator and Custodian. The Audit Committee is responsible for monitoring the financial reporting process and the effectiveness of the Company’s and its service provider’s internal control and risk management systems. </w:t>
      </w:r>
      <w:r w:rsidRPr="009D6139">
        <w:rPr>
          <w:rFonts w:ascii="Times New Roman" w:eastAsia="Calibri" w:hAnsi="Times New Roman"/>
          <w:sz w:val="20"/>
          <w:szCs w:val="20"/>
          <w:lang w:eastAsia="en-GB"/>
        </w:rPr>
        <w:t>The Company’s risk assessment focus and the way in which significant risks are managed is a key area for the Committee. Work here was driven by the Committee’s assessment of the risks arising in the Company’s operations and identification of the controls exercised by the Board and its delegates</w:t>
      </w:r>
      <w:r w:rsidR="001319CD">
        <w:rPr>
          <w:rFonts w:ascii="Times New Roman" w:eastAsia="Calibri" w:hAnsi="Times New Roman"/>
          <w:sz w:val="20"/>
          <w:szCs w:val="20"/>
          <w:lang w:eastAsia="en-GB"/>
        </w:rPr>
        <w:t>,</w:t>
      </w:r>
      <w:r w:rsidRPr="009D6139">
        <w:rPr>
          <w:rFonts w:ascii="Times New Roman" w:eastAsia="Calibri" w:hAnsi="Times New Roman"/>
          <w:sz w:val="20"/>
          <w:szCs w:val="20"/>
          <w:lang w:eastAsia="en-GB"/>
        </w:rPr>
        <w:t xml:space="preserve"> the Investment Manager and other service providers. These are recorded in the Company’s business risk matrix which continues to serve as an effective tool to highlight and monitor the principal risks. </w:t>
      </w:r>
    </w:p>
    <w:p w:rsidR="00C560E4" w:rsidRPr="009170B8" w:rsidRDefault="00C560E4" w:rsidP="00C560E4">
      <w:pPr>
        <w:jc w:val="both"/>
        <w:rPr>
          <w:rFonts w:ascii="Times New Roman" w:eastAsia="Calibri" w:hAnsi="Times New Roman"/>
          <w:sz w:val="20"/>
          <w:szCs w:val="20"/>
          <w:lang w:eastAsia="en-GB"/>
        </w:rPr>
      </w:pPr>
    </w:p>
    <w:p w:rsidR="00C560E4" w:rsidRPr="009170B8" w:rsidRDefault="009D6139" w:rsidP="00C560E4">
      <w:pPr>
        <w:jc w:val="both"/>
        <w:rPr>
          <w:rFonts w:ascii="Times New Roman" w:hAnsi="Times New Roman"/>
          <w:color w:val="000000"/>
          <w:sz w:val="20"/>
          <w:szCs w:val="20"/>
        </w:rPr>
      </w:pPr>
      <w:r w:rsidRPr="009D6139">
        <w:rPr>
          <w:rFonts w:ascii="Times New Roman" w:eastAsia="Calibri" w:hAnsi="Times New Roman"/>
          <w:sz w:val="20"/>
          <w:szCs w:val="20"/>
          <w:lang w:eastAsia="en-GB"/>
        </w:rPr>
        <w:t xml:space="preserve">The Board also received and considered, together with representatives of the Investment Manager, reports in relation to the operational controls of the Investment Manager, </w:t>
      </w:r>
      <w:r w:rsidR="00102569" w:rsidRPr="009170B8">
        <w:rPr>
          <w:rFonts w:ascii="Times New Roman" w:eastAsia="Calibri" w:hAnsi="Times New Roman"/>
          <w:sz w:val="20"/>
          <w:szCs w:val="20"/>
          <w:lang w:eastAsia="en-GB"/>
        </w:rPr>
        <w:t>A</w:t>
      </w:r>
      <w:r w:rsidRPr="009D6139">
        <w:rPr>
          <w:rFonts w:ascii="Times New Roman" w:eastAsia="Calibri" w:hAnsi="Times New Roman"/>
          <w:sz w:val="20"/>
          <w:szCs w:val="20"/>
          <w:lang w:eastAsia="en-GB"/>
        </w:rPr>
        <w:t xml:space="preserve">dministrator, </w:t>
      </w:r>
      <w:r w:rsidR="00102569" w:rsidRPr="009170B8">
        <w:rPr>
          <w:rFonts w:ascii="Times New Roman" w:eastAsia="Calibri" w:hAnsi="Times New Roman"/>
          <w:sz w:val="20"/>
          <w:szCs w:val="20"/>
          <w:lang w:eastAsia="en-GB"/>
        </w:rPr>
        <w:t>C</w:t>
      </w:r>
      <w:r w:rsidRPr="009D6139">
        <w:rPr>
          <w:rFonts w:ascii="Times New Roman" w:eastAsia="Calibri" w:hAnsi="Times New Roman"/>
          <w:sz w:val="20"/>
          <w:szCs w:val="20"/>
          <w:lang w:eastAsia="en-GB"/>
        </w:rPr>
        <w:t xml:space="preserve">ustodian and </w:t>
      </w:r>
      <w:r w:rsidR="00102569" w:rsidRPr="009170B8">
        <w:rPr>
          <w:rFonts w:ascii="Times New Roman" w:eastAsia="Calibri" w:hAnsi="Times New Roman"/>
          <w:sz w:val="20"/>
          <w:szCs w:val="20"/>
          <w:lang w:eastAsia="en-GB"/>
        </w:rPr>
        <w:t>R</w:t>
      </w:r>
      <w:r w:rsidRPr="009D6139">
        <w:rPr>
          <w:rFonts w:ascii="Times New Roman" w:eastAsia="Calibri" w:hAnsi="Times New Roman"/>
          <w:sz w:val="20"/>
          <w:szCs w:val="20"/>
          <w:lang w:eastAsia="en-GB"/>
        </w:rPr>
        <w:t>egistrar. These reviews identified no issues of significance.</w:t>
      </w:r>
      <w:r w:rsidRPr="009D6139">
        <w:rPr>
          <w:rFonts w:ascii="Times New Roman" w:hAnsi="Times New Roman"/>
          <w:sz w:val="20"/>
          <w:szCs w:val="20"/>
        </w:rPr>
        <w:t xml:space="preserve"> The risks relating to the Company </w:t>
      </w:r>
      <w:r w:rsidR="00692463">
        <w:rPr>
          <w:rFonts w:ascii="Times New Roman" w:hAnsi="Times New Roman"/>
          <w:sz w:val="20"/>
          <w:szCs w:val="20"/>
        </w:rPr>
        <w:t xml:space="preserve">(including the Fund) </w:t>
      </w:r>
      <w:r w:rsidRPr="009D6139">
        <w:rPr>
          <w:rFonts w:ascii="Times New Roman" w:hAnsi="Times New Roman"/>
          <w:sz w:val="20"/>
          <w:szCs w:val="20"/>
        </w:rPr>
        <w:t xml:space="preserve">are discussed by the directors and documented in detail in the minutes of each meeting. The Audit Committee is also responsible for overseeing the Company’s relationship with the external auditor, including making recommendations to the Board on the appointment of the external auditor and its remuneration. The current auditor was appointed in 2006 following an audit tender process and has therefore served the Company for </w:t>
      </w:r>
      <w:r w:rsidR="000620E4">
        <w:rPr>
          <w:rFonts w:ascii="Times New Roman" w:hAnsi="Times New Roman"/>
          <w:sz w:val="20"/>
          <w:szCs w:val="20"/>
        </w:rPr>
        <w:t>t</w:t>
      </w:r>
      <w:r w:rsidR="00C52640">
        <w:rPr>
          <w:rFonts w:ascii="Times New Roman" w:hAnsi="Times New Roman"/>
          <w:sz w:val="20"/>
          <w:szCs w:val="20"/>
        </w:rPr>
        <w:t>welve</w:t>
      </w:r>
      <w:r w:rsidRPr="009D6139">
        <w:rPr>
          <w:rFonts w:ascii="Times New Roman" w:hAnsi="Times New Roman"/>
          <w:sz w:val="20"/>
          <w:szCs w:val="20"/>
        </w:rPr>
        <w:t xml:space="preserve"> years. The independence of the external auditor is evidenced through its challenge to management. Its independence and objectivity are assured through the rotation of audit partner on a regular basis. </w:t>
      </w:r>
      <w:r w:rsidR="00673CD6">
        <w:rPr>
          <w:rFonts w:ascii="Times New Roman" w:hAnsi="Times New Roman"/>
          <w:sz w:val="20"/>
          <w:szCs w:val="20"/>
        </w:rPr>
        <w:t>T</w:t>
      </w:r>
      <w:r w:rsidR="00673CD6" w:rsidRPr="00C87A19">
        <w:rPr>
          <w:rFonts w:ascii="Times New Roman" w:hAnsi="Times New Roman"/>
          <w:sz w:val="20"/>
          <w:szCs w:val="20"/>
        </w:rPr>
        <w:t xml:space="preserve">he current financial year is the present audit partner's </w:t>
      </w:r>
      <w:r w:rsidR="00692463">
        <w:rPr>
          <w:rFonts w:ascii="Times New Roman" w:hAnsi="Times New Roman"/>
          <w:sz w:val="20"/>
          <w:szCs w:val="20"/>
        </w:rPr>
        <w:t>second</w:t>
      </w:r>
      <w:r w:rsidR="00673CD6" w:rsidRPr="00C87A19">
        <w:rPr>
          <w:rFonts w:ascii="Times New Roman" w:hAnsi="Times New Roman"/>
          <w:sz w:val="20"/>
          <w:szCs w:val="20"/>
        </w:rPr>
        <w:t xml:space="preserve"> year of involvement, following the rotation of the previous audit</w:t>
      </w:r>
      <w:r w:rsidR="00735183">
        <w:rPr>
          <w:rFonts w:ascii="Times New Roman" w:hAnsi="Times New Roman"/>
          <w:sz w:val="20"/>
          <w:szCs w:val="20"/>
        </w:rPr>
        <w:t xml:space="preserve"> partner</w:t>
      </w:r>
      <w:r w:rsidR="00673CD6" w:rsidRPr="00C87A19">
        <w:rPr>
          <w:rFonts w:ascii="Times New Roman" w:hAnsi="Times New Roman"/>
          <w:sz w:val="20"/>
          <w:szCs w:val="20"/>
        </w:rPr>
        <w:t xml:space="preserve"> after a 5 year tenure.</w:t>
      </w:r>
      <w:r w:rsidR="001B2326">
        <w:rPr>
          <w:rFonts w:ascii="Times New Roman" w:hAnsi="Times New Roman"/>
          <w:sz w:val="20"/>
          <w:szCs w:val="20"/>
        </w:rPr>
        <w:t xml:space="preserve"> </w:t>
      </w:r>
      <w:r w:rsidRPr="009D6139">
        <w:rPr>
          <w:rFonts w:ascii="Times New Roman" w:hAnsi="Times New Roman"/>
          <w:sz w:val="20"/>
          <w:szCs w:val="20"/>
        </w:rPr>
        <w:t xml:space="preserve">Accordingly the Committee has not considered it necessary to date to undertake another tender process for the audit work, although it </w:t>
      </w:r>
      <w:r w:rsidR="00C52640">
        <w:rPr>
          <w:rFonts w:ascii="Times New Roman" w:hAnsi="Times New Roman"/>
          <w:sz w:val="20"/>
          <w:szCs w:val="20"/>
        </w:rPr>
        <w:t>co</w:t>
      </w:r>
      <w:r w:rsidRPr="009D6139">
        <w:rPr>
          <w:rFonts w:ascii="Times New Roman" w:hAnsi="Times New Roman"/>
          <w:sz w:val="20"/>
          <w:szCs w:val="20"/>
        </w:rPr>
        <w:t>nsider</w:t>
      </w:r>
      <w:r w:rsidR="00C52640">
        <w:rPr>
          <w:rFonts w:ascii="Times New Roman" w:hAnsi="Times New Roman"/>
          <w:sz w:val="20"/>
          <w:szCs w:val="20"/>
        </w:rPr>
        <w:t>s</w:t>
      </w:r>
      <w:r w:rsidRPr="009D6139">
        <w:rPr>
          <w:rFonts w:ascii="Times New Roman" w:hAnsi="Times New Roman"/>
          <w:sz w:val="20"/>
          <w:szCs w:val="20"/>
        </w:rPr>
        <w:t xml:space="preserve"> Deloitte’s tenure and appointment on an annual basis. Since the beginning of the financial year</w:t>
      </w:r>
      <w:r w:rsidR="00CA5A90">
        <w:rPr>
          <w:rFonts w:ascii="Times New Roman" w:hAnsi="Times New Roman"/>
          <w:sz w:val="20"/>
          <w:szCs w:val="20"/>
        </w:rPr>
        <w:t>,</w:t>
      </w:r>
      <w:r w:rsidRPr="009D6139">
        <w:rPr>
          <w:rFonts w:ascii="Times New Roman" w:hAnsi="Times New Roman"/>
          <w:sz w:val="20"/>
          <w:szCs w:val="20"/>
        </w:rPr>
        <w:t xml:space="preserve"> the Audit Committee has undertaken an assessment of the qualifications, expertise and resources, and independence of the external auditor and the effectiveness of the audit process. This included consideration of a report on the audit firm`s own quality control procedures and transparency report.</w:t>
      </w:r>
    </w:p>
    <w:p w:rsidR="00B44D91" w:rsidRPr="009170B8" w:rsidRDefault="00B44D91" w:rsidP="00C560E4">
      <w:pPr>
        <w:autoSpaceDE w:val="0"/>
        <w:autoSpaceDN w:val="0"/>
        <w:adjustRightInd w:val="0"/>
        <w:jc w:val="both"/>
        <w:rPr>
          <w:rFonts w:ascii="Times New Roman" w:hAnsi="Times New Roman"/>
          <w:sz w:val="20"/>
          <w:szCs w:val="20"/>
        </w:rPr>
      </w:pPr>
    </w:p>
    <w:p w:rsidR="00C560E4" w:rsidRPr="00E5676A" w:rsidRDefault="009D6139" w:rsidP="00C560E4">
      <w:pPr>
        <w:autoSpaceDE w:val="0"/>
        <w:autoSpaceDN w:val="0"/>
        <w:adjustRightInd w:val="0"/>
        <w:jc w:val="both"/>
        <w:rPr>
          <w:rFonts w:ascii="Times New Roman" w:hAnsi="Times New Roman"/>
          <w:b/>
          <w:sz w:val="20"/>
          <w:szCs w:val="20"/>
        </w:rPr>
      </w:pPr>
      <w:bookmarkStart w:id="27" w:name="OLE_LINK53"/>
      <w:bookmarkStart w:id="28" w:name="OLE_LINK55"/>
      <w:r w:rsidRPr="00E5676A">
        <w:rPr>
          <w:rFonts w:ascii="Times New Roman" w:hAnsi="Times New Roman"/>
          <w:b/>
          <w:sz w:val="20"/>
          <w:szCs w:val="20"/>
        </w:rPr>
        <w:t>Significant Risks</w:t>
      </w:r>
    </w:p>
    <w:bookmarkEnd w:id="27"/>
    <w:bookmarkEnd w:id="28"/>
    <w:p w:rsidR="00C560E4" w:rsidRPr="009170B8" w:rsidRDefault="000248F4" w:rsidP="00C560E4">
      <w:pPr>
        <w:autoSpaceDE w:val="0"/>
        <w:autoSpaceDN w:val="0"/>
        <w:adjustRightInd w:val="0"/>
        <w:jc w:val="both"/>
        <w:rPr>
          <w:rFonts w:ascii="Times New Roman" w:hAnsi="Times New Roman"/>
          <w:sz w:val="20"/>
          <w:szCs w:val="20"/>
        </w:rPr>
      </w:pPr>
      <w:r>
        <w:rPr>
          <w:rFonts w:ascii="Times New Roman" w:hAnsi="Times New Roman"/>
          <w:sz w:val="20"/>
          <w:szCs w:val="20"/>
        </w:rPr>
        <w:t>The</w:t>
      </w:r>
      <w:r w:rsidR="009D6139" w:rsidRPr="009D6139">
        <w:rPr>
          <w:rFonts w:ascii="Times New Roman" w:hAnsi="Times New Roman"/>
          <w:sz w:val="20"/>
          <w:szCs w:val="20"/>
        </w:rPr>
        <w:t xml:space="preserve"> </w:t>
      </w:r>
      <w:r w:rsidR="002E6FF3" w:rsidRPr="009170B8">
        <w:rPr>
          <w:rFonts w:ascii="Times New Roman" w:hAnsi="Times New Roman"/>
          <w:sz w:val="20"/>
          <w:szCs w:val="20"/>
        </w:rPr>
        <w:t>significant risks</w:t>
      </w:r>
      <w:r w:rsidR="009D6139" w:rsidRPr="009D6139">
        <w:rPr>
          <w:rFonts w:ascii="Times New Roman" w:hAnsi="Times New Roman"/>
          <w:sz w:val="20"/>
          <w:szCs w:val="20"/>
        </w:rPr>
        <w:t xml:space="preserve"> that were subject to specific consideration</w:t>
      </w:r>
      <w:r w:rsidR="00610FED">
        <w:rPr>
          <w:rFonts w:ascii="Times New Roman" w:hAnsi="Times New Roman"/>
          <w:sz w:val="20"/>
          <w:szCs w:val="20"/>
        </w:rPr>
        <w:t xml:space="preserve"> in 201</w:t>
      </w:r>
      <w:r w:rsidR="002F5A09">
        <w:rPr>
          <w:rFonts w:ascii="Times New Roman" w:hAnsi="Times New Roman"/>
          <w:sz w:val="20"/>
          <w:szCs w:val="20"/>
        </w:rPr>
        <w:t>8</w:t>
      </w:r>
      <w:r w:rsidR="009D6139" w:rsidRPr="009D6139">
        <w:rPr>
          <w:rFonts w:ascii="Times New Roman" w:hAnsi="Times New Roman"/>
          <w:sz w:val="20"/>
          <w:szCs w:val="20"/>
        </w:rPr>
        <w:t xml:space="preserve"> by the Committee and consultation with the auditor where necessary were as follows:</w:t>
      </w:r>
    </w:p>
    <w:p w:rsidR="00C560E4" w:rsidRPr="009170B8" w:rsidRDefault="00C560E4" w:rsidP="00C560E4">
      <w:pPr>
        <w:autoSpaceDE w:val="0"/>
        <w:autoSpaceDN w:val="0"/>
        <w:adjustRightInd w:val="0"/>
        <w:jc w:val="both"/>
        <w:rPr>
          <w:rFonts w:ascii="Times New Roman" w:hAnsi="Times New Roman"/>
          <w:sz w:val="20"/>
          <w:szCs w:val="20"/>
        </w:rPr>
      </w:pPr>
    </w:p>
    <w:p w:rsidR="00C560E4" w:rsidRPr="009170B8" w:rsidRDefault="009D6139" w:rsidP="00C560E4">
      <w:pPr>
        <w:autoSpaceDE w:val="0"/>
        <w:autoSpaceDN w:val="0"/>
        <w:adjustRightInd w:val="0"/>
        <w:jc w:val="both"/>
        <w:rPr>
          <w:rFonts w:ascii="Times New Roman" w:hAnsi="Times New Roman"/>
          <w:sz w:val="20"/>
          <w:szCs w:val="20"/>
          <w:u w:val="single"/>
        </w:rPr>
      </w:pPr>
      <w:r w:rsidRPr="009D6139">
        <w:rPr>
          <w:rFonts w:ascii="Times New Roman" w:hAnsi="Times New Roman"/>
          <w:i/>
          <w:sz w:val="20"/>
          <w:szCs w:val="20"/>
        </w:rPr>
        <w:t>Valuation and ownership of securities</w:t>
      </w:r>
    </w:p>
    <w:p w:rsidR="005F5A0F" w:rsidRDefault="005F5A0F" w:rsidP="005F5A0F">
      <w:pPr>
        <w:rPr>
          <w:rFonts w:ascii="Times New Roman" w:hAnsi="Times New Roman"/>
          <w:color w:val="000000"/>
          <w:sz w:val="20"/>
          <w:szCs w:val="20"/>
        </w:rPr>
      </w:pPr>
      <w:r w:rsidRPr="00AD4F86">
        <w:rPr>
          <w:rFonts w:ascii="Times New Roman" w:hAnsi="Times New Roman"/>
          <w:color w:val="000000"/>
          <w:sz w:val="20"/>
          <w:szCs w:val="20"/>
        </w:rPr>
        <w:t xml:space="preserve">There is a risk that the securities are incorrectly valued </w:t>
      </w:r>
      <w:r w:rsidR="004016AE" w:rsidRPr="00AD4F86">
        <w:rPr>
          <w:rFonts w:ascii="Times New Roman" w:hAnsi="Times New Roman"/>
          <w:color w:val="000000"/>
          <w:sz w:val="20"/>
          <w:szCs w:val="20"/>
        </w:rPr>
        <w:t xml:space="preserve">due to factors including low volume traded securities and errors in third party prices.  </w:t>
      </w:r>
    </w:p>
    <w:p w:rsidR="004016AE" w:rsidRPr="009170B8" w:rsidRDefault="004016AE" w:rsidP="005F5A0F">
      <w:pPr>
        <w:rPr>
          <w:rFonts w:ascii="Times New Roman" w:hAnsi="Times New Roman"/>
          <w:color w:val="000000"/>
          <w:sz w:val="20"/>
          <w:szCs w:val="20"/>
        </w:rPr>
      </w:pPr>
    </w:p>
    <w:p w:rsidR="004016AE" w:rsidRPr="009170B8" w:rsidRDefault="004016AE" w:rsidP="004016AE">
      <w:pPr>
        <w:jc w:val="both"/>
        <w:rPr>
          <w:rFonts w:ascii="Times New Roman" w:hAnsi="Times New Roman"/>
          <w:color w:val="000000"/>
          <w:sz w:val="20"/>
          <w:szCs w:val="20"/>
        </w:rPr>
      </w:pPr>
      <w:r w:rsidRPr="009D6139">
        <w:rPr>
          <w:rFonts w:ascii="Times New Roman" w:hAnsi="Times New Roman"/>
          <w:color w:val="000000"/>
          <w:sz w:val="20"/>
          <w:szCs w:val="20"/>
        </w:rPr>
        <w:t>Valuation of securities – at each valuation point</w:t>
      </w:r>
      <w:r>
        <w:rPr>
          <w:rFonts w:ascii="Times New Roman" w:hAnsi="Times New Roman"/>
          <w:color w:val="000000"/>
          <w:sz w:val="20"/>
          <w:szCs w:val="20"/>
        </w:rPr>
        <w:t>,</w:t>
      </w:r>
      <w:r w:rsidRPr="009D6139">
        <w:rPr>
          <w:rFonts w:ascii="Times New Roman" w:hAnsi="Times New Roman"/>
          <w:color w:val="000000"/>
          <w:sz w:val="20"/>
          <w:szCs w:val="20"/>
        </w:rPr>
        <w:t xml:space="preserve"> a price tolerance check is run. A comparison is done between the prices per two different financial data vendors, namely, Bloomberg and </w:t>
      </w:r>
      <w:r w:rsidRPr="009170B8">
        <w:rPr>
          <w:rFonts w:ascii="Times New Roman" w:hAnsi="Times New Roman"/>
          <w:color w:val="000000"/>
          <w:sz w:val="20"/>
          <w:szCs w:val="20"/>
        </w:rPr>
        <w:t>Interactive</w:t>
      </w:r>
      <w:r w:rsidRPr="009D6139">
        <w:rPr>
          <w:rFonts w:ascii="Times New Roman" w:hAnsi="Times New Roman"/>
          <w:color w:val="000000"/>
          <w:sz w:val="20"/>
          <w:szCs w:val="20"/>
        </w:rPr>
        <w:t xml:space="preserve"> Data Services. The following exceptions require further investigation:  </w:t>
      </w:r>
    </w:p>
    <w:p w:rsidR="004016AE" w:rsidRPr="009170B8" w:rsidRDefault="004016AE" w:rsidP="004016AE">
      <w:pPr>
        <w:jc w:val="both"/>
        <w:rPr>
          <w:rFonts w:ascii="Times New Roman" w:hAnsi="Times New Roman"/>
          <w:color w:val="000000"/>
          <w:sz w:val="20"/>
          <w:szCs w:val="20"/>
        </w:rPr>
      </w:pPr>
    </w:p>
    <w:p w:rsidR="004016AE" w:rsidRPr="009170B8" w:rsidRDefault="004016AE" w:rsidP="00A60442">
      <w:pPr>
        <w:pStyle w:val="ListParagraph"/>
        <w:numPr>
          <w:ilvl w:val="0"/>
          <w:numId w:val="18"/>
        </w:numPr>
        <w:ind w:left="426"/>
        <w:contextualSpacing w:val="0"/>
        <w:jc w:val="both"/>
        <w:rPr>
          <w:rFonts w:ascii="Times New Roman" w:hAnsi="Times New Roman"/>
          <w:color w:val="000000"/>
          <w:sz w:val="20"/>
          <w:szCs w:val="20"/>
        </w:rPr>
      </w:pPr>
      <w:r w:rsidRPr="009D6139">
        <w:rPr>
          <w:rFonts w:ascii="Times New Roman" w:hAnsi="Times New Roman"/>
          <w:color w:val="000000"/>
          <w:sz w:val="20"/>
          <w:szCs w:val="20"/>
        </w:rPr>
        <w:t>Prices outside the stated tolerance levels: Price movements need to be justified to underlying support</w:t>
      </w:r>
      <w:r>
        <w:rPr>
          <w:rFonts w:ascii="Times New Roman" w:hAnsi="Times New Roman"/>
          <w:color w:val="000000"/>
          <w:sz w:val="20"/>
          <w:szCs w:val="20"/>
        </w:rPr>
        <w:t>.</w:t>
      </w:r>
    </w:p>
    <w:p w:rsidR="004016AE" w:rsidRPr="009170B8" w:rsidRDefault="004016AE" w:rsidP="00A60442">
      <w:pPr>
        <w:pStyle w:val="ListParagraph"/>
        <w:numPr>
          <w:ilvl w:val="0"/>
          <w:numId w:val="18"/>
        </w:numPr>
        <w:ind w:left="426"/>
        <w:contextualSpacing w:val="0"/>
        <w:jc w:val="both"/>
        <w:rPr>
          <w:rFonts w:ascii="Times New Roman" w:hAnsi="Times New Roman"/>
          <w:color w:val="000000"/>
          <w:sz w:val="20"/>
          <w:szCs w:val="20"/>
        </w:rPr>
      </w:pPr>
      <w:r w:rsidRPr="009D6139">
        <w:rPr>
          <w:rFonts w:ascii="Times New Roman" w:hAnsi="Times New Roman"/>
          <w:color w:val="000000"/>
          <w:sz w:val="20"/>
          <w:szCs w:val="20"/>
        </w:rPr>
        <w:t>Static prices: These need to be traced and agreed to support to ensure prices are not static. Static prices are escalated as per the pricing policy after being static for more than 7 days</w:t>
      </w:r>
      <w:r>
        <w:rPr>
          <w:rFonts w:ascii="Times New Roman" w:hAnsi="Times New Roman"/>
          <w:color w:val="000000"/>
          <w:sz w:val="20"/>
          <w:szCs w:val="20"/>
        </w:rPr>
        <w:t>.</w:t>
      </w:r>
    </w:p>
    <w:p w:rsidR="004016AE" w:rsidRPr="009170B8" w:rsidRDefault="004016AE" w:rsidP="00A60442">
      <w:pPr>
        <w:pStyle w:val="ListParagraph"/>
        <w:numPr>
          <w:ilvl w:val="0"/>
          <w:numId w:val="18"/>
        </w:numPr>
        <w:ind w:left="426"/>
        <w:contextualSpacing w:val="0"/>
        <w:jc w:val="both"/>
        <w:rPr>
          <w:rFonts w:ascii="Times New Roman" w:hAnsi="Times New Roman"/>
          <w:color w:val="000000"/>
          <w:sz w:val="20"/>
          <w:szCs w:val="20"/>
        </w:rPr>
      </w:pPr>
      <w:r w:rsidRPr="009D6139">
        <w:rPr>
          <w:rFonts w:ascii="Times New Roman" w:hAnsi="Times New Roman"/>
          <w:color w:val="000000"/>
          <w:sz w:val="20"/>
          <w:szCs w:val="20"/>
        </w:rPr>
        <w:t>Zero prices: Prices for these securities need to be investigated and added if applicable</w:t>
      </w:r>
      <w:r>
        <w:rPr>
          <w:rFonts w:ascii="Times New Roman" w:hAnsi="Times New Roman"/>
          <w:color w:val="000000"/>
          <w:sz w:val="20"/>
          <w:szCs w:val="20"/>
        </w:rPr>
        <w:t>.</w:t>
      </w:r>
    </w:p>
    <w:p w:rsidR="004016AE" w:rsidRDefault="004016AE" w:rsidP="00A60442">
      <w:pPr>
        <w:pStyle w:val="ListParagraph"/>
        <w:numPr>
          <w:ilvl w:val="0"/>
          <w:numId w:val="18"/>
        </w:numPr>
        <w:ind w:left="426"/>
        <w:contextualSpacing w:val="0"/>
        <w:jc w:val="both"/>
        <w:rPr>
          <w:rFonts w:ascii="Times New Roman" w:hAnsi="Times New Roman"/>
          <w:color w:val="000000"/>
          <w:sz w:val="20"/>
          <w:szCs w:val="20"/>
        </w:rPr>
      </w:pPr>
      <w:r w:rsidRPr="009D6139">
        <w:rPr>
          <w:rFonts w:ascii="Times New Roman" w:hAnsi="Times New Roman"/>
          <w:color w:val="000000"/>
          <w:sz w:val="20"/>
          <w:szCs w:val="20"/>
        </w:rPr>
        <w:t xml:space="preserve">&gt;1% difference between Bloomberg and </w:t>
      </w:r>
      <w:r w:rsidRPr="009170B8">
        <w:rPr>
          <w:rFonts w:ascii="Times New Roman" w:hAnsi="Times New Roman"/>
          <w:color w:val="000000"/>
          <w:sz w:val="20"/>
          <w:szCs w:val="20"/>
        </w:rPr>
        <w:t>Interactive</w:t>
      </w:r>
      <w:r w:rsidRPr="009D6139">
        <w:rPr>
          <w:rFonts w:ascii="Times New Roman" w:hAnsi="Times New Roman"/>
          <w:color w:val="000000"/>
          <w:sz w:val="20"/>
          <w:szCs w:val="20"/>
        </w:rPr>
        <w:t xml:space="preserve"> Data Services price: Both prices need to be supported to ensure they are correct. Support and justification needs to be provided in respect of the price selected.  </w:t>
      </w:r>
    </w:p>
    <w:p w:rsidR="004016AE" w:rsidRPr="009170B8" w:rsidRDefault="004016AE" w:rsidP="00E5676A">
      <w:pPr>
        <w:pStyle w:val="ListParagraph"/>
        <w:ind w:left="426"/>
        <w:contextualSpacing w:val="0"/>
        <w:jc w:val="both"/>
        <w:rPr>
          <w:rFonts w:ascii="Times New Roman" w:hAnsi="Times New Roman"/>
          <w:color w:val="000000"/>
          <w:sz w:val="20"/>
          <w:szCs w:val="20"/>
        </w:rPr>
      </w:pPr>
    </w:p>
    <w:p w:rsidR="004016AE" w:rsidRDefault="004016AE" w:rsidP="005F5A0F">
      <w:pPr>
        <w:rPr>
          <w:rFonts w:ascii="Times New Roman" w:hAnsi="Times New Roman"/>
          <w:color w:val="000000"/>
          <w:sz w:val="20"/>
          <w:szCs w:val="20"/>
        </w:rPr>
      </w:pPr>
      <w:r w:rsidRPr="00AD4F86">
        <w:rPr>
          <w:rFonts w:ascii="Times New Roman" w:hAnsi="Times New Roman"/>
          <w:color w:val="000000"/>
          <w:sz w:val="20"/>
          <w:szCs w:val="20"/>
        </w:rPr>
        <w:t>There is also the risk that the securities are not directly owned by the Fund, which may be caused by errors in the recording of trade transactions.</w:t>
      </w:r>
    </w:p>
    <w:p w:rsidR="005F5A0F" w:rsidRPr="009170B8" w:rsidRDefault="005F5A0F" w:rsidP="005F5A0F">
      <w:pPr>
        <w:rPr>
          <w:rFonts w:ascii="Times New Roman" w:hAnsi="Times New Roman"/>
          <w:color w:val="000000"/>
          <w:sz w:val="20"/>
          <w:szCs w:val="20"/>
        </w:rPr>
      </w:pPr>
    </w:p>
    <w:p w:rsidR="00C560E4" w:rsidRPr="009170B8" w:rsidRDefault="009D6139" w:rsidP="00116C07">
      <w:pPr>
        <w:jc w:val="both"/>
        <w:rPr>
          <w:rFonts w:ascii="Times New Roman" w:hAnsi="Times New Roman"/>
          <w:color w:val="000000"/>
          <w:sz w:val="20"/>
          <w:szCs w:val="20"/>
        </w:rPr>
      </w:pPr>
      <w:r w:rsidRPr="009D6139">
        <w:rPr>
          <w:rFonts w:ascii="Times New Roman" w:hAnsi="Times New Roman"/>
          <w:color w:val="000000"/>
          <w:sz w:val="20"/>
          <w:szCs w:val="20"/>
        </w:rPr>
        <w:t xml:space="preserve">Ownership of </w:t>
      </w:r>
      <w:r w:rsidR="0027108B" w:rsidRPr="009170B8">
        <w:rPr>
          <w:rFonts w:ascii="Times New Roman" w:hAnsi="Times New Roman"/>
          <w:color w:val="000000"/>
          <w:sz w:val="20"/>
          <w:szCs w:val="20"/>
        </w:rPr>
        <w:t>securities</w:t>
      </w:r>
      <w:r w:rsidRPr="009D6139">
        <w:rPr>
          <w:rFonts w:ascii="Times New Roman" w:hAnsi="Times New Roman"/>
          <w:color w:val="000000"/>
          <w:sz w:val="20"/>
          <w:szCs w:val="20"/>
        </w:rPr>
        <w:t xml:space="preserve"> – at each valuation point a stock reconciliation is performed, which entails tracing and agreeing the stock holding at valuation point to the Custodian records.</w:t>
      </w:r>
    </w:p>
    <w:p w:rsidR="00C560E4" w:rsidRPr="009170B8" w:rsidRDefault="00C560E4" w:rsidP="00C560E4">
      <w:pPr>
        <w:rPr>
          <w:rFonts w:ascii="Times New Roman" w:hAnsi="Times New Roman"/>
          <w:color w:val="000000"/>
          <w:sz w:val="20"/>
          <w:szCs w:val="20"/>
        </w:rPr>
      </w:pPr>
    </w:p>
    <w:p w:rsidR="00C560E4" w:rsidRPr="009170B8" w:rsidRDefault="009D6139" w:rsidP="00C560E4">
      <w:pPr>
        <w:rPr>
          <w:rFonts w:ascii="Times New Roman" w:hAnsi="Times New Roman"/>
          <w:color w:val="000000"/>
          <w:sz w:val="20"/>
          <w:szCs w:val="20"/>
        </w:rPr>
      </w:pPr>
      <w:r w:rsidRPr="009D6139">
        <w:rPr>
          <w:rFonts w:ascii="Times New Roman" w:hAnsi="Times New Roman"/>
          <w:color w:val="000000"/>
          <w:sz w:val="20"/>
          <w:szCs w:val="20"/>
        </w:rPr>
        <w:t xml:space="preserve">Any differences are investigated and commented on. </w:t>
      </w:r>
    </w:p>
    <w:p w:rsidR="00C560E4" w:rsidRPr="009170B8" w:rsidRDefault="00C560E4" w:rsidP="00C560E4">
      <w:pPr>
        <w:rPr>
          <w:rFonts w:ascii="Times New Roman" w:hAnsi="Times New Roman"/>
          <w:color w:val="000000"/>
          <w:sz w:val="20"/>
          <w:szCs w:val="20"/>
        </w:rPr>
      </w:pPr>
    </w:p>
    <w:p w:rsidR="00C560E4" w:rsidRPr="009170B8" w:rsidRDefault="009D6139" w:rsidP="00C560E4">
      <w:pPr>
        <w:rPr>
          <w:rFonts w:ascii="Times New Roman" w:hAnsi="Times New Roman"/>
          <w:sz w:val="20"/>
          <w:szCs w:val="20"/>
        </w:rPr>
      </w:pPr>
      <w:r w:rsidRPr="009D6139">
        <w:rPr>
          <w:rFonts w:ascii="Times New Roman" w:hAnsi="Times New Roman"/>
          <w:color w:val="000000"/>
          <w:sz w:val="20"/>
          <w:szCs w:val="20"/>
        </w:rPr>
        <w:t>All new trades are traced and agreed to the contract note.</w:t>
      </w:r>
    </w:p>
    <w:p w:rsidR="00C560E4" w:rsidRPr="009170B8" w:rsidRDefault="00C560E4" w:rsidP="00C560E4">
      <w:pPr>
        <w:autoSpaceDE w:val="0"/>
        <w:autoSpaceDN w:val="0"/>
        <w:adjustRightInd w:val="0"/>
        <w:jc w:val="both"/>
        <w:rPr>
          <w:rFonts w:ascii="Times New Roman" w:hAnsi="Times New Roman"/>
          <w:sz w:val="20"/>
          <w:szCs w:val="20"/>
        </w:rPr>
      </w:pPr>
    </w:p>
    <w:p w:rsidR="005F5A0F" w:rsidRPr="009170B8" w:rsidRDefault="005F5A0F" w:rsidP="00C560E4">
      <w:pPr>
        <w:autoSpaceDE w:val="0"/>
        <w:autoSpaceDN w:val="0"/>
        <w:adjustRightInd w:val="0"/>
        <w:jc w:val="both"/>
        <w:rPr>
          <w:rFonts w:ascii="Times New Roman" w:hAnsi="Times New Roman"/>
          <w:i/>
          <w:sz w:val="20"/>
          <w:szCs w:val="20"/>
          <w:u w:val="single"/>
        </w:rPr>
      </w:pPr>
    </w:p>
    <w:p w:rsidR="004016AE" w:rsidRDefault="004016AE" w:rsidP="00C560E4">
      <w:pPr>
        <w:autoSpaceDE w:val="0"/>
        <w:autoSpaceDN w:val="0"/>
        <w:adjustRightInd w:val="0"/>
        <w:jc w:val="both"/>
        <w:rPr>
          <w:rFonts w:ascii="Times New Roman" w:hAnsi="Times New Roman"/>
          <w:color w:val="000000"/>
          <w:sz w:val="20"/>
          <w:szCs w:val="20"/>
        </w:rPr>
      </w:pPr>
    </w:p>
    <w:p w:rsidR="00054C78" w:rsidRDefault="00054C78" w:rsidP="00C560E4">
      <w:pPr>
        <w:autoSpaceDE w:val="0"/>
        <w:autoSpaceDN w:val="0"/>
        <w:adjustRightInd w:val="0"/>
        <w:jc w:val="both"/>
        <w:rPr>
          <w:rFonts w:ascii="Times New Roman" w:hAnsi="Times New Roman"/>
          <w:color w:val="000000"/>
          <w:sz w:val="20"/>
          <w:szCs w:val="20"/>
        </w:rPr>
      </w:pPr>
    </w:p>
    <w:p w:rsidR="00054C78" w:rsidRDefault="00054C78" w:rsidP="00C560E4">
      <w:pPr>
        <w:autoSpaceDE w:val="0"/>
        <w:autoSpaceDN w:val="0"/>
        <w:adjustRightInd w:val="0"/>
        <w:jc w:val="both"/>
        <w:rPr>
          <w:rFonts w:ascii="Times New Roman" w:hAnsi="Times New Roman"/>
          <w:color w:val="000000"/>
          <w:sz w:val="20"/>
          <w:szCs w:val="20"/>
        </w:rPr>
      </w:pPr>
    </w:p>
    <w:p w:rsidR="004016AE" w:rsidRDefault="004016AE" w:rsidP="004016AE">
      <w:pPr>
        <w:pStyle w:val="Heading2"/>
        <w:tabs>
          <w:tab w:val="right" w:pos="8222"/>
        </w:tabs>
        <w:rPr>
          <w:rFonts w:ascii="Times New Roman" w:hAnsi="Times New Roman"/>
        </w:rPr>
      </w:pPr>
      <w:r w:rsidRPr="009170B8">
        <w:rPr>
          <w:rFonts w:ascii="Times New Roman" w:hAnsi="Times New Roman"/>
        </w:rPr>
        <w:t>Report of the Audit Committee (continued)</w:t>
      </w:r>
    </w:p>
    <w:p w:rsidR="005F5A0F" w:rsidRPr="009170B8" w:rsidRDefault="005F5A0F" w:rsidP="008831E9">
      <w:pPr>
        <w:autoSpaceDE w:val="0"/>
        <w:autoSpaceDN w:val="0"/>
        <w:adjustRightInd w:val="0"/>
        <w:jc w:val="both"/>
        <w:rPr>
          <w:rFonts w:ascii="Times New Roman" w:hAnsi="Times New Roman"/>
          <w:color w:val="000000"/>
          <w:sz w:val="20"/>
          <w:szCs w:val="20"/>
        </w:rPr>
      </w:pPr>
    </w:p>
    <w:p w:rsidR="009D14C7" w:rsidRPr="00E5676A" w:rsidRDefault="00102569" w:rsidP="009D14C7">
      <w:pPr>
        <w:jc w:val="both"/>
        <w:rPr>
          <w:rFonts w:ascii="Times New Roman" w:hAnsi="Times New Roman"/>
          <w:b/>
          <w:sz w:val="20"/>
          <w:szCs w:val="20"/>
        </w:rPr>
      </w:pPr>
      <w:r w:rsidRPr="00E5676A">
        <w:rPr>
          <w:rFonts w:ascii="Times New Roman" w:hAnsi="Times New Roman"/>
          <w:b/>
          <w:sz w:val="20"/>
          <w:szCs w:val="20"/>
        </w:rPr>
        <w:t>Auditor</w:t>
      </w:r>
      <w:r w:rsidR="009D6139" w:rsidRPr="00E5676A">
        <w:rPr>
          <w:rFonts w:ascii="Times New Roman" w:hAnsi="Times New Roman"/>
          <w:b/>
          <w:sz w:val="20"/>
          <w:szCs w:val="20"/>
        </w:rPr>
        <w:t xml:space="preserve"> and Audit</w:t>
      </w:r>
    </w:p>
    <w:p w:rsidR="00C560E4" w:rsidRPr="009170B8" w:rsidRDefault="009D6139" w:rsidP="00C560E4">
      <w:pPr>
        <w:spacing w:after="240"/>
        <w:jc w:val="both"/>
        <w:rPr>
          <w:rFonts w:ascii="Times New Roman" w:hAnsi="Times New Roman"/>
          <w:sz w:val="20"/>
          <w:szCs w:val="20"/>
        </w:rPr>
      </w:pPr>
      <w:r w:rsidRPr="009D6139">
        <w:rPr>
          <w:rFonts w:ascii="Times New Roman" w:hAnsi="Times New Roman"/>
          <w:sz w:val="20"/>
          <w:szCs w:val="20"/>
        </w:rPr>
        <w:t xml:space="preserve">The Audit Committee considers the nature, scope and results of the auditor’s work and monitors the independence of the external auditor. Formal reports are received at Board meetings from the auditor on an interim and annual basis relating to the extent of their work. The work of the auditor in respect of any significant audit issues and consideration of the adequacy of that work is discussed. </w:t>
      </w:r>
    </w:p>
    <w:p w:rsidR="008E01C7" w:rsidRDefault="008E01C7" w:rsidP="00C560E4">
      <w:pPr>
        <w:spacing w:after="240"/>
        <w:jc w:val="both"/>
        <w:rPr>
          <w:rFonts w:ascii="Times New Roman" w:hAnsi="Times New Roman"/>
          <w:sz w:val="20"/>
          <w:szCs w:val="20"/>
        </w:rPr>
      </w:pPr>
      <w:r w:rsidRPr="009170B8">
        <w:rPr>
          <w:rFonts w:ascii="Times New Roman" w:hAnsi="Times New Roman"/>
          <w:sz w:val="20"/>
          <w:szCs w:val="20"/>
        </w:rPr>
        <w:t>The Audit Committee assesses the effectiveness of the audit process. The Audit Committee receive</w:t>
      </w:r>
      <w:r w:rsidR="00C52640">
        <w:rPr>
          <w:rFonts w:ascii="Times New Roman" w:hAnsi="Times New Roman"/>
          <w:sz w:val="20"/>
          <w:szCs w:val="20"/>
        </w:rPr>
        <w:t>s</w:t>
      </w:r>
      <w:r w:rsidRPr="009170B8">
        <w:rPr>
          <w:rFonts w:ascii="Times New Roman" w:hAnsi="Times New Roman"/>
          <w:sz w:val="20"/>
          <w:szCs w:val="20"/>
        </w:rPr>
        <w:t xml:space="preserve"> a report from the auditors which covers the principal matters that have arisen from the audit.</w:t>
      </w:r>
    </w:p>
    <w:p w:rsidR="00C560E4" w:rsidRPr="009170B8" w:rsidRDefault="009D6139" w:rsidP="00C560E4">
      <w:pPr>
        <w:spacing w:after="240"/>
        <w:jc w:val="both"/>
        <w:rPr>
          <w:rFonts w:ascii="Times New Roman" w:hAnsi="Times New Roman"/>
          <w:sz w:val="20"/>
          <w:szCs w:val="20"/>
        </w:rPr>
      </w:pPr>
      <w:r w:rsidRPr="009D6139">
        <w:rPr>
          <w:rFonts w:ascii="Times New Roman" w:hAnsi="Times New Roman"/>
          <w:sz w:val="20"/>
          <w:szCs w:val="20"/>
        </w:rPr>
        <w:t xml:space="preserve">The Chairman of the Audit Committee meets with the Investment Manager and Administrator to discuss the extent of audit work completed to ensure all matters of risk are covered while the Committee assesses the quality of the draft financial statements prepared by the </w:t>
      </w:r>
      <w:r w:rsidR="00102569" w:rsidRPr="009170B8">
        <w:rPr>
          <w:rFonts w:ascii="Times New Roman" w:hAnsi="Times New Roman"/>
          <w:sz w:val="20"/>
          <w:szCs w:val="20"/>
        </w:rPr>
        <w:t>A</w:t>
      </w:r>
      <w:r w:rsidRPr="009D6139">
        <w:rPr>
          <w:rFonts w:ascii="Times New Roman" w:hAnsi="Times New Roman"/>
          <w:sz w:val="20"/>
          <w:szCs w:val="20"/>
        </w:rPr>
        <w:t>dministrator and examines the interaction between the Investment Manager and auditor to resolve any potential audit issues. It also reviews, develops and implements policy on the supply of non-audit services. All non-audit services, if any, which are sourced from the audit firm would need to be pre-approved by the Audit Committee after they have been satisfied that the relevant safeguards are in place to protect the auditor</w:t>
      </w:r>
      <w:r w:rsidR="00F54362">
        <w:rPr>
          <w:rFonts w:ascii="Times New Roman" w:hAnsi="Times New Roman"/>
          <w:sz w:val="20"/>
          <w:szCs w:val="20"/>
        </w:rPr>
        <w:t>’</w:t>
      </w:r>
      <w:r w:rsidRPr="009D6139">
        <w:rPr>
          <w:rFonts w:ascii="Times New Roman" w:hAnsi="Times New Roman"/>
          <w:sz w:val="20"/>
          <w:szCs w:val="20"/>
        </w:rPr>
        <w:t xml:space="preserve">s objectivity and independence. </w:t>
      </w:r>
    </w:p>
    <w:p w:rsidR="00C560E4" w:rsidRPr="009170B8" w:rsidRDefault="009D6139" w:rsidP="00C560E4">
      <w:pPr>
        <w:spacing w:after="240"/>
        <w:jc w:val="both"/>
        <w:rPr>
          <w:rFonts w:ascii="Times New Roman" w:hAnsi="Times New Roman"/>
          <w:sz w:val="20"/>
          <w:szCs w:val="20"/>
        </w:rPr>
      </w:pPr>
      <w:r w:rsidRPr="009D6139">
        <w:rPr>
          <w:rFonts w:ascii="Times New Roman" w:hAnsi="Times New Roman"/>
          <w:sz w:val="20"/>
          <w:szCs w:val="20"/>
        </w:rPr>
        <w:t xml:space="preserve">The Audit Committee has an active involvement and oversight of the preparation of both half yearly and annual financial reports and recommends for the purposes of the production of these financial reports that valuations are prepared by the management team of the </w:t>
      </w:r>
      <w:r w:rsidR="00102569" w:rsidRPr="009170B8">
        <w:rPr>
          <w:rFonts w:ascii="Times New Roman" w:hAnsi="Times New Roman"/>
          <w:sz w:val="20"/>
          <w:szCs w:val="20"/>
        </w:rPr>
        <w:t>A</w:t>
      </w:r>
      <w:r w:rsidRPr="009D6139">
        <w:rPr>
          <w:rFonts w:ascii="Times New Roman" w:hAnsi="Times New Roman"/>
          <w:sz w:val="20"/>
          <w:szCs w:val="20"/>
        </w:rPr>
        <w:t>dministrator. These valuations are a critical element in the Company’s financial reporting and the Audit Committee questions them thoroughly.</w:t>
      </w:r>
    </w:p>
    <w:p w:rsidR="00C560E4" w:rsidRPr="009170B8" w:rsidRDefault="009D6139" w:rsidP="00C560E4">
      <w:pPr>
        <w:spacing w:after="240"/>
        <w:jc w:val="both"/>
        <w:rPr>
          <w:rFonts w:ascii="Times New Roman" w:eastAsia="Calibri" w:hAnsi="Times New Roman"/>
          <w:color w:val="221E1F"/>
          <w:sz w:val="20"/>
          <w:szCs w:val="20"/>
          <w:lang w:eastAsia="en-GB"/>
        </w:rPr>
      </w:pPr>
      <w:r w:rsidRPr="009D6139">
        <w:rPr>
          <w:rFonts w:ascii="Times New Roman" w:eastAsia="Calibri" w:hAnsi="Times New Roman"/>
          <w:color w:val="221E1F"/>
          <w:sz w:val="20"/>
          <w:szCs w:val="20"/>
          <w:lang w:eastAsia="en-GB"/>
        </w:rPr>
        <w:t>Ultimate responsibility for reviewing and approving the annual financial report remains with the Board.</w:t>
      </w:r>
    </w:p>
    <w:p w:rsidR="00D060EE" w:rsidRDefault="00D060EE" w:rsidP="00C560E4">
      <w:pPr>
        <w:spacing w:after="240"/>
        <w:jc w:val="both"/>
        <w:rPr>
          <w:rFonts w:ascii="Times New Roman" w:hAnsi="Times New Roman"/>
          <w:color w:val="000000"/>
          <w:sz w:val="20"/>
          <w:szCs w:val="20"/>
        </w:rPr>
      </w:pPr>
    </w:p>
    <w:p w:rsidR="00D060EE" w:rsidRPr="00D060EE" w:rsidRDefault="00A36A46" w:rsidP="00C560E4">
      <w:pPr>
        <w:spacing w:after="240"/>
        <w:jc w:val="both"/>
        <w:rPr>
          <w:rFonts w:ascii="Times New Roman" w:eastAsia="Calibri" w:hAnsi="Times New Roman"/>
          <w:color w:val="221E1F"/>
          <w:sz w:val="20"/>
          <w:szCs w:val="20"/>
          <w:lang w:eastAsia="en-GB"/>
        </w:rPr>
      </w:pPr>
      <w:r>
        <w:rPr>
          <w:rFonts w:ascii="Times New Roman" w:eastAsia="Calibri" w:hAnsi="Times New Roman"/>
          <w:color w:val="221E1F"/>
          <w:sz w:val="20"/>
          <w:szCs w:val="20"/>
          <w:lang w:eastAsia="en-GB"/>
        </w:rPr>
        <w:t>Thomas Grose</w:t>
      </w:r>
    </w:p>
    <w:p w:rsidR="00B44D91" w:rsidRPr="009170B8" w:rsidRDefault="008831E9" w:rsidP="00C560E4">
      <w:pPr>
        <w:spacing w:after="240"/>
        <w:jc w:val="both"/>
        <w:rPr>
          <w:rFonts w:ascii="Times New Roman" w:hAnsi="Times New Roman"/>
          <w:b/>
          <w:sz w:val="20"/>
          <w:szCs w:val="20"/>
        </w:rPr>
      </w:pPr>
      <w:r w:rsidRPr="009170B8">
        <w:rPr>
          <w:rFonts w:ascii="Times New Roman" w:eastAsia="Calibri" w:hAnsi="Times New Roman"/>
          <w:b/>
          <w:color w:val="221E1F"/>
          <w:sz w:val="20"/>
          <w:szCs w:val="20"/>
          <w:lang w:eastAsia="en-GB"/>
        </w:rPr>
        <w:t>Chairman of the Audit Committee</w:t>
      </w:r>
    </w:p>
    <w:p w:rsidR="00B44D91" w:rsidRPr="009170B8" w:rsidRDefault="00B44D91" w:rsidP="00B44D91">
      <w:pPr>
        <w:pStyle w:val="Heading2"/>
        <w:tabs>
          <w:tab w:val="right" w:pos="8222"/>
        </w:tabs>
        <w:rPr>
          <w:rFonts w:ascii="Times New Roman" w:hAnsi="Times New Roman"/>
          <w:b w:val="0"/>
          <w:sz w:val="20"/>
          <w:szCs w:val="20"/>
        </w:rPr>
      </w:pPr>
    </w:p>
    <w:p w:rsidR="003F06D8" w:rsidRDefault="00293222" w:rsidP="00B44D91">
      <w:pPr>
        <w:pStyle w:val="Heading2"/>
        <w:tabs>
          <w:tab w:val="right" w:pos="8222"/>
        </w:tabs>
        <w:rPr>
          <w:rFonts w:ascii="Times New Roman" w:hAnsi="Times New Roman"/>
          <w:sz w:val="20"/>
          <w:szCs w:val="20"/>
        </w:rPr>
      </w:pPr>
      <w:r w:rsidRPr="00074F84">
        <w:rPr>
          <w:rFonts w:ascii="Times New Roman" w:hAnsi="Times New Roman"/>
          <w:sz w:val="20"/>
          <w:szCs w:val="20"/>
        </w:rPr>
        <w:t>Date:</w:t>
      </w:r>
      <w:r w:rsidR="007B5B87">
        <w:rPr>
          <w:rFonts w:ascii="Times New Roman" w:hAnsi="Times New Roman"/>
          <w:sz w:val="20"/>
          <w:szCs w:val="20"/>
        </w:rPr>
        <w:t xml:space="preserve"> </w:t>
      </w:r>
      <w:r w:rsidR="007B5B87" w:rsidRPr="00171C7E">
        <w:rPr>
          <w:rFonts w:ascii="Times New Roman" w:hAnsi="Times New Roman"/>
          <w:b w:val="0"/>
          <w:sz w:val="20"/>
          <w:szCs w:val="20"/>
        </w:rPr>
        <w:t>1</w:t>
      </w:r>
      <w:r w:rsidR="00C02E54">
        <w:rPr>
          <w:rFonts w:ascii="Times New Roman" w:hAnsi="Times New Roman"/>
          <w:b w:val="0"/>
          <w:sz w:val="20"/>
          <w:szCs w:val="20"/>
        </w:rPr>
        <w:t>1</w:t>
      </w:r>
      <w:r w:rsidR="007B5B87" w:rsidRPr="00171C7E">
        <w:rPr>
          <w:rFonts w:ascii="Times New Roman" w:hAnsi="Times New Roman"/>
          <w:b w:val="0"/>
          <w:sz w:val="20"/>
          <w:szCs w:val="20"/>
        </w:rPr>
        <w:t xml:space="preserve"> April 201</w:t>
      </w:r>
      <w:r w:rsidR="00C02E54">
        <w:rPr>
          <w:rFonts w:ascii="Times New Roman" w:hAnsi="Times New Roman"/>
          <w:b w:val="0"/>
          <w:sz w:val="20"/>
          <w:szCs w:val="20"/>
        </w:rPr>
        <w:t>9</w:t>
      </w:r>
      <w:r w:rsidR="007B5B87">
        <w:rPr>
          <w:rFonts w:ascii="Times New Roman" w:hAnsi="Times New Roman"/>
          <w:sz w:val="20"/>
          <w:szCs w:val="20"/>
        </w:rPr>
        <w:t xml:space="preserve"> </w:t>
      </w:r>
    </w:p>
    <w:p w:rsidR="00BF1EE8" w:rsidRDefault="00BF1EE8" w:rsidP="00BF1EE8"/>
    <w:p w:rsidR="00BF1EE8" w:rsidRDefault="00BF1EE8"/>
    <w:p w:rsidR="00BF1EE8" w:rsidRPr="00BF1EE8" w:rsidRDefault="00BF1EE8" w:rsidP="00BF1EE8">
      <w:pPr>
        <w:sectPr w:rsidR="00BF1EE8" w:rsidRPr="00BF1EE8" w:rsidSect="009B5227">
          <w:headerReference w:type="default" r:id="rId20"/>
          <w:pgSz w:w="11906" w:h="16838" w:code="9"/>
          <w:pgMar w:top="284" w:right="851" w:bottom="255" w:left="851" w:header="709" w:footer="680" w:gutter="0"/>
          <w:cols w:space="708"/>
          <w:docGrid w:linePitch="360"/>
        </w:sectPr>
      </w:pPr>
    </w:p>
    <w:p w:rsidR="00A2580F" w:rsidRPr="00E54387" w:rsidRDefault="00A2580F" w:rsidP="00E54387">
      <w:pPr>
        <w:keepNext/>
        <w:rPr>
          <w:rFonts w:ascii="Verdana" w:hAnsi="Verdana" w:cs="Arial"/>
          <w:b/>
          <w:color w:val="86BC25"/>
          <w:sz w:val="18"/>
          <w:szCs w:val="18"/>
        </w:rPr>
      </w:pPr>
      <w:r w:rsidRPr="00E54387">
        <w:rPr>
          <w:rFonts w:ascii="Verdana" w:hAnsi="Verdana" w:cs="Arial"/>
          <w:b/>
          <w:color w:val="86BC25"/>
          <w:sz w:val="18"/>
          <w:szCs w:val="18"/>
        </w:rPr>
        <w:t>INDEPENDENT AUDITOR’S REPORT TO THE MEMBERS OF MIDDLEFIELD CANADIAN INCOME</w:t>
      </w:r>
      <w:r w:rsidR="00735183" w:rsidRPr="00E54387">
        <w:rPr>
          <w:rFonts w:ascii="Verdana" w:hAnsi="Verdana" w:cs="Arial"/>
          <w:b/>
          <w:color w:val="86BC25"/>
          <w:sz w:val="18"/>
          <w:szCs w:val="18"/>
        </w:rPr>
        <w:t xml:space="preserve"> </w:t>
      </w:r>
      <w:r w:rsidRPr="00E54387">
        <w:rPr>
          <w:rFonts w:ascii="Verdana" w:hAnsi="Verdana" w:cs="Arial"/>
          <w:b/>
          <w:color w:val="86BC25"/>
          <w:sz w:val="18"/>
          <w:szCs w:val="18"/>
        </w:rPr>
        <w:t>– GBP PC (THE ‘‘FUND’’), A CELL OF MIDDLEFIELD CANADIAN INCOME PCC</w:t>
      </w:r>
    </w:p>
    <w:p w:rsidR="0075060A" w:rsidRPr="00E54387" w:rsidRDefault="0075060A" w:rsidP="00E54387">
      <w:pPr>
        <w:keepNext/>
        <w:rPr>
          <w:rFonts w:ascii="Verdana" w:hAnsi="Verdana" w:cs="Arial"/>
          <w:b/>
          <w:color w:val="86BC25"/>
          <w:sz w:val="18"/>
          <w:szCs w:val="18"/>
        </w:rPr>
      </w:pPr>
    </w:p>
    <w:p w:rsidR="00762429" w:rsidRDefault="00762429" w:rsidP="00762429">
      <w:pPr>
        <w:keepNext/>
        <w:rPr>
          <w:rFonts w:ascii="Verdana" w:hAnsi="Verdana" w:cs="Arial"/>
          <w:b/>
          <w:color w:val="86BC25"/>
          <w:sz w:val="18"/>
          <w:szCs w:val="18"/>
        </w:rPr>
      </w:pPr>
      <w:r w:rsidRPr="00133778">
        <w:rPr>
          <w:rFonts w:ascii="Verdana" w:hAnsi="Verdana" w:cs="Arial"/>
          <w:b/>
          <w:color w:val="86BC25"/>
          <w:sz w:val="18"/>
          <w:szCs w:val="18"/>
        </w:rPr>
        <w:t>Report on the audit of the financial statements</w:t>
      </w:r>
    </w:p>
    <w:p w:rsidR="009278EC" w:rsidRPr="00133778" w:rsidRDefault="009278EC" w:rsidP="00762429">
      <w:pPr>
        <w:keepNext/>
        <w:rPr>
          <w:rFonts w:ascii="Verdana" w:hAnsi="Verdana" w:cs="Arial"/>
          <w:b/>
          <w:color w:val="86BC25"/>
          <w:sz w:val="18"/>
          <w:szCs w:val="18"/>
        </w:rPr>
      </w:pPr>
    </w:p>
    <w:tbl>
      <w:tblPr>
        <w:tblStyle w:val="TableGrid"/>
        <w:tblW w:w="0" w:type="auto"/>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026"/>
      </w:tblGrid>
      <w:tr w:rsidR="009278EC" w:rsidTr="009278EC">
        <w:tc>
          <w:tcPr>
            <w:tcW w:w="9026" w:type="dxa"/>
            <w:tcBorders>
              <w:top w:val="nil"/>
              <w:left w:val="nil"/>
              <w:bottom w:val="single" w:sz="4" w:space="0" w:color="86BC25"/>
              <w:right w:val="nil"/>
            </w:tcBorders>
            <w:hideMark/>
          </w:tcPr>
          <w:p w:rsidR="009278EC" w:rsidRDefault="009278EC">
            <w:pPr>
              <w:keepNext/>
              <w:rPr>
                <w:rFonts w:ascii="Verdana" w:hAnsi="Verdana" w:cs="Arial"/>
                <w:b/>
                <w:color w:val="86BC25"/>
                <w:sz w:val="18"/>
                <w:szCs w:val="18"/>
              </w:rPr>
            </w:pPr>
            <w:r>
              <w:rPr>
                <w:rFonts w:ascii="Verdana" w:hAnsi="Verdana" w:cs="Arial"/>
                <w:b/>
                <w:color w:val="86BC25"/>
                <w:sz w:val="18"/>
                <w:szCs w:val="18"/>
              </w:rPr>
              <w:t>Opinion</w:t>
            </w:r>
          </w:p>
        </w:tc>
      </w:tr>
      <w:tr w:rsidR="009278EC" w:rsidTr="009278EC">
        <w:tc>
          <w:tcPr>
            <w:tcW w:w="9026" w:type="dxa"/>
            <w:tcBorders>
              <w:top w:val="nil"/>
              <w:left w:val="nil"/>
              <w:bottom w:val="nil"/>
              <w:right w:val="nil"/>
            </w:tcBorders>
          </w:tcPr>
          <w:p w:rsidR="009278EC" w:rsidRDefault="009278EC">
            <w:pPr>
              <w:rPr>
                <w:rFonts w:ascii="Verdana" w:hAnsi="Verdana" w:cs="Arial"/>
                <w:b/>
                <w:sz w:val="18"/>
                <w:szCs w:val="18"/>
              </w:rPr>
            </w:pPr>
            <w:r>
              <w:rPr>
                <w:rFonts w:ascii="Verdana" w:hAnsi="Verdana" w:cs="Arial"/>
                <w:b/>
                <w:sz w:val="18"/>
                <w:szCs w:val="18"/>
              </w:rPr>
              <w:t>In our opinion the financial statements</w:t>
            </w:r>
            <w:r>
              <w:rPr>
                <w:rFonts w:ascii="Verdana" w:hAnsi="Verdana" w:cs="Arial"/>
                <w:sz w:val="18"/>
                <w:szCs w:val="18"/>
              </w:rPr>
              <w:t xml:space="preserve"> </w:t>
            </w:r>
            <w:r>
              <w:rPr>
                <w:rFonts w:ascii="Verdana" w:hAnsi="Verdana" w:cs="Arial"/>
                <w:b/>
                <w:sz w:val="18"/>
                <w:szCs w:val="18"/>
              </w:rPr>
              <w:t>of Middlefield Canadian Income – GBP PC (the ‘Fund’), a cell of Middlefield Canadian Income PCC:</w:t>
            </w:r>
          </w:p>
          <w:p w:rsidR="009278EC" w:rsidRDefault="009278EC" w:rsidP="009278EC">
            <w:pPr>
              <w:numPr>
                <w:ilvl w:val="0"/>
                <w:numId w:val="65"/>
              </w:numPr>
              <w:tabs>
                <w:tab w:val="num" w:pos="600"/>
              </w:tabs>
              <w:ind w:left="600" w:hanging="600"/>
              <w:rPr>
                <w:rFonts w:ascii="Verdana" w:hAnsi="Verdana" w:cs="Arial"/>
                <w:b/>
                <w:sz w:val="18"/>
                <w:szCs w:val="18"/>
              </w:rPr>
            </w:pPr>
            <w:r>
              <w:rPr>
                <w:rFonts w:ascii="Verdana" w:hAnsi="Verdana" w:cs="Arial"/>
                <w:b/>
                <w:sz w:val="18"/>
                <w:szCs w:val="18"/>
              </w:rPr>
              <w:t>give a true and fair view of the state of the Fund’s affairs as at 31 December 2018 and of its loss for the year then ended;</w:t>
            </w:r>
          </w:p>
          <w:p w:rsidR="009278EC" w:rsidRDefault="009278EC" w:rsidP="009278EC">
            <w:pPr>
              <w:numPr>
                <w:ilvl w:val="0"/>
                <w:numId w:val="65"/>
              </w:numPr>
              <w:tabs>
                <w:tab w:val="num" w:pos="600"/>
              </w:tabs>
              <w:ind w:left="600" w:hanging="600"/>
              <w:rPr>
                <w:rFonts w:ascii="Verdana" w:hAnsi="Verdana" w:cs="Arial"/>
                <w:b/>
                <w:sz w:val="18"/>
                <w:szCs w:val="18"/>
              </w:rPr>
            </w:pPr>
            <w:r>
              <w:rPr>
                <w:rFonts w:ascii="Verdana" w:hAnsi="Verdana" w:cs="Arial"/>
                <w:b/>
                <w:sz w:val="18"/>
                <w:szCs w:val="18"/>
              </w:rPr>
              <w:t>have been properly prepared in accordance with International Financial Reporting Standards (IFRSs) as adopted by the European Union; and</w:t>
            </w:r>
          </w:p>
          <w:p w:rsidR="009278EC" w:rsidRDefault="009278EC" w:rsidP="009278EC">
            <w:pPr>
              <w:numPr>
                <w:ilvl w:val="0"/>
                <w:numId w:val="65"/>
              </w:numPr>
              <w:tabs>
                <w:tab w:val="num" w:pos="600"/>
              </w:tabs>
              <w:ind w:left="600" w:hanging="600"/>
              <w:rPr>
                <w:rFonts w:ascii="Verdana" w:hAnsi="Verdana" w:cs="Arial"/>
                <w:b/>
                <w:sz w:val="18"/>
                <w:szCs w:val="18"/>
              </w:rPr>
            </w:pPr>
            <w:r>
              <w:rPr>
                <w:rFonts w:ascii="Verdana" w:hAnsi="Verdana" w:cs="Arial"/>
                <w:b/>
                <w:sz w:val="18"/>
                <w:szCs w:val="18"/>
              </w:rPr>
              <w:t>have been properly prepared in accordance with Companies (Jersey) Law, 1991.</w:t>
            </w:r>
          </w:p>
          <w:p w:rsidR="009278EC" w:rsidRDefault="009278EC">
            <w:pPr>
              <w:ind w:left="600"/>
              <w:rPr>
                <w:rFonts w:ascii="Verdana" w:hAnsi="Verdana" w:cs="Arial"/>
                <w:b/>
                <w:sz w:val="18"/>
                <w:szCs w:val="18"/>
              </w:rPr>
            </w:pPr>
          </w:p>
          <w:p w:rsidR="009278EC" w:rsidRDefault="009278EC">
            <w:pPr>
              <w:rPr>
                <w:rFonts w:ascii="Verdana" w:hAnsi="Verdana" w:cs="Arial"/>
                <w:sz w:val="18"/>
                <w:szCs w:val="18"/>
              </w:rPr>
            </w:pPr>
            <w:r>
              <w:rPr>
                <w:rFonts w:ascii="Verdana" w:hAnsi="Verdana" w:cs="Arial"/>
                <w:sz w:val="18"/>
                <w:szCs w:val="18"/>
              </w:rPr>
              <w:t>We have audited the financial statements which comprise:</w:t>
            </w:r>
          </w:p>
          <w:p w:rsidR="009278EC" w:rsidRDefault="009278EC" w:rsidP="009278EC">
            <w:pPr>
              <w:numPr>
                <w:ilvl w:val="0"/>
                <w:numId w:val="65"/>
              </w:numPr>
              <w:tabs>
                <w:tab w:val="num" w:pos="600"/>
              </w:tabs>
              <w:ind w:left="600" w:hanging="600"/>
              <w:rPr>
                <w:rFonts w:ascii="Verdana" w:hAnsi="Verdana" w:cs="Arial"/>
                <w:sz w:val="18"/>
                <w:szCs w:val="18"/>
              </w:rPr>
            </w:pPr>
            <w:r>
              <w:rPr>
                <w:rFonts w:ascii="Verdana" w:hAnsi="Verdana" w:cs="Arial"/>
                <w:sz w:val="18"/>
                <w:szCs w:val="18"/>
              </w:rPr>
              <w:t>the Statement of Financial Position of the Fund;</w:t>
            </w:r>
          </w:p>
          <w:p w:rsidR="009278EC" w:rsidRDefault="009278EC" w:rsidP="009278EC">
            <w:pPr>
              <w:numPr>
                <w:ilvl w:val="0"/>
                <w:numId w:val="65"/>
              </w:numPr>
              <w:tabs>
                <w:tab w:val="num" w:pos="600"/>
              </w:tabs>
              <w:ind w:left="600" w:hanging="600"/>
              <w:rPr>
                <w:rFonts w:ascii="Verdana" w:hAnsi="Verdana" w:cs="Arial"/>
                <w:sz w:val="18"/>
                <w:szCs w:val="18"/>
              </w:rPr>
            </w:pPr>
            <w:r>
              <w:rPr>
                <w:rFonts w:ascii="Verdana" w:hAnsi="Verdana" w:cs="Arial"/>
                <w:sz w:val="18"/>
                <w:szCs w:val="18"/>
              </w:rPr>
              <w:t>the Statement of Comprehensive Income of the Fund;</w:t>
            </w:r>
          </w:p>
          <w:p w:rsidR="009278EC" w:rsidRDefault="009278EC" w:rsidP="009278EC">
            <w:pPr>
              <w:numPr>
                <w:ilvl w:val="0"/>
                <w:numId w:val="65"/>
              </w:numPr>
              <w:tabs>
                <w:tab w:val="num" w:pos="600"/>
              </w:tabs>
              <w:ind w:left="600" w:hanging="600"/>
              <w:rPr>
                <w:rFonts w:ascii="Verdana" w:hAnsi="Verdana" w:cs="Arial"/>
                <w:sz w:val="18"/>
                <w:szCs w:val="18"/>
              </w:rPr>
            </w:pPr>
            <w:r>
              <w:rPr>
                <w:rFonts w:ascii="Verdana" w:hAnsi="Verdana" w:cs="Arial"/>
                <w:sz w:val="18"/>
                <w:szCs w:val="18"/>
              </w:rPr>
              <w:t>the Statement of Changes in Redeemable Participating Preference Shareholder’s Equity of the Fund;</w:t>
            </w:r>
          </w:p>
          <w:p w:rsidR="009278EC" w:rsidRDefault="009278EC" w:rsidP="009278EC">
            <w:pPr>
              <w:numPr>
                <w:ilvl w:val="0"/>
                <w:numId w:val="65"/>
              </w:numPr>
              <w:tabs>
                <w:tab w:val="num" w:pos="600"/>
              </w:tabs>
              <w:ind w:left="600" w:hanging="600"/>
              <w:rPr>
                <w:rFonts w:ascii="Verdana" w:hAnsi="Verdana" w:cs="Arial"/>
                <w:sz w:val="18"/>
                <w:szCs w:val="18"/>
              </w:rPr>
            </w:pPr>
            <w:r>
              <w:rPr>
                <w:rFonts w:ascii="Verdana" w:hAnsi="Verdana" w:cs="Arial"/>
                <w:sz w:val="18"/>
                <w:szCs w:val="18"/>
              </w:rPr>
              <w:t>the Statement of Cash Flows of the Fund; and</w:t>
            </w:r>
          </w:p>
          <w:p w:rsidR="009278EC" w:rsidRDefault="009278EC" w:rsidP="009278EC">
            <w:pPr>
              <w:numPr>
                <w:ilvl w:val="0"/>
                <w:numId w:val="65"/>
              </w:numPr>
              <w:tabs>
                <w:tab w:val="num" w:pos="600"/>
              </w:tabs>
              <w:ind w:left="600" w:hanging="600"/>
              <w:rPr>
                <w:rFonts w:ascii="Verdana" w:hAnsi="Verdana" w:cs="Arial"/>
                <w:sz w:val="18"/>
                <w:szCs w:val="18"/>
              </w:rPr>
            </w:pPr>
            <w:r>
              <w:rPr>
                <w:rFonts w:ascii="Verdana" w:hAnsi="Verdana" w:cs="Arial"/>
                <w:sz w:val="18"/>
                <w:szCs w:val="18"/>
              </w:rPr>
              <w:t>the related notes 1 to 20.</w:t>
            </w:r>
          </w:p>
          <w:p w:rsidR="009278EC" w:rsidRDefault="009278EC">
            <w:pPr>
              <w:rPr>
                <w:rFonts w:ascii="Verdana" w:hAnsi="Verdana"/>
                <w:sz w:val="18"/>
                <w:szCs w:val="18"/>
              </w:rPr>
            </w:pPr>
          </w:p>
          <w:p w:rsidR="009278EC" w:rsidRDefault="009278EC">
            <w:pPr>
              <w:rPr>
                <w:rFonts w:ascii="Verdana" w:hAnsi="Verdana" w:cs="Arial"/>
                <w:sz w:val="18"/>
                <w:szCs w:val="18"/>
              </w:rPr>
            </w:pPr>
            <w:r>
              <w:rPr>
                <w:rFonts w:ascii="Verdana" w:hAnsi="Verdana" w:cs="Arial"/>
                <w:sz w:val="18"/>
                <w:szCs w:val="18"/>
              </w:rPr>
              <w:t xml:space="preserve">The financial reporting framework that has been applied in their preparation is applicable law and IFRSs as adopted by the European Union. </w:t>
            </w:r>
          </w:p>
        </w:tc>
      </w:tr>
    </w:tbl>
    <w:p w:rsidR="009278EC" w:rsidRDefault="009278EC" w:rsidP="009278EC">
      <w:pPr>
        <w:rPr>
          <w:rFonts w:ascii="Verdana" w:hAnsi="Verdana"/>
          <w:sz w:val="18"/>
          <w:szCs w:val="18"/>
        </w:rPr>
      </w:pPr>
    </w:p>
    <w:tbl>
      <w:tblPr>
        <w:tblStyle w:val="TableGrid"/>
        <w:tblW w:w="9072" w:type="dxa"/>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155"/>
        <w:gridCol w:w="6917"/>
      </w:tblGrid>
      <w:tr w:rsidR="009278EC" w:rsidTr="009278EC">
        <w:tc>
          <w:tcPr>
            <w:tcW w:w="9072" w:type="dxa"/>
            <w:gridSpan w:val="2"/>
            <w:tcBorders>
              <w:top w:val="nil"/>
              <w:left w:val="nil"/>
              <w:bottom w:val="single" w:sz="4" w:space="0" w:color="86BC25"/>
              <w:right w:val="nil"/>
            </w:tcBorders>
            <w:hideMark/>
          </w:tcPr>
          <w:p w:rsidR="009278EC" w:rsidRDefault="009278EC">
            <w:pPr>
              <w:keepNext/>
              <w:rPr>
                <w:rFonts w:ascii="Verdana" w:hAnsi="Verdana" w:cs="Arial"/>
                <w:color w:val="86BC25"/>
                <w:sz w:val="18"/>
                <w:szCs w:val="18"/>
              </w:rPr>
            </w:pPr>
            <w:r>
              <w:rPr>
                <w:rFonts w:ascii="Verdana" w:hAnsi="Verdana" w:cs="Arial"/>
                <w:b/>
                <w:color w:val="86BC25"/>
                <w:sz w:val="18"/>
                <w:szCs w:val="18"/>
              </w:rPr>
              <w:t>Basis for opinion</w:t>
            </w:r>
          </w:p>
        </w:tc>
      </w:tr>
      <w:tr w:rsidR="009278EC" w:rsidTr="009278EC">
        <w:tc>
          <w:tcPr>
            <w:tcW w:w="9072" w:type="dxa"/>
            <w:gridSpan w:val="2"/>
            <w:tcBorders>
              <w:top w:val="single" w:sz="4" w:space="0" w:color="86BC25"/>
              <w:left w:val="nil"/>
              <w:bottom w:val="nil"/>
              <w:right w:val="nil"/>
            </w:tcBorders>
          </w:tcPr>
          <w:p w:rsidR="009278EC" w:rsidRDefault="009278EC">
            <w:pPr>
              <w:rPr>
                <w:rFonts w:ascii="Verdana" w:hAnsi="Verdana" w:cs="Arial"/>
                <w:sz w:val="18"/>
                <w:szCs w:val="18"/>
              </w:rPr>
            </w:pPr>
            <w:r>
              <w:rPr>
                <w:rFonts w:ascii="Verdana" w:hAnsi="Verdana" w:cs="Arial"/>
                <w:sz w:val="18"/>
                <w:szCs w:val="18"/>
              </w:rPr>
              <w:t xml:space="preserve">We conducted our audit in accordance with International Standards on Auditing (UK) (ISAs (UK)) and applicable law. Our responsibilities under those standards are further described in the auditor’s responsibilities for the audit of the financial statements section of our report. </w:t>
            </w: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 xml:space="preserve">We are independent of the Fund in accordance with the ethical requirements that are relevant to our audit of the financial statements in the UK, including the Financial Reporting Council’s (the ‘FRC’s’) Ethical Standard as applied to listed entities, and we have fulfilled our other ethical responsibilities in accordance with these requirements. </w:t>
            </w: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We believe that the audit evidence we have obtained is sufficient and appropriate to provide a basis for our opinion.</w:t>
            </w:r>
          </w:p>
          <w:p w:rsidR="009278EC" w:rsidRDefault="009278EC">
            <w:pPr>
              <w:rPr>
                <w:rFonts w:ascii="Verdana" w:hAnsi="Verdana" w:cs="Arial"/>
                <w:sz w:val="18"/>
                <w:szCs w:val="18"/>
              </w:rPr>
            </w:pPr>
          </w:p>
        </w:tc>
      </w:tr>
      <w:tr w:rsidR="009278EC" w:rsidTr="009278EC">
        <w:tc>
          <w:tcPr>
            <w:tcW w:w="9072" w:type="dxa"/>
            <w:gridSpan w:val="2"/>
            <w:tcBorders>
              <w:top w:val="nil"/>
              <w:left w:val="nil"/>
              <w:bottom w:val="single" w:sz="4" w:space="0" w:color="4F81BD" w:themeColor="accent1"/>
              <w:right w:val="nil"/>
            </w:tcBorders>
            <w:hideMark/>
          </w:tcPr>
          <w:p w:rsidR="009278EC" w:rsidRDefault="009278EC">
            <w:pPr>
              <w:keepNext/>
              <w:rPr>
                <w:rFonts w:ascii="Verdana" w:hAnsi="Verdana" w:cs="Arial"/>
                <w:color w:val="86BC25"/>
                <w:sz w:val="18"/>
                <w:szCs w:val="18"/>
              </w:rPr>
            </w:pPr>
            <w:r>
              <w:rPr>
                <w:rFonts w:ascii="Verdana" w:hAnsi="Verdana" w:cs="Arial"/>
                <w:b/>
                <w:color w:val="86BC25"/>
                <w:sz w:val="18"/>
                <w:szCs w:val="18"/>
              </w:rPr>
              <w:t>Summary of our audit approach</w:t>
            </w:r>
          </w:p>
        </w:tc>
      </w:tr>
      <w:tr w:rsidR="009278EC" w:rsidTr="009278EC">
        <w:tc>
          <w:tcPr>
            <w:tcW w:w="2155" w:type="dxa"/>
            <w:tcBorders>
              <w:top w:val="single" w:sz="4" w:space="0" w:color="86BC25"/>
              <w:left w:val="single" w:sz="4" w:space="0" w:color="86BC25"/>
              <w:bottom w:val="single" w:sz="4" w:space="0" w:color="FFFFFF" w:themeColor="background1"/>
              <w:right w:val="single" w:sz="4" w:space="0" w:color="86BC25"/>
            </w:tcBorders>
            <w:shd w:val="clear" w:color="auto" w:fill="86BC25"/>
          </w:tcPr>
          <w:p w:rsidR="009278EC" w:rsidRDefault="009278EC">
            <w:pPr>
              <w:rPr>
                <w:rFonts w:ascii="Verdana" w:hAnsi="Verdana" w:cs="Arial"/>
                <w:b/>
                <w:color w:val="FFFFFF" w:themeColor="background1"/>
                <w:sz w:val="18"/>
                <w:szCs w:val="18"/>
              </w:rPr>
            </w:pPr>
            <w:r>
              <w:rPr>
                <w:rFonts w:ascii="Verdana" w:hAnsi="Verdana" w:cs="Arial"/>
                <w:b/>
                <w:color w:val="FFFFFF" w:themeColor="background1"/>
                <w:sz w:val="18"/>
                <w:szCs w:val="18"/>
              </w:rPr>
              <w:t>Key audit matters</w:t>
            </w:r>
          </w:p>
          <w:p w:rsidR="009278EC" w:rsidRDefault="009278EC">
            <w:pPr>
              <w:rPr>
                <w:rFonts w:ascii="Verdana" w:hAnsi="Verdana" w:cs="Arial"/>
                <w:b/>
                <w:color w:val="FFFFFF" w:themeColor="background1"/>
                <w:sz w:val="18"/>
                <w:szCs w:val="18"/>
              </w:rPr>
            </w:pPr>
          </w:p>
        </w:tc>
        <w:tc>
          <w:tcPr>
            <w:tcW w:w="6917" w:type="dxa"/>
            <w:tcBorders>
              <w:top w:val="single" w:sz="4" w:space="0" w:color="86BC25"/>
              <w:left w:val="single" w:sz="4" w:space="0" w:color="86BC25"/>
              <w:bottom w:val="single" w:sz="4" w:space="0" w:color="86BC25"/>
              <w:right w:val="single" w:sz="4" w:space="0" w:color="86BC25"/>
            </w:tcBorders>
          </w:tcPr>
          <w:p w:rsidR="009278EC" w:rsidRDefault="009278EC">
            <w:pPr>
              <w:rPr>
                <w:rFonts w:ascii="Verdana" w:hAnsi="Verdana" w:cs="Arial"/>
                <w:sz w:val="18"/>
                <w:szCs w:val="18"/>
              </w:rPr>
            </w:pPr>
            <w:r>
              <w:rPr>
                <w:rFonts w:ascii="Verdana" w:hAnsi="Verdana" w:cs="Arial"/>
                <w:sz w:val="18"/>
                <w:szCs w:val="18"/>
              </w:rPr>
              <w:t>The key audit matters that we identified in the current year were:</w:t>
            </w:r>
          </w:p>
          <w:p w:rsidR="009278EC" w:rsidRDefault="009278EC">
            <w:pPr>
              <w:rPr>
                <w:rFonts w:ascii="Verdana" w:hAnsi="Verdana" w:cs="Arial"/>
                <w:sz w:val="18"/>
                <w:szCs w:val="18"/>
              </w:rPr>
            </w:pPr>
          </w:p>
          <w:p w:rsidR="009278EC" w:rsidRDefault="009278EC" w:rsidP="009278EC">
            <w:pPr>
              <w:pStyle w:val="ListParagraph"/>
              <w:numPr>
                <w:ilvl w:val="0"/>
                <w:numId w:val="66"/>
              </w:numPr>
              <w:ind w:left="284" w:hanging="284"/>
              <w:rPr>
                <w:rFonts w:ascii="Verdana" w:hAnsi="Verdana" w:cs="Arial"/>
                <w:sz w:val="18"/>
                <w:szCs w:val="18"/>
              </w:rPr>
            </w:pPr>
            <w:r>
              <w:rPr>
                <w:rFonts w:ascii="Verdana" w:hAnsi="Verdana" w:cs="Arial"/>
                <w:sz w:val="18"/>
                <w:szCs w:val="18"/>
              </w:rPr>
              <w:t>Valuation of investments; and</w:t>
            </w:r>
          </w:p>
          <w:p w:rsidR="009278EC" w:rsidRDefault="009278EC" w:rsidP="009278EC">
            <w:pPr>
              <w:pStyle w:val="ListParagraph"/>
              <w:numPr>
                <w:ilvl w:val="0"/>
                <w:numId w:val="66"/>
              </w:numPr>
              <w:ind w:left="284" w:hanging="284"/>
              <w:rPr>
                <w:rFonts w:ascii="Verdana" w:hAnsi="Verdana" w:cs="Arial"/>
                <w:sz w:val="18"/>
                <w:szCs w:val="18"/>
              </w:rPr>
            </w:pPr>
            <w:r>
              <w:rPr>
                <w:rFonts w:ascii="Verdana" w:hAnsi="Verdana" w:cs="Arial"/>
                <w:sz w:val="18"/>
                <w:szCs w:val="18"/>
              </w:rPr>
              <w:t>Ownership of investments.</w:t>
            </w:r>
          </w:p>
          <w:p w:rsidR="009278EC" w:rsidRDefault="009278EC">
            <w:pPr>
              <w:rPr>
                <w:rFonts w:ascii="Verdana" w:hAnsi="Verdana" w:cs="Arial"/>
                <w:i/>
                <w:sz w:val="18"/>
                <w:szCs w:val="18"/>
              </w:rPr>
            </w:pPr>
          </w:p>
          <w:p w:rsidR="009278EC" w:rsidRDefault="009278EC">
            <w:pPr>
              <w:rPr>
                <w:rFonts w:ascii="Verdana" w:hAnsi="Verdana" w:cs="Arial"/>
                <w:sz w:val="18"/>
                <w:szCs w:val="18"/>
              </w:rPr>
            </w:pPr>
            <w:r>
              <w:rPr>
                <w:rFonts w:ascii="Verdana" w:hAnsi="Verdana" w:cs="Arial"/>
                <w:sz w:val="18"/>
                <w:szCs w:val="18"/>
              </w:rPr>
              <w:t>The key audit matters identified are the same as with the prior year.</w:t>
            </w:r>
          </w:p>
        </w:tc>
      </w:tr>
      <w:tr w:rsidR="009278EC" w:rsidTr="009278EC">
        <w:tc>
          <w:tcPr>
            <w:tcW w:w="2155" w:type="dxa"/>
            <w:tcBorders>
              <w:top w:val="single" w:sz="4" w:space="0" w:color="FFFFFF" w:themeColor="background1"/>
              <w:left w:val="single" w:sz="4" w:space="0" w:color="86BC25"/>
              <w:bottom w:val="single" w:sz="4" w:space="0" w:color="FFFFFF" w:themeColor="background1"/>
              <w:right w:val="single" w:sz="4" w:space="0" w:color="86BC25"/>
            </w:tcBorders>
            <w:shd w:val="clear" w:color="auto" w:fill="86BC25"/>
            <w:hideMark/>
          </w:tcPr>
          <w:p w:rsidR="009278EC" w:rsidRDefault="009278EC">
            <w:pPr>
              <w:rPr>
                <w:rFonts w:ascii="Verdana" w:hAnsi="Verdana" w:cs="Arial"/>
                <w:b/>
                <w:color w:val="FFFFFF" w:themeColor="background1"/>
                <w:sz w:val="18"/>
                <w:szCs w:val="18"/>
              </w:rPr>
            </w:pPr>
            <w:r>
              <w:rPr>
                <w:rFonts w:ascii="Verdana" w:hAnsi="Verdana" w:cs="Arial"/>
                <w:b/>
                <w:color w:val="FFFFFF" w:themeColor="background1"/>
                <w:sz w:val="18"/>
                <w:szCs w:val="18"/>
              </w:rPr>
              <w:t>Materiality</w:t>
            </w:r>
          </w:p>
        </w:tc>
        <w:tc>
          <w:tcPr>
            <w:tcW w:w="6917" w:type="dxa"/>
            <w:tcBorders>
              <w:top w:val="single" w:sz="4" w:space="0" w:color="86BC25"/>
              <w:left w:val="single" w:sz="4" w:space="0" w:color="86BC25"/>
              <w:bottom w:val="single" w:sz="4" w:space="0" w:color="86BC25"/>
              <w:right w:val="single" w:sz="4" w:space="0" w:color="86BC25"/>
            </w:tcBorders>
            <w:hideMark/>
          </w:tcPr>
          <w:p w:rsidR="009278EC" w:rsidRDefault="009278EC">
            <w:pPr>
              <w:rPr>
                <w:rFonts w:ascii="Verdana" w:hAnsi="Verdana" w:cs="Arial"/>
                <w:sz w:val="18"/>
                <w:szCs w:val="18"/>
              </w:rPr>
            </w:pPr>
            <w:r>
              <w:rPr>
                <w:rFonts w:ascii="Verdana" w:hAnsi="Verdana" w:cs="Arial"/>
                <w:sz w:val="18"/>
                <w:szCs w:val="18"/>
              </w:rPr>
              <w:t>The materiality that we used for the Fund’s financial statements was £1.02m which was determined on the basis of approximately 1% (2017: 1%) of the Net Asset Value of the Fund.</w:t>
            </w:r>
          </w:p>
        </w:tc>
      </w:tr>
      <w:tr w:rsidR="009278EC" w:rsidTr="009278EC">
        <w:tc>
          <w:tcPr>
            <w:tcW w:w="2155" w:type="dxa"/>
            <w:tcBorders>
              <w:top w:val="single" w:sz="4" w:space="0" w:color="FFFFFF" w:themeColor="background1"/>
              <w:left w:val="single" w:sz="4" w:space="0" w:color="86BC25"/>
              <w:bottom w:val="single" w:sz="4" w:space="0" w:color="FFFFFF" w:themeColor="background1"/>
              <w:right w:val="single" w:sz="4" w:space="0" w:color="86BC25"/>
            </w:tcBorders>
            <w:shd w:val="clear" w:color="auto" w:fill="86BC25"/>
          </w:tcPr>
          <w:p w:rsidR="009278EC" w:rsidRDefault="009278EC">
            <w:pPr>
              <w:rPr>
                <w:rFonts w:ascii="Verdana" w:hAnsi="Verdana" w:cs="Arial"/>
                <w:b/>
                <w:color w:val="FFFFFF" w:themeColor="background1"/>
                <w:sz w:val="18"/>
                <w:szCs w:val="18"/>
              </w:rPr>
            </w:pPr>
            <w:r>
              <w:rPr>
                <w:rFonts w:ascii="Verdana" w:hAnsi="Verdana" w:cs="Arial"/>
                <w:b/>
                <w:color w:val="FFFFFF" w:themeColor="background1"/>
                <w:sz w:val="18"/>
                <w:szCs w:val="18"/>
              </w:rPr>
              <w:t>Scoping</w:t>
            </w:r>
          </w:p>
          <w:p w:rsidR="009278EC" w:rsidRDefault="009278EC">
            <w:pPr>
              <w:rPr>
                <w:rFonts w:ascii="Verdana" w:hAnsi="Verdana" w:cs="Arial"/>
                <w:b/>
                <w:color w:val="FFFFFF" w:themeColor="background1"/>
                <w:sz w:val="18"/>
                <w:szCs w:val="18"/>
              </w:rPr>
            </w:pPr>
          </w:p>
        </w:tc>
        <w:tc>
          <w:tcPr>
            <w:tcW w:w="6917" w:type="dxa"/>
            <w:tcBorders>
              <w:top w:val="single" w:sz="4" w:space="0" w:color="86BC25"/>
              <w:left w:val="single" w:sz="4" w:space="0" w:color="86BC25"/>
              <w:bottom w:val="single" w:sz="4" w:space="0" w:color="86BC25"/>
              <w:right w:val="single" w:sz="4" w:space="0" w:color="86BC25"/>
            </w:tcBorders>
            <w:hideMark/>
          </w:tcPr>
          <w:p w:rsidR="009278EC" w:rsidRDefault="009278EC">
            <w:pPr>
              <w:rPr>
                <w:rFonts w:ascii="Verdana" w:hAnsi="Verdana" w:cs="Arial"/>
                <w:sz w:val="18"/>
                <w:szCs w:val="18"/>
              </w:rPr>
            </w:pPr>
            <w:r>
              <w:rPr>
                <w:rFonts w:ascii="Verdana" w:hAnsi="Verdana" w:cs="Arial"/>
                <w:sz w:val="18"/>
                <w:szCs w:val="18"/>
              </w:rPr>
              <w:t>All audit work for the Fund was performed directly by the audit engagement team.</w:t>
            </w:r>
          </w:p>
        </w:tc>
      </w:tr>
      <w:tr w:rsidR="009278EC" w:rsidTr="009278EC">
        <w:trPr>
          <w:trHeight w:val="504"/>
        </w:trPr>
        <w:tc>
          <w:tcPr>
            <w:tcW w:w="2155" w:type="dxa"/>
            <w:tcBorders>
              <w:top w:val="single" w:sz="4" w:space="0" w:color="FFFFFF" w:themeColor="background1"/>
              <w:left w:val="single" w:sz="4" w:space="0" w:color="86BC25"/>
              <w:bottom w:val="single" w:sz="4" w:space="0" w:color="86BC25"/>
              <w:right w:val="single" w:sz="4" w:space="0" w:color="86BC25"/>
            </w:tcBorders>
            <w:shd w:val="clear" w:color="auto" w:fill="86BC25"/>
            <w:hideMark/>
          </w:tcPr>
          <w:p w:rsidR="009278EC" w:rsidRDefault="009278EC">
            <w:pPr>
              <w:rPr>
                <w:rFonts w:ascii="Verdana" w:hAnsi="Verdana" w:cs="Arial"/>
                <w:b/>
                <w:color w:val="FFFFFF" w:themeColor="background1"/>
                <w:sz w:val="18"/>
                <w:szCs w:val="18"/>
              </w:rPr>
            </w:pPr>
            <w:r>
              <w:rPr>
                <w:rFonts w:ascii="Verdana" w:hAnsi="Verdana" w:cs="Arial"/>
                <w:b/>
                <w:color w:val="FFFFFF" w:themeColor="background1"/>
                <w:sz w:val="18"/>
                <w:szCs w:val="18"/>
              </w:rPr>
              <w:t>Significant changes in our approach</w:t>
            </w:r>
          </w:p>
        </w:tc>
        <w:tc>
          <w:tcPr>
            <w:tcW w:w="6917" w:type="dxa"/>
            <w:tcBorders>
              <w:top w:val="single" w:sz="4" w:space="0" w:color="86BC25"/>
              <w:left w:val="single" w:sz="4" w:space="0" w:color="86BC25"/>
              <w:bottom w:val="single" w:sz="4" w:space="0" w:color="86BC25"/>
              <w:right w:val="single" w:sz="4" w:space="0" w:color="86BC25"/>
            </w:tcBorders>
            <w:hideMark/>
          </w:tcPr>
          <w:p w:rsidR="009278EC" w:rsidRDefault="009278EC">
            <w:pPr>
              <w:rPr>
                <w:rFonts w:ascii="Verdana" w:hAnsi="Verdana" w:cs="Arial"/>
                <w:sz w:val="18"/>
                <w:szCs w:val="18"/>
              </w:rPr>
            </w:pPr>
            <w:r>
              <w:rPr>
                <w:rFonts w:ascii="Verdana" w:hAnsi="Verdana" w:cs="Arial"/>
                <w:sz w:val="18"/>
                <w:szCs w:val="18"/>
              </w:rPr>
              <w:t>Our scope has been consistent with the prior year and there have been no significant changes in our approach.</w:t>
            </w:r>
          </w:p>
        </w:tc>
      </w:tr>
    </w:tbl>
    <w:p w:rsidR="00762429" w:rsidRDefault="00762429" w:rsidP="00762429">
      <w:pPr>
        <w:rPr>
          <w:rFonts w:ascii="Times New Roman" w:hAnsi="Times New Roman"/>
          <w:strike/>
          <w:sz w:val="18"/>
          <w:szCs w:val="18"/>
        </w:rPr>
      </w:pPr>
    </w:p>
    <w:p w:rsidR="00762429" w:rsidRDefault="00762429" w:rsidP="00762429">
      <w:pPr>
        <w:rPr>
          <w:rFonts w:ascii="Times New Roman" w:hAnsi="Times New Roman"/>
          <w:strike/>
          <w:sz w:val="18"/>
          <w:szCs w:val="18"/>
        </w:rPr>
      </w:pPr>
    </w:p>
    <w:tbl>
      <w:tblPr>
        <w:tblStyle w:val="TableGrid"/>
        <w:tblW w:w="9077" w:type="dxa"/>
        <w:tblInd w:w="-5" w:type="dxa"/>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980"/>
        <w:gridCol w:w="4257"/>
        <w:gridCol w:w="2759"/>
        <w:gridCol w:w="30"/>
        <w:gridCol w:w="51"/>
      </w:tblGrid>
      <w:tr w:rsidR="009278EC" w:rsidTr="00E54387">
        <w:tc>
          <w:tcPr>
            <w:tcW w:w="9077" w:type="dxa"/>
            <w:gridSpan w:val="5"/>
            <w:tcBorders>
              <w:top w:val="nil"/>
              <w:left w:val="nil"/>
              <w:bottom w:val="nil"/>
              <w:right w:val="nil"/>
            </w:tcBorders>
            <w:hideMark/>
          </w:tcPr>
          <w:p w:rsidR="009278EC" w:rsidRDefault="009278EC">
            <w:pPr>
              <w:keepNext/>
              <w:rPr>
                <w:rFonts w:ascii="Verdana" w:hAnsi="Verdana" w:cs="Arial"/>
                <w:b/>
                <w:color w:val="86BC25"/>
                <w:sz w:val="18"/>
                <w:szCs w:val="18"/>
              </w:rPr>
            </w:pPr>
            <w:r>
              <w:rPr>
                <w:rFonts w:ascii="Verdana" w:hAnsi="Verdana" w:cs="Arial"/>
                <w:b/>
                <w:color w:val="86BC25"/>
                <w:sz w:val="18"/>
                <w:szCs w:val="18"/>
              </w:rPr>
              <w:t>Conclusions relating to going concern, principal risks and viability statement</w:t>
            </w:r>
          </w:p>
        </w:tc>
      </w:tr>
      <w:tr w:rsidR="009278EC" w:rsidTr="00E54387">
        <w:tc>
          <w:tcPr>
            <w:tcW w:w="6237" w:type="dxa"/>
            <w:gridSpan w:val="2"/>
            <w:tcBorders>
              <w:top w:val="single" w:sz="4" w:space="0" w:color="86BC25"/>
              <w:left w:val="nil"/>
              <w:bottom w:val="nil"/>
              <w:right w:val="nil"/>
            </w:tcBorders>
          </w:tcPr>
          <w:p w:rsidR="009278EC" w:rsidRDefault="009278EC">
            <w:pPr>
              <w:rPr>
                <w:rFonts w:ascii="Verdana" w:hAnsi="Verdana"/>
                <w:b/>
                <w:bCs/>
                <w:sz w:val="18"/>
                <w:szCs w:val="18"/>
              </w:rPr>
            </w:pPr>
            <w:r>
              <w:rPr>
                <w:rFonts w:ascii="Verdana" w:hAnsi="Verdana"/>
                <w:b/>
                <w:bCs/>
                <w:sz w:val="18"/>
                <w:szCs w:val="18"/>
              </w:rPr>
              <w:t>Going concern</w:t>
            </w:r>
          </w:p>
          <w:p w:rsidR="009278EC" w:rsidRDefault="009278EC">
            <w:pPr>
              <w:rPr>
                <w:rFonts w:ascii="Verdana" w:hAnsi="Verdana"/>
                <w:sz w:val="18"/>
                <w:szCs w:val="18"/>
              </w:rPr>
            </w:pPr>
            <w:r>
              <w:rPr>
                <w:rFonts w:ascii="Verdana" w:hAnsi="Verdana"/>
                <w:sz w:val="18"/>
                <w:szCs w:val="18"/>
              </w:rPr>
              <w:t>We have reviewed the directors’ statement in note 2(n) to the financial statements about whether they considered it appropriate to adopt the going concern basis of accounting in preparing them and their identification of any material uncertainties to the Fund’s ability to continue to do so over a period of at least twelve months from the date of approval of the financial statements.</w:t>
            </w:r>
          </w:p>
          <w:p w:rsidR="009278EC" w:rsidRDefault="009278EC">
            <w:pPr>
              <w:rPr>
                <w:rFonts w:ascii="Verdana" w:hAnsi="Verdana"/>
                <w:sz w:val="18"/>
                <w:szCs w:val="18"/>
                <w:highlight w:val="cyan"/>
              </w:rPr>
            </w:pPr>
          </w:p>
          <w:p w:rsidR="009278EC" w:rsidRDefault="009278EC">
            <w:pPr>
              <w:rPr>
                <w:rFonts w:ascii="Verdana" w:hAnsi="Verdana"/>
                <w:sz w:val="18"/>
                <w:szCs w:val="18"/>
              </w:rPr>
            </w:pPr>
            <w:r>
              <w:rPr>
                <w:rFonts w:ascii="Verdana" w:hAnsi="Verdana"/>
                <w:sz w:val="18"/>
                <w:szCs w:val="18"/>
              </w:rPr>
              <w:t>We considered as part of our risk assessment the nature of the Fund, its business model and related risks including where relevant the impact of Brexit, the requirements of the applicable financial reporting framework and the system of internal control. We evaluated the directors’ assessment of the Fund’s ability to continue as a going concern, including challenging the underlying data and key assumptions used to make the assessment, and evaluated the directors’ plans for future actions in relation to their going concern assessment.</w:t>
            </w:r>
          </w:p>
          <w:p w:rsidR="009278EC" w:rsidRDefault="009278EC">
            <w:pPr>
              <w:rPr>
                <w:rFonts w:ascii="Verdana" w:hAnsi="Verdana"/>
                <w:sz w:val="18"/>
                <w:szCs w:val="18"/>
              </w:rPr>
            </w:pPr>
          </w:p>
          <w:p w:rsidR="009278EC" w:rsidRDefault="009278EC">
            <w:pPr>
              <w:rPr>
                <w:rFonts w:ascii="Verdana" w:hAnsi="Verdana"/>
                <w:sz w:val="18"/>
                <w:szCs w:val="18"/>
              </w:rPr>
            </w:pPr>
            <w:r>
              <w:rPr>
                <w:rFonts w:ascii="Verdana" w:hAnsi="Verdana"/>
                <w:sz w:val="18"/>
                <w:szCs w:val="18"/>
              </w:rPr>
              <w:t>We are required to state whether we have anything material to add or draw attention to in relation to that statement required by Listing Rule 9.8.6R(3) and report if the statement is materially inconsistent with our knowledge obtained in the audit.</w:t>
            </w:r>
          </w:p>
          <w:p w:rsidR="009278EC" w:rsidRDefault="009278EC">
            <w:pPr>
              <w:rPr>
                <w:rFonts w:ascii="Verdana" w:hAnsi="Verdana"/>
                <w:sz w:val="18"/>
                <w:szCs w:val="18"/>
              </w:rPr>
            </w:pPr>
          </w:p>
          <w:p w:rsidR="009278EC" w:rsidRDefault="009278EC">
            <w:pPr>
              <w:rPr>
                <w:rFonts w:ascii="Verdana" w:hAnsi="Verdana"/>
                <w:b/>
                <w:bCs/>
                <w:sz w:val="18"/>
                <w:szCs w:val="18"/>
              </w:rPr>
            </w:pPr>
            <w:r>
              <w:rPr>
                <w:rFonts w:ascii="Verdana" w:hAnsi="Verdana"/>
                <w:b/>
                <w:bCs/>
                <w:sz w:val="18"/>
                <w:szCs w:val="18"/>
              </w:rPr>
              <w:t>Principal risks and viability statement</w:t>
            </w:r>
          </w:p>
          <w:p w:rsidR="009278EC" w:rsidRDefault="009278EC">
            <w:pPr>
              <w:rPr>
                <w:rFonts w:ascii="Verdana" w:hAnsi="Verdana"/>
                <w:b/>
                <w:bCs/>
                <w:sz w:val="18"/>
                <w:szCs w:val="18"/>
              </w:rPr>
            </w:pPr>
            <w:r>
              <w:rPr>
                <w:rFonts w:ascii="Verdana" w:hAnsi="Verdana"/>
                <w:sz w:val="18"/>
                <w:szCs w:val="18"/>
              </w:rPr>
              <w:t>Based solely on reading the directors’ statements and considering whether they were consistent with the knowledge we obtained in the course of the audit, including the knowledge obtained in the evaluation of the directors’ assessment of the Fund’s ability to continue as a going concern, we are required to state whether we have anything material to add or draw attention to in relation to:</w:t>
            </w:r>
          </w:p>
          <w:p w:rsidR="009278EC" w:rsidRDefault="009278EC" w:rsidP="009278EC">
            <w:pPr>
              <w:pStyle w:val="ListParagraph"/>
              <w:numPr>
                <w:ilvl w:val="0"/>
                <w:numId w:val="67"/>
              </w:numPr>
              <w:ind w:left="600" w:hanging="567"/>
              <w:rPr>
                <w:rFonts w:ascii="Verdana" w:hAnsi="Verdana"/>
                <w:sz w:val="18"/>
                <w:szCs w:val="18"/>
              </w:rPr>
            </w:pPr>
            <w:r>
              <w:rPr>
                <w:rFonts w:ascii="Verdana" w:hAnsi="Verdana"/>
                <w:sz w:val="18"/>
                <w:szCs w:val="18"/>
              </w:rPr>
              <w:t>the disclosures on pages 15-16</w:t>
            </w:r>
            <w:r>
              <w:rPr>
                <w:rFonts w:ascii="Verdana" w:hAnsi="Verdana"/>
                <w:color w:val="FF0000"/>
                <w:sz w:val="18"/>
                <w:szCs w:val="18"/>
              </w:rPr>
              <w:t xml:space="preserve"> </w:t>
            </w:r>
            <w:r>
              <w:rPr>
                <w:rFonts w:ascii="Verdana" w:hAnsi="Verdana"/>
                <w:sz w:val="18"/>
                <w:szCs w:val="18"/>
              </w:rPr>
              <w:t>that describe the principal risks and explain how they are being managed or mitigated;</w:t>
            </w:r>
          </w:p>
          <w:p w:rsidR="009278EC" w:rsidRDefault="009278EC" w:rsidP="009278EC">
            <w:pPr>
              <w:pStyle w:val="ListParagraph"/>
              <w:numPr>
                <w:ilvl w:val="0"/>
                <w:numId w:val="67"/>
              </w:numPr>
              <w:ind w:left="600" w:hanging="567"/>
              <w:rPr>
                <w:rFonts w:ascii="Verdana" w:hAnsi="Verdana"/>
                <w:sz w:val="18"/>
                <w:szCs w:val="18"/>
              </w:rPr>
            </w:pPr>
            <w:r>
              <w:rPr>
                <w:rFonts w:ascii="Verdana" w:hAnsi="Verdana"/>
                <w:sz w:val="18"/>
                <w:szCs w:val="18"/>
              </w:rPr>
              <w:t>the directors' confirmation on pages 15-16</w:t>
            </w:r>
            <w:r>
              <w:rPr>
                <w:rFonts w:ascii="Verdana" w:hAnsi="Verdana"/>
                <w:color w:val="FF0000"/>
                <w:sz w:val="18"/>
                <w:szCs w:val="18"/>
              </w:rPr>
              <w:t xml:space="preserve"> </w:t>
            </w:r>
            <w:r>
              <w:rPr>
                <w:rFonts w:ascii="Verdana" w:hAnsi="Verdana"/>
                <w:sz w:val="18"/>
                <w:szCs w:val="18"/>
              </w:rPr>
              <w:t>that they have carried out a robust assessment of the principal risks facing the Fund, including those that would threaten its business model, future performance, solvency or liquidity; or</w:t>
            </w:r>
          </w:p>
          <w:p w:rsidR="009278EC" w:rsidRDefault="009278EC" w:rsidP="009278EC">
            <w:pPr>
              <w:pStyle w:val="ListParagraph"/>
              <w:numPr>
                <w:ilvl w:val="0"/>
                <w:numId w:val="67"/>
              </w:numPr>
              <w:ind w:left="600" w:hanging="567"/>
              <w:rPr>
                <w:rFonts w:ascii="Verdana" w:hAnsi="Verdana"/>
                <w:sz w:val="18"/>
                <w:szCs w:val="18"/>
              </w:rPr>
            </w:pPr>
            <w:r>
              <w:rPr>
                <w:rFonts w:ascii="Verdana" w:hAnsi="Verdana"/>
                <w:sz w:val="18"/>
                <w:szCs w:val="18"/>
              </w:rPr>
              <w:t>the directors’ explanation on pages 13 - 14 as to how they have assessed the prospects of the Fund, over what period they have done so and why they consider that period to be appropriate, and their statement as to whether they have a reasonable expectation that the Fund will be able to continue in operation and meet its liabilities as they fall due over the period of their assessment, including any related disclosures drawing attention to any necessary qualifications or assumptions.</w:t>
            </w:r>
          </w:p>
          <w:p w:rsidR="009278EC" w:rsidRDefault="009278EC">
            <w:pPr>
              <w:ind w:left="600"/>
              <w:rPr>
                <w:rFonts w:ascii="Verdana" w:hAnsi="Verdana"/>
                <w:sz w:val="18"/>
                <w:szCs w:val="18"/>
                <w:lang w:eastAsia="en-GB"/>
              </w:rPr>
            </w:pPr>
          </w:p>
          <w:p w:rsidR="009278EC" w:rsidRDefault="009278EC">
            <w:pPr>
              <w:ind w:left="33"/>
              <w:rPr>
                <w:rFonts w:ascii="Verdana" w:hAnsi="Verdana"/>
                <w:sz w:val="18"/>
                <w:szCs w:val="18"/>
                <w:lang w:eastAsia="en-GB"/>
              </w:rPr>
            </w:pPr>
            <w:r>
              <w:rPr>
                <w:rFonts w:ascii="Verdana" w:hAnsi="Verdana"/>
                <w:sz w:val="18"/>
                <w:szCs w:val="18"/>
              </w:rPr>
              <w:t>We are also required to report whether the directors’ statement relating to the prospects of the Fund required by Listing Rule 9.8.6R(3) is materially inconsistent with our knowledge obtained in the audit.</w:t>
            </w:r>
          </w:p>
          <w:p w:rsidR="009278EC" w:rsidRDefault="009278EC">
            <w:pPr>
              <w:pStyle w:val="ListParagraph"/>
              <w:ind w:left="600"/>
              <w:rPr>
                <w:rFonts w:ascii="Verdana" w:eastAsia="Times New Roman" w:hAnsi="Verdana" w:cs="Arial"/>
                <w:color w:val="002060"/>
                <w:sz w:val="18"/>
                <w:szCs w:val="18"/>
                <w:lang w:eastAsia="en-US"/>
              </w:rPr>
            </w:pPr>
          </w:p>
        </w:tc>
        <w:tc>
          <w:tcPr>
            <w:tcW w:w="2840" w:type="dxa"/>
            <w:gridSpan w:val="3"/>
            <w:tcBorders>
              <w:top w:val="single" w:sz="4" w:space="0" w:color="86BC25"/>
              <w:left w:val="nil"/>
              <w:bottom w:val="nil"/>
              <w:right w:val="nil"/>
            </w:tcBorders>
          </w:tcPr>
          <w:p w:rsidR="009278EC" w:rsidRDefault="009278EC">
            <w:pPr>
              <w:rPr>
                <w:rFonts w:ascii="Verdana" w:hAnsi="Verdana" w:cs="Arial"/>
                <w:b/>
                <w:sz w:val="18"/>
                <w:szCs w:val="18"/>
              </w:rPr>
            </w:pPr>
          </w:p>
          <w:p w:rsidR="009278EC" w:rsidRDefault="009278EC">
            <w:pPr>
              <w:rPr>
                <w:rFonts w:ascii="Verdana" w:hAnsi="Verdana"/>
                <w:b/>
                <w:bCs/>
                <w:sz w:val="18"/>
                <w:szCs w:val="18"/>
              </w:rPr>
            </w:pPr>
            <w:r>
              <w:rPr>
                <w:rFonts w:ascii="Verdana" w:hAnsi="Verdana"/>
                <w:b/>
                <w:bCs/>
                <w:sz w:val="18"/>
                <w:szCs w:val="18"/>
              </w:rPr>
              <w:t>We confirm that we have nothing material to report, add or draw attention to in respect of these matters.</w:t>
            </w:r>
          </w:p>
          <w:p w:rsidR="009278EC" w:rsidRDefault="009278EC">
            <w:pPr>
              <w:rPr>
                <w:rFonts w:ascii="Verdana" w:hAnsi="Verdana" w:cs="Arial"/>
                <w:b/>
                <w:sz w:val="18"/>
                <w:szCs w:val="18"/>
              </w:rPr>
            </w:pPr>
          </w:p>
          <w:p w:rsidR="009278EC" w:rsidRDefault="009278EC">
            <w:pPr>
              <w:rPr>
                <w:rFonts w:ascii="Verdana" w:hAnsi="Verdana" w:cs="Arial"/>
                <w:b/>
                <w:sz w:val="18"/>
                <w:szCs w:val="18"/>
              </w:rPr>
            </w:pPr>
          </w:p>
          <w:p w:rsidR="009278EC" w:rsidRDefault="009278EC">
            <w:pPr>
              <w:rPr>
                <w:rFonts w:ascii="Verdana" w:hAnsi="Verdana" w:cs="Arial"/>
                <w:b/>
                <w:sz w:val="18"/>
                <w:szCs w:val="18"/>
              </w:rPr>
            </w:pPr>
          </w:p>
          <w:p w:rsidR="009278EC" w:rsidRDefault="009278EC">
            <w:pPr>
              <w:rPr>
                <w:rFonts w:ascii="Verdana" w:hAnsi="Verdana" w:cs="Arial"/>
                <w:b/>
                <w:sz w:val="18"/>
                <w:szCs w:val="18"/>
              </w:rPr>
            </w:pPr>
          </w:p>
          <w:p w:rsidR="009278EC" w:rsidRDefault="009278EC">
            <w:pPr>
              <w:rPr>
                <w:rFonts w:ascii="Verdana" w:hAnsi="Verdana" w:cs="Arial"/>
                <w:b/>
                <w:sz w:val="18"/>
                <w:szCs w:val="18"/>
              </w:rPr>
            </w:pPr>
          </w:p>
          <w:p w:rsidR="009278EC" w:rsidRDefault="009278EC">
            <w:pPr>
              <w:rPr>
                <w:rFonts w:ascii="Verdana" w:hAnsi="Verdana" w:cs="Arial"/>
                <w:b/>
                <w:sz w:val="18"/>
                <w:szCs w:val="18"/>
              </w:rPr>
            </w:pPr>
          </w:p>
          <w:p w:rsidR="009278EC" w:rsidRDefault="009278EC">
            <w:pPr>
              <w:rPr>
                <w:rFonts w:ascii="Verdana" w:hAnsi="Verdana" w:cs="Arial"/>
                <w:b/>
                <w:sz w:val="18"/>
                <w:szCs w:val="18"/>
              </w:rPr>
            </w:pPr>
          </w:p>
          <w:p w:rsidR="009278EC" w:rsidRDefault="009278EC">
            <w:pPr>
              <w:rPr>
                <w:rFonts w:ascii="Verdana" w:hAnsi="Verdana" w:cs="Arial"/>
                <w:b/>
                <w:sz w:val="18"/>
                <w:szCs w:val="18"/>
              </w:rPr>
            </w:pPr>
          </w:p>
          <w:p w:rsidR="009278EC" w:rsidRDefault="009278EC">
            <w:pPr>
              <w:rPr>
                <w:rFonts w:ascii="Verdana" w:hAnsi="Verdana" w:cs="Arial"/>
                <w:b/>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p>
          <w:p w:rsidR="009278EC" w:rsidRDefault="009278EC">
            <w:pPr>
              <w:rPr>
                <w:rFonts w:ascii="Verdana" w:hAnsi="Verdana"/>
                <w:b/>
                <w:bCs/>
                <w:sz w:val="18"/>
                <w:szCs w:val="18"/>
              </w:rPr>
            </w:pPr>
            <w:r>
              <w:rPr>
                <w:rFonts w:ascii="Verdana" w:hAnsi="Verdana"/>
                <w:b/>
                <w:bCs/>
                <w:sz w:val="18"/>
                <w:szCs w:val="18"/>
              </w:rPr>
              <w:t>We confirm that we have nothing material to report, add or draw attention to in respect of these matters.</w:t>
            </w:r>
          </w:p>
          <w:p w:rsidR="009278EC" w:rsidRDefault="009278EC">
            <w:pPr>
              <w:rPr>
                <w:rFonts w:ascii="Verdana" w:hAnsi="Verdana" w:cs="Arial"/>
                <w:b/>
                <w:sz w:val="18"/>
                <w:szCs w:val="18"/>
              </w:rPr>
            </w:pPr>
          </w:p>
        </w:tc>
      </w:tr>
      <w:tr w:rsidR="009278EC" w:rsidTr="009278EC">
        <w:trPr>
          <w:gridAfter w:val="1"/>
          <w:wAfter w:w="51" w:type="dxa"/>
        </w:trPr>
        <w:tc>
          <w:tcPr>
            <w:tcW w:w="9026" w:type="dxa"/>
            <w:gridSpan w:val="4"/>
            <w:tcBorders>
              <w:top w:val="nil"/>
              <w:left w:val="nil"/>
              <w:bottom w:val="single" w:sz="4" w:space="0" w:color="86BC25"/>
              <w:right w:val="nil"/>
            </w:tcBorders>
            <w:hideMark/>
          </w:tcPr>
          <w:p w:rsidR="009278EC" w:rsidRDefault="009278EC">
            <w:pPr>
              <w:keepNext/>
              <w:rPr>
                <w:rFonts w:ascii="Verdana" w:hAnsi="Verdana" w:cs="Arial"/>
                <w:color w:val="86BC25"/>
                <w:sz w:val="18"/>
                <w:szCs w:val="18"/>
              </w:rPr>
            </w:pPr>
            <w:r>
              <w:rPr>
                <w:rFonts w:ascii="Verdana" w:hAnsi="Verdana" w:cs="Arial"/>
                <w:b/>
                <w:color w:val="86BC25"/>
                <w:sz w:val="18"/>
                <w:szCs w:val="18"/>
              </w:rPr>
              <w:t>Key audit matters</w:t>
            </w:r>
          </w:p>
        </w:tc>
      </w:tr>
      <w:tr w:rsidR="009278EC" w:rsidTr="009278EC">
        <w:trPr>
          <w:gridAfter w:val="1"/>
          <w:wAfter w:w="51" w:type="dxa"/>
          <w:trHeight w:val="2832"/>
        </w:trPr>
        <w:tc>
          <w:tcPr>
            <w:tcW w:w="9026" w:type="dxa"/>
            <w:gridSpan w:val="4"/>
            <w:tcBorders>
              <w:top w:val="single" w:sz="4" w:space="0" w:color="86BC25"/>
              <w:left w:val="nil"/>
              <w:bottom w:val="nil"/>
              <w:right w:val="nil"/>
            </w:tcBorders>
          </w:tcPr>
          <w:p w:rsidR="009278EC" w:rsidRDefault="009278EC">
            <w:pPr>
              <w:rPr>
                <w:rFonts w:ascii="Verdana" w:hAnsi="Verdana" w:cs="Arial"/>
                <w:sz w:val="18"/>
                <w:szCs w:val="18"/>
              </w:rPr>
            </w:pPr>
            <w:r>
              <w:rPr>
                <w:rFonts w:ascii="Verdana" w:hAnsi="Verdana" w:cs="Arial"/>
                <w:sz w:val="18"/>
                <w:szCs w:val="18"/>
              </w:rPr>
              <w:t>Key audit matters are those matters that, in our professional judgement, were of most significance in our audit of the financial statements of the current period and include the most significant assessed risks of material misstatement (whether or not due to fraud) that we identified. These matters included those which had the greatest effect on: the overall audit strategy, the allocation of resources in the audit; and directing the efforts of the engagement team.</w:t>
            </w: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These matters were addressed in the context of our audit of the financial statements as a whole, and in forming our opinion thereon, and we do not provide a separate opinion on these matters.</w:t>
            </w:r>
          </w:p>
          <w:p w:rsidR="009278EC" w:rsidRDefault="009278EC">
            <w:pPr>
              <w:rPr>
                <w:rFonts w:ascii="Verdana" w:hAnsi="Verdana" w:cs="Arial"/>
                <w:i/>
                <w:sz w:val="18"/>
                <w:szCs w:val="18"/>
              </w:rPr>
            </w:pPr>
          </w:p>
        </w:tc>
      </w:tr>
      <w:tr w:rsidR="009278EC" w:rsidTr="009278EC">
        <w:trPr>
          <w:gridAfter w:val="2"/>
          <w:wAfter w:w="81" w:type="dxa"/>
        </w:trPr>
        <w:tc>
          <w:tcPr>
            <w:tcW w:w="8996" w:type="dxa"/>
            <w:gridSpan w:val="3"/>
            <w:tcBorders>
              <w:top w:val="single" w:sz="4" w:space="0" w:color="86BC25"/>
              <w:left w:val="single" w:sz="4" w:space="0" w:color="86BC25"/>
              <w:bottom w:val="single" w:sz="4" w:space="0" w:color="86BC25"/>
              <w:right w:val="single" w:sz="4" w:space="0" w:color="86BC25"/>
            </w:tcBorders>
            <w:shd w:val="clear" w:color="auto" w:fill="86BC25"/>
            <w:hideMark/>
          </w:tcPr>
          <w:p w:rsidR="009278EC" w:rsidRDefault="009278EC">
            <w:pPr>
              <w:widowControl w:val="0"/>
              <w:kinsoku w:val="0"/>
              <w:overflowPunct w:val="0"/>
              <w:textAlignment w:val="baseline"/>
              <w:rPr>
                <w:rFonts w:ascii="Verdana" w:hAnsi="Verdana" w:cs="Arial"/>
                <w:b/>
                <w:color w:val="FFFFFF" w:themeColor="background1"/>
                <w:sz w:val="18"/>
                <w:szCs w:val="22"/>
              </w:rPr>
            </w:pPr>
            <w:r>
              <w:rPr>
                <w:rFonts w:ascii="Verdana" w:hAnsi="Verdana" w:cs="Arial"/>
                <w:b/>
                <w:color w:val="FFFFFF" w:themeColor="background1"/>
                <w:sz w:val="18"/>
                <w:szCs w:val="22"/>
              </w:rPr>
              <w:t xml:space="preserve">Valuation of investments </w:t>
            </w:r>
          </w:p>
        </w:tc>
      </w:tr>
      <w:tr w:rsidR="009278EC" w:rsidTr="009278EC">
        <w:trPr>
          <w:gridAfter w:val="2"/>
          <w:wAfter w:w="81" w:type="dxa"/>
        </w:trPr>
        <w:tc>
          <w:tcPr>
            <w:tcW w:w="1980" w:type="dxa"/>
            <w:tcBorders>
              <w:top w:val="single" w:sz="4" w:space="0" w:color="86BC25"/>
              <w:left w:val="single" w:sz="4" w:space="0" w:color="86BC25"/>
              <w:bottom w:val="single" w:sz="4" w:space="0" w:color="86BC25"/>
              <w:right w:val="nil"/>
            </w:tcBorders>
            <w:tcMar>
              <w:top w:w="0" w:type="dxa"/>
              <w:left w:w="108" w:type="dxa"/>
              <w:bottom w:w="0" w:type="dxa"/>
              <w:right w:w="108" w:type="dxa"/>
            </w:tcMar>
            <w:hideMark/>
          </w:tcPr>
          <w:p w:rsidR="009278EC" w:rsidRDefault="009278EC">
            <w:pPr>
              <w:widowControl w:val="0"/>
              <w:kinsoku w:val="0"/>
              <w:overflowPunct w:val="0"/>
              <w:textAlignment w:val="baseline"/>
              <w:rPr>
                <w:rFonts w:ascii="Verdana" w:hAnsi="Verdana" w:cs="Arial"/>
                <w:b/>
                <w:i/>
                <w:sz w:val="18"/>
                <w:szCs w:val="18"/>
              </w:rPr>
            </w:pPr>
            <w:r>
              <w:rPr>
                <w:rFonts w:ascii="Verdana" w:hAnsi="Verdana" w:cs="Arial"/>
                <w:b/>
                <w:sz w:val="18"/>
                <w:szCs w:val="18"/>
              </w:rPr>
              <w:t>Key audit matter description</w:t>
            </w:r>
            <w:r>
              <w:rPr>
                <w:rFonts w:ascii="Times New Roman" w:hAnsi="Times New Roman"/>
                <w:noProof/>
                <w:sz w:val="24"/>
                <w:lang w:eastAsia="en-GB"/>
              </w:rPr>
              <mc:AlternateContent>
                <mc:Choice Requires="wps">
                  <w:drawing>
                    <wp:anchor distT="0" distB="0" distL="114300" distR="114300" simplePos="0" relativeHeight="251701248" behindDoc="1" locked="0" layoutInCell="1" allowOverlap="1" wp14:anchorId="086BD3EC" wp14:editId="2BADC300">
                      <wp:simplePos x="0" y="0"/>
                      <wp:positionH relativeFrom="column">
                        <wp:posOffset>-6350</wp:posOffset>
                      </wp:positionH>
                      <wp:positionV relativeFrom="paragraph">
                        <wp:posOffset>283210</wp:posOffset>
                      </wp:positionV>
                      <wp:extent cx="360045" cy="360045"/>
                      <wp:effectExtent l="0" t="0" r="1905" b="1905"/>
                      <wp:wrapTight wrapText="bothSides">
                        <wp:wrapPolygon edited="0">
                          <wp:start x="3429" y="0"/>
                          <wp:lineTo x="0" y="4571"/>
                          <wp:lineTo x="0" y="16000"/>
                          <wp:lineTo x="3429" y="20571"/>
                          <wp:lineTo x="17143" y="20571"/>
                          <wp:lineTo x="18286" y="20571"/>
                          <wp:lineTo x="20571" y="16000"/>
                          <wp:lineTo x="20571" y="3429"/>
                          <wp:lineTo x="17143" y="0"/>
                          <wp:lineTo x="3429" y="0"/>
                        </wp:wrapPolygon>
                      </wp:wrapTight>
                      <wp:docPr id="27" name="Freeform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59410" cy="359410"/>
                              </a:xfrm>
                              <a:custGeom>
                                <a:avLst/>
                                <a:gdLst>
                                  <a:gd name="T0" fmla="*/ 256 w 512"/>
                                  <a:gd name="T1" fmla="*/ 21 h 512"/>
                                  <a:gd name="T2" fmla="*/ 490 w 512"/>
                                  <a:gd name="T3" fmla="*/ 256 h 512"/>
                                  <a:gd name="T4" fmla="*/ 256 w 512"/>
                                  <a:gd name="T5" fmla="*/ 490 h 512"/>
                                  <a:gd name="T6" fmla="*/ 21 w 512"/>
                                  <a:gd name="T7" fmla="*/ 256 h 512"/>
                                  <a:gd name="T8" fmla="*/ 256 w 512"/>
                                  <a:gd name="T9" fmla="*/ 21 h 512"/>
                                  <a:gd name="T10" fmla="*/ 256 w 512"/>
                                  <a:gd name="T11" fmla="*/ 0 h 512"/>
                                  <a:gd name="T12" fmla="*/ 0 w 512"/>
                                  <a:gd name="T13" fmla="*/ 256 h 512"/>
                                  <a:gd name="T14" fmla="*/ 256 w 512"/>
                                  <a:gd name="T15" fmla="*/ 512 h 512"/>
                                  <a:gd name="T16" fmla="*/ 512 w 512"/>
                                  <a:gd name="T17" fmla="*/ 256 h 512"/>
                                  <a:gd name="T18" fmla="*/ 256 w 512"/>
                                  <a:gd name="T19" fmla="*/ 0 h 512"/>
                                  <a:gd name="T20" fmla="*/ 362 w 512"/>
                                  <a:gd name="T21" fmla="*/ 405 h 512"/>
                                  <a:gd name="T22" fmla="*/ 356 w 512"/>
                                  <a:gd name="T23" fmla="*/ 403 h 512"/>
                                  <a:gd name="T24" fmla="*/ 256 w 512"/>
                                  <a:gd name="T25" fmla="*/ 323 h 512"/>
                                  <a:gd name="T26" fmla="*/ 156 w 512"/>
                                  <a:gd name="T27" fmla="*/ 403 h 512"/>
                                  <a:gd name="T28" fmla="*/ 144 w 512"/>
                                  <a:gd name="T29" fmla="*/ 404 h 512"/>
                                  <a:gd name="T30" fmla="*/ 138 w 512"/>
                                  <a:gd name="T31" fmla="*/ 394 h 512"/>
                                  <a:gd name="T32" fmla="*/ 138 w 512"/>
                                  <a:gd name="T33" fmla="*/ 117 h 512"/>
                                  <a:gd name="T34" fmla="*/ 149 w 512"/>
                                  <a:gd name="T35" fmla="*/ 106 h 512"/>
                                  <a:gd name="T36" fmla="*/ 362 w 512"/>
                                  <a:gd name="T37" fmla="*/ 106 h 512"/>
                                  <a:gd name="T38" fmla="*/ 373 w 512"/>
                                  <a:gd name="T39" fmla="*/ 117 h 512"/>
                                  <a:gd name="T40" fmla="*/ 373 w 512"/>
                                  <a:gd name="T41" fmla="*/ 394 h 512"/>
                                  <a:gd name="T42" fmla="*/ 367 w 512"/>
                                  <a:gd name="T43" fmla="*/ 404 h 512"/>
                                  <a:gd name="T44" fmla="*/ 362 w 512"/>
                                  <a:gd name="T45" fmla="*/ 405 h 512"/>
                                  <a:gd name="T46" fmla="*/ 256 w 512"/>
                                  <a:gd name="T47" fmla="*/ 298 h 512"/>
                                  <a:gd name="T48" fmla="*/ 262 w 512"/>
                                  <a:gd name="T49" fmla="*/ 301 h 512"/>
                                  <a:gd name="T50" fmla="*/ 352 w 512"/>
                                  <a:gd name="T51" fmla="*/ 372 h 512"/>
                                  <a:gd name="T52" fmla="*/ 352 w 512"/>
                                  <a:gd name="T53" fmla="*/ 128 h 512"/>
                                  <a:gd name="T54" fmla="*/ 160 w 512"/>
                                  <a:gd name="T55" fmla="*/ 128 h 512"/>
                                  <a:gd name="T56" fmla="*/ 160 w 512"/>
                                  <a:gd name="T57" fmla="*/ 372 h 512"/>
                                  <a:gd name="T58" fmla="*/ 249 w 512"/>
                                  <a:gd name="T59" fmla="*/ 301 h 512"/>
                                  <a:gd name="T60" fmla="*/ 256 w 512"/>
                                  <a:gd name="T61" fmla="*/ 298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2" h="512">
                                    <a:moveTo>
                                      <a:pt x="256" y="21"/>
                                    </a:moveTo>
                                    <a:cubicBezTo>
                                      <a:pt x="385" y="21"/>
                                      <a:pt x="490" y="126"/>
                                      <a:pt x="490" y="256"/>
                                    </a:cubicBezTo>
                                    <a:cubicBezTo>
                                      <a:pt x="490" y="385"/>
                                      <a:pt x="385" y="490"/>
                                      <a:pt x="256" y="490"/>
                                    </a:cubicBezTo>
                                    <a:cubicBezTo>
                                      <a:pt x="126" y="490"/>
                                      <a:pt x="21" y="385"/>
                                      <a:pt x="21" y="256"/>
                                    </a:cubicBezTo>
                                    <a:cubicBezTo>
                                      <a:pt x="21" y="126"/>
                                      <a:pt x="126" y="21"/>
                                      <a:pt x="256" y="21"/>
                                    </a:cubicBezTo>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moveTo>
                                      <a:pt x="362" y="405"/>
                                    </a:moveTo>
                                    <a:cubicBezTo>
                                      <a:pt x="360" y="405"/>
                                      <a:pt x="358" y="404"/>
                                      <a:pt x="356" y="403"/>
                                    </a:cubicBezTo>
                                    <a:cubicBezTo>
                                      <a:pt x="256" y="323"/>
                                      <a:pt x="256" y="323"/>
                                      <a:pt x="256" y="323"/>
                                    </a:cubicBezTo>
                                    <a:cubicBezTo>
                                      <a:pt x="156" y="403"/>
                                      <a:pt x="156" y="403"/>
                                      <a:pt x="156" y="403"/>
                                    </a:cubicBezTo>
                                    <a:cubicBezTo>
                                      <a:pt x="152" y="405"/>
                                      <a:pt x="148" y="406"/>
                                      <a:pt x="144" y="404"/>
                                    </a:cubicBezTo>
                                    <a:cubicBezTo>
                                      <a:pt x="141" y="402"/>
                                      <a:pt x="138" y="398"/>
                                      <a:pt x="138" y="394"/>
                                    </a:cubicBezTo>
                                    <a:cubicBezTo>
                                      <a:pt x="138" y="117"/>
                                      <a:pt x="138" y="117"/>
                                      <a:pt x="138" y="117"/>
                                    </a:cubicBezTo>
                                    <a:cubicBezTo>
                                      <a:pt x="138" y="111"/>
                                      <a:pt x="143" y="106"/>
                                      <a:pt x="149" y="106"/>
                                    </a:cubicBezTo>
                                    <a:cubicBezTo>
                                      <a:pt x="362" y="106"/>
                                      <a:pt x="362" y="106"/>
                                      <a:pt x="362" y="106"/>
                                    </a:cubicBezTo>
                                    <a:cubicBezTo>
                                      <a:pt x="368" y="106"/>
                                      <a:pt x="373" y="111"/>
                                      <a:pt x="373" y="117"/>
                                    </a:cubicBezTo>
                                    <a:cubicBezTo>
                                      <a:pt x="373" y="394"/>
                                      <a:pt x="373" y="394"/>
                                      <a:pt x="373" y="394"/>
                                    </a:cubicBezTo>
                                    <a:cubicBezTo>
                                      <a:pt x="373" y="398"/>
                                      <a:pt x="371" y="402"/>
                                      <a:pt x="367" y="404"/>
                                    </a:cubicBezTo>
                                    <a:cubicBezTo>
                                      <a:pt x="365" y="405"/>
                                      <a:pt x="364" y="405"/>
                                      <a:pt x="362" y="405"/>
                                    </a:cubicBezTo>
                                    <a:close/>
                                    <a:moveTo>
                                      <a:pt x="256" y="298"/>
                                    </a:moveTo>
                                    <a:cubicBezTo>
                                      <a:pt x="258" y="298"/>
                                      <a:pt x="260" y="299"/>
                                      <a:pt x="262" y="301"/>
                                    </a:cubicBezTo>
                                    <a:cubicBezTo>
                                      <a:pt x="352" y="372"/>
                                      <a:pt x="352" y="372"/>
                                      <a:pt x="352" y="372"/>
                                    </a:cubicBezTo>
                                    <a:cubicBezTo>
                                      <a:pt x="352" y="128"/>
                                      <a:pt x="352" y="128"/>
                                      <a:pt x="352" y="128"/>
                                    </a:cubicBezTo>
                                    <a:cubicBezTo>
                                      <a:pt x="160" y="128"/>
                                      <a:pt x="160" y="128"/>
                                      <a:pt x="160" y="128"/>
                                    </a:cubicBezTo>
                                    <a:cubicBezTo>
                                      <a:pt x="160" y="372"/>
                                      <a:pt x="160" y="372"/>
                                      <a:pt x="160" y="372"/>
                                    </a:cubicBezTo>
                                    <a:cubicBezTo>
                                      <a:pt x="249" y="301"/>
                                      <a:pt x="249" y="301"/>
                                      <a:pt x="249" y="301"/>
                                    </a:cubicBezTo>
                                    <a:cubicBezTo>
                                      <a:pt x="251" y="299"/>
                                      <a:pt x="253" y="298"/>
                                      <a:pt x="256" y="298"/>
                                    </a:cubicBezTo>
                                    <a:close/>
                                  </a:path>
                                </a:pathLst>
                              </a:custGeom>
                              <a:solidFill>
                                <a:srgbClr val="86BC25"/>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27" o:spid="_x0000_s1026" style="position:absolute;margin-left:-.5pt;margin-top:22.3pt;width:28.35pt;height:28.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" path="m256,21v129,,234,105,234,235c490,385,385,490,256,490,126,490,21,385,21,256,21,126,126,21,256,21m256,c114,,,114,,256,,397,114,512,256,512v141,,256,-115,256,-256c512,114,397,,256,xm362,405v-2,,-4,-1,-6,-2c256,323,256,323,256,323,156,403,156,403,156,403v-4,2,-8,3,-12,1c141,402,138,398,138,394v,-277,,-277,,-277c138,111,143,106,149,106v213,,213,,213,c368,106,373,111,373,117v,277,,277,,277c373,398,371,402,367,404v-2,1,-3,1,-5,1xm256,298v2,,4,1,6,3c352,372,352,372,352,372v,-244,,-244,,-244c160,128,160,128,160,128v,244,,244,,244c249,301,249,301,249,301v2,-2,4,-3,7,-3xe" fillcolor="#86bc25" stroked="f">
                      <v:path arrowok="t" o:connecttype="custom" o:connectlocs="179705,14741;343967,179705;179705,343967;14741,179705;179705,14741;179705,0;0,179705;179705,359410;359410,179705;179705,0;254114,284299;249902,282895;179705,226737;109508,282895;101084,283597;96872,276577;96872,82131;104594,74409;254114,74409;261836,82131;261836,276577;257624,283597;254114,284299;179705,209188;183917,211294;247094,261134;247094,89853;112316,89853;112316,261134;174791,211294;179705,209188" o:connectangles="0,0,0,0,0,0,0,0,0,0,0,0,0,0,0,0,0,0,0,0,0,0,0,0,0,0,0,0,0,0,0"/>
                      <o:lock v:ext="edit" aspectratio="t" verticies="t"/>
                      <w10:wrap type="tight"/>
                    </v:shape>
                  </w:pict>
                </mc:Fallback>
              </mc:AlternateContent>
            </w:r>
          </w:p>
        </w:tc>
        <w:tc>
          <w:tcPr>
            <w:tcW w:w="7016" w:type="dxa"/>
            <w:gridSpan w:val="2"/>
            <w:tcBorders>
              <w:top w:val="single" w:sz="4" w:space="0" w:color="86BC25"/>
              <w:left w:val="nil"/>
              <w:bottom w:val="single" w:sz="4" w:space="0" w:color="86BC25"/>
              <w:right w:val="single" w:sz="4" w:space="0" w:color="86BC25"/>
            </w:tcBorders>
            <w:tcMar>
              <w:top w:w="0" w:type="dxa"/>
              <w:left w:w="108" w:type="dxa"/>
              <w:bottom w:w="0" w:type="dxa"/>
              <w:right w:w="108" w:type="dxa"/>
            </w:tcMar>
          </w:tcPr>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r>
              <w:rPr>
                <w:rFonts w:ascii="Verdana" w:hAnsi="Verdana" w:cs="Arial"/>
                <w:sz w:val="18"/>
                <w:szCs w:val="18"/>
              </w:rPr>
              <w:t xml:space="preserve">The Fund’s investments (see note 2 and the schedule of investments) included at fair value of £114,095,281 (2017: £148,464,909). The investment portfolio is made up of securities actively traded on recognized markets which are measured at fair value based on market prices and other prices determined with reference to observable inputs. </w:t>
            </w: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r>
              <w:rPr>
                <w:rFonts w:ascii="Verdana" w:hAnsi="Verdana" w:cs="Arial"/>
                <w:sz w:val="18"/>
                <w:szCs w:val="18"/>
              </w:rPr>
              <w:t xml:space="preserve">Although substantially all of the securities are listed and have quoted market pricing data available which is used to value the securities, there is a risk of material misstatement that the investments may be incorrectly valued due to stale prices, low trading volumes or errors reported in third party prices. Where securities are not regularly traded there is a greater risk of material misstatement that the quoted price is not reflective of fair value and this should be taken into consideration in management's assessment. Valuation has a significant impact on the net asset value (NAV) which is the most significant Key Performance Indicator (KPI) of the Fund. </w:t>
            </w:r>
          </w:p>
          <w:p w:rsidR="009278EC" w:rsidRDefault="009278EC">
            <w:pPr>
              <w:widowControl w:val="0"/>
              <w:kinsoku w:val="0"/>
              <w:overflowPunct w:val="0"/>
              <w:textAlignment w:val="baseline"/>
              <w:rPr>
                <w:rFonts w:ascii="Verdana" w:hAnsi="Verdana" w:cs="Arial"/>
                <w:i/>
                <w:sz w:val="18"/>
                <w:szCs w:val="18"/>
              </w:rPr>
            </w:pPr>
          </w:p>
        </w:tc>
      </w:tr>
      <w:tr w:rsidR="009278EC" w:rsidTr="009278EC">
        <w:trPr>
          <w:gridAfter w:val="2"/>
          <w:wAfter w:w="81" w:type="dxa"/>
          <w:trHeight w:val="2353"/>
        </w:trPr>
        <w:tc>
          <w:tcPr>
            <w:tcW w:w="1980" w:type="dxa"/>
            <w:tcBorders>
              <w:top w:val="single" w:sz="4" w:space="0" w:color="86BC25"/>
              <w:left w:val="single" w:sz="4" w:space="0" w:color="86BC25"/>
              <w:bottom w:val="single" w:sz="4" w:space="0" w:color="86BC25"/>
              <w:right w:val="nil"/>
            </w:tcBorders>
            <w:tcMar>
              <w:top w:w="0" w:type="dxa"/>
              <w:left w:w="108" w:type="dxa"/>
              <w:bottom w:w="0" w:type="dxa"/>
              <w:right w:w="108" w:type="dxa"/>
            </w:tcMar>
            <w:hideMark/>
          </w:tcPr>
          <w:p w:rsidR="009278EC" w:rsidRDefault="009278EC">
            <w:pPr>
              <w:widowControl w:val="0"/>
              <w:kinsoku w:val="0"/>
              <w:overflowPunct w:val="0"/>
              <w:textAlignment w:val="baseline"/>
              <w:rPr>
                <w:rFonts w:ascii="Verdana" w:hAnsi="Verdana" w:cs="Arial"/>
                <w:b/>
                <w:sz w:val="18"/>
                <w:szCs w:val="18"/>
              </w:rPr>
            </w:pPr>
            <w:r>
              <w:rPr>
                <w:rFonts w:ascii="Verdana" w:hAnsi="Verdana" w:cs="Arial"/>
                <w:b/>
                <w:sz w:val="18"/>
                <w:szCs w:val="18"/>
              </w:rPr>
              <w:t>How the scope of our audit responded to the key audit matter</w:t>
            </w:r>
          </w:p>
          <w:p w:rsidR="009278EC" w:rsidRDefault="009278EC">
            <w:pPr>
              <w:widowControl w:val="0"/>
              <w:kinsoku w:val="0"/>
              <w:overflowPunct w:val="0"/>
              <w:textAlignment w:val="baseline"/>
              <w:rPr>
                <w:rFonts w:ascii="Verdana" w:hAnsi="Verdana" w:cs="Arial"/>
                <w:b/>
                <w:sz w:val="18"/>
                <w:szCs w:val="18"/>
              </w:rPr>
            </w:pPr>
            <w:r>
              <w:rPr>
                <w:rFonts w:ascii="Times New Roman" w:hAnsi="Times New Roman"/>
                <w:noProof/>
                <w:sz w:val="24"/>
                <w:lang w:eastAsia="en-GB"/>
              </w:rPr>
              <mc:AlternateContent>
                <mc:Choice Requires="wpg">
                  <w:drawing>
                    <wp:anchor distT="0" distB="0" distL="114300" distR="114300" simplePos="0" relativeHeight="251702272" behindDoc="0" locked="0" layoutInCell="1" allowOverlap="1" wp14:anchorId="441EAEAB" wp14:editId="681F9D87">
                      <wp:simplePos x="0" y="0"/>
                      <wp:positionH relativeFrom="column">
                        <wp:posOffset>-6350</wp:posOffset>
                      </wp:positionH>
                      <wp:positionV relativeFrom="paragraph">
                        <wp:posOffset>12065</wp:posOffset>
                      </wp:positionV>
                      <wp:extent cx="360045" cy="360045"/>
                      <wp:effectExtent l="0" t="0" r="1905" b="1905"/>
                      <wp:wrapNone/>
                      <wp:docPr id="23" name="Group 23"/>
                      <wp:cNvGraphicFramePr/>
                      <a:graphic xmlns:a="http://schemas.openxmlformats.org/drawingml/2006/main">
                        <a:graphicData uri="http://schemas.microsoft.com/office/word/2010/wordprocessingGroup">
                          <wpg:wgp>
                            <wpg:cNvGrpSpPr/>
                            <wpg:grpSpPr bwMode="auto">
                              <a:xfrm>
                                <a:off x="0" y="0"/>
                                <a:ext cx="359410" cy="359410"/>
                                <a:chOff x="0" y="0"/>
                                <a:chExt cx="340" cy="340"/>
                              </a:xfrm>
                              <a:solidFill>
                                <a:srgbClr val="86BC25"/>
                              </a:solidFill>
                            </wpg:grpSpPr>
                            <wps:wsp>
                              <wps:cNvPr id="98" name="Freeform 98"/>
                              <wps:cNvSpPr>
                                <a:spLocks/>
                              </wps:cNvSpPr>
                              <wps:spPr bwMode="auto">
                                <a:xfrm>
                                  <a:off x="78" y="141"/>
                                  <a:ext cx="28" cy="14"/>
                                </a:xfrm>
                                <a:custGeom>
                                  <a:avLst/>
                                  <a:gdLst>
                                    <a:gd name="T0" fmla="*/ 32 w 43"/>
                                    <a:gd name="T1" fmla="*/ 0 h 21"/>
                                    <a:gd name="T2" fmla="*/ 11 w 43"/>
                                    <a:gd name="T3" fmla="*/ 0 h 21"/>
                                    <a:gd name="T4" fmla="*/ 0 w 43"/>
                                    <a:gd name="T5" fmla="*/ 11 h 21"/>
                                    <a:gd name="T6" fmla="*/ 11 w 43"/>
                                    <a:gd name="T7" fmla="*/ 21 h 21"/>
                                    <a:gd name="T8" fmla="*/ 32 w 43"/>
                                    <a:gd name="T9" fmla="*/ 21 h 21"/>
                                    <a:gd name="T10" fmla="*/ 43 w 43"/>
                                    <a:gd name="T11" fmla="*/ 11 h 21"/>
                                    <a:gd name="T12" fmla="*/ 32 w 4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43" h="21">
                                      <a:moveTo>
                                        <a:pt x="32" y="0"/>
                                      </a:moveTo>
                                      <a:cubicBezTo>
                                        <a:pt x="11" y="0"/>
                                        <a:pt x="11" y="0"/>
                                        <a:pt x="11" y="0"/>
                                      </a:cubicBezTo>
                                      <a:cubicBezTo>
                                        <a:pt x="5" y="0"/>
                                        <a:pt x="0" y="5"/>
                                        <a:pt x="0" y="11"/>
                                      </a:cubicBezTo>
                                      <a:cubicBezTo>
                                        <a:pt x="0" y="17"/>
                                        <a:pt x="5" y="21"/>
                                        <a:pt x="11" y="21"/>
                                      </a:cubicBezTo>
                                      <a:cubicBezTo>
                                        <a:pt x="32" y="21"/>
                                        <a:pt x="32" y="21"/>
                                        <a:pt x="32" y="21"/>
                                      </a:cubicBezTo>
                                      <a:cubicBezTo>
                                        <a:pt x="38" y="21"/>
                                        <a:pt x="43" y="17"/>
                                        <a:pt x="43" y="11"/>
                                      </a:cubicBezTo>
                                      <a:cubicBezTo>
                                        <a:pt x="43" y="5"/>
                                        <a:pt x="38" y="0"/>
                                        <a:pt x="3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78" y="99"/>
                                  <a:ext cx="28" cy="14"/>
                                </a:xfrm>
                                <a:custGeom>
                                  <a:avLst/>
                                  <a:gdLst>
                                    <a:gd name="T0" fmla="*/ 32 w 43"/>
                                    <a:gd name="T1" fmla="*/ 0 h 21"/>
                                    <a:gd name="T2" fmla="*/ 11 w 43"/>
                                    <a:gd name="T3" fmla="*/ 0 h 21"/>
                                    <a:gd name="T4" fmla="*/ 0 w 43"/>
                                    <a:gd name="T5" fmla="*/ 11 h 21"/>
                                    <a:gd name="T6" fmla="*/ 11 w 43"/>
                                    <a:gd name="T7" fmla="*/ 21 h 21"/>
                                    <a:gd name="T8" fmla="*/ 32 w 43"/>
                                    <a:gd name="T9" fmla="*/ 21 h 21"/>
                                    <a:gd name="T10" fmla="*/ 43 w 43"/>
                                    <a:gd name="T11" fmla="*/ 11 h 21"/>
                                    <a:gd name="T12" fmla="*/ 32 w 4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43" h="21">
                                      <a:moveTo>
                                        <a:pt x="32" y="0"/>
                                      </a:moveTo>
                                      <a:cubicBezTo>
                                        <a:pt x="11" y="0"/>
                                        <a:pt x="11" y="0"/>
                                        <a:pt x="11" y="0"/>
                                      </a:cubicBezTo>
                                      <a:cubicBezTo>
                                        <a:pt x="5" y="0"/>
                                        <a:pt x="0" y="5"/>
                                        <a:pt x="0" y="11"/>
                                      </a:cubicBezTo>
                                      <a:cubicBezTo>
                                        <a:pt x="0" y="17"/>
                                        <a:pt x="5" y="21"/>
                                        <a:pt x="11" y="21"/>
                                      </a:cubicBezTo>
                                      <a:cubicBezTo>
                                        <a:pt x="32" y="21"/>
                                        <a:pt x="32" y="21"/>
                                        <a:pt x="32" y="21"/>
                                      </a:cubicBezTo>
                                      <a:cubicBezTo>
                                        <a:pt x="38" y="21"/>
                                        <a:pt x="43" y="17"/>
                                        <a:pt x="43" y="11"/>
                                      </a:cubicBezTo>
                                      <a:cubicBezTo>
                                        <a:pt x="43" y="5"/>
                                        <a:pt x="38" y="0"/>
                                        <a:pt x="3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78" y="184"/>
                                  <a:ext cx="28" cy="14"/>
                                </a:xfrm>
                                <a:custGeom>
                                  <a:avLst/>
                                  <a:gdLst>
                                    <a:gd name="T0" fmla="*/ 32 w 43"/>
                                    <a:gd name="T1" fmla="*/ 0 h 21"/>
                                    <a:gd name="T2" fmla="*/ 11 w 43"/>
                                    <a:gd name="T3" fmla="*/ 0 h 21"/>
                                    <a:gd name="T4" fmla="*/ 0 w 43"/>
                                    <a:gd name="T5" fmla="*/ 11 h 21"/>
                                    <a:gd name="T6" fmla="*/ 11 w 43"/>
                                    <a:gd name="T7" fmla="*/ 21 h 21"/>
                                    <a:gd name="T8" fmla="*/ 32 w 43"/>
                                    <a:gd name="T9" fmla="*/ 21 h 21"/>
                                    <a:gd name="T10" fmla="*/ 43 w 43"/>
                                    <a:gd name="T11" fmla="*/ 11 h 21"/>
                                    <a:gd name="T12" fmla="*/ 32 w 4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43" h="21">
                                      <a:moveTo>
                                        <a:pt x="32" y="0"/>
                                      </a:moveTo>
                                      <a:cubicBezTo>
                                        <a:pt x="11" y="0"/>
                                        <a:pt x="11" y="0"/>
                                        <a:pt x="11" y="0"/>
                                      </a:cubicBezTo>
                                      <a:cubicBezTo>
                                        <a:pt x="5" y="0"/>
                                        <a:pt x="0" y="5"/>
                                        <a:pt x="0" y="11"/>
                                      </a:cubicBezTo>
                                      <a:cubicBezTo>
                                        <a:pt x="0" y="17"/>
                                        <a:pt x="5" y="21"/>
                                        <a:pt x="11" y="21"/>
                                      </a:cubicBezTo>
                                      <a:cubicBezTo>
                                        <a:pt x="32" y="21"/>
                                        <a:pt x="32" y="21"/>
                                        <a:pt x="32" y="21"/>
                                      </a:cubicBezTo>
                                      <a:cubicBezTo>
                                        <a:pt x="38" y="21"/>
                                        <a:pt x="43" y="17"/>
                                        <a:pt x="43" y="11"/>
                                      </a:cubicBezTo>
                                      <a:cubicBezTo>
                                        <a:pt x="43" y="5"/>
                                        <a:pt x="38" y="0"/>
                                        <a:pt x="3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127" y="141"/>
                                  <a:ext cx="135" cy="14"/>
                                </a:xfrm>
                                <a:custGeom>
                                  <a:avLst/>
                                  <a:gdLst>
                                    <a:gd name="T0" fmla="*/ 192 w 202"/>
                                    <a:gd name="T1" fmla="*/ 0 h 21"/>
                                    <a:gd name="T2" fmla="*/ 10 w 202"/>
                                    <a:gd name="T3" fmla="*/ 0 h 21"/>
                                    <a:gd name="T4" fmla="*/ 0 w 202"/>
                                    <a:gd name="T5" fmla="*/ 11 h 21"/>
                                    <a:gd name="T6" fmla="*/ 10 w 202"/>
                                    <a:gd name="T7" fmla="*/ 21 h 21"/>
                                    <a:gd name="T8" fmla="*/ 192 w 202"/>
                                    <a:gd name="T9" fmla="*/ 21 h 21"/>
                                    <a:gd name="T10" fmla="*/ 202 w 202"/>
                                    <a:gd name="T11" fmla="*/ 11 h 21"/>
                                    <a:gd name="T12" fmla="*/ 192 w 202"/>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02" h="21">
                                      <a:moveTo>
                                        <a:pt x="192" y="0"/>
                                      </a:moveTo>
                                      <a:cubicBezTo>
                                        <a:pt x="10" y="0"/>
                                        <a:pt x="10" y="0"/>
                                        <a:pt x="10" y="0"/>
                                      </a:cubicBezTo>
                                      <a:cubicBezTo>
                                        <a:pt x="4" y="0"/>
                                        <a:pt x="0" y="5"/>
                                        <a:pt x="0" y="11"/>
                                      </a:cubicBezTo>
                                      <a:cubicBezTo>
                                        <a:pt x="0" y="17"/>
                                        <a:pt x="4" y="21"/>
                                        <a:pt x="10" y="21"/>
                                      </a:cubicBezTo>
                                      <a:cubicBezTo>
                                        <a:pt x="192" y="21"/>
                                        <a:pt x="192" y="21"/>
                                        <a:pt x="192" y="21"/>
                                      </a:cubicBezTo>
                                      <a:cubicBezTo>
                                        <a:pt x="198" y="21"/>
                                        <a:pt x="202" y="17"/>
                                        <a:pt x="202" y="11"/>
                                      </a:cubicBezTo>
                                      <a:cubicBezTo>
                                        <a:pt x="202" y="5"/>
                                        <a:pt x="198" y="0"/>
                                        <a:pt x="1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127" y="99"/>
                                  <a:ext cx="135" cy="14"/>
                                </a:xfrm>
                                <a:custGeom>
                                  <a:avLst/>
                                  <a:gdLst>
                                    <a:gd name="T0" fmla="*/ 10 w 202"/>
                                    <a:gd name="T1" fmla="*/ 21 h 21"/>
                                    <a:gd name="T2" fmla="*/ 192 w 202"/>
                                    <a:gd name="T3" fmla="*/ 21 h 21"/>
                                    <a:gd name="T4" fmla="*/ 202 w 202"/>
                                    <a:gd name="T5" fmla="*/ 11 h 21"/>
                                    <a:gd name="T6" fmla="*/ 192 w 202"/>
                                    <a:gd name="T7" fmla="*/ 0 h 21"/>
                                    <a:gd name="T8" fmla="*/ 10 w 202"/>
                                    <a:gd name="T9" fmla="*/ 0 h 21"/>
                                    <a:gd name="T10" fmla="*/ 0 w 202"/>
                                    <a:gd name="T11" fmla="*/ 11 h 21"/>
                                    <a:gd name="T12" fmla="*/ 10 w 202"/>
                                    <a:gd name="T13" fmla="*/ 21 h 21"/>
                                  </a:gdLst>
                                  <a:ahLst/>
                                  <a:cxnLst>
                                    <a:cxn ang="0">
                                      <a:pos x="T0" y="T1"/>
                                    </a:cxn>
                                    <a:cxn ang="0">
                                      <a:pos x="T2" y="T3"/>
                                    </a:cxn>
                                    <a:cxn ang="0">
                                      <a:pos x="T4" y="T5"/>
                                    </a:cxn>
                                    <a:cxn ang="0">
                                      <a:pos x="T6" y="T7"/>
                                    </a:cxn>
                                    <a:cxn ang="0">
                                      <a:pos x="T8" y="T9"/>
                                    </a:cxn>
                                    <a:cxn ang="0">
                                      <a:pos x="T10" y="T11"/>
                                    </a:cxn>
                                    <a:cxn ang="0">
                                      <a:pos x="T12" y="T13"/>
                                    </a:cxn>
                                  </a:cxnLst>
                                  <a:rect l="0" t="0" r="r" b="b"/>
                                  <a:pathLst>
                                    <a:path w="202" h="21">
                                      <a:moveTo>
                                        <a:pt x="10" y="21"/>
                                      </a:moveTo>
                                      <a:cubicBezTo>
                                        <a:pt x="192" y="21"/>
                                        <a:pt x="192" y="21"/>
                                        <a:pt x="192" y="21"/>
                                      </a:cubicBezTo>
                                      <a:cubicBezTo>
                                        <a:pt x="198" y="21"/>
                                        <a:pt x="202" y="17"/>
                                        <a:pt x="202" y="11"/>
                                      </a:cubicBezTo>
                                      <a:cubicBezTo>
                                        <a:pt x="202" y="5"/>
                                        <a:pt x="198" y="0"/>
                                        <a:pt x="192" y="0"/>
                                      </a:cubicBezTo>
                                      <a:cubicBezTo>
                                        <a:pt x="10" y="0"/>
                                        <a:pt x="10" y="0"/>
                                        <a:pt x="10" y="0"/>
                                      </a:cubicBezTo>
                                      <a:cubicBezTo>
                                        <a:pt x="4" y="0"/>
                                        <a:pt x="0" y="5"/>
                                        <a:pt x="0" y="11"/>
                                      </a:cubicBezTo>
                                      <a:cubicBezTo>
                                        <a:pt x="0" y="17"/>
                                        <a:pt x="4" y="21"/>
                                        <a:pt x="10" y="2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127" y="184"/>
                                  <a:ext cx="135" cy="14"/>
                                </a:xfrm>
                                <a:custGeom>
                                  <a:avLst/>
                                  <a:gdLst>
                                    <a:gd name="T0" fmla="*/ 192 w 202"/>
                                    <a:gd name="T1" fmla="*/ 0 h 21"/>
                                    <a:gd name="T2" fmla="*/ 10 w 202"/>
                                    <a:gd name="T3" fmla="*/ 0 h 21"/>
                                    <a:gd name="T4" fmla="*/ 0 w 202"/>
                                    <a:gd name="T5" fmla="*/ 11 h 21"/>
                                    <a:gd name="T6" fmla="*/ 10 w 202"/>
                                    <a:gd name="T7" fmla="*/ 21 h 21"/>
                                    <a:gd name="T8" fmla="*/ 192 w 202"/>
                                    <a:gd name="T9" fmla="*/ 21 h 21"/>
                                    <a:gd name="T10" fmla="*/ 202 w 202"/>
                                    <a:gd name="T11" fmla="*/ 11 h 21"/>
                                    <a:gd name="T12" fmla="*/ 192 w 202"/>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02" h="21">
                                      <a:moveTo>
                                        <a:pt x="192" y="0"/>
                                      </a:moveTo>
                                      <a:cubicBezTo>
                                        <a:pt x="10" y="0"/>
                                        <a:pt x="10" y="0"/>
                                        <a:pt x="10" y="0"/>
                                      </a:cubicBezTo>
                                      <a:cubicBezTo>
                                        <a:pt x="4" y="0"/>
                                        <a:pt x="0" y="5"/>
                                        <a:pt x="0" y="11"/>
                                      </a:cubicBezTo>
                                      <a:cubicBezTo>
                                        <a:pt x="0" y="17"/>
                                        <a:pt x="4" y="21"/>
                                        <a:pt x="10" y="21"/>
                                      </a:cubicBezTo>
                                      <a:cubicBezTo>
                                        <a:pt x="192" y="21"/>
                                        <a:pt x="192" y="21"/>
                                        <a:pt x="192" y="21"/>
                                      </a:cubicBezTo>
                                      <a:cubicBezTo>
                                        <a:pt x="198" y="21"/>
                                        <a:pt x="202" y="17"/>
                                        <a:pt x="202" y="11"/>
                                      </a:cubicBezTo>
                                      <a:cubicBezTo>
                                        <a:pt x="202" y="5"/>
                                        <a:pt x="198" y="0"/>
                                        <a:pt x="1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78" y="226"/>
                                  <a:ext cx="28" cy="14"/>
                                </a:xfrm>
                                <a:custGeom>
                                  <a:avLst/>
                                  <a:gdLst>
                                    <a:gd name="T0" fmla="*/ 32 w 43"/>
                                    <a:gd name="T1" fmla="*/ 0 h 21"/>
                                    <a:gd name="T2" fmla="*/ 11 w 43"/>
                                    <a:gd name="T3" fmla="*/ 0 h 21"/>
                                    <a:gd name="T4" fmla="*/ 0 w 43"/>
                                    <a:gd name="T5" fmla="*/ 11 h 21"/>
                                    <a:gd name="T6" fmla="*/ 11 w 43"/>
                                    <a:gd name="T7" fmla="*/ 21 h 21"/>
                                    <a:gd name="T8" fmla="*/ 32 w 43"/>
                                    <a:gd name="T9" fmla="*/ 21 h 21"/>
                                    <a:gd name="T10" fmla="*/ 43 w 43"/>
                                    <a:gd name="T11" fmla="*/ 11 h 21"/>
                                    <a:gd name="T12" fmla="*/ 32 w 4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43" h="21">
                                      <a:moveTo>
                                        <a:pt x="32" y="0"/>
                                      </a:moveTo>
                                      <a:cubicBezTo>
                                        <a:pt x="11" y="0"/>
                                        <a:pt x="11" y="0"/>
                                        <a:pt x="11" y="0"/>
                                      </a:cubicBezTo>
                                      <a:cubicBezTo>
                                        <a:pt x="5" y="0"/>
                                        <a:pt x="0" y="5"/>
                                        <a:pt x="0" y="11"/>
                                      </a:cubicBezTo>
                                      <a:cubicBezTo>
                                        <a:pt x="0" y="17"/>
                                        <a:pt x="5" y="21"/>
                                        <a:pt x="11" y="21"/>
                                      </a:cubicBezTo>
                                      <a:cubicBezTo>
                                        <a:pt x="32" y="21"/>
                                        <a:pt x="32" y="21"/>
                                        <a:pt x="32" y="21"/>
                                      </a:cubicBezTo>
                                      <a:cubicBezTo>
                                        <a:pt x="38" y="21"/>
                                        <a:pt x="43" y="17"/>
                                        <a:pt x="43" y="11"/>
                                      </a:cubicBezTo>
                                      <a:cubicBezTo>
                                        <a:pt x="43" y="5"/>
                                        <a:pt x="38" y="0"/>
                                        <a:pt x="3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127" y="226"/>
                                  <a:ext cx="135" cy="14"/>
                                </a:xfrm>
                                <a:custGeom>
                                  <a:avLst/>
                                  <a:gdLst>
                                    <a:gd name="T0" fmla="*/ 192 w 202"/>
                                    <a:gd name="T1" fmla="*/ 0 h 21"/>
                                    <a:gd name="T2" fmla="*/ 10 w 202"/>
                                    <a:gd name="T3" fmla="*/ 0 h 21"/>
                                    <a:gd name="T4" fmla="*/ 0 w 202"/>
                                    <a:gd name="T5" fmla="*/ 11 h 21"/>
                                    <a:gd name="T6" fmla="*/ 10 w 202"/>
                                    <a:gd name="T7" fmla="*/ 21 h 21"/>
                                    <a:gd name="T8" fmla="*/ 192 w 202"/>
                                    <a:gd name="T9" fmla="*/ 21 h 21"/>
                                    <a:gd name="T10" fmla="*/ 202 w 202"/>
                                    <a:gd name="T11" fmla="*/ 11 h 21"/>
                                    <a:gd name="T12" fmla="*/ 192 w 202"/>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02" h="21">
                                      <a:moveTo>
                                        <a:pt x="192" y="0"/>
                                      </a:moveTo>
                                      <a:cubicBezTo>
                                        <a:pt x="10" y="0"/>
                                        <a:pt x="10" y="0"/>
                                        <a:pt x="10" y="0"/>
                                      </a:cubicBezTo>
                                      <a:cubicBezTo>
                                        <a:pt x="4" y="0"/>
                                        <a:pt x="0" y="5"/>
                                        <a:pt x="0" y="11"/>
                                      </a:cubicBezTo>
                                      <a:cubicBezTo>
                                        <a:pt x="0" y="17"/>
                                        <a:pt x="4" y="21"/>
                                        <a:pt x="10" y="21"/>
                                      </a:cubicBezTo>
                                      <a:cubicBezTo>
                                        <a:pt x="192" y="21"/>
                                        <a:pt x="192" y="21"/>
                                        <a:pt x="192" y="21"/>
                                      </a:cubicBezTo>
                                      <a:cubicBezTo>
                                        <a:pt x="198" y="21"/>
                                        <a:pt x="202" y="17"/>
                                        <a:pt x="202" y="11"/>
                                      </a:cubicBezTo>
                                      <a:cubicBezTo>
                                        <a:pt x="202" y="5"/>
                                        <a:pt x="198" y="0"/>
                                        <a:pt x="1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6" name="Freeform 106"/>
                              <wps:cNvSpPr>
                                <a:spLocks noEditPoints="1"/>
                              </wps:cNvSpPr>
                              <wps:spPr bwMode="auto">
                                <a:xfrm>
                                  <a:off x="0" y="0"/>
                                  <a:ext cx="340" cy="340"/>
                                </a:xfrm>
                                <a:custGeom>
                                  <a:avLst/>
                                  <a:gdLst>
                                    <a:gd name="T0" fmla="*/ 256 w 512"/>
                                    <a:gd name="T1" fmla="*/ 21 h 512"/>
                                    <a:gd name="T2" fmla="*/ 490 w 512"/>
                                    <a:gd name="T3" fmla="*/ 256 h 512"/>
                                    <a:gd name="T4" fmla="*/ 256 w 512"/>
                                    <a:gd name="T5" fmla="*/ 490 h 512"/>
                                    <a:gd name="T6" fmla="*/ 21 w 512"/>
                                    <a:gd name="T7" fmla="*/ 256 h 512"/>
                                    <a:gd name="T8" fmla="*/ 256 w 512"/>
                                    <a:gd name="T9" fmla="*/ 21 h 512"/>
                                    <a:gd name="T10" fmla="*/ 256 w 512"/>
                                    <a:gd name="T11" fmla="*/ 0 h 512"/>
                                    <a:gd name="T12" fmla="*/ 0 w 512"/>
                                    <a:gd name="T13" fmla="*/ 256 h 512"/>
                                    <a:gd name="T14" fmla="*/ 256 w 512"/>
                                    <a:gd name="T15" fmla="*/ 512 h 512"/>
                                    <a:gd name="T16" fmla="*/ 512 w 512"/>
                                    <a:gd name="T17" fmla="*/ 256 h 512"/>
                                    <a:gd name="T18" fmla="*/ 256 w 512"/>
                                    <a:gd name="T19" fmla="*/ 0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512">
                                      <a:moveTo>
                                        <a:pt x="256" y="21"/>
                                      </a:moveTo>
                                      <a:cubicBezTo>
                                        <a:pt x="385" y="21"/>
                                        <a:pt x="490" y="126"/>
                                        <a:pt x="490" y="256"/>
                                      </a:cubicBezTo>
                                      <a:cubicBezTo>
                                        <a:pt x="490" y="385"/>
                                        <a:pt x="385" y="490"/>
                                        <a:pt x="256" y="490"/>
                                      </a:cubicBezTo>
                                      <a:cubicBezTo>
                                        <a:pt x="126" y="490"/>
                                        <a:pt x="21" y="385"/>
                                        <a:pt x="21" y="256"/>
                                      </a:cubicBezTo>
                                      <a:cubicBezTo>
                                        <a:pt x="21" y="126"/>
                                        <a:pt x="126" y="21"/>
                                        <a:pt x="256" y="21"/>
                                      </a:cubicBezTo>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5pt;margin-top:.95pt;width:28.35pt;height:28.35pt;z-index:251702272;mso-width-relative:margin;mso-height-relative:margin"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">
                      <v:shape id="Freeform 98" o:spid="_x0000_s1027" style="position:absolute;left:78;top:141;width:28;height:14;visibility:visible;mso-wrap-style:square;v-text-anchor:top" coordsize="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a1MEA&#10;AADbAAAADwAAAGRycy9kb3ducmV2LnhtbERPy2oCMRTdC/2HcAvdaWJhpB2NUgpSuxxrF+6ukzsP&#10;nNwMSToz9evNotDl4bw3u8l2YiAfWscalgsFgrh0puVaw+lrP38BESKywc4xafilALvtw2yDuXEj&#10;FzQcYy1SCIccNTQx9rmUoWzIYli4njhxlfMWY4K+lsbjmMJtJ5+VWkmLLaeGBnt6b6i8Hn+shuLj&#10;HKusOviVutymbF8sPzn71vrpcXpbg4g0xX/xn/tgNLymselL+g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FGtTBAAAA2wAAAA8AAAAAAAAAAAAAAAAAmAIAAGRycy9kb3du&#10;cmV2LnhtbFBLBQYAAAAABAAEAPUAAACGAwAAAAA=&#10;" path="m32,c11,,11,,11,,5,,,5,,11v,6,5,10,11,10c32,21,32,21,32,21v6,,11,-4,11,-10c43,5,38,,32,xe" filled="f" stroked="f">
                        <v:path arrowok="t" o:connecttype="custom" o:connectlocs="21,0;7,0;0,7;7,14;21,14;28,7;21,0" o:connectangles="0,0,0,0,0,0,0"/>
                      </v:shape>
                      <v:shape id="Freeform 99" o:spid="_x0000_s1028" style="position:absolute;left:78;top:99;width:28;height:14;visibility:visible;mso-wrap-style:square;v-text-anchor:top" coordsize="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T8MA&#10;AADbAAAADwAAAGRycy9kb3ducmV2LnhtbESPT2sCMRTE7wW/Q3iCt5pVWKmrUUQQ7XGtHrw9N2//&#10;4OZlSaKu/fRNodDjMDO/YZbr3rTiQc43lhVMxgkI4sLqhisFp6/d+wcIH5A1tpZJwYs8rFeDtyVm&#10;2j45p8cxVCJC2GeooA6hy6T0RU0G/dh2xNErrTMYonSV1A6fEW5aOU2SmTTYcFyosaNtTcXteDcK&#10;8v0llGl5cLPk+t2nu3zyyelZqdGw3yxABOrDf/ivfdAK5nP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m/T8MAAADbAAAADwAAAAAAAAAAAAAAAACYAgAAZHJzL2Rv&#10;d25yZXYueG1sUEsFBgAAAAAEAAQA9QAAAIgDAAAAAA==&#10;" path="m32,c11,,11,,11,,5,,,5,,11v,6,5,10,11,10c32,21,32,21,32,21v6,,11,-4,11,-10c43,5,38,,32,xe" filled="f" stroked="f">
                        <v:path arrowok="t" o:connecttype="custom" o:connectlocs="21,0;7,0;0,7;7,14;21,14;28,7;21,0" o:connectangles="0,0,0,0,0,0,0"/>
                      </v:shape>
                      <v:shape id="Freeform 100" o:spid="_x0000_s1029" style="position:absolute;left:78;top:184;width:28;height:14;visibility:visible;mso-wrap-style:square;v-text-anchor:top" coordsize="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STMUA&#10;AADcAAAADwAAAGRycy9kb3ducmV2LnhtbESPT0sDMRDF74LfIUyhN5tU2CJr01IKxfa4VQ/exs3s&#10;H7qZLElsVz+9cxC8zfDevPeb9Xbyg7pSTH1gC8uFAUVcB9dza+Ht9fDwBCplZIdDYLLwTQm2m/u7&#10;NZYu3Lii6zm3SkI4lWihy3kstU51Rx7TIozEojUhesyyxla7iDcJ94N+NGalPfYsDR2OtO+ovpy/&#10;vIXq5SM3RXOMK/P5MxWHanni4t3a+WzaPYPKNOV/89/10Qm+EX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dJMxQAAANwAAAAPAAAAAAAAAAAAAAAAAJgCAABkcnMv&#10;ZG93bnJldi54bWxQSwUGAAAAAAQABAD1AAAAigMAAAAA&#10;" path="m32,c11,,11,,11,,5,,,5,,11v,6,5,10,11,10c32,21,32,21,32,21v6,,11,-4,11,-10c43,5,38,,32,xe" filled="f" stroked="f">
                        <v:path arrowok="t" o:connecttype="custom" o:connectlocs="21,0;7,0;0,7;7,14;21,14;28,7;21,0" o:connectangles="0,0,0,0,0,0,0"/>
                      </v:shape>
                      <v:shape id="Freeform 101" o:spid="_x0000_s1030" style="position:absolute;left:127;top:141;width:135;height:14;visibility:visible;mso-wrap-style:square;v-text-anchor:top" coordsize="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LaMQA&#10;AADcAAAADwAAAGRycy9kb3ducmV2LnhtbERPTWvCQBC9C/6HZYReRDdWEJu6igiKbQ6i9dDjkB2T&#10;tNnZkN3G9d93BcHbPN7nLFbB1KKj1lWWFUzGCQji3OqKCwXnr+1oDsJ5ZI21ZVJwIwerZb+3wFTb&#10;Kx+pO/lCxBB2KSoovW9SKV1ekkE3tg1x5C62NegjbAupW7zGcFPL1ySZSYMVx4YSG9qUlP+e/oyC&#10;Tch20/139zHjXRi+DbPLT/Z5UOplENbvIDwF/xQ/3Hsd5ycTuD8TL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Zi2jEAAAA3AAAAA8AAAAAAAAAAAAAAAAAmAIAAGRycy9k&#10;b3ducmV2LnhtbFBLBQYAAAAABAAEAPUAAACJAwAAAAA=&#10;" path="m192,c10,,10,,10,,4,,,5,,11v,6,4,10,10,10c192,21,192,21,192,21v6,,10,-4,10,-10c202,5,198,,192,xe" filled="f" stroked="f">
                        <v:path arrowok="t" o:connecttype="custom" o:connectlocs="128,0;7,0;0,7;7,14;128,14;135,7;128,0" o:connectangles="0,0,0,0,0,0,0"/>
                      </v:shape>
                      <v:shape id="Freeform 102" o:spid="_x0000_s1031" style="position:absolute;left:127;top:99;width:135;height:14;visibility:visible;mso-wrap-style:square;v-text-anchor:top" coordsize="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sVH8QA&#10;AADcAAAADwAAAGRycy9kb3ducmV2LnhtbERPTWvCQBC9F/wPywi9iG5UEJu6iggVbQ6i9dDjkB2T&#10;tNnZkF3j+u+7gtDbPN7nLFbB1KKj1lWWFYxHCQji3OqKCwXnr4/hHITzyBpry6TgTg5Wy97LAlNt&#10;b3yk7uQLEUPYpaig9L5JpXR5SQbdyDbEkbvY1qCPsC2kbvEWw00tJ0kykwYrjg0lNrQpKf89XY2C&#10;Tci20913t5/xNgzeBtnlJ/s8KPXaD+t3EJ6C/xc/3Tsd5ycTeDwTL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LFR/EAAAA3AAAAA8AAAAAAAAAAAAAAAAAmAIAAGRycy9k&#10;b3ducmV2LnhtbFBLBQYAAAAABAAEAPUAAACJAwAAAAA=&#10;" path="m10,21v182,,182,,182,c198,21,202,17,202,11,202,5,198,,192,,10,,10,,10,,4,,,5,,11v,6,4,10,10,10xe" filled="f" stroked="f">
                        <v:path arrowok="t" o:connecttype="custom" o:connectlocs="7,14;128,14;135,7;128,0;7,0;0,7;7,14" o:connectangles="0,0,0,0,0,0,0"/>
                      </v:shape>
                      <v:shape id="Freeform 103" o:spid="_x0000_s1032" style="position:absolute;left:127;top:184;width:135;height:14;visibility:visible;mso-wrap-style:square;v-text-anchor:top" coordsize="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ewhMQA&#10;AADcAAAADwAAAGRycy9kb3ducmV2LnhtbERPTWvCQBC9C/0PyxR6Ed1YQWp0FREq1hyk6sHjkB2T&#10;tNnZkN3G7b93BcHbPN7nzJfB1KKj1lWWFYyGCQji3OqKCwWn4+fgA4TzyBpry6TgnxwsFy+9Oaba&#10;XvmbuoMvRAxhl6KC0vsmldLlJRl0Q9sQR+5iW4M+wraQusVrDDe1fE+SiTRYcWwosaF1Sfnv4c8o&#10;WIdsM96eu68Jb0J/2s8uP9lur9Tba1jNQHgK/il+uLc6zk/GcH8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HsITEAAAA3AAAAA8AAAAAAAAAAAAAAAAAmAIAAGRycy9k&#10;b3ducmV2LnhtbFBLBQYAAAAABAAEAPUAAACJAwAAAAA=&#10;" path="m192,c10,,10,,10,,4,,,5,,11v,6,4,10,10,10c192,21,192,21,192,21v6,,10,-4,10,-10c202,5,198,,192,xe" filled="f" stroked="f">
                        <v:path arrowok="t" o:connecttype="custom" o:connectlocs="128,0;7,0;0,7;7,14;128,14;135,7;128,0" o:connectangles="0,0,0,0,0,0,0"/>
                      </v:shape>
                      <v:shape id="Freeform 104" o:spid="_x0000_s1033" style="position:absolute;left:78;top:226;width:28;height:14;visibility:visible;mso-wrap-style:square;v-text-anchor:top" coordsize="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LUT8IA&#10;AADcAAAADwAAAGRycy9kb3ducmV2LnhtbERPS2sCMRC+F/wPYYTeaqJ0pWyNUgSpHlfbQ2/TzeyD&#10;biZLkurqrzeC4G0+vucsVoPtxJF8aB1rmE4UCOLSmZZrDV+HzcsbiBCRDXaOScOZAqyWo6cF5sad&#10;uKDjPtYihXDIUUMTY59LGcqGLIaJ64kTVzlvMSboa2k8nlK47eRMqbm02HJqaLCndUPl3/7faig+&#10;f2KVVVs/V7+XIdsU0x1n31o/j4ePdxCRhvgQ391bk+arV7g9ky6Q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UtRPwgAAANwAAAAPAAAAAAAAAAAAAAAAAJgCAABkcnMvZG93&#10;bnJldi54bWxQSwUGAAAAAAQABAD1AAAAhwMAAAAA&#10;" path="m32,c11,,11,,11,,5,,,5,,11v,6,5,10,11,10c32,21,32,21,32,21v6,,11,-4,11,-10c43,5,38,,32,xe" filled="f" stroked="f">
                        <v:path arrowok="t" o:connecttype="custom" o:connectlocs="21,0;7,0;0,7;7,14;21,14;28,7;21,0" o:connectangles="0,0,0,0,0,0,0"/>
                      </v:shape>
                      <v:shape id="Freeform 105" o:spid="_x0000_s1034" style="position:absolute;left:127;top:226;width:135;height:14;visibility:visible;mso-wrap-style:square;v-text-anchor:top" coordsize="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Na8QA&#10;AADcAAAADwAAAGRycy9kb3ducmV2LnhtbERPS2vCQBC+F/wPyxS8iG5qqWh0lSIotjkUHwePQ3ZM&#10;UrOzIbvG7b/vFoTe5uN7zmIVTC06al1lWcHLKAFBnFtdcaHgdNwMpyCcR9ZYWyYFP+Rgtew9LTDV&#10;9s576g6+EDGEXYoKSu+bVEqXl2TQjWxDHLmLbQ36CNtC6hbvMdzUcpwkE2mw4thQYkPrkvLr4WYU&#10;rEO2fd2du48Jb8NgNsgu39nnl1L95/A+B+Ep+H/xw73TcX7yBn/PxA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ijWvEAAAA3AAAAA8AAAAAAAAAAAAAAAAAmAIAAGRycy9k&#10;b3ducmV2LnhtbFBLBQYAAAAABAAEAPUAAACJAwAAAAA=&#10;" path="m192,c10,,10,,10,,4,,,5,,11v,6,4,10,10,10c192,21,192,21,192,21v6,,10,-4,10,-10c202,5,198,,192,xe" filled="f" stroked="f">
                        <v:path arrowok="t" o:connecttype="custom" o:connectlocs="128,0;7,0;0,7;7,14;128,14;135,7;128,0" o:connectangles="0,0,0,0,0,0,0"/>
                      </v:shape>
                      <v:shape id="Freeform 106" o:spid="_x0000_s1035" style="position:absolute;width:340;height:340;visibility:visible;mso-wrap-style:square;v-text-anchor:top" coordsize="51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FmxsEA&#10;AADcAAAADwAAAGRycy9kb3ducmV2LnhtbERPTYvCMBC9C/6HMII3TRQR6RplEQQVXNBuD3sbmtm2&#10;bDOpTdT6782C4G0e73OW687W4katrxxrmIwVCOLcmYoLDd/pdrQA4QOywdoxaXiQh/Wq31tiYtyd&#10;T3Q7h0LEEPYJaihDaBIpfV6SRT92DXHkfl1rMUTYFtK0eI/htpZTpebSYsWxocSGNiXlf+er1UCz&#10;zZf5ySbpcaaUyvb2ku7sQevhoPv8ABGoC2/xy70zcb6aw/8z8QK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xZsbBAAAA3AAAAA8AAAAAAAAAAAAAAAAAmAIAAGRycy9kb3du&#10;cmV2LnhtbFBLBQYAAAAABAAEAPUAAACGAwAAAAA=&#10;" path="m256,21v129,,234,105,234,235c490,385,385,490,256,490,126,490,21,385,21,256,21,126,126,21,256,21m256,c114,,,114,,256,,397,114,512,256,512v141,,256,-115,256,-256c512,114,397,,256,xe" filled="f" stroked="f">
                        <v:path arrowok="t" o:connecttype="custom" o:connectlocs="170,14;325,170;170,325;14,170;170,14;170,0;0,170;170,340;340,170;170,0" o:connectangles="0,0,0,0,0,0,0,0,0,0"/>
                        <o:lock v:ext="edit" verticies="t"/>
                      </v:shape>
                    </v:group>
                  </w:pict>
                </mc:Fallback>
              </mc:AlternateContent>
            </w:r>
          </w:p>
        </w:tc>
        <w:tc>
          <w:tcPr>
            <w:tcW w:w="7016" w:type="dxa"/>
            <w:gridSpan w:val="2"/>
            <w:tcBorders>
              <w:top w:val="single" w:sz="4" w:space="0" w:color="86BC25"/>
              <w:left w:val="nil"/>
              <w:bottom w:val="single" w:sz="4" w:space="0" w:color="86BC25"/>
              <w:right w:val="single" w:sz="4" w:space="0" w:color="86BC25"/>
            </w:tcBorders>
            <w:tcMar>
              <w:top w:w="0" w:type="dxa"/>
              <w:left w:w="108" w:type="dxa"/>
              <w:bottom w:w="0" w:type="dxa"/>
              <w:right w:w="108" w:type="dxa"/>
            </w:tcMar>
          </w:tcPr>
          <w:p w:rsidR="009278EC" w:rsidRDefault="009278EC">
            <w:pPr>
              <w:widowControl w:val="0"/>
              <w:kinsoku w:val="0"/>
              <w:overflowPunct w:val="0"/>
              <w:ind w:left="175" w:hanging="175"/>
              <w:textAlignment w:val="baseline"/>
              <w:rPr>
                <w:rFonts w:ascii="Verdana" w:hAnsi="Verdana" w:cs="Arial"/>
                <w:sz w:val="18"/>
                <w:szCs w:val="18"/>
              </w:rPr>
            </w:pPr>
            <w:r>
              <w:rPr>
                <w:rFonts w:ascii="Verdana" w:hAnsi="Verdana" w:cs="Arial"/>
                <w:sz w:val="18"/>
                <w:szCs w:val="18"/>
              </w:rPr>
              <w:t>Our procedures on the valuation of investments included:</w:t>
            </w:r>
          </w:p>
          <w:p w:rsidR="009278EC" w:rsidRDefault="009278EC">
            <w:pPr>
              <w:widowControl w:val="0"/>
              <w:kinsoku w:val="0"/>
              <w:overflowPunct w:val="0"/>
              <w:ind w:left="175" w:hanging="175"/>
              <w:textAlignment w:val="baseline"/>
              <w:rPr>
                <w:rFonts w:ascii="Verdana" w:hAnsi="Verdana" w:cs="Arial"/>
                <w:sz w:val="18"/>
                <w:szCs w:val="18"/>
              </w:rPr>
            </w:pPr>
          </w:p>
          <w:p w:rsidR="009278EC" w:rsidRDefault="009278EC" w:rsidP="009278EC">
            <w:pPr>
              <w:pStyle w:val="ListParagraph"/>
              <w:numPr>
                <w:ilvl w:val="0"/>
                <w:numId w:val="68"/>
              </w:numPr>
              <w:rPr>
                <w:rFonts w:ascii="Verdana" w:hAnsi="Verdana" w:cs="Arial"/>
                <w:sz w:val="18"/>
                <w:szCs w:val="18"/>
              </w:rPr>
            </w:pPr>
            <w:r>
              <w:rPr>
                <w:rFonts w:ascii="Verdana" w:hAnsi="Verdana" w:cs="Arial"/>
                <w:sz w:val="18"/>
                <w:szCs w:val="18"/>
              </w:rPr>
              <w:t xml:space="preserve">evaluation of the design and implementation of key controls around valuation; </w:t>
            </w:r>
          </w:p>
          <w:p w:rsidR="009278EC" w:rsidRDefault="009278EC" w:rsidP="009278EC">
            <w:pPr>
              <w:pStyle w:val="ListParagraph"/>
              <w:numPr>
                <w:ilvl w:val="0"/>
                <w:numId w:val="68"/>
              </w:numPr>
              <w:rPr>
                <w:rFonts w:ascii="Verdana" w:hAnsi="Verdana" w:cs="Arial"/>
                <w:sz w:val="18"/>
                <w:szCs w:val="18"/>
              </w:rPr>
            </w:pPr>
            <w:r>
              <w:rPr>
                <w:rFonts w:ascii="Verdana" w:hAnsi="Verdana" w:cs="Arial"/>
                <w:sz w:val="18"/>
                <w:szCs w:val="18"/>
              </w:rPr>
              <w:t xml:space="preserve">testing 100% of the valuations of investments by agreeing the prices directly to independent third party sources; and  </w:t>
            </w:r>
          </w:p>
          <w:p w:rsidR="009278EC" w:rsidRDefault="009278EC" w:rsidP="009278EC">
            <w:pPr>
              <w:pStyle w:val="ListParagraph"/>
              <w:numPr>
                <w:ilvl w:val="0"/>
                <w:numId w:val="68"/>
              </w:numPr>
              <w:rPr>
                <w:rFonts w:ascii="Verdana" w:hAnsi="Verdana"/>
                <w:sz w:val="18"/>
                <w:szCs w:val="18"/>
              </w:rPr>
            </w:pPr>
            <w:r>
              <w:rPr>
                <w:rFonts w:ascii="Verdana" w:hAnsi="Verdana"/>
                <w:sz w:val="18"/>
                <w:szCs w:val="18"/>
              </w:rPr>
              <w:t>analysing the trading history of securities to determine whether they have been traded frequently and values at which they have been traded to determine that there are no unusual price movements indicating the year end prices are stale.</w:t>
            </w:r>
          </w:p>
          <w:p w:rsidR="009278EC" w:rsidRDefault="009278EC">
            <w:pPr>
              <w:widowControl w:val="0"/>
              <w:kinsoku w:val="0"/>
              <w:overflowPunct w:val="0"/>
              <w:textAlignment w:val="baseline"/>
              <w:rPr>
                <w:rFonts w:ascii="Verdana" w:hAnsi="Verdana" w:cs="Arial"/>
                <w:sz w:val="18"/>
                <w:szCs w:val="18"/>
              </w:rPr>
            </w:pPr>
          </w:p>
        </w:tc>
      </w:tr>
      <w:tr w:rsidR="009278EC" w:rsidTr="00E54387">
        <w:trPr>
          <w:gridAfter w:val="2"/>
          <w:wAfter w:w="81" w:type="dxa"/>
          <w:trHeight w:val="3832"/>
        </w:trPr>
        <w:tc>
          <w:tcPr>
            <w:tcW w:w="1980" w:type="dxa"/>
            <w:tcBorders>
              <w:top w:val="single" w:sz="4" w:space="0" w:color="86BC25"/>
              <w:left w:val="single" w:sz="4" w:space="0" w:color="86BC25"/>
              <w:bottom w:val="single" w:sz="4" w:space="0" w:color="86BC25"/>
              <w:right w:val="nil"/>
            </w:tcBorders>
            <w:tcMar>
              <w:top w:w="0" w:type="dxa"/>
              <w:left w:w="108" w:type="dxa"/>
              <w:bottom w:w="0" w:type="dxa"/>
              <w:right w:w="108" w:type="dxa"/>
            </w:tcMar>
            <w:hideMark/>
          </w:tcPr>
          <w:p w:rsidR="009278EC" w:rsidRDefault="009278EC">
            <w:pPr>
              <w:widowControl w:val="0"/>
              <w:kinsoku w:val="0"/>
              <w:overflowPunct w:val="0"/>
              <w:textAlignment w:val="baseline"/>
              <w:rPr>
                <w:rFonts w:ascii="Verdana" w:hAnsi="Verdana" w:cs="Arial"/>
                <w:b/>
                <w:sz w:val="18"/>
                <w:szCs w:val="18"/>
              </w:rPr>
            </w:pPr>
            <w:r>
              <w:rPr>
                <w:rFonts w:ascii="Verdana" w:hAnsi="Verdana" w:cs="Arial"/>
                <w:b/>
                <w:sz w:val="18"/>
                <w:szCs w:val="18"/>
              </w:rPr>
              <w:t>Key observations</w:t>
            </w:r>
          </w:p>
          <w:p w:rsidR="009278EC" w:rsidRDefault="009278EC">
            <w:pPr>
              <w:widowControl w:val="0"/>
              <w:kinsoku w:val="0"/>
              <w:overflowPunct w:val="0"/>
              <w:textAlignment w:val="baseline"/>
              <w:rPr>
                <w:rFonts w:ascii="Verdana" w:hAnsi="Verdana" w:cs="Arial"/>
                <w:b/>
                <w:sz w:val="18"/>
                <w:szCs w:val="18"/>
              </w:rPr>
            </w:pPr>
            <w:r>
              <w:rPr>
                <w:rFonts w:ascii="Times New Roman" w:hAnsi="Times New Roman"/>
                <w:noProof/>
                <w:sz w:val="24"/>
                <w:lang w:eastAsia="en-GB"/>
              </w:rPr>
              <mc:AlternateContent>
                <mc:Choice Requires="wpg">
                  <w:drawing>
                    <wp:anchor distT="0" distB="0" distL="114300" distR="114300" simplePos="0" relativeHeight="251703296" behindDoc="0" locked="0" layoutInCell="1" allowOverlap="1" wp14:anchorId="1FEB21DB" wp14:editId="1A7E91EC">
                      <wp:simplePos x="0" y="0"/>
                      <wp:positionH relativeFrom="column">
                        <wp:posOffset>-6350</wp:posOffset>
                      </wp:positionH>
                      <wp:positionV relativeFrom="paragraph">
                        <wp:posOffset>57785</wp:posOffset>
                      </wp:positionV>
                      <wp:extent cx="360045" cy="360045"/>
                      <wp:effectExtent l="0" t="0" r="1905" b="1905"/>
                      <wp:wrapNone/>
                      <wp:docPr id="15" name="Group 15"/>
                      <wp:cNvGraphicFramePr/>
                      <a:graphic xmlns:a="http://schemas.openxmlformats.org/drawingml/2006/main">
                        <a:graphicData uri="http://schemas.microsoft.com/office/word/2010/wordprocessingGroup">
                          <wpg:wgp>
                            <wpg:cNvGrpSpPr/>
                            <wpg:grpSpPr bwMode="auto">
                              <a:xfrm>
                                <a:off x="0" y="0"/>
                                <a:ext cx="359410" cy="359410"/>
                                <a:chOff x="0" y="0"/>
                                <a:chExt cx="340" cy="340"/>
                              </a:xfrm>
                              <a:solidFill>
                                <a:srgbClr val="86BC25"/>
                              </a:solidFill>
                            </wpg:grpSpPr>
                            <wps:wsp>
                              <wps:cNvPr id="95" name="Freeform 95"/>
                              <wps:cNvSpPr>
                                <a:spLocks noEditPoints="1"/>
                              </wps:cNvSpPr>
                              <wps:spPr bwMode="auto">
                                <a:xfrm>
                                  <a:off x="0" y="0"/>
                                  <a:ext cx="340" cy="340"/>
                                </a:xfrm>
                                <a:custGeom>
                                  <a:avLst/>
                                  <a:gdLst>
                                    <a:gd name="T0" fmla="*/ 256 w 512"/>
                                    <a:gd name="T1" fmla="*/ 21 h 512"/>
                                    <a:gd name="T2" fmla="*/ 490 w 512"/>
                                    <a:gd name="T3" fmla="*/ 256 h 512"/>
                                    <a:gd name="T4" fmla="*/ 256 w 512"/>
                                    <a:gd name="T5" fmla="*/ 490 h 512"/>
                                    <a:gd name="T6" fmla="*/ 21 w 512"/>
                                    <a:gd name="T7" fmla="*/ 256 h 512"/>
                                    <a:gd name="T8" fmla="*/ 256 w 512"/>
                                    <a:gd name="T9" fmla="*/ 21 h 512"/>
                                    <a:gd name="T10" fmla="*/ 256 w 512"/>
                                    <a:gd name="T11" fmla="*/ 0 h 512"/>
                                    <a:gd name="T12" fmla="*/ 0 w 512"/>
                                    <a:gd name="T13" fmla="*/ 256 h 512"/>
                                    <a:gd name="T14" fmla="*/ 256 w 512"/>
                                    <a:gd name="T15" fmla="*/ 512 h 512"/>
                                    <a:gd name="T16" fmla="*/ 512 w 512"/>
                                    <a:gd name="T17" fmla="*/ 256 h 512"/>
                                    <a:gd name="T18" fmla="*/ 256 w 512"/>
                                    <a:gd name="T19" fmla="*/ 0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512">
                                      <a:moveTo>
                                        <a:pt x="256" y="21"/>
                                      </a:moveTo>
                                      <a:cubicBezTo>
                                        <a:pt x="385" y="21"/>
                                        <a:pt x="490" y="126"/>
                                        <a:pt x="490" y="256"/>
                                      </a:cubicBezTo>
                                      <a:cubicBezTo>
                                        <a:pt x="490" y="385"/>
                                        <a:pt x="385" y="490"/>
                                        <a:pt x="256" y="490"/>
                                      </a:cubicBezTo>
                                      <a:cubicBezTo>
                                        <a:pt x="126" y="490"/>
                                        <a:pt x="21" y="385"/>
                                        <a:pt x="21" y="256"/>
                                      </a:cubicBezTo>
                                      <a:cubicBezTo>
                                        <a:pt x="21" y="126"/>
                                        <a:pt x="126" y="21"/>
                                        <a:pt x="256" y="21"/>
                                      </a:cubicBezTo>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6" name="Freeform 96"/>
                              <wps:cNvSpPr>
                                <a:spLocks noEditPoints="1"/>
                              </wps:cNvSpPr>
                              <wps:spPr bwMode="auto">
                                <a:xfrm>
                                  <a:off x="78" y="70"/>
                                  <a:ext cx="191" cy="192"/>
                                </a:xfrm>
                                <a:custGeom>
                                  <a:avLst/>
                                  <a:gdLst>
                                    <a:gd name="T0" fmla="*/ 256 w 288"/>
                                    <a:gd name="T1" fmla="*/ 32 h 288"/>
                                    <a:gd name="T2" fmla="*/ 245 w 288"/>
                                    <a:gd name="T3" fmla="*/ 0 h 288"/>
                                    <a:gd name="T4" fmla="*/ 235 w 288"/>
                                    <a:gd name="T5" fmla="*/ 39 h 288"/>
                                    <a:gd name="T6" fmla="*/ 139 w 288"/>
                                    <a:gd name="T7" fmla="*/ 11 h 288"/>
                                    <a:gd name="T8" fmla="*/ 44 w 288"/>
                                    <a:gd name="T9" fmla="*/ 251 h 288"/>
                                    <a:gd name="T10" fmla="*/ 24 w 288"/>
                                    <a:gd name="T11" fmla="*/ 285 h 288"/>
                                    <a:gd name="T12" fmla="*/ 40 w 288"/>
                                    <a:gd name="T13" fmla="*/ 285 h 288"/>
                                    <a:gd name="T14" fmla="*/ 139 w 288"/>
                                    <a:gd name="T15" fmla="*/ 288 h 288"/>
                                    <a:gd name="T16" fmla="*/ 238 w 288"/>
                                    <a:gd name="T17" fmla="*/ 285 h 288"/>
                                    <a:gd name="T18" fmla="*/ 253 w 288"/>
                                    <a:gd name="T19" fmla="*/ 285 h 288"/>
                                    <a:gd name="T20" fmla="*/ 233 w 288"/>
                                    <a:gd name="T21" fmla="*/ 251 h 288"/>
                                    <a:gd name="T22" fmla="*/ 244 w 288"/>
                                    <a:gd name="T23" fmla="*/ 60 h 288"/>
                                    <a:gd name="T24" fmla="*/ 277 w 288"/>
                                    <a:gd name="T25" fmla="*/ 54 h 288"/>
                                    <a:gd name="T26" fmla="*/ 277 w 288"/>
                                    <a:gd name="T27" fmla="*/ 32 h 288"/>
                                    <a:gd name="T28" fmla="*/ 139 w 288"/>
                                    <a:gd name="T29" fmla="*/ 267 h 288"/>
                                    <a:gd name="T30" fmla="*/ 139 w 288"/>
                                    <a:gd name="T31" fmla="*/ 32 h 288"/>
                                    <a:gd name="T32" fmla="*/ 199 w 288"/>
                                    <a:gd name="T33" fmla="*/ 75 h 288"/>
                                    <a:gd name="T34" fmla="*/ 43 w 288"/>
                                    <a:gd name="T35" fmla="*/ 150 h 288"/>
                                    <a:gd name="T36" fmla="*/ 235 w 288"/>
                                    <a:gd name="T37" fmla="*/ 150 h 288"/>
                                    <a:gd name="T38" fmla="*/ 229 w 288"/>
                                    <a:gd name="T39" fmla="*/ 75 h 288"/>
                                    <a:gd name="T40" fmla="*/ 213 w 288"/>
                                    <a:gd name="T41" fmla="*/ 150 h 288"/>
                                    <a:gd name="T42" fmla="*/ 64 w 288"/>
                                    <a:gd name="T43" fmla="*/ 150 h 288"/>
                                    <a:gd name="T44" fmla="*/ 183 w 288"/>
                                    <a:gd name="T45" fmla="*/ 90 h 288"/>
                                    <a:gd name="T46" fmla="*/ 139 w 288"/>
                                    <a:gd name="T47" fmla="*/ 96 h 288"/>
                                    <a:gd name="T48" fmla="*/ 139 w 288"/>
                                    <a:gd name="T49" fmla="*/ 203 h 288"/>
                                    <a:gd name="T50" fmla="*/ 183 w 288"/>
                                    <a:gd name="T51" fmla="*/ 120 h 288"/>
                                    <a:gd name="T52" fmla="*/ 213 w 288"/>
                                    <a:gd name="T53" fmla="*/ 150 h 288"/>
                                    <a:gd name="T54" fmla="*/ 139 w 288"/>
                                    <a:gd name="T55" fmla="*/ 182 h 288"/>
                                    <a:gd name="T56" fmla="*/ 139 w 288"/>
                                    <a:gd name="T57" fmla="*/ 118 h 288"/>
                                    <a:gd name="T58" fmla="*/ 131 w 288"/>
                                    <a:gd name="T59" fmla="*/ 142 h 288"/>
                                    <a:gd name="T60" fmla="*/ 139 w 288"/>
                                    <a:gd name="T61" fmla="*/ 160 h 288"/>
                                    <a:gd name="T62" fmla="*/ 167 w 288"/>
                                    <a:gd name="T63" fmla="*/ 136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8" h="288">
                                      <a:moveTo>
                                        <a:pt x="277" y="32"/>
                                      </a:moveTo>
                                      <a:cubicBezTo>
                                        <a:pt x="256" y="32"/>
                                        <a:pt x="256" y="32"/>
                                        <a:pt x="256" y="32"/>
                                      </a:cubicBezTo>
                                      <a:cubicBezTo>
                                        <a:pt x="256" y="11"/>
                                        <a:pt x="256" y="11"/>
                                        <a:pt x="256" y="11"/>
                                      </a:cubicBezTo>
                                      <a:cubicBezTo>
                                        <a:pt x="256" y="5"/>
                                        <a:pt x="251" y="0"/>
                                        <a:pt x="245" y="0"/>
                                      </a:cubicBezTo>
                                      <a:cubicBezTo>
                                        <a:pt x="239" y="0"/>
                                        <a:pt x="235" y="5"/>
                                        <a:pt x="235" y="11"/>
                                      </a:cubicBezTo>
                                      <a:cubicBezTo>
                                        <a:pt x="235" y="39"/>
                                        <a:pt x="235" y="39"/>
                                        <a:pt x="235" y="39"/>
                                      </a:cubicBezTo>
                                      <a:cubicBezTo>
                                        <a:pt x="229" y="44"/>
                                        <a:pt x="229" y="44"/>
                                        <a:pt x="229" y="44"/>
                                      </a:cubicBezTo>
                                      <a:cubicBezTo>
                                        <a:pt x="205" y="24"/>
                                        <a:pt x="173" y="11"/>
                                        <a:pt x="139" y="11"/>
                                      </a:cubicBezTo>
                                      <a:cubicBezTo>
                                        <a:pt x="62" y="11"/>
                                        <a:pt x="0" y="73"/>
                                        <a:pt x="0" y="150"/>
                                      </a:cubicBezTo>
                                      <a:cubicBezTo>
                                        <a:pt x="0" y="189"/>
                                        <a:pt x="17" y="225"/>
                                        <a:pt x="44" y="251"/>
                                      </a:cubicBezTo>
                                      <a:cubicBezTo>
                                        <a:pt x="24" y="270"/>
                                        <a:pt x="24" y="270"/>
                                        <a:pt x="24" y="270"/>
                                      </a:cubicBezTo>
                                      <a:cubicBezTo>
                                        <a:pt x="20" y="274"/>
                                        <a:pt x="20" y="281"/>
                                        <a:pt x="24" y="285"/>
                                      </a:cubicBezTo>
                                      <a:cubicBezTo>
                                        <a:pt x="27" y="287"/>
                                        <a:pt x="29" y="288"/>
                                        <a:pt x="32" y="288"/>
                                      </a:cubicBezTo>
                                      <a:cubicBezTo>
                                        <a:pt x="35" y="288"/>
                                        <a:pt x="37" y="287"/>
                                        <a:pt x="40" y="285"/>
                                      </a:cubicBezTo>
                                      <a:cubicBezTo>
                                        <a:pt x="61" y="264"/>
                                        <a:pt x="61" y="264"/>
                                        <a:pt x="61" y="264"/>
                                      </a:cubicBezTo>
                                      <a:cubicBezTo>
                                        <a:pt x="83" y="279"/>
                                        <a:pt x="110" y="288"/>
                                        <a:pt x="139" y="288"/>
                                      </a:cubicBezTo>
                                      <a:cubicBezTo>
                                        <a:pt x="168" y="288"/>
                                        <a:pt x="194" y="279"/>
                                        <a:pt x="217" y="264"/>
                                      </a:cubicBezTo>
                                      <a:cubicBezTo>
                                        <a:pt x="238" y="285"/>
                                        <a:pt x="238" y="285"/>
                                        <a:pt x="238" y="285"/>
                                      </a:cubicBezTo>
                                      <a:cubicBezTo>
                                        <a:pt x="240" y="287"/>
                                        <a:pt x="243" y="288"/>
                                        <a:pt x="245" y="288"/>
                                      </a:cubicBezTo>
                                      <a:cubicBezTo>
                                        <a:pt x="248" y="288"/>
                                        <a:pt x="251" y="287"/>
                                        <a:pt x="253" y="285"/>
                                      </a:cubicBezTo>
                                      <a:cubicBezTo>
                                        <a:pt x="257" y="281"/>
                                        <a:pt x="257" y="274"/>
                                        <a:pt x="253" y="270"/>
                                      </a:cubicBezTo>
                                      <a:cubicBezTo>
                                        <a:pt x="233" y="251"/>
                                        <a:pt x="233" y="251"/>
                                        <a:pt x="233" y="251"/>
                                      </a:cubicBezTo>
                                      <a:cubicBezTo>
                                        <a:pt x="260" y="225"/>
                                        <a:pt x="277" y="189"/>
                                        <a:pt x="277" y="150"/>
                                      </a:cubicBezTo>
                                      <a:cubicBezTo>
                                        <a:pt x="277" y="115"/>
                                        <a:pt x="265" y="84"/>
                                        <a:pt x="244" y="60"/>
                                      </a:cubicBezTo>
                                      <a:cubicBezTo>
                                        <a:pt x="250" y="54"/>
                                        <a:pt x="250" y="54"/>
                                        <a:pt x="250" y="54"/>
                                      </a:cubicBezTo>
                                      <a:cubicBezTo>
                                        <a:pt x="277" y="54"/>
                                        <a:pt x="277" y="54"/>
                                        <a:pt x="277" y="54"/>
                                      </a:cubicBezTo>
                                      <a:cubicBezTo>
                                        <a:pt x="283" y="54"/>
                                        <a:pt x="288" y="49"/>
                                        <a:pt x="288" y="43"/>
                                      </a:cubicBezTo>
                                      <a:cubicBezTo>
                                        <a:pt x="288" y="37"/>
                                        <a:pt x="283" y="32"/>
                                        <a:pt x="277" y="32"/>
                                      </a:cubicBezTo>
                                      <a:close/>
                                      <a:moveTo>
                                        <a:pt x="256" y="150"/>
                                      </a:moveTo>
                                      <a:cubicBezTo>
                                        <a:pt x="256" y="214"/>
                                        <a:pt x="203" y="267"/>
                                        <a:pt x="139" y="267"/>
                                      </a:cubicBezTo>
                                      <a:cubicBezTo>
                                        <a:pt x="74" y="267"/>
                                        <a:pt x="21" y="214"/>
                                        <a:pt x="21" y="150"/>
                                      </a:cubicBezTo>
                                      <a:cubicBezTo>
                                        <a:pt x="21" y="85"/>
                                        <a:pt x="74" y="32"/>
                                        <a:pt x="139" y="32"/>
                                      </a:cubicBezTo>
                                      <a:cubicBezTo>
                                        <a:pt x="167" y="32"/>
                                        <a:pt x="193" y="43"/>
                                        <a:pt x="214" y="60"/>
                                      </a:cubicBezTo>
                                      <a:cubicBezTo>
                                        <a:pt x="199" y="75"/>
                                        <a:pt x="199" y="75"/>
                                        <a:pt x="199" y="75"/>
                                      </a:cubicBezTo>
                                      <a:cubicBezTo>
                                        <a:pt x="182" y="62"/>
                                        <a:pt x="161" y="54"/>
                                        <a:pt x="139" y="54"/>
                                      </a:cubicBezTo>
                                      <a:cubicBezTo>
                                        <a:pt x="86" y="54"/>
                                        <a:pt x="43" y="97"/>
                                        <a:pt x="43" y="150"/>
                                      </a:cubicBezTo>
                                      <a:cubicBezTo>
                                        <a:pt x="43" y="203"/>
                                        <a:pt x="86" y="246"/>
                                        <a:pt x="139" y="246"/>
                                      </a:cubicBezTo>
                                      <a:cubicBezTo>
                                        <a:pt x="192" y="246"/>
                                        <a:pt x="235" y="203"/>
                                        <a:pt x="235" y="150"/>
                                      </a:cubicBezTo>
                                      <a:cubicBezTo>
                                        <a:pt x="235" y="127"/>
                                        <a:pt x="227" y="106"/>
                                        <a:pt x="214" y="90"/>
                                      </a:cubicBezTo>
                                      <a:cubicBezTo>
                                        <a:pt x="229" y="75"/>
                                        <a:pt x="229" y="75"/>
                                        <a:pt x="229" y="75"/>
                                      </a:cubicBezTo>
                                      <a:cubicBezTo>
                                        <a:pt x="246" y="95"/>
                                        <a:pt x="256" y="121"/>
                                        <a:pt x="256" y="150"/>
                                      </a:cubicBezTo>
                                      <a:close/>
                                      <a:moveTo>
                                        <a:pt x="213" y="150"/>
                                      </a:moveTo>
                                      <a:cubicBezTo>
                                        <a:pt x="213" y="191"/>
                                        <a:pt x="180" y="224"/>
                                        <a:pt x="139" y="224"/>
                                      </a:cubicBezTo>
                                      <a:cubicBezTo>
                                        <a:pt x="97" y="224"/>
                                        <a:pt x="64" y="191"/>
                                        <a:pt x="64" y="150"/>
                                      </a:cubicBezTo>
                                      <a:cubicBezTo>
                                        <a:pt x="64" y="108"/>
                                        <a:pt x="97" y="75"/>
                                        <a:pt x="139" y="75"/>
                                      </a:cubicBezTo>
                                      <a:cubicBezTo>
                                        <a:pt x="155" y="75"/>
                                        <a:pt x="171" y="81"/>
                                        <a:pt x="183" y="90"/>
                                      </a:cubicBezTo>
                                      <a:cubicBezTo>
                                        <a:pt x="168" y="105"/>
                                        <a:pt x="168" y="105"/>
                                        <a:pt x="168" y="105"/>
                                      </a:cubicBezTo>
                                      <a:cubicBezTo>
                                        <a:pt x="160" y="100"/>
                                        <a:pt x="150" y="96"/>
                                        <a:pt x="139" y="96"/>
                                      </a:cubicBezTo>
                                      <a:cubicBezTo>
                                        <a:pt x="109" y="96"/>
                                        <a:pt x="85" y="120"/>
                                        <a:pt x="85" y="150"/>
                                      </a:cubicBezTo>
                                      <a:cubicBezTo>
                                        <a:pt x="85" y="179"/>
                                        <a:pt x="109" y="203"/>
                                        <a:pt x="139" y="203"/>
                                      </a:cubicBezTo>
                                      <a:cubicBezTo>
                                        <a:pt x="168" y="203"/>
                                        <a:pt x="192" y="179"/>
                                        <a:pt x="192" y="150"/>
                                      </a:cubicBezTo>
                                      <a:cubicBezTo>
                                        <a:pt x="192" y="139"/>
                                        <a:pt x="189" y="129"/>
                                        <a:pt x="183" y="120"/>
                                      </a:cubicBezTo>
                                      <a:cubicBezTo>
                                        <a:pt x="198" y="105"/>
                                        <a:pt x="198" y="105"/>
                                        <a:pt x="198" y="105"/>
                                      </a:cubicBezTo>
                                      <a:cubicBezTo>
                                        <a:pt x="208" y="118"/>
                                        <a:pt x="213" y="133"/>
                                        <a:pt x="213" y="150"/>
                                      </a:cubicBezTo>
                                      <a:close/>
                                      <a:moveTo>
                                        <a:pt x="171" y="150"/>
                                      </a:moveTo>
                                      <a:cubicBezTo>
                                        <a:pt x="171" y="167"/>
                                        <a:pt x="156" y="182"/>
                                        <a:pt x="139" y="182"/>
                                      </a:cubicBezTo>
                                      <a:cubicBezTo>
                                        <a:pt x="121" y="182"/>
                                        <a:pt x="107" y="167"/>
                                        <a:pt x="107" y="150"/>
                                      </a:cubicBezTo>
                                      <a:cubicBezTo>
                                        <a:pt x="107" y="132"/>
                                        <a:pt x="121" y="118"/>
                                        <a:pt x="139" y="118"/>
                                      </a:cubicBezTo>
                                      <a:cubicBezTo>
                                        <a:pt x="144" y="118"/>
                                        <a:pt x="148" y="119"/>
                                        <a:pt x="152" y="121"/>
                                      </a:cubicBezTo>
                                      <a:cubicBezTo>
                                        <a:pt x="131" y="142"/>
                                        <a:pt x="131" y="142"/>
                                        <a:pt x="131" y="142"/>
                                      </a:cubicBezTo>
                                      <a:cubicBezTo>
                                        <a:pt x="127" y="146"/>
                                        <a:pt x="127" y="153"/>
                                        <a:pt x="131" y="157"/>
                                      </a:cubicBezTo>
                                      <a:cubicBezTo>
                                        <a:pt x="133" y="159"/>
                                        <a:pt x="136" y="160"/>
                                        <a:pt x="139" y="160"/>
                                      </a:cubicBezTo>
                                      <a:cubicBezTo>
                                        <a:pt x="141" y="160"/>
                                        <a:pt x="144" y="159"/>
                                        <a:pt x="146" y="157"/>
                                      </a:cubicBezTo>
                                      <a:cubicBezTo>
                                        <a:pt x="167" y="136"/>
                                        <a:pt x="167" y="136"/>
                                        <a:pt x="167" y="136"/>
                                      </a:cubicBezTo>
                                      <a:cubicBezTo>
                                        <a:pt x="169" y="140"/>
                                        <a:pt x="171" y="145"/>
                                        <a:pt x="171" y="15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margin-left:-.5pt;margin-top:4.55pt;width:28.35pt;height:28.35pt;z-index:251703296;mso-width-relative:margin;mso-height-relative:margin"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">
                      <v:shape id="Freeform 95" o:spid="_x0000_s1027" style="position:absolute;width:340;height:340;visibility:visible;mso-wrap-style:square;v-text-anchor:top" coordsize="51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4Rc8QA&#10;AADbAAAADwAAAGRycy9kb3ducmV2LnhtbESPQWvCQBSE7wX/w/IK3nRXScVGV5GAYAsVNHro7ZF9&#10;JqHZtzG71fTfdwtCj8PMfMMs171txI06XzvWMBkrEMSFMzWXGk75djQH4QOywcYxafghD+vV4GmJ&#10;qXF3PtDtGEoRIexT1FCF0KZS+qIii37sWuLoXVxnMUTZldJ0eI9w28ipUjNpsea4UGFLWUXF1/Hb&#10;aqAk25vP8yT/SJRS5zd7zXf2Xevhc79ZgAjUh//wo70zGl5f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OEXPEAAAA2wAAAA8AAAAAAAAAAAAAAAAAmAIAAGRycy9k&#10;b3ducmV2LnhtbFBLBQYAAAAABAAEAPUAAACJAwAAAAA=&#10;" path="m256,21v129,,234,105,234,235c490,385,385,490,256,490,126,490,21,385,21,256,21,126,126,21,256,21m256,c114,,,114,,256,,397,114,512,256,512v141,,256,-115,256,-256c512,114,397,,256,xe" filled="f" stroked="f">
                        <v:path arrowok="t" o:connecttype="custom" o:connectlocs="170,14;325,170;170,325;14,170;170,14;170,0;0,170;170,340;340,170;170,0" o:connectangles="0,0,0,0,0,0,0,0,0,0"/>
                        <o:lock v:ext="edit" verticies="t"/>
                      </v:shape>
                      <v:shape id="Freeform 96" o:spid="_x0000_s1028" style="position:absolute;left:78;top:70;width:191;height:192;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xj8YA&#10;AADbAAAADwAAAGRycy9kb3ducmV2LnhtbESPQWvCQBSE70L/w/IKvemmSkONriKCtRQEtQXp7ZF9&#10;JqHZt2F31aS/3hUEj8PMfMNM562pxZmcrywreB0kIIhzqysuFPx8r/rvIHxA1lhbJgUdeZjPnnpT&#10;zLS98I7O+1CICGGfoYIyhCaT0uclGfQD2xBH72idwRClK6R2eIlwU8thkqTSYMVxocSGliXlf/uT&#10;UfA/OrjD6Ot3vMmHttt06eLjbb1V6uW5XUxABGrDI3xvf2oF4xRuX+IP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qxj8YAAADbAAAADwAAAAAAAAAAAAAAAACYAgAAZHJz&#10;L2Rvd25yZXYueG1sUEsFBgAAAAAEAAQA9QAAAIsDAAAAAA==&#10;" path="m277,32v-21,,-21,,-21,c256,11,256,11,256,11,256,5,251,,245,v-6,,-10,5,-10,11c235,39,235,39,235,39v-6,5,-6,5,-6,5c205,24,173,11,139,11,62,11,,73,,150v,39,17,75,44,101c24,270,24,270,24,270v-4,4,-4,11,,15c27,287,29,288,32,288v3,,5,-1,8,-3c61,264,61,264,61,264v22,15,49,24,78,24c168,288,194,279,217,264v21,21,21,21,21,21c240,287,243,288,245,288v3,,6,-1,8,-3c257,281,257,274,253,270,233,251,233,251,233,251v27,-26,44,-62,44,-101c277,115,265,84,244,60v6,-6,6,-6,6,-6c277,54,277,54,277,54v6,,11,-5,11,-11c288,37,283,32,277,32xm256,150v,64,-53,117,-117,117c74,267,21,214,21,150,21,85,74,32,139,32v28,,54,11,75,28c199,75,199,75,199,75,182,62,161,54,139,54,86,54,43,97,43,150v,53,43,96,96,96c192,246,235,203,235,150v,-23,-8,-44,-21,-60c229,75,229,75,229,75v17,20,27,46,27,75xm213,150v,41,-33,74,-74,74c97,224,64,191,64,150v,-42,33,-75,75,-75c155,75,171,81,183,90v-15,15,-15,15,-15,15c160,100,150,96,139,96v-30,,-54,24,-54,54c85,179,109,203,139,203v29,,53,-24,53,-53c192,139,189,129,183,120v15,-15,15,-15,15,-15c208,118,213,133,213,150xm171,150v,17,-15,32,-32,32c121,182,107,167,107,150v,-18,14,-32,32,-32c144,118,148,119,152,121v-21,21,-21,21,-21,21c127,146,127,153,131,157v2,2,5,3,8,3c141,160,144,159,146,157v21,-21,21,-21,21,-21c169,140,171,145,171,150xe" filled="f" stroked="f">
                        <v:path arrowok="t" o:connecttype="custom" o:connectlocs="170,21;162,0;156,26;92,7;29,167;16,190;27,190;92,192;158,190;168,190;155,167;162,40;184,36;184,21;92,178;92,21;132,50;29,100;156,100;152,50;141,100;42,100;121,60;92,64;92,135;121,80;141,100;92,121;92,79;87,95;92,107;111,91" o:connectangles="0,0,0,0,0,0,0,0,0,0,0,0,0,0,0,0,0,0,0,0,0,0,0,0,0,0,0,0,0,0,0,0"/>
                        <o:lock v:ext="edit" verticies="t"/>
                      </v:shape>
                    </v:group>
                  </w:pict>
                </mc:Fallback>
              </mc:AlternateContent>
            </w:r>
          </w:p>
        </w:tc>
        <w:tc>
          <w:tcPr>
            <w:tcW w:w="7016" w:type="dxa"/>
            <w:gridSpan w:val="2"/>
            <w:tcBorders>
              <w:top w:val="single" w:sz="4" w:space="0" w:color="86BC25"/>
              <w:left w:val="nil"/>
              <w:bottom w:val="single" w:sz="4" w:space="0" w:color="86BC25"/>
              <w:right w:val="single" w:sz="4" w:space="0" w:color="86BC25"/>
            </w:tcBorders>
            <w:tcMar>
              <w:top w:w="0" w:type="dxa"/>
              <w:left w:w="108" w:type="dxa"/>
              <w:bottom w:w="0" w:type="dxa"/>
              <w:right w:w="108" w:type="dxa"/>
            </w:tcMar>
          </w:tcPr>
          <w:p w:rsidR="009278EC" w:rsidRDefault="009278EC">
            <w:pPr>
              <w:widowControl w:val="0"/>
              <w:kinsoku w:val="0"/>
              <w:overflowPunct w:val="0"/>
              <w:textAlignment w:val="baseline"/>
              <w:rPr>
                <w:rFonts w:ascii="Verdana" w:hAnsi="Verdana" w:cs="Arial"/>
                <w:i/>
                <w:sz w:val="18"/>
                <w:szCs w:val="18"/>
              </w:rPr>
            </w:pPr>
            <w:r>
              <w:rPr>
                <w:rFonts w:ascii="Verdana" w:hAnsi="Verdana" w:cs="Arial"/>
                <w:sz w:val="18"/>
                <w:szCs w:val="18"/>
              </w:rPr>
              <w:t>No material differences were identified by our testing which required reporting to those charged with governance.</w:t>
            </w: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p w:rsidR="009278EC" w:rsidRDefault="009278EC">
            <w:pPr>
              <w:widowControl w:val="0"/>
              <w:kinsoku w:val="0"/>
              <w:overflowPunct w:val="0"/>
              <w:textAlignment w:val="baseline"/>
              <w:rPr>
                <w:rFonts w:ascii="Verdana" w:hAnsi="Verdana" w:cs="Arial"/>
                <w:sz w:val="18"/>
                <w:szCs w:val="18"/>
              </w:rPr>
            </w:pPr>
          </w:p>
        </w:tc>
      </w:tr>
      <w:tr w:rsidR="009278EC" w:rsidTr="009278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1" w:type="dxa"/>
        </w:trPr>
        <w:tc>
          <w:tcPr>
            <w:tcW w:w="8996" w:type="dxa"/>
            <w:gridSpan w:val="3"/>
            <w:tcBorders>
              <w:top w:val="single" w:sz="4" w:space="0" w:color="86BC25"/>
              <w:left w:val="single" w:sz="4" w:space="0" w:color="86BC25"/>
              <w:bottom w:val="single" w:sz="4" w:space="0" w:color="86BC25"/>
              <w:right w:val="single" w:sz="4" w:space="0" w:color="86BC25"/>
            </w:tcBorders>
            <w:shd w:val="clear" w:color="auto" w:fill="86BC25"/>
            <w:hideMark/>
          </w:tcPr>
          <w:p w:rsidR="009278EC" w:rsidRDefault="009278EC">
            <w:pPr>
              <w:widowControl w:val="0"/>
              <w:kinsoku w:val="0"/>
              <w:overflowPunct w:val="0"/>
              <w:textAlignment w:val="baseline"/>
              <w:rPr>
                <w:rFonts w:ascii="Verdana" w:hAnsi="Verdana" w:cs="Arial"/>
                <w:b/>
                <w:color w:val="FFFFFF" w:themeColor="background1"/>
                <w:sz w:val="18"/>
                <w:szCs w:val="22"/>
              </w:rPr>
            </w:pPr>
            <w:r>
              <w:rPr>
                <w:rFonts w:ascii="Verdana" w:hAnsi="Verdana" w:cs="Arial"/>
                <w:b/>
                <w:color w:val="FFFFFF" w:themeColor="background1"/>
                <w:sz w:val="18"/>
                <w:szCs w:val="22"/>
              </w:rPr>
              <w:t>Ownership of investments</w:t>
            </w:r>
          </w:p>
        </w:tc>
      </w:tr>
      <w:tr w:rsidR="009278EC" w:rsidTr="009278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1" w:type="dxa"/>
        </w:trPr>
        <w:tc>
          <w:tcPr>
            <w:tcW w:w="1980" w:type="dxa"/>
            <w:tcBorders>
              <w:top w:val="single" w:sz="4" w:space="0" w:color="86BC25"/>
              <w:left w:val="single" w:sz="4" w:space="0" w:color="86BC25"/>
              <w:bottom w:val="single" w:sz="4" w:space="0" w:color="86BC25"/>
              <w:right w:val="nil"/>
            </w:tcBorders>
          </w:tcPr>
          <w:p w:rsidR="009278EC" w:rsidRDefault="009278EC">
            <w:pPr>
              <w:widowControl w:val="0"/>
              <w:kinsoku w:val="0"/>
              <w:overflowPunct w:val="0"/>
              <w:textAlignment w:val="baseline"/>
              <w:rPr>
                <w:rFonts w:ascii="Verdana" w:hAnsi="Verdana" w:cs="Arial"/>
                <w:b/>
                <w:sz w:val="18"/>
                <w:szCs w:val="22"/>
              </w:rPr>
            </w:pPr>
            <w:r>
              <w:rPr>
                <w:rFonts w:ascii="Verdana" w:hAnsi="Verdana" w:cs="Arial"/>
                <w:b/>
                <w:sz w:val="18"/>
                <w:szCs w:val="22"/>
              </w:rPr>
              <w:t>Key audit matter description</w:t>
            </w:r>
          </w:p>
          <w:p w:rsidR="009278EC" w:rsidRDefault="009278EC">
            <w:pPr>
              <w:widowControl w:val="0"/>
              <w:kinsoku w:val="0"/>
              <w:overflowPunct w:val="0"/>
              <w:textAlignment w:val="baseline"/>
              <w:rPr>
                <w:rFonts w:ascii="Verdana" w:hAnsi="Verdana" w:cs="Arial"/>
                <w:b/>
                <w:sz w:val="18"/>
                <w:szCs w:val="22"/>
              </w:rPr>
            </w:pPr>
            <w:r>
              <w:rPr>
                <w:rFonts w:ascii="Times New Roman" w:hAnsi="Times New Roman"/>
                <w:noProof/>
                <w:sz w:val="24"/>
                <w:lang w:eastAsia="en-GB"/>
              </w:rPr>
              <mc:AlternateContent>
                <mc:Choice Requires="wps">
                  <w:drawing>
                    <wp:anchor distT="0" distB="0" distL="114300" distR="114300" simplePos="0" relativeHeight="251705344" behindDoc="1" locked="0" layoutInCell="1" allowOverlap="1" wp14:anchorId="04B0C987" wp14:editId="0D2FFBC4">
                      <wp:simplePos x="0" y="0"/>
                      <wp:positionH relativeFrom="column">
                        <wp:posOffset>1905</wp:posOffset>
                      </wp:positionH>
                      <wp:positionV relativeFrom="paragraph">
                        <wp:posOffset>10795</wp:posOffset>
                      </wp:positionV>
                      <wp:extent cx="360045" cy="360045"/>
                      <wp:effectExtent l="0" t="0" r="1905" b="1905"/>
                      <wp:wrapTight wrapText="bothSides">
                        <wp:wrapPolygon edited="0">
                          <wp:start x="3429" y="0"/>
                          <wp:lineTo x="0" y="4571"/>
                          <wp:lineTo x="0" y="16000"/>
                          <wp:lineTo x="3429" y="20571"/>
                          <wp:lineTo x="17143" y="20571"/>
                          <wp:lineTo x="18286" y="20571"/>
                          <wp:lineTo x="20571" y="16000"/>
                          <wp:lineTo x="20571" y="3429"/>
                          <wp:lineTo x="17143" y="0"/>
                          <wp:lineTo x="3429" y="0"/>
                        </wp:wrapPolygon>
                      </wp:wrapTight>
                      <wp:docPr id="256" name="Freeform 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59410" cy="359410"/>
                              </a:xfrm>
                              <a:custGeom>
                                <a:avLst/>
                                <a:gdLst>
                                  <a:gd name="T0" fmla="*/ 256 w 512"/>
                                  <a:gd name="T1" fmla="*/ 21 h 512"/>
                                  <a:gd name="T2" fmla="*/ 490 w 512"/>
                                  <a:gd name="T3" fmla="*/ 256 h 512"/>
                                  <a:gd name="T4" fmla="*/ 256 w 512"/>
                                  <a:gd name="T5" fmla="*/ 490 h 512"/>
                                  <a:gd name="T6" fmla="*/ 21 w 512"/>
                                  <a:gd name="T7" fmla="*/ 256 h 512"/>
                                  <a:gd name="T8" fmla="*/ 256 w 512"/>
                                  <a:gd name="T9" fmla="*/ 21 h 512"/>
                                  <a:gd name="T10" fmla="*/ 256 w 512"/>
                                  <a:gd name="T11" fmla="*/ 0 h 512"/>
                                  <a:gd name="T12" fmla="*/ 0 w 512"/>
                                  <a:gd name="T13" fmla="*/ 256 h 512"/>
                                  <a:gd name="T14" fmla="*/ 256 w 512"/>
                                  <a:gd name="T15" fmla="*/ 512 h 512"/>
                                  <a:gd name="T16" fmla="*/ 512 w 512"/>
                                  <a:gd name="T17" fmla="*/ 256 h 512"/>
                                  <a:gd name="T18" fmla="*/ 256 w 512"/>
                                  <a:gd name="T19" fmla="*/ 0 h 512"/>
                                  <a:gd name="T20" fmla="*/ 362 w 512"/>
                                  <a:gd name="T21" fmla="*/ 405 h 512"/>
                                  <a:gd name="T22" fmla="*/ 356 w 512"/>
                                  <a:gd name="T23" fmla="*/ 403 h 512"/>
                                  <a:gd name="T24" fmla="*/ 256 w 512"/>
                                  <a:gd name="T25" fmla="*/ 323 h 512"/>
                                  <a:gd name="T26" fmla="*/ 156 w 512"/>
                                  <a:gd name="T27" fmla="*/ 403 h 512"/>
                                  <a:gd name="T28" fmla="*/ 144 w 512"/>
                                  <a:gd name="T29" fmla="*/ 404 h 512"/>
                                  <a:gd name="T30" fmla="*/ 138 w 512"/>
                                  <a:gd name="T31" fmla="*/ 394 h 512"/>
                                  <a:gd name="T32" fmla="*/ 138 w 512"/>
                                  <a:gd name="T33" fmla="*/ 117 h 512"/>
                                  <a:gd name="T34" fmla="*/ 149 w 512"/>
                                  <a:gd name="T35" fmla="*/ 106 h 512"/>
                                  <a:gd name="T36" fmla="*/ 362 w 512"/>
                                  <a:gd name="T37" fmla="*/ 106 h 512"/>
                                  <a:gd name="T38" fmla="*/ 373 w 512"/>
                                  <a:gd name="T39" fmla="*/ 117 h 512"/>
                                  <a:gd name="T40" fmla="*/ 373 w 512"/>
                                  <a:gd name="T41" fmla="*/ 394 h 512"/>
                                  <a:gd name="T42" fmla="*/ 367 w 512"/>
                                  <a:gd name="T43" fmla="*/ 404 h 512"/>
                                  <a:gd name="T44" fmla="*/ 362 w 512"/>
                                  <a:gd name="T45" fmla="*/ 405 h 512"/>
                                  <a:gd name="T46" fmla="*/ 256 w 512"/>
                                  <a:gd name="T47" fmla="*/ 298 h 512"/>
                                  <a:gd name="T48" fmla="*/ 262 w 512"/>
                                  <a:gd name="T49" fmla="*/ 301 h 512"/>
                                  <a:gd name="T50" fmla="*/ 352 w 512"/>
                                  <a:gd name="T51" fmla="*/ 372 h 512"/>
                                  <a:gd name="T52" fmla="*/ 352 w 512"/>
                                  <a:gd name="T53" fmla="*/ 128 h 512"/>
                                  <a:gd name="T54" fmla="*/ 160 w 512"/>
                                  <a:gd name="T55" fmla="*/ 128 h 512"/>
                                  <a:gd name="T56" fmla="*/ 160 w 512"/>
                                  <a:gd name="T57" fmla="*/ 372 h 512"/>
                                  <a:gd name="T58" fmla="*/ 249 w 512"/>
                                  <a:gd name="T59" fmla="*/ 301 h 512"/>
                                  <a:gd name="T60" fmla="*/ 256 w 512"/>
                                  <a:gd name="T61" fmla="*/ 298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2" h="512">
                                    <a:moveTo>
                                      <a:pt x="256" y="21"/>
                                    </a:moveTo>
                                    <a:cubicBezTo>
                                      <a:pt x="385" y="21"/>
                                      <a:pt x="490" y="126"/>
                                      <a:pt x="490" y="256"/>
                                    </a:cubicBezTo>
                                    <a:cubicBezTo>
                                      <a:pt x="490" y="385"/>
                                      <a:pt x="385" y="490"/>
                                      <a:pt x="256" y="490"/>
                                    </a:cubicBezTo>
                                    <a:cubicBezTo>
                                      <a:pt x="126" y="490"/>
                                      <a:pt x="21" y="385"/>
                                      <a:pt x="21" y="256"/>
                                    </a:cubicBezTo>
                                    <a:cubicBezTo>
                                      <a:pt x="21" y="126"/>
                                      <a:pt x="126" y="21"/>
                                      <a:pt x="256" y="21"/>
                                    </a:cubicBezTo>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moveTo>
                                      <a:pt x="362" y="405"/>
                                    </a:moveTo>
                                    <a:cubicBezTo>
                                      <a:pt x="360" y="405"/>
                                      <a:pt x="358" y="404"/>
                                      <a:pt x="356" y="403"/>
                                    </a:cubicBezTo>
                                    <a:cubicBezTo>
                                      <a:pt x="256" y="323"/>
                                      <a:pt x="256" y="323"/>
                                      <a:pt x="256" y="323"/>
                                    </a:cubicBezTo>
                                    <a:cubicBezTo>
                                      <a:pt x="156" y="403"/>
                                      <a:pt x="156" y="403"/>
                                      <a:pt x="156" y="403"/>
                                    </a:cubicBezTo>
                                    <a:cubicBezTo>
                                      <a:pt x="152" y="405"/>
                                      <a:pt x="148" y="406"/>
                                      <a:pt x="144" y="404"/>
                                    </a:cubicBezTo>
                                    <a:cubicBezTo>
                                      <a:pt x="141" y="402"/>
                                      <a:pt x="138" y="398"/>
                                      <a:pt x="138" y="394"/>
                                    </a:cubicBezTo>
                                    <a:cubicBezTo>
                                      <a:pt x="138" y="117"/>
                                      <a:pt x="138" y="117"/>
                                      <a:pt x="138" y="117"/>
                                    </a:cubicBezTo>
                                    <a:cubicBezTo>
                                      <a:pt x="138" y="111"/>
                                      <a:pt x="143" y="106"/>
                                      <a:pt x="149" y="106"/>
                                    </a:cubicBezTo>
                                    <a:cubicBezTo>
                                      <a:pt x="362" y="106"/>
                                      <a:pt x="362" y="106"/>
                                      <a:pt x="362" y="106"/>
                                    </a:cubicBezTo>
                                    <a:cubicBezTo>
                                      <a:pt x="368" y="106"/>
                                      <a:pt x="373" y="111"/>
                                      <a:pt x="373" y="117"/>
                                    </a:cubicBezTo>
                                    <a:cubicBezTo>
                                      <a:pt x="373" y="394"/>
                                      <a:pt x="373" y="394"/>
                                      <a:pt x="373" y="394"/>
                                    </a:cubicBezTo>
                                    <a:cubicBezTo>
                                      <a:pt x="373" y="398"/>
                                      <a:pt x="371" y="402"/>
                                      <a:pt x="367" y="404"/>
                                    </a:cubicBezTo>
                                    <a:cubicBezTo>
                                      <a:pt x="365" y="405"/>
                                      <a:pt x="364" y="405"/>
                                      <a:pt x="362" y="405"/>
                                    </a:cubicBezTo>
                                    <a:close/>
                                    <a:moveTo>
                                      <a:pt x="256" y="298"/>
                                    </a:moveTo>
                                    <a:cubicBezTo>
                                      <a:pt x="258" y="298"/>
                                      <a:pt x="260" y="299"/>
                                      <a:pt x="262" y="301"/>
                                    </a:cubicBezTo>
                                    <a:cubicBezTo>
                                      <a:pt x="352" y="372"/>
                                      <a:pt x="352" y="372"/>
                                      <a:pt x="352" y="372"/>
                                    </a:cubicBezTo>
                                    <a:cubicBezTo>
                                      <a:pt x="352" y="128"/>
                                      <a:pt x="352" y="128"/>
                                      <a:pt x="352" y="128"/>
                                    </a:cubicBezTo>
                                    <a:cubicBezTo>
                                      <a:pt x="160" y="128"/>
                                      <a:pt x="160" y="128"/>
                                      <a:pt x="160" y="128"/>
                                    </a:cubicBezTo>
                                    <a:cubicBezTo>
                                      <a:pt x="160" y="372"/>
                                      <a:pt x="160" y="372"/>
                                      <a:pt x="160" y="372"/>
                                    </a:cubicBezTo>
                                    <a:cubicBezTo>
                                      <a:pt x="249" y="301"/>
                                      <a:pt x="249" y="301"/>
                                      <a:pt x="249" y="301"/>
                                    </a:cubicBezTo>
                                    <a:cubicBezTo>
                                      <a:pt x="251" y="299"/>
                                      <a:pt x="253" y="298"/>
                                      <a:pt x="256" y="298"/>
                                    </a:cubicBezTo>
                                    <a:close/>
                                  </a:path>
                                </a:pathLst>
                              </a:custGeom>
                              <a:solidFill>
                                <a:srgbClr val="86BC25"/>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256" o:spid="_x0000_s1026" style="position:absolute;margin-left:.15pt;margin-top:.85pt;width:28.35pt;height:28.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" path="m256,21v129,,234,105,234,235c490,385,385,490,256,490,126,490,21,385,21,256,21,126,126,21,256,21m256,c114,,,114,,256,,397,114,512,256,512v141,,256,-115,256,-256c512,114,397,,256,xm362,405v-2,,-4,-1,-6,-2c256,323,256,323,256,323,156,403,156,403,156,403v-4,2,-8,3,-12,1c141,402,138,398,138,394v,-277,,-277,,-277c138,111,143,106,149,106v213,,213,,213,c368,106,373,111,373,117v,277,,277,,277c373,398,371,402,367,404v-2,1,-3,1,-5,1xm256,298v2,,4,1,6,3c352,372,352,372,352,372v,-244,,-244,,-244c160,128,160,128,160,128v,244,,244,,244c249,301,249,301,249,301v2,-2,4,-3,7,-3xe" fillcolor="#86bc25" stroked="f">
                      <v:path arrowok="t" o:connecttype="custom" o:connectlocs="179705,14741;343967,179705;179705,343967;14741,179705;179705,14741;179705,0;0,179705;179705,359410;359410,179705;179705,0;254114,284299;249902,282895;179705,226737;109508,282895;101084,283597;96872,276577;96872,82131;104594,74409;254114,74409;261836,82131;261836,276577;257624,283597;254114,284299;179705,209188;183917,211294;247094,261134;247094,89853;112316,89853;112316,261134;174791,211294;179705,209188" o:connectangles="0,0,0,0,0,0,0,0,0,0,0,0,0,0,0,0,0,0,0,0,0,0,0,0,0,0,0,0,0,0,0"/>
                      <o:lock v:ext="edit" aspectratio="t" verticies="t"/>
                      <w10:wrap type="tight"/>
                    </v:shape>
                  </w:pict>
                </mc:Fallback>
              </mc:AlternateContent>
            </w:r>
          </w:p>
          <w:p w:rsidR="009278EC" w:rsidRDefault="009278EC">
            <w:pPr>
              <w:widowControl w:val="0"/>
              <w:kinsoku w:val="0"/>
              <w:overflowPunct w:val="0"/>
              <w:textAlignment w:val="baseline"/>
              <w:rPr>
                <w:rFonts w:ascii="Verdana" w:hAnsi="Verdana" w:cs="Arial"/>
                <w:b/>
                <w:sz w:val="18"/>
                <w:szCs w:val="22"/>
              </w:rPr>
            </w:pPr>
          </w:p>
          <w:p w:rsidR="009278EC" w:rsidRDefault="009278EC">
            <w:pPr>
              <w:widowControl w:val="0"/>
              <w:kinsoku w:val="0"/>
              <w:overflowPunct w:val="0"/>
              <w:textAlignment w:val="baseline"/>
              <w:rPr>
                <w:rFonts w:ascii="Verdana" w:hAnsi="Verdana" w:cs="Arial"/>
                <w:b/>
                <w:i/>
                <w:sz w:val="18"/>
                <w:szCs w:val="22"/>
              </w:rPr>
            </w:pPr>
          </w:p>
        </w:tc>
        <w:tc>
          <w:tcPr>
            <w:tcW w:w="7016" w:type="dxa"/>
            <w:gridSpan w:val="2"/>
            <w:tcBorders>
              <w:top w:val="single" w:sz="4" w:space="0" w:color="86BC25"/>
              <w:left w:val="nil"/>
              <w:bottom w:val="single" w:sz="4" w:space="0" w:color="86BC25"/>
              <w:right w:val="single" w:sz="4" w:space="0" w:color="86BC25"/>
            </w:tcBorders>
          </w:tcPr>
          <w:p w:rsidR="009278EC" w:rsidRDefault="009278EC">
            <w:pPr>
              <w:widowControl w:val="0"/>
              <w:kinsoku w:val="0"/>
              <w:overflowPunct w:val="0"/>
              <w:textAlignment w:val="baseline"/>
              <w:rPr>
                <w:rFonts w:ascii="Verdana" w:hAnsi="Verdana" w:cs="Arial"/>
                <w:sz w:val="18"/>
                <w:szCs w:val="22"/>
              </w:rPr>
            </w:pPr>
            <w:r>
              <w:rPr>
                <w:rFonts w:ascii="Verdana" w:hAnsi="Verdana" w:cs="Arial"/>
                <w:sz w:val="18"/>
                <w:szCs w:val="22"/>
              </w:rPr>
              <w:t xml:space="preserve">There is a risk that securities, a record of which is maintained by a third party custodian, are not directly owned by the Fund. </w:t>
            </w:r>
          </w:p>
          <w:p w:rsidR="009278EC" w:rsidRDefault="009278EC">
            <w:pPr>
              <w:widowControl w:val="0"/>
              <w:kinsoku w:val="0"/>
              <w:overflowPunct w:val="0"/>
              <w:textAlignment w:val="baseline"/>
              <w:rPr>
                <w:rFonts w:ascii="Verdana" w:hAnsi="Verdana" w:cs="Arial"/>
                <w:sz w:val="18"/>
                <w:szCs w:val="22"/>
              </w:rPr>
            </w:pPr>
          </w:p>
          <w:p w:rsidR="009278EC" w:rsidRDefault="009278EC">
            <w:pPr>
              <w:widowControl w:val="0"/>
              <w:kinsoku w:val="0"/>
              <w:overflowPunct w:val="0"/>
              <w:textAlignment w:val="baseline"/>
              <w:rPr>
                <w:rFonts w:ascii="Verdana" w:hAnsi="Verdana" w:cs="Arial"/>
                <w:sz w:val="18"/>
                <w:szCs w:val="22"/>
              </w:rPr>
            </w:pPr>
            <w:r>
              <w:rPr>
                <w:rFonts w:ascii="Verdana" w:hAnsi="Verdana" w:cs="Arial"/>
                <w:sz w:val="18"/>
                <w:szCs w:val="22"/>
              </w:rPr>
              <w:t>Investments are held with the custodian. Ensuring that the custodian records all the investments correctly under the Fund’s name is critical since the investment portfolio represents the principal element of the financial statements being the single largest asset on the balance sheet.</w:t>
            </w:r>
          </w:p>
        </w:tc>
      </w:tr>
      <w:tr w:rsidR="009278EC" w:rsidTr="009278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1" w:type="dxa"/>
          <w:trHeight w:val="1720"/>
        </w:trPr>
        <w:tc>
          <w:tcPr>
            <w:tcW w:w="1980" w:type="dxa"/>
            <w:tcBorders>
              <w:top w:val="single" w:sz="4" w:space="0" w:color="86BC25"/>
              <w:left w:val="single" w:sz="4" w:space="0" w:color="86BC25"/>
              <w:bottom w:val="single" w:sz="4" w:space="0" w:color="86BC25"/>
              <w:right w:val="nil"/>
            </w:tcBorders>
            <w:hideMark/>
          </w:tcPr>
          <w:p w:rsidR="009278EC" w:rsidRDefault="009278EC">
            <w:pPr>
              <w:widowControl w:val="0"/>
              <w:kinsoku w:val="0"/>
              <w:overflowPunct w:val="0"/>
              <w:textAlignment w:val="baseline"/>
              <w:rPr>
                <w:rFonts w:ascii="Verdana" w:hAnsi="Verdana" w:cs="Arial"/>
                <w:b/>
                <w:sz w:val="18"/>
                <w:szCs w:val="22"/>
              </w:rPr>
            </w:pPr>
            <w:r>
              <w:rPr>
                <w:rFonts w:ascii="Times New Roman" w:hAnsi="Times New Roman"/>
                <w:noProof/>
                <w:sz w:val="24"/>
                <w:lang w:eastAsia="en-GB"/>
              </w:rPr>
              <mc:AlternateContent>
                <mc:Choice Requires="wpg">
                  <w:drawing>
                    <wp:anchor distT="0" distB="0" distL="114300" distR="114300" simplePos="0" relativeHeight="251706368" behindDoc="1" locked="0" layoutInCell="1" allowOverlap="1" wp14:anchorId="04DA38C4" wp14:editId="42C07146">
                      <wp:simplePos x="0" y="0"/>
                      <wp:positionH relativeFrom="column">
                        <wp:posOffset>39370</wp:posOffset>
                      </wp:positionH>
                      <wp:positionV relativeFrom="page">
                        <wp:posOffset>648970</wp:posOffset>
                      </wp:positionV>
                      <wp:extent cx="359410" cy="359410"/>
                      <wp:effectExtent l="0" t="0" r="2540" b="2540"/>
                      <wp:wrapSquare wrapText="bothSides"/>
                      <wp:docPr id="31" name="Group 31"/>
                      <wp:cNvGraphicFramePr/>
                      <a:graphic xmlns:a="http://schemas.openxmlformats.org/drawingml/2006/main">
                        <a:graphicData uri="http://schemas.microsoft.com/office/word/2010/wordprocessingGroup">
                          <wpg:wgp>
                            <wpg:cNvGrpSpPr/>
                            <wpg:grpSpPr bwMode="auto">
                              <a:xfrm>
                                <a:off x="0" y="0"/>
                                <a:ext cx="359410" cy="359410"/>
                                <a:chOff x="0" y="0"/>
                                <a:chExt cx="340" cy="340"/>
                              </a:xfrm>
                              <a:solidFill>
                                <a:srgbClr val="86BC25"/>
                              </a:solidFill>
                            </wpg:grpSpPr>
                            <wps:wsp>
                              <wps:cNvPr id="123" name="Freeform 123"/>
                              <wps:cNvSpPr>
                                <a:spLocks/>
                              </wps:cNvSpPr>
                              <wps:spPr bwMode="auto">
                                <a:xfrm>
                                  <a:off x="78" y="141"/>
                                  <a:ext cx="28" cy="14"/>
                                </a:xfrm>
                                <a:custGeom>
                                  <a:avLst/>
                                  <a:gdLst>
                                    <a:gd name="T0" fmla="*/ 32 w 43"/>
                                    <a:gd name="T1" fmla="*/ 0 h 21"/>
                                    <a:gd name="T2" fmla="*/ 11 w 43"/>
                                    <a:gd name="T3" fmla="*/ 0 h 21"/>
                                    <a:gd name="T4" fmla="*/ 0 w 43"/>
                                    <a:gd name="T5" fmla="*/ 11 h 21"/>
                                    <a:gd name="T6" fmla="*/ 11 w 43"/>
                                    <a:gd name="T7" fmla="*/ 21 h 21"/>
                                    <a:gd name="T8" fmla="*/ 32 w 43"/>
                                    <a:gd name="T9" fmla="*/ 21 h 21"/>
                                    <a:gd name="T10" fmla="*/ 43 w 43"/>
                                    <a:gd name="T11" fmla="*/ 11 h 21"/>
                                    <a:gd name="T12" fmla="*/ 32 w 4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43" h="21">
                                      <a:moveTo>
                                        <a:pt x="32" y="0"/>
                                      </a:moveTo>
                                      <a:cubicBezTo>
                                        <a:pt x="11" y="0"/>
                                        <a:pt x="11" y="0"/>
                                        <a:pt x="11" y="0"/>
                                      </a:cubicBezTo>
                                      <a:cubicBezTo>
                                        <a:pt x="5" y="0"/>
                                        <a:pt x="0" y="5"/>
                                        <a:pt x="0" y="11"/>
                                      </a:cubicBezTo>
                                      <a:cubicBezTo>
                                        <a:pt x="0" y="17"/>
                                        <a:pt x="5" y="21"/>
                                        <a:pt x="11" y="21"/>
                                      </a:cubicBezTo>
                                      <a:cubicBezTo>
                                        <a:pt x="32" y="21"/>
                                        <a:pt x="32" y="21"/>
                                        <a:pt x="32" y="21"/>
                                      </a:cubicBezTo>
                                      <a:cubicBezTo>
                                        <a:pt x="38" y="21"/>
                                        <a:pt x="43" y="17"/>
                                        <a:pt x="43" y="11"/>
                                      </a:cubicBezTo>
                                      <a:cubicBezTo>
                                        <a:pt x="43" y="5"/>
                                        <a:pt x="38" y="0"/>
                                        <a:pt x="3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78" y="99"/>
                                  <a:ext cx="28" cy="14"/>
                                </a:xfrm>
                                <a:custGeom>
                                  <a:avLst/>
                                  <a:gdLst>
                                    <a:gd name="T0" fmla="*/ 32 w 43"/>
                                    <a:gd name="T1" fmla="*/ 0 h 21"/>
                                    <a:gd name="T2" fmla="*/ 11 w 43"/>
                                    <a:gd name="T3" fmla="*/ 0 h 21"/>
                                    <a:gd name="T4" fmla="*/ 0 w 43"/>
                                    <a:gd name="T5" fmla="*/ 11 h 21"/>
                                    <a:gd name="T6" fmla="*/ 11 w 43"/>
                                    <a:gd name="T7" fmla="*/ 21 h 21"/>
                                    <a:gd name="T8" fmla="*/ 32 w 43"/>
                                    <a:gd name="T9" fmla="*/ 21 h 21"/>
                                    <a:gd name="T10" fmla="*/ 43 w 43"/>
                                    <a:gd name="T11" fmla="*/ 11 h 21"/>
                                    <a:gd name="T12" fmla="*/ 32 w 4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43" h="21">
                                      <a:moveTo>
                                        <a:pt x="32" y="0"/>
                                      </a:moveTo>
                                      <a:cubicBezTo>
                                        <a:pt x="11" y="0"/>
                                        <a:pt x="11" y="0"/>
                                        <a:pt x="11" y="0"/>
                                      </a:cubicBezTo>
                                      <a:cubicBezTo>
                                        <a:pt x="5" y="0"/>
                                        <a:pt x="0" y="5"/>
                                        <a:pt x="0" y="11"/>
                                      </a:cubicBezTo>
                                      <a:cubicBezTo>
                                        <a:pt x="0" y="17"/>
                                        <a:pt x="5" y="21"/>
                                        <a:pt x="11" y="21"/>
                                      </a:cubicBezTo>
                                      <a:cubicBezTo>
                                        <a:pt x="32" y="21"/>
                                        <a:pt x="32" y="21"/>
                                        <a:pt x="32" y="21"/>
                                      </a:cubicBezTo>
                                      <a:cubicBezTo>
                                        <a:pt x="38" y="21"/>
                                        <a:pt x="43" y="17"/>
                                        <a:pt x="43" y="11"/>
                                      </a:cubicBezTo>
                                      <a:cubicBezTo>
                                        <a:pt x="43" y="5"/>
                                        <a:pt x="38" y="0"/>
                                        <a:pt x="3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7" name="Freeform 127"/>
                              <wps:cNvSpPr>
                                <a:spLocks/>
                              </wps:cNvSpPr>
                              <wps:spPr bwMode="auto">
                                <a:xfrm>
                                  <a:off x="78" y="184"/>
                                  <a:ext cx="28" cy="14"/>
                                </a:xfrm>
                                <a:custGeom>
                                  <a:avLst/>
                                  <a:gdLst>
                                    <a:gd name="T0" fmla="*/ 32 w 43"/>
                                    <a:gd name="T1" fmla="*/ 0 h 21"/>
                                    <a:gd name="T2" fmla="*/ 11 w 43"/>
                                    <a:gd name="T3" fmla="*/ 0 h 21"/>
                                    <a:gd name="T4" fmla="*/ 0 w 43"/>
                                    <a:gd name="T5" fmla="*/ 11 h 21"/>
                                    <a:gd name="T6" fmla="*/ 11 w 43"/>
                                    <a:gd name="T7" fmla="*/ 21 h 21"/>
                                    <a:gd name="T8" fmla="*/ 32 w 43"/>
                                    <a:gd name="T9" fmla="*/ 21 h 21"/>
                                    <a:gd name="T10" fmla="*/ 43 w 43"/>
                                    <a:gd name="T11" fmla="*/ 11 h 21"/>
                                    <a:gd name="T12" fmla="*/ 32 w 4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43" h="21">
                                      <a:moveTo>
                                        <a:pt x="32" y="0"/>
                                      </a:moveTo>
                                      <a:cubicBezTo>
                                        <a:pt x="11" y="0"/>
                                        <a:pt x="11" y="0"/>
                                        <a:pt x="11" y="0"/>
                                      </a:cubicBezTo>
                                      <a:cubicBezTo>
                                        <a:pt x="5" y="0"/>
                                        <a:pt x="0" y="5"/>
                                        <a:pt x="0" y="11"/>
                                      </a:cubicBezTo>
                                      <a:cubicBezTo>
                                        <a:pt x="0" y="17"/>
                                        <a:pt x="5" y="21"/>
                                        <a:pt x="11" y="21"/>
                                      </a:cubicBezTo>
                                      <a:cubicBezTo>
                                        <a:pt x="32" y="21"/>
                                        <a:pt x="32" y="21"/>
                                        <a:pt x="32" y="21"/>
                                      </a:cubicBezTo>
                                      <a:cubicBezTo>
                                        <a:pt x="38" y="21"/>
                                        <a:pt x="43" y="17"/>
                                        <a:pt x="43" y="11"/>
                                      </a:cubicBezTo>
                                      <a:cubicBezTo>
                                        <a:pt x="43" y="5"/>
                                        <a:pt x="38" y="0"/>
                                        <a:pt x="3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 name="Freeform 137"/>
                              <wps:cNvSpPr>
                                <a:spLocks/>
                              </wps:cNvSpPr>
                              <wps:spPr bwMode="auto">
                                <a:xfrm>
                                  <a:off x="127" y="141"/>
                                  <a:ext cx="135" cy="14"/>
                                </a:xfrm>
                                <a:custGeom>
                                  <a:avLst/>
                                  <a:gdLst>
                                    <a:gd name="T0" fmla="*/ 192 w 202"/>
                                    <a:gd name="T1" fmla="*/ 0 h 21"/>
                                    <a:gd name="T2" fmla="*/ 10 w 202"/>
                                    <a:gd name="T3" fmla="*/ 0 h 21"/>
                                    <a:gd name="T4" fmla="*/ 0 w 202"/>
                                    <a:gd name="T5" fmla="*/ 11 h 21"/>
                                    <a:gd name="T6" fmla="*/ 10 w 202"/>
                                    <a:gd name="T7" fmla="*/ 21 h 21"/>
                                    <a:gd name="T8" fmla="*/ 192 w 202"/>
                                    <a:gd name="T9" fmla="*/ 21 h 21"/>
                                    <a:gd name="T10" fmla="*/ 202 w 202"/>
                                    <a:gd name="T11" fmla="*/ 11 h 21"/>
                                    <a:gd name="T12" fmla="*/ 192 w 202"/>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02" h="21">
                                      <a:moveTo>
                                        <a:pt x="192" y="0"/>
                                      </a:moveTo>
                                      <a:cubicBezTo>
                                        <a:pt x="10" y="0"/>
                                        <a:pt x="10" y="0"/>
                                        <a:pt x="10" y="0"/>
                                      </a:cubicBezTo>
                                      <a:cubicBezTo>
                                        <a:pt x="4" y="0"/>
                                        <a:pt x="0" y="5"/>
                                        <a:pt x="0" y="11"/>
                                      </a:cubicBezTo>
                                      <a:cubicBezTo>
                                        <a:pt x="0" y="17"/>
                                        <a:pt x="4" y="21"/>
                                        <a:pt x="10" y="21"/>
                                      </a:cubicBezTo>
                                      <a:cubicBezTo>
                                        <a:pt x="192" y="21"/>
                                        <a:pt x="192" y="21"/>
                                        <a:pt x="192" y="21"/>
                                      </a:cubicBezTo>
                                      <a:cubicBezTo>
                                        <a:pt x="198" y="21"/>
                                        <a:pt x="202" y="17"/>
                                        <a:pt x="202" y="11"/>
                                      </a:cubicBezTo>
                                      <a:cubicBezTo>
                                        <a:pt x="202" y="5"/>
                                        <a:pt x="198" y="0"/>
                                        <a:pt x="1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8" name="Freeform 138"/>
                              <wps:cNvSpPr>
                                <a:spLocks/>
                              </wps:cNvSpPr>
                              <wps:spPr bwMode="auto">
                                <a:xfrm>
                                  <a:off x="127" y="99"/>
                                  <a:ext cx="135" cy="14"/>
                                </a:xfrm>
                                <a:custGeom>
                                  <a:avLst/>
                                  <a:gdLst>
                                    <a:gd name="T0" fmla="*/ 10 w 202"/>
                                    <a:gd name="T1" fmla="*/ 21 h 21"/>
                                    <a:gd name="T2" fmla="*/ 192 w 202"/>
                                    <a:gd name="T3" fmla="*/ 21 h 21"/>
                                    <a:gd name="T4" fmla="*/ 202 w 202"/>
                                    <a:gd name="T5" fmla="*/ 11 h 21"/>
                                    <a:gd name="T6" fmla="*/ 192 w 202"/>
                                    <a:gd name="T7" fmla="*/ 0 h 21"/>
                                    <a:gd name="T8" fmla="*/ 10 w 202"/>
                                    <a:gd name="T9" fmla="*/ 0 h 21"/>
                                    <a:gd name="T10" fmla="*/ 0 w 202"/>
                                    <a:gd name="T11" fmla="*/ 11 h 21"/>
                                    <a:gd name="T12" fmla="*/ 10 w 202"/>
                                    <a:gd name="T13" fmla="*/ 21 h 21"/>
                                  </a:gdLst>
                                  <a:ahLst/>
                                  <a:cxnLst>
                                    <a:cxn ang="0">
                                      <a:pos x="T0" y="T1"/>
                                    </a:cxn>
                                    <a:cxn ang="0">
                                      <a:pos x="T2" y="T3"/>
                                    </a:cxn>
                                    <a:cxn ang="0">
                                      <a:pos x="T4" y="T5"/>
                                    </a:cxn>
                                    <a:cxn ang="0">
                                      <a:pos x="T6" y="T7"/>
                                    </a:cxn>
                                    <a:cxn ang="0">
                                      <a:pos x="T8" y="T9"/>
                                    </a:cxn>
                                    <a:cxn ang="0">
                                      <a:pos x="T10" y="T11"/>
                                    </a:cxn>
                                    <a:cxn ang="0">
                                      <a:pos x="T12" y="T13"/>
                                    </a:cxn>
                                  </a:cxnLst>
                                  <a:rect l="0" t="0" r="r" b="b"/>
                                  <a:pathLst>
                                    <a:path w="202" h="21">
                                      <a:moveTo>
                                        <a:pt x="10" y="21"/>
                                      </a:moveTo>
                                      <a:cubicBezTo>
                                        <a:pt x="192" y="21"/>
                                        <a:pt x="192" y="21"/>
                                        <a:pt x="192" y="21"/>
                                      </a:cubicBezTo>
                                      <a:cubicBezTo>
                                        <a:pt x="198" y="21"/>
                                        <a:pt x="202" y="17"/>
                                        <a:pt x="202" y="11"/>
                                      </a:cubicBezTo>
                                      <a:cubicBezTo>
                                        <a:pt x="202" y="5"/>
                                        <a:pt x="198" y="0"/>
                                        <a:pt x="192" y="0"/>
                                      </a:cubicBezTo>
                                      <a:cubicBezTo>
                                        <a:pt x="10" y="0"/>
                                        <a:pt x="10" y="0"/>
                                        <a:pt x="10" y="0"/>
                                      </a:cubicBezTo>
                                      <a:cubicBezTo>
                                        <a:pt x="4" y="0"/>
                                        <a:pt x="0" y="5"/>
                                        <a:pt x="0" y="11"/>
                                      </a:cubicBezTo>
                                      <a:cubicBezTo>
                                        <a:pt x="0" y="17"/>
                                        <a:pt x="4" y="21"/>
                                        <a:pt x="10" y="2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9" name="Freeform 139"/>
                              <wps:cNvSpPr>
                                <a:spLocks/>
                              </wps:cNvSpPr>
                              <wps:spPr bwMode="auto">
                                <a:xfrm>
                                  <a:off x="127" y="184"/>
                                  <a:ext cx="135" cy="14"/>
                                </a:xfrm>
                                <a:custGeom>
                                  <a:avLst/>
                                  <a:gdLst>
                                    <a:gd name="T0" fmla="*/ 192 w 202"/>
                                    <a:gd name="T1" fmla="*/ 0 h 21"/>
                                    <a:gd name="T2" fmla="*/ 10 w 202"/>
                                    <a:gd name="T3" fmla="*/ 0 h 21"/>
                                    <a:gd name="T4" fmla="*/ 0 w 202"/>
                                    <a:gd name="T5" fmla="*/ 11 h 21"/>
                                    <a:gd name="T6" fmla="*/ 10 w 202"/>
                                    <a:gd name="T7" fmla="*/ 21 h 21"/>
                                    <a:gd name="T8" fmla="*/ 192 w 202"/>
                                    <a:gd name="T9" fmla="*/ 21 h 21"/>
                                    <a:gd name="T10" fmla="*/ 202 w 202"/>
                                    <a:gd name="T11" fmla="*/ 11 h 21"/>
                                    <a:gd name="T12" fmla="*/ 192 w 202"/>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02" h="21">
                                      <a:moveTo>
                                        <a:pt x="192" y="0"/>
                                      </a:moveTo>
                                      <a:cubicBezTo>
                                        <a:pt x="10" y="0"/>
                                        <a:pt x="10" y="0"/>
                                        <a:pt x="10" y="0"/>
                                      </a:cubicBezTo>
                                      <a:cubicBezTo>
                                        <a:pt x="4" y="0"/>
                                        <a:pt x="0" y="5"/>
                                        <a:pt x="0" y="11"/>
                                      </a:cubicBezTo>
                                      <a:cubicBezTo>
                                        <a:pt x="0" y="17"/>
                                        <a:pt x="4" y="21"/>
                                        <a:pt x="10" y="21"/>
                                      </a:cubicBezTo>
                                      <a:cubicBezTo>
                                        <a:pt x="192" y="21"/>
                                        <a:pt x="192" y="21"/>
                                        <a:pt x="192" y="21"/>
                                      </a:cubicBezTo>
                                      <a:cubicBezTo>
                                        <a:pt x="198" y="21"/>
                                        <a:pt x="202" y="17"/>
                                        <a:pt x="202" y="11"/>
                                      </a:cubicBezTo>
                                      <a:cubicBezTo>
                                        <a:pt x="202" y="5"/>
                                        <a:pt x="198" y="0"/>
                                        <a:pt x="1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0" name="Freeform 140"/>
                              <wps:cNvSpPr>
                                <a:spLocks/>
                              </wps:cNvSpPr>
                              <wps:spPr bwMode="auto">
                                <a:xfrm>
                                  <a:off x="78" y="226"/>
                                  <a:ext cx="28" cy="14"/>
                                </a:xfrm>
                                <a:custGeom>
                                  <a:avLst/>
                                  <a:gdLst>
                                    <a:gd name="T0" fmla="*/ 32 w 43"/>
                                    <a:gd name="T1" fmla="*/ 0 h 21"/>
                                    <a:gd name="T2" fmla="*/ 11 w 43"/>
                                    <a:gd name="T3" fmla="*/ 0 h 21"/>
                                    <a:gd name="T4" fmla="*/ 0 w 43"/>
                                    <a:gd name="T5" fmla="*/ 11 h 21"/>
                                    <a:gd name="T6" fmla="*/ 11 w 43"/>
                                    <a:gd name="T7" fmla="*/ 21 h 21"/>
                                    <a:gd name="T8" fmla="*/ 32 w 43"/>
                                    <a:gd name="T9" fmla="*/ 21 h 21"/>
                                    <a:gd name="T10" fmla="*/ 43 w 43"/>
                                    <a:gd name="T11" fmla="*/ 11 h 21"/>
                                    <a:gd name="T12" fmla="*/ 32 w 43"/>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43" h="21">
                                      <a:moveTo>
                                        <a:pt x="32" y="0"/>
                                      </a:moveTo>
                                      <a:cubicBezTo>
                                        <a:pt x="11" y="0"/>
                                        <a:pt x="11" y="0"/>
                                        <a:pt x="11" y="0"/>
                                      </a:cubicBezTo>
                                      <a:cubicBezTo>
                                        <a:pt x="5" y="0"/>
                                        <a:pt x="0" y="5"/>
                                        <a:pt x="0" y="11"/>
                                      </a:cubicBezTo>
                                      <a:cubicBezTo>
                                        <a:pt x="0" y="17"/>
                                        <a:pt x="5" y="21"/>
                                        <a:pt x="11" y="21"/>
                                      </a:cubicBezTo>
                                      <a:cubicBezTo>
                                        <a:pt x="32" y="21"/>
                                        <a:pt x="32" y="21"/>
                                        <a:pt x="32" y="21"/>
                                      </a:cubicBezTo>
                                      <a:cubicBezTo>
                                        <a:pt x="38" y="21"/>
                                        <a:pt x="43" y="17"/>
                                        <a:pt x="43" y="11"/>
                                      </a:cubicBezTo>
                                      <a:cubicBezTo>
                                        <a:pt x="43" y="5"/>
                                        <a:pt x="38" y="0"/>
                                        <a:pt x="3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1" name="Freeform 141"/>
                              <wps:cNvSpPr>
                                <a:spLocks/>
                              </wps:cNvSpPr>
                              <wps:spPr bwMode="auto">
                                <a:xfrm>
                                  <a:off x="127" y="226"/>
                                  <a:ext cx="135" cy="14"/>
                                </a:xfrm>
                                <a:custGeom>
                                  <a:avLst/>
                                  <a:gdLst>
                                    <a:gd name="T0" fmla="*/ 192 w 202"/>
                                    <a:gd name="T1" fmla="*/ 0 h 21"/>
                                    <a:gd name="T2" fmla="*/ 10 w 202"/>
                                    <a:gd name="T3" fmla="*/ 0 h 21"/>
                                    <a:gd name="T4" fmla="*/ 0 w 202"/>
                                    <a:gd name="T5" fmla="*/ 11 h 21"/>
                                    <a:gd name="T6" fmla="*/ 10 w 202"/>
                                    <a:gd name="T7" fmla="*/ 21 h 21"/>
                                    <a:gd name="T8" fmla="*/ 192 w 202"/>
                                    <a:gd name="T9" fmla="*/ 21 h 21"/>
                                    <a:gd name="T10" fmla="*/ 202 w 202"/>
                                    <a:gd name="T11" fmla="*/ 11 h 21"/>
                                    <a:gd name="T12" fmla="*/ 192 w 202"/>
                                    <a:gd name="T13" fmla="*/ 0 h 21"/>
                                  </a:gdLst>
                                  <a:ahLst/>
                                  <a:cxnLst>
                                    <a:cxn ang="0">
                                      <a:pos x="T0" y="T1"/>
                                    </a:cxn>
                                    <a:cxn ang="0">
                                      <a:pos x="T2" y="T3"/>
                                    </a:cxn>
                                    <a:cxn ang="0">
                                      <a:pos x="T4" y="T5"/>
                                    </a:cxn>
                                    <a:cxn ang="0">
                                      <a:pos x="T6" y="T7"/>
                                    </a:cxn>
                                    <a:cxn ang="0">
                                      <a:pos x="T8" y="T9"/>
                                    </a:cxn>
                                    <a:cxn ang="0">
                                      <a:pos x="T10" y="T11"/>
                                    </a:cxn>
                                    <a:cxn ang="0">
                                      <a:pos x="T12" y="T13"/>
                                    </a:cxn>
                                  </a:cxnLst>
                                  <a:rect l="0" t="0" r="r" b="b"/>
                                  <a:pathLst>
                                    <a:path w="202" h="21">
                                      <a:moveTo>
                                        <a:pt x="192" y="0"/>
                                      </a:moveTo>
                                      <a:cubicBezTo>
                                        <a:pt x="10" y="0"/>
                                        <a:pt x="10" y="0"/>
                                        <a:pt x="10" y="0"/>
                                      </a:cubicBezTo>
                                      <a:cubicBezTo>
                                        <a:pt x="4" y="0"/>
                                        <a:pt x="0" y="5"/>
                                        <a:pt x="0" y="11"/>
                                      </a:cubicBezTo>
                                      <a:cubicBezTo>
                                        <a:pt x="0" y="17"/>
                                        <a:pt x="4" y="21"/>
                                        <a:pt x="10" y="21"/>
                                      </a:cubicBezTo>
                                      <a:cubicBezTo>
                                        <a:pt x="192" y="21"/>
                                        <a:pt x="192" y="21"/>
                                        <a:pt x="192" y="21"/>
                                      </a:cubicBezTo>
                                      <a:cubicBezTo>
                                        <a:pt x="198" y="21"/>
                                        <a:pt x="202" y="17"/>
                                        <a:pt x="202" y="11"/>
                                      </a:cubicBezTo>
                                      <a:cubicBezTo>
                                        <a:pt x="202" y="5"/>
                                        <a:pt x="198" y="0"/>
                                        <a:pt x="1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2" name="Freeform 142"/>
                              <wps:cNvSpPr>
                                <a:spLocks noEditPoints="1"/>
                              </wps:cNvSpPr>
                              <wps:spPr bwMode="auto">
                                <a:xfrm>
                                  <a:off x="0" y="0"/>
                                  <a:ext cx="340" cy="340"/>
                                </a:xfrm>
                                <a:custGeom>
                                  <a:avLst/>
                                  <a:gdLst>
                                    <a:gd name="T0" fmla="*/ 256 w 512"/>
                                    <a:gd name="T1" fmla="*/ 21 h 512"/>
                                    <a:gd name="T2" fmla="*/ 490 w 512"/>
                                    <a:gd name="T3" fmla="*/ 256 h 512"/>
                                    <a:gd name="T4" fmla="*/ 256 w 512"/>
                                    <a:gd name="T5" fmla="*/ 490 h 512"/>
                                    <a:gd name="T6" fmla="*/ 21 w 512"/>
                                    <a:gd name="T7" fmla="*/ 256 h 512"/>
                                    <a:gd name="T8" fmla="*/ 256 w 512"/>
                                    <a:gd name="T9" fmla="*/ 21 h 512"/>
                                    <a:gd name="T10" fmla="*/ 256 w 512"/>
                                    <a:gd name="T11" fmla="*/ 0 h 512"/>
                                    <a:gd name="T12" fmla="*/ 0 w 512"/>
                                    <a:gd name="T13" fmla="*/ 256 h 512"/>
                                    <a:gd name="T14" fmla="*/ 256 w 512"/>
                                    <a:gd name="T15" fmla="*/ 512 h 512"/>
                                    <a:gd name="T16" fmla="*/ 512 w 512"/>
                                    <a:gd name="T17" fmla="*/ 256 h 512"/>
                                    <a:gd name="T18" fmla="*/ 256 w 512"/>
                                    <a:gd name="T19" fmla="*/ 0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512">
                                      <a:moveTo>
                                        <a:pt x="256" y="21"/>
                                      </a:moveTo>
                                      <a:cubicBezTo>
                                        <a:pt x="385" y="21"/>
                                        <a:pt x="490" y="126"/>
                                        <a:pt x="490" y="256"/>
                                      </a:cubicBezTo>
                                      <a:cubicBezTo>
                                        <a:pt x="490" y="385"/>
                                        <a:pt x="385" y="490"/>
                                        <a:pt x="256" y="490"/>
                                      </a:cubicBezTo>
                                      <a:cubicBezTo>
                                        <a:pt x="126" y="490"/>
                                        <a:pt x="21" y="385"/>
                                        <a:pt x="21" y="256"/>
                                      </a:cubicBezTo>
                                      <a:cubicBezTo>
                                        <a:pt x="21" y="126"/>
                                        <a:pt x="126" y="21"/>
                                        <a:pt x="256" y="21"/>
                                      </a:cubicBezTo>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1" o:spid="_x0000_s1026" style="position:absolute;margin-left:3.1pt;margin-top:51.1pt;width:28.3pt;height:28.3pt;z-index:-251610112;mso-position-vertical-relative:page;mso-width-relative:margin;mso-height-relative:margin"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">
                      <v:shape id="Freeform 123" o:spid="_x0000_s1027" style="position:absolute;left:78;top:141;width:28;height:14;visibility:visible;mso-wrap-style:square;v-text-anchor:top" coordsize="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4QW8IA&#10;AADcAAAADwAAAGRycy9kb3ducmV2LnhtbERPS2sCMRC+F/ofwhS81azKiqxGKQWpHtfHobfpZvaB&#10;m8mSpLr6640geJuP7zmLVW9acSbnG8sKRsMEBHFhdcOVgsN+/TkD4QOyxtYyKbiSh9Xy/W2BmbYX&#10;zum8C5WIIewzVFCH0GVS+qImg35oO+LIldYZDBG6SmqHlxhuWjlOkqk02HBsqLGj75qK0+7fKMh/&#10;fkOZlhs3Tf5ufbrOR1tOj0oNPvqvOYhAfXiJn+6NjvPHE3g8Ey+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hBbwgAAANwAAAAPAAAAAAAAAAAAAAAAAJgCAABkcnMvZG93&#10;bnJldi54bWxQSwUGAAAAAAQABAD1AAAAhwMAAAAA&#10;" path="m32,c11,,11,,11,,5,,,5,,11v,6,5,10,11,10c32,21,32,21,32,21v6,,11,-4,11,-10c43,5,38,,32,xe" filled="f" stroked="f">
                        <v:path arrowok="t" o:connecttype="custom" o:connectlocs="21,0;7,0;0,7;7,14;21,14;28,7;21,0" o:connectangles="0,0,0,0,0,0,0"/>
                      </v:shape>
                      <v:shape id="Freeform 124" o:spid="_x0000_s1028" style="position:absolute;left:78;top:99;width:28;height:14;visibility:visible;mso-wrap-style:square;v-text-anchor:top" coordsize="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eIL8IA&#10;AADcAAAADwAAAGRycy9kb3ducmV2LnhtbERPS2sCMRC+F/ofwhS81aziiqxGKQWpHtfHobfpZvaB&#10;m8mSpLr6640geJuP7zmLVW9acSbnG8sKRsMEBHFhdcOVgsN+/TkD4QOyxtYyKbiSh9Xy/W2BmbYX&#10;zum8C5WIIewzVFCH0GVS+qImg35oO+LIldYZDBG6SmqHlxhuWjlOkqk02HBsqLGj75qK0+7fKMh/&#10;fkOZlhs3Tf5ufbrOR1tOj0oNPvqvOYhAfXiJn+6NjvPHE3g8Ey+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54gvwgAAANwAAAAPAAAAAAAAAAAAAAAAAJgCAABkcnMvZG93&#10;bnJldi54bWxQSwUGAAAAAAQABAD1AAAAhwMAAAAA&#10;" path="m32,c11,,11,,11,,5,,,5,,11v,6,5,10,11,10c32,21,32,21,32,21v6,,11,-4,11,-10c43,5,38,,32,xe" filled="f" stroked="f">
                        <v:path arrowok="t" o:connecttype="custom" o:connectlocs="21,0;7,0;0,7;7,14;21,14;28,7;21,0" o:connectangles="0,0,0,0,0,0,0"/>
                      </v:shape>
                      <v:shape id="Freeform 127" o:spid="_x0000_s1029" style="position:absolute;left:78;top:184;width:28;height:14;visibility:visible;mso-wrap-style:square;v-text-anchor:top" coordsize="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WWMEA&#10;AADcAAAADwAAAGRycy9kb3ducmV2LnhtbERPS2sCMRC+F/wPYQRvNauwVlajiCDV41o9eBs3sw/c&#10;TJYk1dVf3xQKvc3H95zlujetuJPzjWUFk3ECgriwuuFKwelr9z4H4QOyxtYyKXiSh/Vq8LbETNsH&#10;53Q/hkrEEPYZKqhD6DIpfVGTQT+2HXHkSusMhghdJbXDRww3rZwmyUwabDg21NjRtqbidvw2CvLP&#10;SyjTcu9myfXVp7t8cuD0rNRo2G8WIAL14V/8597rOH/6Ab/Px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1FljBAAAA3AAAAA8AAAAAAAAAAAAAAAAAmAIAAGRycy9kb3du&#10;cmV2LnhtbFBLBQYAAAAABAAEAPUAAACGAwAAAAA=&#10;" path="m32,c11,,11,,11,,5,,,5,,11v,6,5,10,11,10c32,21,32,21,32,21v6,,11,-4,11,-10c43,5,38,,32,xe" filled="f" stroked="f">
                        <v:path arrowok="t" o:connecttype="custom" o:connectlocs="21,0;7,0;0,7;7,14;21,14;28,7;21,0" o:connectangles="0,0,0,0,0,0,0"/>
                      </v:shape>
                      <v:shape id="Freeform 137" o:spid="_x0000_s1030" style="position:absolute;left:127;top:141;width:135;height:14;visibility:visible;mso-wrap-style:square;v-text-anchor:top" coordsize="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B8OsQA&#10;AADcAAAADwAAAGRycy9kb3ducmV2LnhtbERPTWvCQBC9C/6HZQQvUjdVsG3qKiJUrDlI1UOPQ3ZM&#10;UrOzIbuN23/vFgRv83ifM18GU4uOWldZVvA8TkAQ51ZXXCg4HT+eXkE4j6yxtkwK/sjBctHvzTHV&#10;9spf1B18IWIIuxQVlN43qZQuL8mgG9uGOHJn2xr0EbaF1C1eY7ip5SRJZtJgxbGhxIbWJeWXw69R&#10;sA7ZZrr97j5nvAmjt1F2/sl2e6WGg7B6B+Ep+If47t7qOH/6Av/PxA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QfDrEAAAA3AAAAA8AAAAAAAAAAAAAAAAAmAIAAGRycy9k&#10;b3ducmV2LnhtbFBLBQYAAAAABAAEAPUAAACJAwAAAAA=&#10;" path="m192,c10,,10,,10,,4,,,5,,11v,6,4,10,10,10c192,21,192,21,192,21v6,,10,-4,10,-10c202,5,198,,192,xe" filled="f" stroked="f">
                        <v:path arrowok="t" o:connecttype="custom" o:connectlocs="128,0;7,0;0,7;7,14;128,14;135,7;128,0" o:connectangles="0,0,0,0,0,0,0"/>
                      </v:shape>
                      <v:shape id="Freeform 138" o:spid="_x0000_s1031" style="position:absolute;left:127;top:99;width:135;height:14;visibility:visible;mso-wrap-style:square;v-text-anchor:top" coordsize="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SMcA&#10;AADcAAAADwAAAGRycy9kb3ducmV2LnhtbESPQWvCQBCF7wX/wzIFL1I3VZA2dRURKrY5iLaHHofs&#10;mKTNzobsNq7/3jkUepvhvXnvm+U6uVYN1IfGs4HHaQaKuPS24crA58frwxOoEJEttp7JwJUCrFej&#10;uyXm1l/4SMMpVkpCOORooI6xy7UOZU0Ow9R3xKKdfe8wytpX2vZ4kXDX6lmWLbTDhqWhxo62NZU/&#10;p19nYJuK3Xz/NbwteJcmz5Pi/F28H4wZ36fNC6hIKf6b/673VvDnQivPyAR6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6EjHAAAA3AAAAA8AAAAAAAAAAAAAAAAAmAIAAGRy&#10;cy9kb3ducmV2LnhtbFBLBQYAAAAABAAEAPUAAACMAwAAAAA=&#10;" path="m10,21v182,,182,,182,c198,21,202,17,202,11,202,5,198,,192,,10,,10,,10,,4,,,5,,11v,6,4,10,10,10xe" filled="f" stroked="f">
                        <v:path arrowok="t" o:connecttype="custom" o:connectlocs="7,14;128,14;135,7;128,0;7,0;0,7;7,14" o:connectangles="0,0,0,0,0,0,0"/>
                      </v:shape>
                      <v:shape id="Freeform 139" o:spid="_x0000_s1032" style="position:absolute;left:127;top:184;width:135;height:14;visibility:visible;mso-wrap-style:square;v-text-anchor:top" coordsize="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NN08QA&#10;AADcAAAADwAAAGRycy9kb3ducmV2LnhtbERPTWvCQBC9F/wPywi9SN2oIBpdRQTFmoOoPXgcsmOS&#10;Njsbstu4/fduodDbPN7nLNfB1KKj1lWWFYyGCQji3OqKCwUf193bDITzyBpry6TghxysV72XJaba&#10;PvhM3cUXIoawS1FB6X2TSunykgy6oW2II3e3rUEfYVtI3eIjhptajpNkKg1WHBtKbGhbUv51+TYK&#10;tiHbTw637n3K+zCYD7L7Z3Y8KfXaD5sFCE/B/4v/3Acd50/m8PtMvE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DTdPEAAAA3AAAAA8AAAAAAAAAAAAAAAAAmAIAAGRycy9k&#10;b3ducmV2LnhtbFBLBQYAAAAABAAEAPUAAACJAwAAAAA=&#10;" path="m192,c10,,10,,10,,4,,,5,,11v,6,4,10,10,10c192,21,192,21,192,21v6,,10,-4,10,-10c202,5,198,,192,xe" filled="f" stroked="f">
                        <v:path arrowok="t" o:connecttype="custom" o:connectlocs="128,0;7,0;0,7;7,14;128,14;135,7;128,0" o:connectangles="0,0,0,0,0,0,0"/>
                      </v:shape>
                      <v:shape id="Freeform 140" o:spid="_x0000_s1033" style="position:absolute;left:78;top:226;width:28;height:14;visibility:visible;mso-wrap-style:square;v-text-anchor:top" coordsize="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rjMUA&#10;AADcAAAADwAAAGRycy9kb3ducmV2LnhtbESPT2/CMAzF75P2HSJP2m2kTBRNHQFNkxBwLLDDbl7j&#10;/tEap0oy6Pj0+IDEzdZ7fu/nxWp0vTpRiJ1nA9NJBoq48rbjxsDxsH55AxUTssXeMxn4pwir5ePD&#10;Agvrz1zSaZ8aJSEcCzTQpjQUWseqJYdx4gdi0WofHCZZQ6NtwLOEu16/ZtlcO+xYGloc6LOl6nf/&#10;5wyUm+9U5/U2zLOfy5ivy+mO8y9jnp/Gj3dQicZ0N9+ut1bwZ4Ivz8gE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2uMxQAAANwAAAAPAAAAAAAAAAAAAAAAAJgCAABkcnMv&#10;ZG93bnJldi54bWxQSwUGAAAAAAQABAD1AAAAigMAAAAA&#10;" path="m32,c11,,11,,11,,5,,,5,,11v,6,5,10,11,10c32,21,32,21,32,21v6,,11,-4,11,-10c43,5,38,,32,xe" filled="f" stroked="f">
                        <v:path arrowok="t" o:connecttype="custom" o:connectlocs="21,0;7,0;0,7;7,14;21,14;28,7;21,0" o:connectangles="0,0,0,0,0,0,0"/>
                      </v:shape>
                      <v:shape id="Freeform 141" o:spid="_x0000_s1034" style="position:absolute;left:127;top:226;width:135;height:14;visibility:visible;mso-wrap-style:square;v-text-anchor:top" coordsize="2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MyqMUA&#10;AADcAAAADwAAAGRycy9kb3ducmV2LnhtbERPS2vCQBC+F/oflil4Ed1Yi2jqKkWoaHMQHwePQ3ZM&#10;0mZnQ3aN67/vCoXe5uN7znwZTC06al1lWcFomIAgzq2uuFBwOn4OpiCcR9ZYWyYFd3KwXDw/zTHV&#10;9sZ76g6+EDGEXYoKSu+bVEqXl2TQDW1DHLmLbQ36CNtC6hZvMdzU8jVJJtJgxbGhxIZWJeU/h6tR&#10;sArZerw5d9sJr0N/1s8u39nXTqneS/h4B+Ep+H/xn3uj4/y3ETyei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zKoxQAAANwAAAAPAAAAAAAAAAAAAAAAAJgCAABkcnMv&#10;ZG93bnJldi54bWxQSwUGAAAAAAQABAD1AAAAigMAAAAA&#10;" path="m192,c10,,10,,10,,4,,,5,,11v,6,4,10,10,10c192,21,192,21,192,21v6,,10,-4,10,-10c202,5,198,,192,xe" filled="f" stroked="f">
                        <v:path arrowok="t" o:connecttype="custom" o:connectlocs="128,0;7,0;0,7;7,14;128,14;135,7;128,0" o:connectangles="0,0,0,0,0,0,0"/>
                      </v:shape>
                      <v:shape id="Freeform 142" o:spid="_x0000_s1035" style="position:absolute;width:340;height:340;visibility:visible;mso-wrap-style:square;v-text-anchor:top" coordsize="51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ZBcEA&#10;AADcAAAADwAAAGRycy9kb3ducmV2LnhtbERPTYvCMBC9C/sfwizsTROliHSNIsKCLiho9eBtaGbb&#10;YjPpNlHrvzeC4G0e73Om887W4kqtrxxrGA4UCOLcmYoLDYfspz8B4QOywdoxabiTh/nsozfF1Lgb&#10;7+i6D4WIIexT1FCG0KRS+rwki37gGuLI/bnWYoiwLaRp8RbDbS1HSo2lxYpjQ4kNLUvKz/uL1UDJ&#10;cmtOx2G2SZRSx7X9z1b2V+uvz27xDSJQF97il3tl4vxkBM9n4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g2QXBAAAA3AAAAA8AAAAAAAAAAAAAAAAAmAIAAGRycy9kb3du&#10;cmV2LnhtbFBLBQYAAAAABAAEAPUAAACGAwAAAAA=&#10;" path="m256,21v129,,234,105,234,235c490,385,385,490,256,490,126,490,21,385,21,256,21,126,126,21,256,21m256,c114,,,114,,256,,397,114,512,256,512v141,,256,-115,256,-256c512,114,397,,256,xe" filled="f" stroked="f">
                        <v:path arrowok="t" o:connecttype="custom" o:connectlocs="170,14;325,170;170,325;14,170;170,14;170,0;0,170;170,340;340,170;170,0" o:connectangles="0,0,0,0,0,0,0,0,0,0"/>
                        <o:lock v:ext="edit" verticies="t"/>
                      </v:shape>
                      <w10:wrap type="square" anchory="page"/>
                    </v:group>
                  </w:pict>
                </mc:Fallback>
              </mc:AlternateContent>
            </w:r>
            <w:r>
              <w:rPr>
                <w:rFonts w:ascii="Verdana" w:hAnsi="Verdana" w:cs="Arial"/>
                <w:b/>
                <w:sz w:val="18"/>
                <w:szCs w:val="22"/>
              </w:rPr>
              <w:t>How the scope of our audit responded to the key audit matter</w:t>
            </w:r>
          </w:p>
        </w:tc>
        <w:tc>
          <w:tcPr>
            <w:tcW w:w="7016" w:type="dxa"/>
            <w:gridSpan w:val="2"/>
            <w:tcBorders>
              <w:top w:val="single" w:sz="4" w:space="0" w:color="86BC25"/>
              <w:left w:val="nil"/>
              <w:bottom w:val="single" w:sz="4" w:space="0" w:color="86BC25"/>
              <w:right w:val="single" w:sz="4" w:space="0" w:color="86BC25"/>
            </w:tcBorders>
          </w:tcPr>
          <w:p w:rsidR="009278EC" w:rsidRDefault="009278EC">
            <w:pPr>
              <w:widowControl w:val="0"/>
              <w:kinsoku w:val="0"/>
              <w:overflowPunct w:val="0"/>
              <w:textAlignment w:val="baseline"/>
              <w:rPr>
                <w:rFonts w:ascii="Verdana" w:hAnsi="Verdana" w:cs="Arial"/>
                <w:sz w:val="18"/>
                <w:szCs w:val="22"/>
              </w:rPr>
            </w:pPr>
            <w:r>
              <w:rPr>
                <w:rFonts w:ascii="Verdana" w:hAnsi="Verdana" w:cs="Arial"/>
                <w:sz w:val="18"/>
                <w:szCs w:val="22"/>
              </w:rPr>
              <w:t>Our procedures on ownership of investments included:</w:t>
            </w:r>
          </w:p>
          <w:p w:rsidR="009278EC" w:rsidRDefault="009278EC">
            <w:pPr>
              <w:widowControl w:val="0"/>
              <w:kinsoku w:val="0"/>
              <w:overflowPunct w:val="0"/>
              <w:textAlignment w:val="baseline"/>
              <w:rPr>
                <w:rFonts w:ascii="Verdana" w:hAnsi="Verdana" w:cs="Arial"/>
                <w:sz w:val="18"/>
                <w:szCs w:val="22"/>
              </w:rPr>
            </w:pPr>
          </w:p>
          <w:p w:rsidR="009278EC" w:rsidRDefault="009278EC" w:rsidP="009278EC">
            <w:pPr>
              <w:pStyle w:val="ListParagraph"/>
              <w:numPr>
                <w:ilvl w:val="0"/>
                <w:numId w:val="68"/>
              </w:numPr>
              <w:rPr>
                <w:rFonts w:ascii="Verdana" w:hAnsi="Verdana" w:cs="Arial"/>
                <w:sz w:val="18"/>
                <w:szCs w:val="18"/>
              </w:rPr>
            </w:pPr>
            <w:r>
              <w:rPr>
                <w:rFonts w:ascii="Verdana" w:hAnsi="Verdana" w:cs="Arial"/>
                <w:sz w:val="18"/>
                <w:szCs w:val="18"/>
              </w:rPr>
              <w:t xml:space="preserve">evaluation of the design and implementation of key controls around custody of investments; and </w:t>
            </w:r>
          </w:p>
          <w:p w:rsidR="009278EC" w:rsidRDefault="009278EC" w:rsidP="009278EC">
            <w:pPr>
              <w:pStyle w:val="ListParagraph"/>
              <w:numPr>
                <w:ilvl w:val="0"/>
                <w:numId w:val="68"/>
              </w:numPr>
              <w:rPr>
                <w:rFonts w:ascii="Verdana" w:hAnsi="Verdana" w:cs="Arial"/>
                <w:sz w:val="18"/>
              </w:rPr>
            </w:pPr>
            <w:r>
              <w:rPr>
                <w:rFonts w:ascii="Verdana" w:hAnsi="Verdana" w:cs="Arial"/>
                <w:sz w:val="18"/>
              </w:rPr>
              <w:t>confirm the holdings to independent third party confirmations provided by the Fund’s custodian; and</w:t>
            </w:r>
          </w:p>
          <w:p w:rsidR="009278EC" w:rsidRDefault="009278EC" w:rsidP="009278EC">
            <w:pPr>
              <w:pStyle w:val="ListParagraph"/>
              <w:numPr>
                <w:ilvl w:val="0"/>
                <w:numId w:val="68"/>
              </w:numPr>
              <w:rPr>
                <w:rFonts w:ascii="Verdana" w:eastAsia="Times New Roman" w:hAnsi="Verdana" w:cs="Arial"/>
                <w:sz w:val="18"/>
                <w:lang w:eastAsia="en-US"/>
              </w:rPr>
            </w:pPr>
            <w:r>
              <w:rPr>
                <w:rFonts w:ascii="Verdana" w:hAnsi="Verdana" w:cs="Arial"/>
                <w:sz w:val="18"/>
              </w:rPr>
              <w:t>assessment of procedures implemented by management on the depository and custodial function including review of reports received from these service providers as well as their compliance reporting.</w:t>
            </w:r>
          </w:p>
        </w:tc>
      </w:tr>
      <w:tr w:rsidR="009278EC" w:rsidTr="009278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1" w:type="dxa"/>
          <w:trHeight w:val="1011"/>
        </w:trPr>
        <w:tc>
          <w:tcPr>
            <w:tcW w:w="1980" w:type="dxa"/>
            <w:tcBorders>
              <w:top w:val="single" w:sz="4" w:space="0" w:color="86BC25"/>
              <w:left w:val="single" w:sz="4" w:space="0" w:color="86BC25"/>
              <w:bottom w:val="single" w:sz="4" w:space="0" w:color="86BC25"/>
              <w:right w:val="nil"/>
            </w:tcBorders>
          </w:tcPr>
          <w:p w:rsidR="009278EC" w:rsidRDefault="009278EC">
            <w:pPr>
              <w:widowControl w:val="0"/>
              <w:kinsoku w:val="0"/>
              <w:overflowPunct w:val="0"/>
              <w:textAlignment w:val="baseline"/>
              <w:rPr>
                <w:rFonts w:ascii="Verdana" w:hAnsi="Verdana" w:cs="Arial"/>
                <w:b/>
                <w:sz w:val="18"/>
                <w:szCs w:val="22"/>
              </w:rPr>
            </w:pPr>
            <w:r>
              <w:rPr>
                <w:rFonts w:ascii="Verdana" w:hAnsi="Verdana" w:cs="Arial"/>
                <w:b/>
                <w:sz w:val="18"/>
                <w:szCs w:val="22"/>
              </w:rPr>
              <w:t>Key observations</w:t>
            </w:r>
          </w:p>
          <w:p w:rsidR="009278EC" w:rsidRDefault="009278EC">
            <w:pPr>
              <w:widowControl w:val="0"/>
              <w:kinsoku w:val="0"/>
              <w:overflowPunct w:val="0"/>
              <w:textAlignment w:val="baseline"/>
              <w:rPr>
                <w:rFonts w:ascii="Verdana" w:hAnsi="Verdana" w:cs="Arial"/>
                <w:b/>
                <w:sz w:val="18"/>
                <w:szCs w:val="22"/>
              </w:rPr>
            </w:pPr>
            <w:r>
              <w:rPr>
                <w:rFonts w:ascii="Times New Roman" w:hAnsi="Times New Roman"/>
                <w:noProof/>
                <w:sz w:val="24"/>
                <w:lang w:eastAsia="en-GB"/>
              </w:rPr>
              <mc:AlternateContent>
                <mc:Choice Requires="wpg">
                  <w:drawing>
                    <wp:anchor distT="0" distB="0" distL="114300" distR="114300" simplePos="0" relativeHeight="251707392" behindDoc="0" locked="0" layoutInCell="1" allowOverlap="1" wp14:anchorId="6BC65B80" wp14:editId="33B12BDF">
                      <wp:simplePos x="0" y="0"/>
                      <wp:positionH relativeFrom="column">
                        <wp:posOffset>40640</wp:posOffset>
                      </wp:positionH>
                      <wp:positionV relativeFrom="paragraph">
                        <wp:posOffset>86360</wp:posOffset>
                      </wp:positionV>
                      <wp:extent cx="359410" cy="359410"/>
                      <wp:effectExtent l="0" t="0" r="2540" b="2540"/>
                      <wp:wrapSquare wrapText="bothSides"/>
                      <wp:docPr id="29" name="Group 29"/>
                      <wp:cNvGraphicFramePr/>
                      <a:graphic xmlns:a="http://schemas.openxmlformats.org/drawingml/2006/main">
                        <a:graphicData uri="http://schemas.microsoft.com/office/word/2010/wordprocessingGroup">
                          <wpg:wgp>
                            <wpg:cNvGrpSpPr/>
                            <wpg:grpSpPr bwMode="auto">
                              <a:xfrm>
                                <a:off x="0" y="0"/>
                                <a:ext cx="359410" cy="359410"/>
                                <a:chOff x="0" y="0"/>
                                <a:chExt cx="340" cy="340"/>
                              </a:xfrm>
                              <a:solidFill>
                                <a:srgbClr val="86BC25"/>
                              </a:solidFill>
                            </wpg:grpSpPr>
                            <wps:wsp>
                              <wps:cNvPr id="110" name="Freeform 110"/>
                              <wps:cNvSpPr>
                                <a:spLocks noEditPoints="1"/>
                              </wps:cNvSpPr>
                              <wps:spPr bwMode="auto">
                                <a:xfrm>
                                  <a:off x="0" y="0"/>
                                  <a:ext cx="340" cy="340"/>
                                </a:xfrm>
                                <a:custGeom>
                                  <a:avLst/>
                                  <a:gdLst>
                                    <a:gd name="T0" fmla="*/ 256 w 512"/>
                                    <a:gd name="T1" fmla="*/ 21 h 512"/>
                                    <a:gd name="T2" fmla="*/ 490 w 512"/>
                                    <a:gd name="T3" fmla="*/ 256 h 512"/>
                                    <a:gd name="T4" fmla="*/ 256 w 512"/>
                                    <a:gd name="T5" fmla="*/ 490 h 512"/>
                                    <a:gd name="T6" fmla="*/ 21 w 512"/>
                                    <a:gd name="T7" fmla="*/ 256 h 512"/>
                                    <a:gd name="T8" fmla="*/ 256 w 512"/>
                                    <a:gd name="T9" fmla="*/ 21 h 512"/>
                                    <a:gd name="T10" fmla="*/ 256 w 512"/>
                                    <a:gd name="T11" fmla="*/ 0 h 512"/>
                                    <a:gd name="T12" fmla="*/ 0 w 512"/>
                                    <a:gd name="T13" fmla="*/ 256 h 512"/>
                                    <a:gd name="T14" fmla="*/ 256 w 512"/>
                                    <a:gd name="T15" fmla="*/ 512 h 512"/>
                                    <a:gd name="T16" fmla="*/ 512 w 512"/>
                                    <a:gd name="T17" fmla="*/ 256 h 512"/>
                                    <a:gd name="T18" fmla="*/ 256 w 512"/>
                                    <a:gd name="T19" fmla="*/ 0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512">
                                      <a:moveTo>
                                        <a:pt x="256" y="21"/>
                                      </a:moveTo>
                                      <a:cubicBezTo>
                                        <a:pt x="385" y="21"/>
                                        <a:pt x="490" y="126"/>
                                        <a:pt x="490" y="256"/>
                                      </a:cubicBezTo>
                                      <a:cubicBezTo>
                                        <a:pt x="490" y="385"/>
                                        <a:pt x="385" y="490"/>
                                        <a:pt x="256" y="490"/>
                                      </a:cubicBezTo>
                                      <a:cubicBezTo>
                                        <a:pt x="126" y="490"/>
                                        <a:pt x="21" y="385"/>
                                        <a:pt x="21" y="256"/>
                                      </a:cubicBezTo>
                                      <a:cubicBezTo>
                                        <a:pt x="21" y="126"/>
                                        <a:pt x="126" y="21"/>
                                        <a:pt x="256" y="21"/>
                                      </a:cubicBezTo>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3" name="Freeform 113"/>
                              <wps:cNvSpPr>
                                <a:spLocks noEditPoints="1"/>
                              </wps:cNvSpPr>
                              <wps:spPr bwMode="auto">
                                <a:xfrm>
                                  <a:off x="78" y="70"/>
                                  <a:ext cx="191" cy="192"/>
                                </a:xfrm>
                                <a:custGeom>
                                  <a:avLst/>
                                  <a:gdLst>
                                    <a:gd name="T0" fmla="*/ 256 w 288"/>
                                    <a:gd name="T1" fmla="*/ 32 h 288"/>
                                    <a:gd name="T2" fmla="*/ 245 w 288"/>
                                    <a:gd name="T3" fmla="*/ 0 h 288"/>
                                    <a:gd name="T4" fmla="*/ 235 w 288"/>
                                    <a:gd name="T5" fmla="*/ 39 h 288"/>
                                    <a:gd name="T6" fmla="*/ 139 w 288"/>
                                    <a:gd name="T7" fmla="*/ 11 h 288"/>
                                    <a:gd name="T8" fmla="*/ 44 w 288"/>
                                    <a:gd name="T9" fmla="*/ 251 h 288"/>
                                    <a:gd name="T10" fmla="*/ 24 w 288"/>
                                    <a:gd name="T11" fmla="*/ 285 h 288"/>
                                    <a:gd name="T12" fmla="*/ 40 w 288"/>
                                    <a:gd name="T13" fmla="*/ 285 h 288"/>
                                    <a:gd name="T14" fmla="*/ 139 w 288"/>
                                    <a:gd name="T15" fmla="*/ 288 h 288"/>
                                    <a:gd name="T16" fmla="*/ 238 w 288"/>
                                    <a:gd name="T17" fmla="*/ 285 h 288"/>
                                    <a:gd name="T18" fmla="*/ 253 w 288"/>
                                    <a:gd name="T19" fmla="*/ 285 h 288"/>
                                    <a:gd name="T20" fmla="*/ 233 w 288"/>
                                    <a:gd name="T21" fmla="*/ 251 h 288"/>
                                    <a:gd name="T22" fmla="*/ 244 w 288"/>
                                    <a:gd name="T23" fmla="*/ 60 h 288"/>
                                    <a:gd name="T24" fmla="*/ 277 w 288"/>
                                    <a:gd name="T25" fmla="*/ 54 h 288"/>
                                    <a:gd name="T26" fmla="*/ 277 w 288"/>
                                    <a:gd name="T27" fmla="*/ 32 h 288"/>
                                    <a:gd name="T28" fmla="*/ 139 w 288"/>
                                    <a:gd name="T29" fmla="*/ 267 h 288"/>
                                    <a:gd name="T30" fmla="*/ 139 w 288"/>
                                    <a:gd name="T31" fmla="*/ 32 h 288"/>
                                    <a:gd name="T32" fmla="*/ 199 w 288"/>
                                    <a:gd name="T33" fmla="*/ 75 h 288"/>
                                    <a:gd name="T34" fmla="*/ 43 w 288"/>
                                    <a:gd name="T35" fmla="*/ 150 h 288"/>
                                    <a:gd name="T36" fmla="*/ 235 w 288"/>
                                    <a:gd name="T37" fmla="*/ 150 h 288"/>
                                    <a:gd name="T38" fmla="*/ 229 w 288"/>
                                    <a:gd name="T39" fmla="*/ 75 h 288"/>
                                    <a:gd name="T40" fmla="*/ 213 w 288"/>
                                    <a:gd name="T41" fmla="*/ 150 h 288"/>
                                    <a:gd name="T42" fmla="*/ 64 w 288"/>
                                    <a:gd name="T43" fmla="*/ 150 h 288"/>
                                    <a:gd name="T44" fmla="*/ 183 w 288"/>
                                    <a:gd name="T45" fmla="*/ 90 h 288"/>
                                    <a:gd name="T46" fmla="*/ 139 w 288"/>
                                    <a:gd name="T47" fmla="*/ 96 h 288"/>
                                    <a:gd name="T48" fmla="*/ 139 w 288"/>
                                    <a:gd name="T49" fmla="*/ 203 h 288"/>
                                    <a:gd name="T50" fmla="*/ 183 w 288"/>
                                    <a:gd name="T51" fmla="*/ 120 h 288"/>
                                    <a:gd name="T52" fmla="*/ 213 w 288"/>
                                    <a:gd name="T53" fmla="*/ 150 h 288"/>
                                    <a:gd name="T54" fmla="*/ 139 w 288"/>
                                    <a:gd name="T55" fmla="*/ 182 h 288"/>
                                    <a:gd name="T56" fmla="*/ 139 w 288"/>
                                    <a:gd name="T57" fmla="*/ 118 h 288"/>
                                    <a:gd name="T58" fmla="*/ 131 w 288"/>
                                    <a:gd name="T59" fmla="*/ 142 h 288"/>
                                    <a:gd name="T60" fmla="*/ 139 w 288"/>
                                    <a:gd name="T61" fmla="*/ 160 h 288"/>
                                    <a:gd name="T62" fmla="*/ 167 w 288"/>
                                    <a:gd name="T63" fmla="*/ 136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8" h="288">
                                      <a:moveTo>
                                        <a:pt x="277" y="32"/>
                                      </a:moveTo>
                                      <a:cubicBezTo>
                                        <a:pt x="256" y="32"/>
                                        <a:pt x="256" y="32"/>
                                        <a:pt x="256" y="32"/>
                                      </a:cubicBezTo>
                                      <a:cubicBezTo>
                                        <a:pt x="256" y="11"/>
                                        <a:pt x="256" y="11"/>
                                        <a:pt x="256" y="11"/>
                                      </a:cubicBezTo>
                                      <a:cubicBezTo>
                                        <a:pt x="256" y="5"/>
                                        <a:pt x="251" y="0"/>
                                        <a:pt x="245" y="0"/>
                                      </a:cubicBezTo>
                                      <a:cubicBezTo>
                                        <a:pt x="239" y="0"/>
                                        <a:pt x="235" y="5"/>
                                        <a:pt x="235" y="11"/>
                                      </a:cubicBezTo>
                                      <a:cubicBezTo>
                                        <a:pt x="235" y="39"/>
                                        <a:pt x="235" y="39"/>
                                        <a:pt x="235" y="39"/>
                                      </a:cubicBezTo>
                                      <a:cubicBezTo>
                                        <a:pt x="229" y="44"/>
                                        <a:pt x="229" y="44"/>
                                        <a:pt x="229" y="44"/>
                                      </a:cubicBezTo>
                                      <a:cubicBezTo>
                                        <a:pt x="205" y="24"/>
                                        <a:pt x="173" y="11"/>
                                        <a:pt x="139" y="11"/>
                                      </a:cubicBezTo>
                                      <a:cubicBezTo>
                                        <a:pt x="62" y="11"/>
                                        <a:pt x="0" y="73"/>
                                        <a:pt x="0" y="150"/>
                                      </a:cubicBezTo>
                                      <a:cubicBezTo>
                                        <a:pt x="0" y="189"/>
                                        <a:pt x="17" y="225"/>
                                        <a:pt x="44" y="251"/>
                                      </a:cubicBezTo>
                                      <a:cubicBezTo>
                                        <a:pt x="24" y="270"/>
                                        <a:pt x="24" y="270"/>
                                        <a:pt x="24" y="270"/>
                                      </a:cubicBezTo>
                                      <a:cubicBezTo>
                                        <a:pt x="20" y="274"/>
                                        <a:pt x="20" y="281"/>
                                        <a:pt x="24" y="285"/>
                                      </a:cubicBezTo>
                                      <a:cubicBezTo>
                                        <a:pt x="27" y="287"/>
                                        <a:pt x="29" y="288"/>
                                        <a:pt x="32" y="288"/>
                                      </a:cubicBezTo>
                                      <a:cubicBezTo>
                                        <a:pt x="35" y="288"/>
                                        <a:pt x="37" y="287"/>
                                        <a:pt x="40" y="285"/>
                                      </a:cubicBezTo>
                                      <a:cubicBezTo>
                                        <a:pt x="61" y="264"/>
                                        <a:pt x="61" y="264"/>
                                        <a:pt x="61" y="264"/>
                                      </a:cubicBezTo>
                                      <a:cubicBezTo>
                                        <a:pt x="83" y="279"/>
                                        <a:pt x="110" y="288"/>
                                        <a:pt x="139" y="288"/>
                                      </a:cubicBezTo>
                                      <a:cubicBezTo>
                                        <a:pt x="168" y="288"/>
                                        <a:pt x="194" y="279"/>
                                        <a:pt x="217" y="264"/>
                                      </a:cubicBezTo>
                                      <a:cubicBezTo>
                                        <a:pt x="238" y="285"/>
                                        <a:pt x="238" y="285"/>
                                        <a:pt x="238" y="285"/>
                                      </a:cubicBezTo>
                                      <a:cubicBezTo>
                                        <a:pt x="240" y="287"/>
                                        <a:pt x="243" y="288"/>
                                        <a:pt x="245" y="288"/>
                                      </a:cubicBezTo>
                                      <a:cubicBezTo>
                                        <a:pt x="248" y="288"/>
                                        <a:pt x="251" y="287"/>
                                        <a:pt x="253" y="285"/>
                                      </a:cubicBezTo>
                                      <a:cubicBezTo>
                                        <a:pt x="257" y="281"/>
                                        <a:pt x="257" y="274"/>
                                        <a:pt x="253" y="270"/>
                                      </a:cubicBezTo>
                                      <a:cubicBezTo>
                                        <a:pt x="233" y="251"/>
                                        <a:pt x="233" y="251"/>
                                        <a:pt x="233" y="251"/>
                                      </a:cubicBezTo>
                                      <a:cubicBezTo>
                                        <a:pt x="260" y="225"/>
                                        <a:pt x="277" y="189"/>
                                        <a:pt x="277" y="150"/>
                                      </a:cubicBezTo>
                                      <a:cubicBezTo>
                                        <a:pt x="277" y="115"/>
                                        <a:pt x="265" y="84"/>
                                        <a:pt x="244" y="60"/>
                                      </a:cubicBezTo>
                                      <a:cubicBezTo>
                                        <a:pt x="250" y="54"/>
                                        <a:pt x="250" y="54"/>
                                        <a:pt x="250" y="54"/>
                                      </a:cubicBezTo>
                                      <a:cubicBezTo>
                                        <a:pt x="277" y="54"/>
                                        <a:pt x="277" y="54"/>
                                        <a:pt x="277" y="54"/>
                                      </a:cubicBezTo>
                                      <a:cubicBezTo>
                                        <a:pt x="283" y="54"/>
                                        <a:pt x="288" y="49"/>
                                        <a:pt x="288" y="43"/>
                                      </a:cubicBezTo>
                                      <a:cubicBezTo>
                                        <a:pt x="288" y="37"/>
                                        <a:pt x="283" y="32"/>
                                        <a:pt x="277" y="32"/>
                                      </a:cubicBezTo>
                                      <a:close/>
                                      <a:moveTo>
                                        <a:pt x="256" y="150"/>
                                      </a:moveTo>
                                      <a:cubicBezTo>
                                        <a:pt x="256" y="214"/>
                                        <a:pt x="203" y="267"/>
                                        <a:pt x="139" y="267"/>
                                      </a:cubicBezTo>
                                      <a:cubicBezTo>
                                        <a:pt x="74" y="267"/>
                                        <a:pt x="21" y="214"/>
                                        <a:pt x="21" y="150"/>
                                      </a:cubicBezTo>
                                      <a:cubicBezTo>
                                        <a:pt x="21" y="85"/>
                                        <a:pt x="74" y="32"/>
                                        <a:pt x="139" y="32"/>
                                      </a:cubicBezTo>
                                      <a:cubicBezTo>
                                        <a:pt x="167" y="32"/>
                                        <a:pt x="193" y="43"/>
                                        <a:pt x="214" y="60"/>
                                      </a:cubicBezTo>
                                      <a:cubicBezTo>
                                        <a:pt x="199" y="75"/>
                                        <a:pt x="199" y="75"/>
                                        <a:pt x="199" y="75"/>
                                      </a:cubicBezTo>
                                      <a:cubicBezTo>
                                        <a:pt x="182" y="62"/>
                                        <a:pt x="161" y="54"/>
                                        <a:pt x="139" y="54"/>
                                      </a:cubicBezTo>
                                      <a:cubicBezTo>
                                        <a:pt x="86" y="54"/>
                                        <a:pt x="43" y="97"/>
                                        <a:pt x="43" y="150"/>
                                      </a:cubicBezTo>
                                      <a:cubicBezTo>
                                        <a:pt x="43" y="203"/>
                                        <a:pt x="86" y="246"/>
                                        <a:pt x="139" y="246"/>
                                      </a:cubicBezTo>
                                      <a:cubicBezTo>
                                        <a:pt x="192" y="246"/>
                                        <a:pt x="235" y="203"/>
                                        <a:pt x="235" y="150"/>
                                      </a:cubicBezTo>
                                      <a:cubicBezTo>
                                        <a:pt x="235" y="127"/>
                                        <a:pt x="227" y="106"/>
                                        <a:pt x="214" y="90"/>
                                      </a:cubicBezTo>
                                      <a:cubicBezTo>
                                        <a:pt x="229" y="75"/>
                                        <a:pt x="229" y="75"/>
                                        <a:pt x="229" y="75"/>
                                      </a:cubicBezTo>
                                      <a:cubicBezTo>
                                        <a:pt x="246" y="95"/>
                                        <a:pt x="256" y="121"/>
                                        <a:pt x="256" y="150"/>
                                      </a:cubicBezTo>
                                      <a:close/>
                                      <a:moveTo>
                                        <a:pt x="213" y="150"/>
                                      </a:moveTo>
                                      <a:cubicBezTo>
                                        <a:pt x="213" y="191"/>
                                        <a:pt x="180" y="224"/>
                                        <a:pt x="139" y="224"/>
                                      </a:cubicBezTo>
                                      <a:cubicBezTo>
                                        <a:pt x="97" y="224"/>
                                        <a:pt x="64" y="191"/>
                                        <a:pt x="64" y="150"/>
                                      </a:cubicBezTo>
                                      <a:cubicBezTo>
                                        <a:pt x="64" y="108"/>
                                        <a:pt x="97" y="75"/>
                                        <a:pt x="139" y="75"/>
                                      </a:cubicBezTo>
                                      <a:cubicBezTo>
                                        <a:pt x="155" y="75"/>
                                        <a:pt x="171" y="81"/>
                                        <a:pt x="183" y="90"/>
                                      </a:cubicBezTo>
                                      <a:cubicBezTo>
                                        <a:pt x="168" y="105"/>
                                        <a:pt x="168" y="105"/>
                                        <a:pt x="168" y="105"/>
                                      </a:cubicBezTo>
                                      <a:cubicBezTo>
                                        <a:pt x="160" y="100"/>
                                        <a:pt x="150" y="96"/>
                                        <a:pt x="139" y="96"/>
                                      </a:cubicBezTo>
                                      <a:cubicBezTo>
                                        <a:pt x="109" y="96"/>
                                        <a:pt x="85" y="120"/>
                                        <a:pt x="85" y="150"/>
                                      </a:cubicBezTo>
                                      <a:cubicBezTo>
                                        <a:pt x="85" y="179"/>
                                        <a:pt x="109" y="203"/>
                                        <a:pt x="139" y="203"/>
                                      </a:cubicBezTo>
                                      <a:cubicBezTo>
                                        <a:pt x="168" y="203"/>
                                        <a:pt x="192" y="179"/>
                                        <a:pt x="192" y="150"/>
                                      </a:cubicBezTo>
                                      <a:cubicBezTo>
                                        <a:pt x="192" y="139"/>
                                        <a:pt x="189" y="129"/>
                                        <a:pt x="183" y="120"/>
                                      </a:cubicBezTo>
                                      <a:cubicBezTo>
                                        <a:pt x="198" y="105"/>
                                        <a:pt x="198" y="105"/>
                                        <a:pt x="198" y="105"/>
                                      </a:cubicBezTo>
                                      <a:cubicBezTo>
                                        <a:pt x="208" y="118"/>
                                        <a:pt x="213" y="133"/>
                                        <a:pt x="213" y="150"/>
                                      </a:cubicBezTo>
                                      <a:close/>
                                      <a:moveTo>
                                        <a:pt x="171" y="150"/>
                                      </a:moveTo>
                                      <a:cubicBezTo>
                                        <a:pt x="171" y="167"/>
                                        <a:pt x="156" y="182"/>
                                        <a:pt x="139" y="182"/>
                                      </a:cubicBezTo>
                                      <a:cubicBezTo>
                                        <a:pt x="121" y="182"/>
                                        <a:pt x="107" y="167"/>
                                        <a:pt x="107" y="150"/>
                                      </a:cubicBezTo>
                                      <a:cubicBezTo>
                                        <a:pt x="107" y="132"/>
                                        <a:pt x="121" y="118"/>
                                        <a:pt x="139" y="118"/>
                                      </a:cubicBezTo>
                                      <a:cubicBezTo>
                                        <a:pt x="144" y="118"/>
                                        <a:pt x="148" y="119"/>
                                        <a:pt x="152" y="121"/>
                                      </a:cubicBezTo>
                                      <a:cubicBezTo>
                                        <a:pt x="131" y="142"/>
                                        <a:pt x="131" y="142"/>
                                        <a:pt x="131" y="142"/>
                                      </a:cubicBezTo>
                                      <a:cubicBezTo>
                                        <a:pt x="127" y="146"/>
                                        <a:pt x="127" y="153"/>
                                        <a:pt x="131" y="157"/>
                                      </a:cubicBezTo>
                                      <a:cubicBezTo>
                                        <a:pt x="133" y="159"/>
                                        <a:pt x="136" y="160"/>
                                        <a:pt x="139" y="160"/>
                                      </a:cubicBezTo>
                                      <a:cubicBezTo>
                                        <a:pt x="141" y="160"/>
                                        <a:pt x="144" y="159"/>
                                        <a:pt x="146" y="157"/>
                                      </a:cubicBezTo>
                                      <a:cubicBezTo>
                                        <a:pt x="167" y="136"/>
                                        <a:pt x="167" y="136"/>
                                        <a:pt x="167" y="136"/>
                                      </a:cubicBezTo>
                                      <a:cubicBezTo>
                                        <a:pt x="169" y="140"/>
                                        <a:pt x="171" y="145"/>
                                        <a:pt x="171" y="15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9" o:spid="_x0000_s1026" style="position:absolute;margin-left:3.2pt;margin-top:6.8pt;width:28.3pt;height:28.3pt;z-index:251707392;mso-width-relative:margin;mso-height-relative:margin" coordsize="3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">
                      <v:shape id="Freeform 110" o:spid="_x0000_s1027" style="position:absolute;width:340;height:340;visibility:visible;mso-wrap-style:square;v-text-anchor:top" coordsize="51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3N9MUA&#10;AADcAAAADwAAAGRycy9kb3ducmV2LnhtbESPQWvCQBCF7wX/wzJCb3U3RURSVymCYIUKmnrobchO&#10;k9DsbMyumv77zkHwNsN78943i9XgW3WlPjaBLWQTA4q4DK7hysJXsXmZg4oJ2WEbmCz8UYTVcvS0&#10;wNyFGx/oekyVkhCOOVqoU+pyrWNZk8c4CR2xaD+h95hk7SvterxJuG/1qzEz7bFhaaixo3VN5e/x&#10;4i3QdL1336es+JwaY04f/lxs/c7a5/Hw/gYq0ZAe5vv11gl+JvjyjE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c30xQAAANwAAAAPAAAAAAAAAAAAAAAAAJgCAABkcnMv&#10;ZG93bnJldi54bWxQSwUGAAAAAAQABAD1AAAAigMAAAAA&#10;" path="m256,21v129,,234,105,234,235c490,385,385,490,256,490,126,490,21,385,21,256,21,126,126,21,256,21m256,c114,,,114,,256,,397,114,512,256,512v141,,256,-115,256,-256c512,114,397,,256,xe" filled="f" stroked="f">
                        <v:path arrowok="t" o:connecttype="custom" o:connectlocs="170,14;325,170;170,325;14,170;170,14;170,0;0,170;170,340;340,170;170,0" o:connectangles="0,0,0,0,0,0,0,0,0,0"/>
                        <o:lock v:ext="edit" verticies="t"/>
                      </v:shape>
                      <v:shape id="Freeform 113" o:spid="_x0000_s1028" style="position:absolute;left:78;top:70;width:191;height:192;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Xbv8QA&#10;AADcAAAADwAAAGRycy9kb3ducmV2LnhtbERP32vCMBB+H/g/hBN8m6mWiatGEUE3BsKmA/HtaM62&#10;2FxKkmm7v94Ig73dx/fz5svW1OJKzleWFYyGCQji3OqKCwXfh83zFIQPyBpry6SgIw/LRe9pjpm2&#10;N/6i6z4UIoawz1BBGUKTSenzkgz6oW2II3e2zmCI0BVSO7zFcFPLcZJMpMGKY0OJDa1Lyi/7H6Pg&#10;Nz26Y/pxet3lY9vtuslq+/L2qdSg365mIAK14V/8537Xcf4ohccz8QK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F27/EAAAA3AAAAA8AAAAAAAAAAAAAAAAAmAIAAGRycy9k&#10;b3ducmV2LnhtbFBLBQYAAAAABAAEAPUAAACJAwAAAAA=&#10;" path="m277,32v-21,,-21,,-21,c256,11,256,11,256,11,256,5,251,,245,v-6,,-10,5,-10,11c235,39,235,39,235,39v-6,5,-6,5,-6,5c205,24,173,11,139,11,62,11,,73,,150v,39,17,75,44,101c24,270,24,270,24,270v-4,4,-4,11,,15c27,287,29,288,32,288v3,,5,-1,8,-3c61,264,61,264,61,264v22,15,49,24,78,24c168,288,194,279,217,264v21,21,21,21,21,21c240,287,243,288,245,288v3,,6,-1,8,-3c257,281,257,274,253,270,233,251,233,251,233,251v27,-26,44,-62,44,-101c277,115,265,84,244,60v6,-6,6,-6,6,-6c277,54,277,54,277,54v6,,11,-5,11,-11c288,37,283,32,277,32xm256,150v,64,-53,117,-117,117c74,267,21,214,21,150,21,85,74,32,139,32v28,,54,11,75,28c199,75,199,75,199,75,182,62,161,54,139,54,86,54,43,97,43,150v,53,43,96,96,96c192,246,235,203,235,150v,-23,-8,-44,-21,-60c229,75,229,75,229,75v17,20,27,46,27,75xm213,150v,41,-33,74,-74,74c97,224,64,191,64,150v,-42,33,-75,75,-75c155,75,171,81,183,90v-15,15,-15,15,-15,15c160,100,150,96,139,96v-30,,-54,24,-54,54c85,179,109,203,139,203v29,,53,-24,53,-53c192,139,189,129,183,120v15,-15,15,-15,15,-15c208,118,213,133,213,150xm171,150v,17,-15,32,-32,32c121,182,107,167,107,150v,-18,14,-32,32,-32c144,118,148,119,152,121v-21,21,-21,21,-21,21c127,146,127,153,131,157v2,2,5,3,8,3c141,160,144,159,146,157v21,-21,21,-21,21,-21c169,140,171,145,171,150xe" filled="f" stroked="f">
                        <v:path arrowok="t" o:connecttype="custom" o:connectlocs="170,21;162,0;156,26;92,7;29,167;16,190;27,190;92,192;158,190;168,190;155,167;162,40;184,36;184,21;92,178;92,21;132,50;29,100;156,100;152,50;141,100;42,100;121,60;92,64;92,135;121,80;141,100;92,121;92,79;87,95;92,107;111,91" o:connectangles="0,0,0,0,0,0,0,0,0,0,0,0,0,0,0,0,0,0,0,0,0,0,0,0,0,0,0,0,0,0,0,0"/>
                        <o:lock v:ext="edit" verticies="t"/>
                      </v:shape>
                      <w10:wrap type="square"/>
                    </v:group>
                  </w:pict>
                </mc:Fallback>
              </mc:AlternateContent>
            </w:r>
          </w:p>
          <w:p w:rsidR="009278EC" w:rsidRDefault="009278EC">
            <w:pPr>
              <w:widowControl w:val="0"/>
              <w:kinsoku w:val="0"/>
              <w:overflowPunct w:val="0"/>
              <w:textAlignment w:val="baseline"/>
              <w:rPr>
                <w:rFonts w:ascii="Verdana" w:hAnsi="Verdana" w:cs="Arial"/>
                <w:b/>
                <w:sz w:val="18"/>
                <w:szCs w:val="22"/>
              </w:rPr>
            </w:pPr>
          </w:p>
        </w:tc>
        <w:tc>
          <w:tcPr>
            <w:tcW w:w="7016" w:type="dxa"/>
            <w:gridSpan w:val="2"/>
            <w:tcBorders>
              <w:top w:val="single" w:sz="4" w:space="0" w:color="86BC25"/>
              <w:left w:val="nil"/>
              <w:bottom w:val="single" w:sz="4" w:space="0" w:color="86BC25"/>
              <w:right w:val="single" w:sz="4" w:space="0" w:color="86BC25"/>
            </w:tcBorders>
          </w:tcPr>
          <w:p w:rsidR="009278EC" w:rsidRDefault="009278EC">
            <w:pPr>
              <w:widowControl w:val="0"/>
              <w:kinsoku w:val="0"/>
              <w:overflowPunct w:val="0"/>
              <w:textAlignment w:val="baseline"/>
              <w:rPr>
                <w:rFonts w:ascii="Verdana" w:hAnsi="Verdana" w:cs="Arial"/>
                <w:i/>
                <w:sz w:val="18"/>
                <w:szCs w:val="18"/>
              </w:rPr>
            </w:pPr>
            <w:r>
              <w:rPr>
                <w:rFonts w:ascii="Verdana" w:hAnsi="Verdana" w:cs="Arial"/>
                <w:sz w:val="18"/>
                <w:szCs w:val="18"/>
              </w:rPr>
              <w:t>No material differences were identified by our testing which required reporting to those charged with governance.</w:t>
            </w:r>
          </w:p>
          <w:p w:rsidR="009278EC" w:rsidRDefault="009278EC">
            <w:pPr>
              <w:widowControl w:val="0"/>
              <w:kinsoku w:val="0"/>
              <w:overflowPunct w:val="0"/>
              <w:textAlignment w:val="baseline"/>
              <w:rPr>
                <w:rFonts w:ascii="Verdana" w:hAnsi="Verdana" w:cs="Arial"/>
                <w:sz w:val="18"/>
                <w:szCs w:val="22"/>
              </w:rPr>
            </w:pPr>
          </w:p>
        </w:tc>
      </w:tr>
    </w:tbl>
    <w:p w:rsidR="009278EC" w:rsidRDefault="009278EC" w:rsidP="009278EC">
      <w:pPr>
        <w:rPr>
          <w:rFonts w:ascii="Verdana" w:hAnsi="Verdana"/>
          <w:sz w:val="18"/>
          <w:szCs w:val="18"/>
        </w:rPr>
      </w:pPr>
    </w:p>
    <w:tbl>
      <w:tblPr>
        <w:tblStyle w:val="TableGrid"/>
        <w:tblW w:w="9246" w:type="dxa"/>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080"/>
        <w:gridCol w:w="196"/>
      </w:tblGrid>
      <w:tr w:rsidR="009278EC" w:rsidTr="009278EC">
        <w:trPr>
          <w:gridAfter w:val="1"/>
          <w:wAfter w:w="220" w:type="dxa"/>
        </w:trPr>
        <w:tc>
          <w:tcPr>
            <w:tcW w:w="9026" w:type="dxa"/>
            <w:tcBorders>
              <w:top w:val="nil"/>
              <w:left w:val="nil"/>
              <w:bottom w:val="single" w:sz="4" w:space="0" w:color="86BC25"/>
              <w:right w:val="nil"/>
            </w:tcBorders>
            <w:hideMark/>
          </w:tcPr>
          <w:p w:rsidR="009278EC" w:rsidRDefault="009278EC">
            <w:pPr>
              <w:keepNext/>
              <w:rPr>
                <w:rFonts w:ascii="Verdana" w:hAnsi="Verdana" w:cs="Arial"/>
                <w:color w:val="86BC25"/>
                <w:sz w:val="18"/>
                <w:szCs w:val="18"/>
              </w:rPr>
            </w:pPr>
            <w:r>
              <w:rPr>
                <w:rFonts w:ascii="Verdana" w:hAnsi="Verdana" w:cs="Arial"/>
                <w:b/>
                <w:color w:val="86BC25"/>
                <w:sz w:val="18"/>
                <w:szCs w:val="18"/>
              </w:rPr>
              <w:t>Our application of materiality</w:t>
            </w:r>
          </w:p>
        </w:tc>
      </w:tr>
      <w:tr w:rsidR="009278EC" w:rsidTr="009278EC">
        <w:tc>
          <w:tcPr>
            <w:tcW w:w="9246" w:type="dxa"/>
            <w:gridSpan w:val="2"/>
            <w:tcBorders>
              <w:top w:val="nil"/>
              <w:left w:val="nil"/>
              <w:bottom w:val="nil"/>
              <w:right w:val="nil"/>
            </w:tcBorders>
            <w:hideMark/>
          </w:tcPr>
          <w:p w:rsidR="009278EC" w:rsidRDefault="009278EC">
            <w:pPr>
              <w:rPr>
                <w:rFonts w:ascii="Verdana" w:hAnsi="Verdana" w:cs="Arial"/>
                <w:b/>
                <w:color w:val="4F81BD" w:themeColor="accent1"/>
                <w:sz w:val="18"/>
                <w:szCs w:val="18"/>
              </w:rPr>
            </w:pPr>
            <w:r>
              <w:rPr>
                <w:rFonts w:ascii="Verdana" w:hAnsi="Verdana" w:cs="Arial"/>
                <w:sz w:val="18"/>
                <w:szCs w:val="18"/>
              </w:rPr>
              <w:t xml:space="preserve">We define materiality as the magnitude of misstatement in the financial statements that makes it probable that the economic decisions of a reasonably knowledgeable person would be changed or influenced. We use materiality both in planning the scope of our audit work and in evaluating the results of our work. </w:t>
            </w:r>
          </w:p>
        </w:tc>
      </w:tr>
      <w:tr w:rsidR="009278EC" w:rsidTr="009278EC">
        <w:tc>
          <w:tcPr>
            <w:tcW w:w="9246" w:type="dxa"/>
            <w:gridSpan w:val="2"/>
            <w:tcBorders>
              <w:top w:val="nil"/>
              <w:left w:val="nil"/>
              <w:bottom w:val="nil"/>
              <w:right w:val="nil"/>
            </w:tcBorders>
          </w:tcPr>
          <w:p w:rsidR="009278EC" w:rsidRDefault="009278EC">
            <w:pPr>
              <w:rPr>
                <w:rFonts w:ascii="Verdana" w:hAnsi="Verdana" w:cs="Arial"/>
                <w:sz w:val="18"/>
                <w:szCs w:val="18"/>
              </w:rPr>
            </w:pPr>
            <w:r>
              <w:rPr>
                <w:rFonts w:ascii="Verdana" w:hAnsi="Verdana" w:cs="Arial"/>
                <w:sz w:val="18"/>
                <w:szCs w:val="18"/>
              </w:rPr>
              <w:t>Based on our professional judgement, we determined materiality for the financial statements as a whole as follows:</w:t>
            </w:r>
          </w:p>
          <w:p w:rsidR="009278EC" w:rsidRDefault="009278EC">
            <w:pPr>
              <w:rPr>
                <w:rFonts w:ascii="Verdana" w:hAnsi="Verdana" w:cs="Arial"/>
                <w:sz w:val="18"/>
                <w:szCs w:val="18"/>
              </w:rPr>
            </w:pPr>
          </w:p>
          <w:tbl>
            <w:tblPr>
              <w:tblStyle w:val="TableGrid"/>
              <w:tblW w:w="896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113" w:type="dxa"/>
                <w:bottom w:w="113" w:type="dxa"/>
              </w:tblCellMar>
              <w:tblLook w:val="04A0" w:firstRow="1" w:lastRow="0" w:firstColumn="1" w:lastColumn="0" w:noHBand="0" w:noVBand="1"/>
            </w:tblPr>
            <w:tblGrid>
              <w:gridCol w:w="2155"/>
              <w:gridCol w:w="6808"/>
            </w:tblGrid>
            <w:tr w:rsidR="009278EC">
              <w:tc>
                <w:tcPr>
                  <w:tcW w:w="2155" w:type="dxa"/>
                  <w:tcBorders>
                    <w:top w:val="single" w:sz="4" w:space="0" w:color="86BC25"/>
                    <w:left w:val="single" w:sz="4" w:space="0" w:color="86BC25"/>
                    <w:bottom w:val="single" w:sz="4" w:space="0" w:color="FFFFFF" w:themeColor="background1"/>
                    <w:right w:val="single" w:sz="4" w:space="0" w:color="86BC25"/>
                  </w:tcBorders>
                  <w:shd w:val="clear" w:color="auto" w:fill="86BC25"/>
                </w:tcPr>
                <w:p w:rsidR="009278EC" w:rsidRDefault="009278EC">
                  <w:pPr>
                    <w:keepNext/>
                    <w:keepLines/>
                    <w:rPr>
                      <w:rFonts w:ascii="Verdana" w:hAnsi="Verdana" w:cs="Arial"/>
                      <w:b/>
                      <w:color w:val="FFFFFF" w:themeColor="background1"/>
                      <w:sz w:val="18"/>
                      <w:szCs w:val="18"/>
                    </w:rPr>
                  </w:pPr>
                  <w:r>
                    <w:rPr>
                      <w:rFonts w:ascii="Verdana" w:hAnsi="Verdana" w:cs="Arial"/>
                      <w:b/>
                      <w:color w:val="FFFFFF" w:themeColor="background1"/>
                      <w:sz w:val="18"/>
                      <w:szCs w:val="18"/>
                    </w:rPr>
                    <w:t>Materiality</w:t>
                  </w:r>
                </w:p>
                <w:p w:rsidR="009278EC" w:rsidRDefault="009278EC">
                  <w:pPr>
                    <w:keepNext/>
                    <w:keepLines/>
                    <w:rPr>
                      <w:rFonts w:ascii="Verdana" w:hAnsi="Verdana" w:cs="Arial"/>
                      <w:b/>
                      <w:color w:val="FFFFFF" w:themeColor="background1"/>
                      <w:sz w:val="18"/>
                      <w:szCs w:val="18"/>
                    </w:rPr>
                  </w:pPr>
                </w:p>
              </w:tc>
              <w:tc>
                <w:tcPr>
                  <w:tcW w:w="6808" w:type="dxa"/>
                  <w:tcBorders>
                    <w:top w:val="single" w:sz="4" w:space="0" w:color="86BC25"/>
                    <w:left w:val="single" w:sz="4" w:space="0" w:color="86BC25"/>
                    <w:bottom w:val="single" w:sz="4" w:space="0" w:color="86BC25"/>
                    <w:right w:val="single" w:sz="4" w:space="0" w:color="86BC25"/>
                  </w:tcBorders>
                </w:tcPr>
                <w:p w:rsidR="009278EC" w:rsidRDefault="009278EC">
                  <w:pPr>
                    <w:keepNext/>
                    <w:keepLines/>
                    <w:rPr>
                      <w:rFonts w:ascii="Verdana" w:hAnsi="Verdana" w:cs="Arial"/>
                      <w:sz w:val="18"/>
                      <w:szCs w:val="18"/>
                    </w:rPr>
                  </w:pPr>
                  <w:r>
                    <w:rPr>
                      <w:rFonts w:ascii="Verdana" w:hAnsi="Verdana" w:cs="Arial"/>
                      <w:sz w:val="18"/>
                      <w:szCs w:val="18"/>
                    </w:rPr>
                    <w:t>£1,021,000 (2017: £1,222,000)</w:t>
                  </w:r>
                </w:p>
                <w:p w:rsidR="009278EC" w:rsidRDefault="009278EC">
                  <w:pPr>
                    <w:keepNext/>
                    <w:keepLines/>
                    <w:rPr>
                      <w:rFonts w:ascii="Verdana" w:hAnsi="Verdana" w:cs="Arial"/>
                      <w:sz w:val="18"/>
                      <w:szCs w:val="18"/>
                    </w:rPr>
                  </w:pPr>
                </w:p>
              </w:tc>
            </w:tr>
            <w:tr w:rsidR="009278EC">
              <w:tc>
                <w:tcPr>
                  <w:tcW w:w="2155" w:type="dxa"/>
                  <w:tcBorders>
                    <w:top w:val="single" w:sz="4" w:space="0" w:color="FFFFFF" w:themeColor="background1"/>
                    <w:left w:val="single" w:sz="4" w:space="0" w:color="86BC25"/>
                    <w:bottom w:val="single" w:sz="4" w:space="0" w:color="FFFFFF" w:themeColor="background1"/>
                    <w:right w:val="single" w:sz="4" w:space="0" w:color="86BC25"/>
                  </w:tcBorders>
                  <w:shd w:val="clear" w:color="auto" w:fill="86BC25"/>
                </w:tcPr>
                <w:p w:rsidR="009278EC" w:rsidRDefault="009278EC">
                  <w:pPr>
                    <w:keepNext/>
                    <w:keepLines/>
                    <w:rPr>
                      <w:rFonts w:ascii="Verdana" w:hAnsi="Verdana" w:cs="Arial"/>
                      <w:b/>
                      <w:color w:val="FFFFFF" w:themeColor="background1"/>
                      <w:sz w:val="18"/>
                      <w:szCs w:val="18"/>
                    </w:rPr>
                  </w:pPr>
                  <w:r>
                    <w:rPr>
                      <w:rFonts w:ascii="Verdana" w:hAnsi="Verdana" w:cs="Arial"/>
                      <w:b/>
                      <w:color w:val="FFFFFF" w:themeColor="background1"/>
                      <w:sz w:val="18"/>
                      <w:szCs w:val="18"/>
                    </w:rPr>
                    <w:t>Basis for determining materiality</w:t>
                  </w:r>
                </w:p>
                <w:p w:rsidR="009278EC" w:rsidRDefault="009278EC">
                  <w:pPr>
                    <w:keepNext/>
                    <w:keepLines/>
                    <w:rPr>
                      <w:rFonts w:ascii="Verdana" w:hAnsi="Verdana" w:cs="Arial"/>
                      <w:b/>
                      <w:color w:val="FFFFFF" w:themeColor="background1"/>
                      <w:sz w:val="18"/>
                      <w:szCs w:val="18"/>
                    </w:rPr>
                  </w:pPr>
                </w:p>
              </w:tc>
              <w:tc>
                <w:tcPr>
                  <w:tcW w:w="6808" w:type="dxa"/>
                  <w:tcBorders>
                    <w:top w:val="single" w:sz="4" w:space="0" w:color="86BC25"/>
                    <w:left w:val="single" w:sz="4" w:space="0" w:color="86BC25"/>
                    <w:bottom w:val="single" w:sz="4" w:space="0" w:color="86BC25"/>
                    <w:right w:val="single" w:sz="4" w:space="0" w:color="86BC25"/>
                  </w:tcBorders>
                  <w:hideMark/>
                </w:tcPr>
                <w:p w:rsidR="009278EC" w:rsidRDefault="009278EC">
                  <w:pPr>
                    <w:keepNext/>
                    <w:keepLines/>
                    <w:rPr>
                      <w:rFonts w:ascii="Verdana" w:hAnsi="Verdana" w:cs="Arial"/>
                      <w:i/>
                      <w:sz w:val="18"/>
                      <w:szCs w:val="18"/>
                    </w:rPr>
                  </w:pPr>
                  <w:r>
                    <w:rPr>
                      <w:rFonts w:ascii="Verdana" w:hAnsi="Verdana" w:cs="Arial"/>
                      <w:sz w:val="18"/>
                      <w:szCs w:val="18"/>
                    </w:rPr>
                    <w:t xml:space="preserve">Approximately 1% (2017: 1%) of the Net Asset Value of the Fund. </w:t>
                  </w:r>
                </w:p>
              </w:tc>
            </w:tr>
            <w:tr w:rsidR="009278EC">
              <w:tc>
                <w:tcPr>
                  <w:tcW w:w="2155" w:type="dxa"/>
                  <w:tcBorders>
                    <w:top w:val="single" w:sz="4" w:space="0" w:color="FFFFFF" w:themeColor="background1"/>
                    <w:left w:val="single" w:sz="4" w:space="0" w:color="86BC25"/>
                    <w:bottom w:val="single" w:sz="4" w:space="0" w:color="86BC25"/>
                    <w:right w:val="single" w:sz="4" w:space="0" w:color="86BC25"/>
                  </w:tcBorders>
                  <w:shd w:val="clear" w:color="auto" w:fill="86BC25"/>
                  <w:hideMark/>
                </w:tcPr>
                <w:p w:rsidR="009278EC" w:rsidRDefault="009278EC">
                  <w:pPr>
                    <w:rPr>
                      <w:rFonts w:ascii="Verdana" w:hAnsi="Verdana" w:cs="Arial"/>
                      <w:b/>
                      <w:color w:val="FFFFFF" w:themeColor="background1"/>
                      <w:sz w:val="18"/>
                      <w:szCs w:val="18"/>
                    </w:rPr>
                  </w:pPr>
                  <w:r>
                    <w:rPr>
                      <w:rFonts w:ascii="Verdana" w:hAnsi="Verdana" w:cs="Arial"/>
                      <w:b/>
                      <w:color w:val="FFFFFF" w:themeColor="background1"/>
                      <w:sz w:val="18"/>
                      <w:szCs w:val="18"/>
                    </w:rPr>
                    <w:t>Rationale for the benchmark applied</w:t>
                  </w:r>
                </w:p>
              </w:tc>
              <w:tc>
                <w:tcPr>
                  <w:tcW w:w="6808" w:type="dxa"/>
                  <w:tcBorders>
                    <w:top w:val="single" w:sz="4" w:space="0" w:color="86BC25"/>
                    <w:left w:val="single" w:sz="4" w:space="0" w:color="86BC25"/>
                    <w:bottom w:val="single" w:sz="4" w:space="0" w:color="86BC25"/>
                    <w:right w:val="single" w:sz="4" w:space="0" w:color="86BC25"/>
                  </w:tcBorders>
                  <w:hideMark/>
                </w:tcPr>
                <w:p w:rsidR="009278EC" w:rsidRDefault="009278EC">
                  <w:pPr>
                    <w:rPr>
                      <w:rFonts w:ascii="Verdana" w:hAnsi="Verdana" w:cs="Arial"/>
                      <w:sz w:val="18"/>
                      <w:szCs w:val="18"/>
                    </w:rPr>
                  </w:pPr>
                  <w:r>
                    <w:rPr>
                      <w:rFonts w:ascii="Verdana" w:hAnsi="Verdana" w:cs="Arial"/>
                      <w:sz w:val="18"/>
                      <w:szCs w:val="18"/>
                    </w:rPr>
                    <w:t>The reason for using Net Asset Value is that this is the key performance indicator of the Fund and this benchmark is consistent with the market approach for such entities.</w:t>
                  </w:r>
                </w:p>
              </w:tc>
            </w:tr>
          </w:tbl>
          <w:p w:rsidR="009278EC" w:rsidRDefault="009278EC">
            <w:pPr>
              <w:rPr>
                <w:rFonts w:ascii="Verdana" w:hAnsi="Verdana" w:cs="Arial"/>
                <w:sz w:val="18"/>
                <w:szCs w:val="18"/>
              </w:rPr>
            </w:pPr>
          </w:p>
          <w:p w:rsidR="009278EC" w:rsidRDefault="009278EC">
            <w:pPr>
              <w:rPr>
                <w:rFonts w:ascii="Verdana" w:hAnsi="Verdana" w:cs="Arial"/>
                <w:sz w:val="18"/>
                <w:szCs w:val="22"/>
              </w:rPr>
            </w:pPr>
          </w:p>
          <w:p w:rsidR="009278EC" w:rsidRDefault="009278EC">
            <w:pPr>
              <w:rPr>
                <w:rFonts w:ascii="Verdana" w:hAnsi="Verdana" w:cs="Arial"/>
                <w:sz w:val="18"/>
                <w:szCs w:val="22"/>
              </w:rPr>
            </w:pPr>
          </w:p>
          <w:p w:rsidR="009278EC" w:rsidRDefault="009278EC">
            <w:pPr>
              <w:rPr>
                <w:rFonts w:ascii="Verdana" w:hAnsi="Verdana" w:cs="Arial"/>
                <w:sz w:val="18"/>
                <w:szCs w:val="18"/>
              </w:rPr>
            </w:pPr>
            <w:r>
              <w:rPr>
                <w:rFonts w:ascii="Verdana" w:hAnsi="Verdana" w:cs="Arial"/>
                <w:noProof/>
                <w:sz w:val="18"/>
                <w:szCs w:val="22"/>
                <w:lang w:eastAsia="en-GB"/>
              </w:rPr>
              <w:drawing>
                <wp:inline distT="0" distB="0" distL="0" distR="0" wp14:anchorId="2EECD2EB" wp14:editId="4E645118">
                  <wp:extent cx="5739765" cy="1859280"/>
                  <wp:effectExtent l="0" t="0" r="13335" b="2667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78EC" w:rsidRDefault="009278EC">
            <w:pPr>
              <w:rPr>
                <w:rFonts w:ascii="Verdana" w:hAnsi="Verdana" w:cs="Arial"/>
                <w:sz w:val="18"/>
                <w:szCs w:val="18"/>
              </w:rPr>
            </w:pP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We agreed with the Audit Committee that we would report to the Committee all audit differences in excess of £51,000 (2017: £61,000), as well as differences below that threshold that, in our view, warranted reporting on qualitative grounds. We also report to the Audit Committee on disclosure matters that we identified when assessing the overall presentation of the financial statements.</w:t>
            </w:r>
          </w:p>
        </w:tc>
      </w:tr>
    </w:tbl>
    <w:p w:rsidR="009278EC" w:rsidRDefault="009278EC" w:rsidP="009278EC">
      <w:pPr>
        <w:ind w:right="431"/>
        <w:rPr>
          <w:rFonts w:ascii="Verdana" w:hAnsi="Verdana" w:cs="Arial"/>
          <w:b/>
          <w:sz w:val="18"/>
          <w:szCs w:val="18"/>
        </w:rPr>
      </w:pPr>
    </w:p>
    <w:tbl>
      <w:tblPr>
        <w:tblStyle w:val="TableGrid"/>
        <w:tblW w:w="9075" w:type="dxa"/>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6239"/>
        <w:gridCol w:w="2836"/>
      </w:tblGrid>
      <w:tr w:rsidR="009278EC" w:rsidTr="009278EC">
        <w:tc>
          <w:tcPr>
            <w:tcW w:w="9072" w:type="dxa"/>
            <w:gridSpan w:val="2"/>
            <w:tcBorders>
              <w:top w:val="nil"/>
              <w:left w:val="nil"/>
              <w:bottom w:val="single" w:sz="4" w:space="0" w:color="86BC25"/>
              <w:right w:val="nil"/>
            </w:tcBorders>
            <w:hideMark/>
          </w:tcPr>
          <w:p w:rsidR="009278EC" w:rsidRDefault="009278EC">
            <w:pPr>
              <w:keepNext/>
              <w:rPr>
                <w:rFonts w:ascii="Verdana" w:hAnsi="Verdana" w:cs="Arial"/>
                <w:color w:val="86BC25"/>
                <w:sz w:val="18"/>
                <w:szCs w:val="18"/>
              </w:rPr>
            </w:pPr>
            <w:r>
              <w:rPr>
                <w:rFonts w:ascii="Verdana" w:hAnsi="Verdana" w:cs="Arial"/>
                <w:b/>
                <w:color w:val="86BC25"/>
                <w:sz w:val="18"/>
                <w:szCs w:val="18"/>
              </w:rPr>
              <w:t>An overview of the scope of our audit</w:t>
            </w:r>
          </w:p>
        </w:tc>
      </w:tr>
      <w:tr w:rsidR="009278EC" w:rsidTr="009278EC">
        <w:tc>
          <w:tcPr>
            <w:tcW w:w="9072" w:type="dxa"/>
            <w:gridSpan w:val="2"/>
            <w:tcBorders>
              <w:top w:val="single" w:sz="4" w:space="0" w:color="86BC25"/>
              <w:left w:val="nil"/>
              <w:bottom w:val="nil"/>
              <w:right w:val="nil"/>
            </w:tcBorders>
            <w:hideMark/>
          </w:tcPr>
          <w:p w:rsidR="009278EC" w:rsidRDefault="009278EC" w:rsidP="00E54387">
            <w:pPr>
              <w:pStyle w:val="ListBullet"/>
              <w:numPr>
                <w:ilvl w:val="0"/>
                <w:numId w:val="0"/>
              </w:numPr>
            </w:pPr>
            <w:r>
              <w:t xml:space="preserve">Our audit was scoped by obtaining an understanding of the entity and its environment, including internal control, and assessing the risks of material misstatement. Our audit scope included the assessment of design and implementation of accounting processes and controls in place at third party accounting service provider. Audit work to respond to the risks of material misstatement was performed directly by the audit engagement team.   </w:t>
            </w:r>
          </w:p>
        </w:tc>
      </w:tr>
      <w:tr w:rsidR="009278EC" w:rsidTr="009278EC">
        <w:tc>
          <w:tcPr>
            <w:tcW w:w="9072" w:type="dxa"/>
            <w:gridSpan w:val="2"/>
            <w:tcBorders>
              <w:top w:val="nil"/>
              <w:left w:val="nil"/>
              <w:bottom w:val="single" w:sz="4" w:space="0" w:color="86BC25"/>
              <w:right w:val="nil"/>
            </w:tcBorders>
          </w:tcPr>
          <w:p w:rsidR="009278EC" w:rsidRDefault="009278EC">
            <w:pPr>
              <w:keepNext/>
              <w:rPr>
                <w:rFonts w:ascii="Verdana" w:hAnsi="Verdana" w:cs="Arial"/>
                <w:b/>
                <w:color w:val="86BC25"/>
                <w:sz w:val="18"/>
                <w:szCs w:val="18"/>
              </w:rPr>
            </w:pPr>
          </w:p>
          <w:p w:rsidR="009278EC" w:rsidRDefault="009278EC">
            <w:pPr>
              <w:keepNext/>
              <w:rPr>
                <w:rFonts w:ascii="Verdana" w:hAnsi="Verdana" w:cs="Arial"/>
                <w:b/>
                <w:color w:val="86BC25"/>
                <w:sz w:val="18"/>
                <w:szCs w:val="18"/>
              </w:rPr>
            </w:pPr>
            <w:r>
              <w:rPr>
                <w:rFonts w:ascii="Verdana" w:hAnsi="Verdana" w:cs="Arial"/>
                <w:b/>
                <w:color w:val="86BC25"/>
                <w:sz w:val="18"/>
                <w:szCs w:val="18"/>
              </w:rPr>
              <w:t>Other information</w:t>
            </w:r>
          </w:p>
        </w:tc>
      </w:tr>
      <w:tr w:rsidR="009278EC" w:rsidTr="009278EC">
        <w:tc>
          <w:tcPr>
            <w:tcW w:w="6237" w:type="dxa"/>
            <w:tcBorders>
              <w:top w:val="single" w:sz="4" w:space="0" w:color="86BC25"/>
              <w:left w:val="nil"/>
              <w:bottom w:val="nil"/>
              <w:right w:val="nil"/>
            </w:tcBorders>
          </w:tcPr>
          <w:p w:rsidR="009278EC" w:rsidRDefault="009278EC">
            <w:pPr>
              <w:rPr>
                <w:rFonts w:ascii="Verdana" w:hAnsi="Verdana" w:cs="Arial"/>
                <w:sz w:val="18"/>
                <w:szCs w:val="18"/>
              </w:rPr>
            </w:pPr>
            <w:r>
              <w:rPr>
                <w:rFonts w:ascii="Verdana" w:hAnsi="Verdana" w:cs="Arial"/>
                <w:sz w:val="18"/>
                <w:szCs w:val="18"/>
              </w:rPr>
              <w:t>The directors are responsible for the other information. The other information comprises the information included in the annual report other than the financial statements and our auditor’s report thereon.</w:t>
            </w: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Our opinion on the financial statements does not cover the other information and we do not express any form of assurance conclusion thereon.</w:t>
            </w: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w:t>
            </w: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w:t>
            </w: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In this context, matters that we are specifically required to report to you as uncorrected material misstatements of the other information include where we conclude that:</w:t>
            </w:r>
          </w:p>
          <w:p w:rsidR="009278EC" w:rsidRDefault="009278EC" w:rsidP="00E54387">
            <w:pPr>
              <w:pStyle w:val="ListBullet"/>
            </w:pPr>
            <w:r>
              <w:rPr>
                <w:i/>
              </w:rPr>
              <w:t>Fair, balanced and understandable</w:t>
            </w:r>
            <w:r>
              <w:t xml:space="preserve"> – the statement given by the directors that they consider the annual report and financial statements taken as a whole is fair, balanced and understandable and provides the information necessary for shareholders to assess the Fund’s position and performance, business model and strategy, is materially inconsistent with our knowledge obtained in the audit; or</w:t>
            </w:r>
          </w:p>
          <w:p w:rsidR="009278EC" w:rsidRDefault="009278EC" w:rsidP="00E54387">
            <w:pPr>
              <w:pStyle w:val="ListBullet"/>
            </w:pPr>
            <w:r>
              <w:rPr>
                <w:i/>
              </w:rPr>
              <w:t>Audit committee reporting</w:t>
            </w:r>
            <w:r>
              <w:t xml:space="preserve"> – the section describing the work of the audit committee does not appropriately address matters communicated by us to the audit committee; or</w:t>
            </w:r>
          </w:p>
          <w:p w:rsidR="009278EC" w:rsidRDefault="009278EC" w:rsidP="00E54387">
            <w:pPr>
              <w:pStyle w:val="ListBullet"/>
              <w:rPr>
                <w:color w:val="002060"/>
              </w:rPr>
            </w:pPr>
            <w:r>
              <w:rPr>
                <w:i/>
              </w:rPr>
              <w:t>Directors’ statement of compliance with the UK Corporate Governance Code</w:t>
            </w:r>
            <w:r>
              <w:t xml:space="preserve"> – the parts of the directors’ statement required under the Listing Rules relating to the Fund’s compliance with the UK Corporate Governance Code containing provisions specified for review by the auditor in accordance with Listing Rule 9.8.10R(2) do not properly disclose a departure from a relevant provision of the UK Corporate Governance Code.</w:t>
            </w:r>
          </w:p>
        </w:tc>
        <w:tc>
          <w:tcPr>
            <w:tcW w:w="2835" w:type="dxa"/>
            <w:tcBorders>
              <w:top w:val="single" w:sz="4" w:space="0" w:color="86BC25"/>
              <w:left w:val="nil"/>
              <w:bottom w:val="nil"/>
              <w:right w:val="nil"/>
            </w:tcBorders>
            <w:hideMark/>
          </w:tcPr>
          <w:p w:rsidR="009278EC" w:rsidRDefault="009278EC">
            <w:pPr>
              <w:rPr>
                <w:rFonts w:ascii="Verdana" w:hAnsi="Verdana" w:cs="Arial"/>
                <w:b/>
                <w:i/>
                <w:sz w:val="18"/>
                <w:szCs w:val="18"/>
              </w:rPr>
            </w:pPr>
            <w:r>
              <w:rPr>
                <w:rFonts w:ascii="Verdana" w:hAnsi="Verdana" w:cs="Arial"/>
                <w:b/>
                <w:i/>
                <w:sz w:val="18"/>
                <w:szCs w:val="18"/>
              </w:rPr>
              <w:t>We have nothing to report in respect of these matters.</w:t>
            </w:r>
          </w:p>
        </w:tc>
      </w:tr>
    </w:tbl>
    <w:p w:rsidR="009278EC" w:rsidRDefault="009278EC" w:rsidP="009278EC">
      <w:pPr>
        <w:ind w:right="431"/>
        <w:rPr>
          <w:rFonts w:ascii="Verdana" w:hAnsi="Verdana" w:cs="Arial"/>
          <w:b/>
          <w:sz w:val="18"/>
          <w:szCs w:val="18"/>
        </w:rPr>
      </w:pPr>
    </w:p>
    <w:tbl>
      <w:tblPr>
        <w:tblStyle w:val="TableGrid2"/>
        <w:tblW w:w="9072" w:type="dxa"/>
        <w:tblInd w:w="0" w:type="dxa"/>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072"/>
      </w:tblGrid>
      <w:tr w:rsidR="009278EC" w:rsidTr="009278EC">
        <w:tc>
          <w:tcPr>
            <w:tcW w:w="9072" w:type="dxa"/>
            <w:tcBorders>
              <w:top w:val="nil"/>
              <w:left w:val="nil"/>
              <w:bottom w:val="single" w:sz="4" w:space="0" w:color="86BC25"/>
              <w:right w:val="nil"/>
            </w:tcBorders>
            <w:hideMark/>
          </w:tcPr>
          <w:p w:rsidR="009278EC" w:rsidRDefault="009278EC">
            <w:pPr>
              <w:keepNext/>
              <w:rPr>
                <w:rFonts w:ascii="Verdana" w:eastAsia="Times New Roman" w:hAnsi="Verdana" w:cs="Arial"/>
                <w:color w:val="86BC25"/>
                <w:sz w:val="18"/>
                <w:szCs w:val="18"/>
              </w:rPr>
            </w:pPr>
            <w:r>
              <w:rPr>
                <w:rFonts w:ascii="Verdana" w:hAnsi="Verdana" w:cs="Arial"/>
                <w:b/>
                <w:color w:val="86BC25"/>
                <w:sz w:val="18"/>
                <w:szCs w:val="18"/>
              </w:rPr>
              <w:t>Responsibilities of directors</w:t>
            </w:r>
          </w:p>
        </w:tc>
      </w:tr>
      <w:tr w:rsidR="009278EC" w:rsidTr="009278EC">
        <w:tc>
          <w:tcPr>
            <w:tcW w:w="9072" w:type="dxa"/>
            <w:tcBorders>
              <w:top w:val="single" w:sz="4" w:space="0" w:color="86BC25"/>
              <w:left w:val="nil"/>
              <w:bottom w:val="nil"/>
              <w:right w:val="nil"/>
            </w:tcBorders>
          </w:tcPr>
          <w:p w:rsidR="009278EC" w:rsidRDefault="009278EC">
            <w:pPr>
              <w:rPr>
                <w:rFonts w:ascii="Verdana" w:eastAsia="Times New Roman" w:hAnsi="Verdana" w:cs="Arial"/>
                <w:sz w:val="18"/>
                <w:szCs w:val="18"/>
              </w:rPr>
            </w:pPr>
            <w:r>
              <w:rPr>
                <w:rFonts w:ascii="Verdana" w:hAnsi="Verdana" w:cs="Arial"/>
                <w:sz w:val="18"/>
                <w:szCs w:val="18"/>
              </w:rPr>
              <w:t>As explained more fully in the directors’ responsibilities statement,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w:t>
            </w:r>
          </w:p>
          <w:p w:rsidR="009278EC" w:rsidRDefault="009278EC">
            <w:pPr>
              <w:rPr>
                <w:rFonts w:ascii="Verdana" w:hAnsi="Verdana" w:cs="Arial"/>
                <w:sz w:val="18"/>
                <w:szCs w:val="18"/>
              </w:rPr>
            </w:pPr>
          </w:p>
          <w:p w:rsidR="009278EC" w:rsidRDefault="009278EC">
            <w:pPr>
              <w:rPr>
                <w:rFonts w:ascii="Verdana" w:hAnsi="Verdana" w:cs="Arial"/>
                <w:sz w:val="18"/>
                <w:szCs w:val="18"/>
              </w:rPr>
            </w:pPr>
            <w:r>
              <w:rPr>
                <w:rFonts w:ascii="Verdana" w:hAnsi="Verdana" w:cs="Arial"/>
                <w:sz w:val="18"/>
                <w:szCs w:val="18"/>
              </w:rPr>
              <w:t>In preparing the financial statements, the directors are responsible for assessing the Fund’s  ability to continue as a going concern, disclosing as applicable, matters related to going concern and using the going concern basis of accounting unless the directors either intend to liquidate the Fund or to cease operations, or have no realistic alternative but to do so.</w:t>
            </w:r>
          </w:p>
          <w:p w:rsidR="009278EC" w:rsidRDefault="009278EC">
            <w:pPr>
              <w:rPr>
                <w:rFonts w:ascii="Verdana" w:eastAsia="Times New Roman" w:hAnsi="Verdana" w:cs="Arial"/>
                <w:sz w:val="18"/>
                <w:szCs w:val="18"/>
              </w:rPr>
            </w:pPr>
          </w:p>
        </w:tc>
      </w:tr>
    </w:tbl>
    <w:tbl>
      <w:tblPr>
        <w:tblStyle w:val="TableGrid3"/>
        <w:tblW w:w="8987" w:type="dxa"/>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987"/>
      </w:tblGrid>
      <w:tr w:rsidR="009278EC" w:rsidTr="00E54387">
        <w:trPr>
          <w:trHeight w:val="284"/>
        </w:trPr>
        <w:tc>
          <w:tcPr>
            <w:tcW w:w="8987" w:type="dxa"/>
            <w:tcBorders>
              <w:top w:val="nil"/>
              <w:left w:val="nil"/>
              <w:bottom w:val="single" w:sz="4" w:space="0" w:color="86BC25"/>
              <w:right w:val="nil"/>
            </w:tcBorders>
            <w:hideMark/>
          </w:tcPr>
          <w:p w:rsidR="009278EC" w:rsidRDefault="009278EC">
            <w:pPr>
              <w:keepNext/>
              <w:rPr>
                <w:rFonts w:ascii="Verdana" w:eastAsia="Times New Roman" w:hAnsi="Verdana" w:cs="Arial"/>
                <w:color w:val="86BC25"/>
                <w:sz w:val="18"/>
                <w:szCs w:val="18"/>
              </w:rPr>
            </w:pPr>
            <w:r>
              <w:rPr>
                <w:rFonts w:ascii="Verdana" w:hAnsi="Verdana" w:cs="Arial"/>
                <w:b/>
                <w:color w:val="86BC25"/>
                <w:sz w:val="18"/>
                <w:szCs w:val="18"/>
              </w:rPr>
              <w:t>Auditor’s responsibilities for the audit of the financial statements</w:t>
            </w:r>
          </w:p>
        </w:tc>
      </w:tr>
      <w:tr w:rsidR="009278EC" w:rsidTr="00E54387">
        <w:trPr>
          <w:trHeight w:val="2977"/>
        </w:trPr>
        <w:tc>
          <w:tcPr>
            <w:tcW w:w="8987" w:type="dxa"/>
            <w:tcBorders>
              <w:top w:val="single" w:sz="4" w:space="0" w:color="86BC25"/>
              <w:left w:val="nil"/>
              <w:bottom w:val="nil"/>
              <w:right w:val="nil"/>
            </w:tcBorders>
          </w:tcPr>
          <w:p w:rsidR="009278EC" w:rsidRDefault="009278EC">
            <w:pPr>
              <w:rPr>
                <w:rFonts w:ascii="Verdana" w:eastAsia="Times New Roman" w:hAnsi="Verdana" w:cs="Arial"/>
                <w:sz w:val="18"/>
                <w:szCs w:val="18"/>
              </w:rPr>
            </w:pPr>
            <w:r>
              <w:rPr>
                <w:rFonts w:ascii="Verdana" w:hAnsi="Verdana" w:cs="Arial"/>
                <w:sz w:val="18"/>
                <w:szCs w:val="18"/>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rsidR="009278EC" w:rsidRDefault="009278EC">
            <w:pPr>
              <w:rPr>
                <w:rFonts w:ascii="Verdana" w:hAnsi="Verdana" w:cs="Arial"/>
                <w:sz w:val="18"/>
                <w:szCs w:val="18"/>
              </w:rPr>
            </w:pPr>
          </w:p>
          <w:p w:rsidR="009278EC" w:rsidRDefault="009278EC">
            <w:pPr>
              <w:rPr>
                <w:rFonts w:ascii="Verdana" w:eastAsia="Times New Roman" w:hAnsi="Verdana" w:cs="Arial"/>
                <w:sz w:val="18"/>
                <w:szCs w:val="18"/>
              </w:rPr>
            </w:pPr>
            <w:r>
              <w:rPr>
                <w:rFonts w:ascii="Verdana" w:hAnsi="Verdana" w:cs="Arial"/>
                <w:sz w:val="18"/>
                <w:szCs w:val="18"/>
              </w:rPr>
              <w:t xml:space="preserve">A further description of our responsibilities for the audit of the financial statements is located on the FRC’s website at: </w:t>
            </w:r>
            <w:hyperlink r:id="rId22" w:history="1">
              <w:r>
                <w:rPr>
                  <w:rStyle w:val="Hyperlink"/>
                  <w:rFonts w:ascii="Verdana" w:hAnsi="Verdana" w:cs="Arial"/>
                  <w:sz w:val="18"/>
                  <w:szCs w:val="18"/>
                </w:rPr>
                <w:t>www.frc.org.uk/auditorsresponsibilities</w:t>
              </w:r>
            </w:hyperlink>
            <w:r>
              <w:rPr>
                <w:rFonts w:ascii="Verdana" w:hAnsi="Verdana" w:cs="Arial"/>
                <w:sz w:val="18"/>
                <w:szCs w:val="18"/>
              </w:rPr>
              <w:t>. This description forms part of our auditor’s report.</w:t>
            </w:r>
          </w:p>
        </w:tc>
      </w:tr>
    </w:tbl>
    <w:p w:rsidR="009278EC" w:rsidRDefault="009278EC" w:rsidP="009278EC">
      <w:pPr>
        <w:keepNext/>
        <w:rPr>
          <w:rFonts w:ascii="Verdana" w:hAnsi="Verdana" w:cs="Arial"/>
          <w:b/>
          <w:color w:val="86BC25"/>
          <w:sz w:val="18"/>
          <w:szCs w:val="18"/>
        </w:rPr>
      </w:pPr>
    </w:p>
    <w:p w:rsidR="009278EC" w:rsidRDefault="009278EC" w:rsidP="009278EC">
      <w:pPr>
        <w:rPr>
          <w:rFonts w:ascii="Verdana" w:hAnsi="Verdana" w:cs="Arial"/>
          <w:b/>
          <w:color w:val="86BC25"/>
          <w:sz w:val="18"/>
          <w:szCs w:val="18"/>
        </w:rPr>
      </w:pPr>
      <w:r>
        <w:rPr>
          <w:rFonts w:ascii="Verdana" w:hAnsi="Verdana" w:cs="Arial"/>
          <w:b/>
          <w:color w:val="86BC25"/>
          <w:sz w:val="18"/>
          <w:szCs w:val="18"/>
        </w:rPr>
        <w:br w:type="page"/>
      </w:r>
    </w:p>
    <w:p w:rsidR="009278EC" w:rsidRDefault="009278EC" w:rsidP="009278EC">
      <w:pPr>
        <w:keepNext/>
        <w:rPr>
          <w:rFonts w:ascii="Verdana" w:hAnsi="Verdana" w:cs="Arial"/>
          <w:b/>
          <w:color w:val="86BC25"/>
          <w:sz w:val="18"/>
          <w:szCs w:val="18"/>
        </w:rPr>
      </w:pPr>
      <w:r>
        <w:rPr>
          <w:rFonts w:ascii="Verdana" w:hAnsi="Verdana" w:cs="Arial"/>
          <w:b/>
          <w:color w:val="86BC25"/>
          <w:sz w:val="18"/>
          <w:szCs w:val="18"/>
        </w:rPr>
        <w:t>Report on other legal and regulatory requirements</w:t>
      </w:r>
    </w:p>
    <w:p w:rsidR="009278EC" w:rsidRDefault="009278EC" w:rsidP="009278EC">
      <w:pPr>
        <w:keepNext/>
        <w:ind w:right="289"/>
        <w:rPr>
          <w:rFonts w:ascii="Verdana" w:hAnsi="Verdana" w:cs="Arial"/>
          <w:sz w:val="18"/>
          <w:szCs w:val="18"/>
        </w:rPr>
      </w:pPr>
    </w:p>
    <w:tbl>
      <w:tblPr>
        <w:tblStyle w:val="TableGrid"/>
        <w:tblW w:w="9072" w:type="dxa"/>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6237"/>
        <w:gridCol w:w="2835"/>
      </w:tblGrid>
      <w:tr w:rsidR="009278EC" w:rsidTr="009278EC">
        <w:tc>
          <w:tcPr>
            <w:tcW w:w="9072" w:type="dxa"/>
            <w:gridSpan w:val="2"/>
            <w:tcBorders>
              <w:top w:val="nil"/>
              <w:left w:val="nil"/>
              <w:bottom w:val="single" w:sz="4" w:space="0" w:color="86BC25"/>
              <w:right w:val="nil"/>
            </w:tcBorders>
            <w:hideMark/>
          </w:tcPr>
          <w:p w:rsidR="009278EC" w:rsidRDefault="009278EC">
            <w:pPr>
              <w:keepNext/>
              <w:rPr>
                <w:rFonts w:ascii="Verdana" w:hAnsi="Verdana" w:cs="Arial"/>
                <w:b/>
                <w:color w:val="86BC25"/>
                <w:sz w:val="18"/>
                <w:szCs w:val="18"/>
              </w:rPr>
            </w:pPr>
            <w:r>
              <w:rPr>
                <w:rFonts w:ascii="Verdana" w:hAnsi="Verdana" w:cs="Arial"/>
                <w:b/>
                <w:color w:val="86BC25"/>
                <w:sz w:val="18"/>
                <w:szCs w:val="18"/>
              </w:rPr>
              <w:t>Matters on which we are required to report by exception</w:t>
            </w:r>
          </w:p>
        </w:tc>
      </w:tr>
      <w:tr w:rsidR="009278EC" w:rsidTr="009278EC">
        <w:tc>
          <w:tcPr>
            <w:tcW w:w="6237" w:type="dxa"/>
            <w:tcBorders>
              <w:top w:val="single" w:sz="4" w:space="0" w:color="86BC25"/>
              <w:left w:val="nil"/>
              <w:bottom w:val="nil"/>
              <w:right w:val="nil"/>
            </w:tcBorders>
            <w:hideMark/>
          </w:tcPr>
          <w:p w:rsidR="009278EC" w:rsidRPr="00E54387" w:rsidRDefault="009278EC" w:rsidP="00E54387">
            <w:pPr>
              <w:keepNext/>
              <w:rPr>
                <w:rFonts w:ascii="Verdana" w:hAnsi="Verdana" w:cs="Arial"/>
                <w:b/>
                <w:color w:val="86BC25"/>
                <w:sz w:val="18"/>
                <w:szCs w:val="18"/>
              </w:rPr>
            </w:pPr>
            <w:r w:rsidRPr="00E54387">
              <w:rPr>
                <w:rFonts w:ascii="Verdana" w:hAnsi="Verdana" w:cs="Arial"/>
                <w:b/>
                <w:color w:val="86BC25"/>
                <w:sz w:val="18"/>
                <w:szCs w:val="18"/>
              </w:rPr>
              <w:t>Adequacy of explanations received and accounting records</w:t>
            </w:r>
          </w:p>
          <w:p w:rsidR="009278EC" w:rsidRDefault="009278EC">
            <w:pPr>
              <w:keepNext/>
              <w:rPr>
                <w:rFonts w:ascii="Verdana" w:hAnsi="Verdana" w:cs="Arial"/>
                <w:sz w:val="18"/>
                <w:szCs w:val="18"/>
              </w:rPr>
            </w:pPr>
            <w:r>
              <w:rPr>
                <w:rFonts w:ascii="Verdana" w:hAnsi="Verdana" w:cs="Arial"/>
                <w:sz w:val="18"/>
                <w:szCs w:val="18"/>
              </w:rPr>
              <w:t>Under the Companies (Jersey) Law, 1991 we are required to report to you if, in our opinion:</w:t>
            </w:r>
          </w:p>
          <w:p w:rsidR="009278EC" w:rsidRDefault="009278EC" w:rsidP="009278EC">
            <w:pPr>
              <w:pStyle w:val="ListParagraph"/>
              <w:keepNext/>
              <w:numPr>
                <w:ilvl w:val="0"/>
                <w:numId w:val="65"/>
              </w:numPr>
              <w:rPr>
                <w:rFonts w:ascii="Verdana" w:hAnsi="Verdana" w:cs="Arial"/>
                <w:sz w:val="18"/>
                <w:szCs w:val="18"/>
              </w:rPr>
            </w:pPr>
            <w:r>
              <w:rPr>
                <w:rFonts w:ascii="Verdana" w:hAnsi="Verdana" w:cs="Arial"/>
                <w:sz w:val="18"/>
                <w:szCs w:val="18"/>
              </w:rPr>
              <w:t>we have not received all the information and explanations we require for our audit; or</w:t>
            </w:r>
          </w:p>
          <w:p w:rsidR="009278EC" w:rsidRDefault="009278EC" w:rsidP="009278EC">
            <w:pPr>
              <w:pStyle w:val="ListParagraph"/>
              <w:keepNext/>
              <w:numPr>
                <w:ilvl w:val="0"/>
                <w:numId w:val="65"/>
              </w:numPr>
              <w:rPr>
                <w:rFonts w:ascii="Verdana" w:hAnsi="Verdana" w:cs="Arial"/>
                <w:sz w:val="18"/>
                <w:szCs w:val="18"/>
              </w:rPr>
            </w:pPr>
            <w:r>
              <w:rPr>
                <w:rFonts w:ascii="Verdana" w:hAnsi="Verdana" w:cs="Arial"/>
                <w:sz w:val="18"/>
                <w:szCs w:val="18"/>
              </w:rPr>
              <w:t>proper accounting records have not been kept by the Fund, or proper returns adequate for our audit have not been received from branches not visited by us; or</w:t>
            </w:r>
          </w:p>
          <w:p w:rsidR="009278EC" w:rsidRDefault="009278EC" w:rsidP="009278EC">
            <w:pPr>
              <w:numPr>
                <w:ilvl w:val="0"/>
                <w:numId w:val="65"/>
              </w:numPr>
              <w:rPr>
                <w:rFonts w:ascii="Verdana" w:hAnsi="Verdana" w:cs="Arial"/>
                <w:sz w:val="18"/>
                <w:szCs w:val="18"/>
              </w:rPr>
            </w:pPr>
            <w:r>
              <w:rPr>
                <w:rFonts w:ascii="Verdana" w:hAnsi="Verdana" w:cs="Arial"/>
                <w:sz w:val="18"/>
                <w:szCs w:val="18"/>
              </w:rPr>
              <w:t>the financial statements are not in agreement with the accounting records and returns.</w:t>
            </w:r>
          </w:p>
        </w:tc>
        <w:tc>
          <w:tcPr>
            <w:tcW w:w="2835" w:type="dxa"/>
            <w:tcBorders>
              <w:top w:val="single" w:sz="4" w:space="0" w:color="86BC25"/>
              <w:left w:val="nil"/>
              <w:bottom w:val="nil"/>
              <w:right w:val="nil"/>
            </w:tcBorders>
          </w:tcPr>
          <w:p w:rsidR="009278EC" w:rsidRDefault="009278EC">
            <w:pPr>
              <w:rPr>
                <w:rFonts w:ascii="Verdana" w:hAnsi="Verdana" w:cs="Arial"/>
                <w:b/>
                <w:sz w:val="18"/>
                <w:szCs w:val="18"/>
              </w:rPr>
            </w:pPr>
          </w:p>
          <w:p w:rsidR="009278EC" w:rsidRDefault="009278EC">
            <w:pPr>
              <w:rPr>
                <w:rFonts w:ascii="Verdana" w:hAnsi="Verdana" w:cs="Arial"/>
                <w:b/>
                <w:i/>
                <w:sz w:val="18"/>
                <w:szCs w:val="18"/>
              </w:rPr>
            </w:pPr>
            <w:r>
              <w:rPr>
                <w:rFonts w:ascii="Verdana" w:hAnsi="Verdana" w:cs="Arial"/>
                <w:b/>
                <w:i/>
                <w:sz w:val="18"/>
                <w:szCs w:val="18"/>
              </w:rPr>
              <w:t>We have nothing to report in respect of these matters.</w:t>
            </w:r>
          </w:p>
        </w:tc>
      </w:tr>
    </w:tbl>
    <w:tbl>
      <w:tblPr>
        <w:tblStyle w:val="TableGrid3"/>
        <w:tblW w:w="9072" w:type="dxa"/>
        <w:tblBorders>
          <w:top w:val="single" w:sz="4" w:space="0" w:color="4F81BD" w:themeColor="accent1"/>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072"/>
      </w:tblGrid>
      <w:tr w:rsidR="009278EC" w:rsidTr="009278EC">
        <w:tc>
          <w:tcPr>
            <w:tcW w:w="9072" w:type="dxa"/>
            <w:tcBorders>
              <w:top w:val="nil"/>
              <w:left w:val="nil"/>
              <w:bottom w:val="single" w:sz="4" w:space="0" w:color="86BC25"/>
              <w:right w:val="nil"/>
            </w:tcBorders>
          </w:tcPr>
          <w:p w:rsidR="009278EC" w:rsidRDefault="009278EC">
            <w:pPr>
              <w:keepNext/>
              <w:rPr>
                <w:rFonts w:ascii="Verdana" w:eastAsia="Times New Roman" w:hAnsi="Verdana" w:cs="Arial"/>
                <w:b/>
                <w:color w:val="86BC25"/>
                <w:sz w:val="18"/>
                <w:szCs w:val="18"/>
              </w:rPr>
            </w:pPr>
          </w:p>
          <w:p w:rsidR="009278EC" w:rsidRDefault="009278EC">
            <w:pPr>
              <w:keepNext/>
              <w:rPr>
                <w:rFonts w:ascii="Verdana" w:eastAsia="Times New Roman" w:hAnsi="Verdana" w:cs="Arial"/>
                <w:color w:val="86BC25"/>
                <w:sz w:val="18"/>
                <w:szCs w:val="18"/>
              </w:rPr>
            </w:pPr>
            <w:r>
              <w:rPr>
                <w:rFonts w:ascii="Verdana" w:hAnsi="Verdana" w:cs="Arial"/>
                <w:b/>
                <w:color w:val="86BC25"/>
                <w:sz w:val="18"/>
                <w:szCs w:val="18"/>
              </w:rPr>
              <w:t>Use of our report</w:t>
            </w:r>
          </w:p>
        </w:tc>
      </w:tr>
      <w:tr w:rsidR="009278EC" w:rsidTr="009278EC">
        <w:tc>
          <w:tcPr>
            <w:tcW w:w="9072" w:type="dxa"/>
            <w:tcBorders>
              <w:top w:val="single" w:sz="4" w:space="0" w:color="86BC25"/>
              <w:left w:val="nil"/>
              <w:bottom w:val="nil"/>
              <w:right w:val="nil"/>
            </w:tcBorders>
          </w:tcPr>
          <w:p w:rsidR="009278EC" w:rsidRDefault="009278EC">
            <w:pPr>
              <w:rPr>
                <w:rFonts w:ascii="Verdana" w:eastAsia="Times New Roman" w:hAnsi="Verdana" w:cs="Arial"/>
                <w:sz w:val="18"/>
                <w:szCs w:val="18"/>
              </w:rPr>
            </w:pPr>
            <w:r>
              <w:rPr>
                <w:rFonts w:ascii="Verdana" w:hAnsi="Verdana" w:cs="Arial"/>
                <w:sz w:val="18"/>
                <w:szCs w:val="18"/>
              </w:rPr>
              <w:t>This report is made solely to the Fund’s members, as a body, in accordance with Article 113A of the Companies (Jersey) Law, 1991. Our audit work has been undertaken so that we might state to the Fund’s members those matters we are required to state to them in an auditor’s report and for no other purpose. To the fullest extent permitted by law, we do not accept or assume responsibility to anyone other than the Fund and the Fund’s members as a body, for our audit work, for this report, or for the opinions we have formed.</w:t>
            </w:r>
          </w:p>
          <w:p w:rsidR="009278EC" w:rsidRDefault="009278EC">
            <w:pPr>
              <w:rPr>
                <w:rFonts w:ascii="Verdana" w:eastAsia="Times New Roman" w:hAnsi="Verdana" w:cs="Arial"/>
                <w:sz w:val="18"/>
                <w:szCs w:val="18"/>
              </w:rPr>
            </w:pPr>
          </w:p>
        </w:tc>
      </w:tr>
    </w:tbl>
    <w:p w:rsidR="009278EC" w:rsidRDefault="009278EC" w:rsidP="009278EC">
      <w:pPr>
        <w:ind w:right="288"/>
        <w:rPr>
          <w:rFonts w:ascii="Verdana" w:hAnsi="Verdana" w:cs="Arial"/>
          <w:sz w:val="18"/>
          <w:szCs w:val="18"/>
        </w:rPr>
      </w:pPr>
    </w:p>
    <w:p w:rsidR="009278EC" w:rsidRDefault="009278EC" w:rsidP="009278EC">
      <w:pPr>
        <w:ind w:right="288"/>
        <w:rPr>
          <w:rFonts w:ascii="Verdana" w:hAnsi="Verdana" w:cs="Arial"/>
          <w:sz w:val="18"/>
          <w:szCs w:val="18"/>
        </w:rPr>
      </w:pPr>
    </w:p>
    <w:p w:rsidR="009278EC" w:rsidRDefault="009278EC" w:rsidP="009278EC">
      <w:pPr>
        <w:rPr>
          <w:rFonts w:ascii="Verdana" w:hAnsi="Verdana" w:cs="Arial"/>
          <w:sz w:val="18"/>
          <w:szCs w:val="18"/>
        </w:rPr>
      </w:pPr>
    </w:p>
    <w:p w:rsidR="009278EC" w:rsidRDefault="009278EC" w:rsidP="009278EC">
      <w:pPr>
        <w:pStyle w:val="Footer"/>
        <w:tabs>
          <w:tab w:val="left" w:pos="720"/>
        </w:tabs>
        <w:rPr>
          <w:rFonts w:ascii="Verdana" w:hAnsi="Verdana" w:cs="Arial"/>
          <w:sz w:val="18"/>
          <w:szCs w:val="18"/>
        </w:rPr>
      </w:pPr>
    </w:p>
    <w:p w:rsidR="009278EC" w:rsidRDefault="009278EC" w:rsidP="009278EC">
      <w:pPr>
        <w:rPr>
          <w:rFonts w:ascii="Verdana" w:hAnsi="Verdana" w:cs="Arial"/>
          <w:iCs/>
          <w:sz w:val="18"/>
          <w:szCs w:val="18"/>
        </w:rPr>
      </w:pPr>
    </w:p>
    <w:p w:rsidR="009278EC" w:rsidRDefault="009278EC" w:rsidP="009278EC">
      <w:pPr>
        <w:rPr>
          <w:rFonts w:ascii="Verdana" w:hAnsi="Verdana" w:cs="Arial"/>
          <w:iCs/>
          <w:sz w:val="18"/>
          <w:szCs w:val="18"/>
        </w:rPr>
      </w:pPr>
      <w:r>
        <w:rPr>
          <w:rFonts w:ascii="Verdana" w:hAnsi="Verdana" w:cs="Arial"/>
          <w:iCs/>
          <w:sz w:val="18"/>
          <w:szCs w:val="18"/>
        </w:rPr>
        <w:t>Nicola Sarah Paul FCA</w:t>
      </w:r>
    </w:p>
    <w:p w:rsidR="009278EC" w:rsidRDefault="009278EC" w:rsidP="009278EC">
      <w:pPr>
        <w:rPr>
          <w:rFonts w:ascii="Verdana" w:hAnsi="Verdana" w:cs="Arial"/>
          <w:iCs/>
          <w:sz w:val="18"/>
          <w:szCs w:val="18"/>
        </w:rPr>
      </w:pPr>
      <w:r>
        <w:rPr>
          <w:rFonts w:ascii="Verdana" w:hAnsi="Verdana" w:cs="Arial"/>
          <w:iCs/>
          <w:sz w:val="18"/>
          <w:szCs w:val="18"/>
        </w:rPr>
        <w:t>For and on behalf of Deloitte LLP</w:t>
      </w:r>
    </w:p>
    <w:p w:rsidR="009278EC" w:rsidRPr="00E54387" w:rsidRDefault="009278EC" w:rsidP="009278EC">
      <w:pPr>
        <w:rPr>
          <w:rFonts w:ascii="Verdana" w:hAnsi="Verdana" w:cs="Arial"/>
          <w:iCs/>
          <w:sz w:val="18"/>
          <w:szCs w:val="18"/>
        </w:rPr>
      </w:pPr>
      <w:r w:rsidRPr="00E54387">
        <w:rPr>
          <w:rFonts w:ascii="Verdana" w:hAnsi="Verdana" w:cs="Arial"/>
          <w:iCs/>
          <w:sz w:val="18"/>
          <w:szCs w:val="18"/>
        </w:rPr>
        <w:t>Recognized Auditor</w:t>
      </w:r>
    </w:p>
    <w:p w:rsidR="009278EC" w:rsidRPr="00E54387" w:rsidRDefault="009278EC" w:rsidP="009278EC">
      <w:pPr>
        <w:rPr>
          <w:rFonts w:ascii="Verdana" w:hAnsi="Verdana" w:cs="Arial"/>
          <w:iCs/>
          <w:sz w:val="18"/>
          <w:szCs w:val="18"/>
        </w:rPr>
      </w:pPr>
      <w:r w:rsidRPr="00E54387">
        <w:rPr>
          <w:rFonts w:ascii="Verdana" w:hAnsi="Verdana" w:cs="Arial"/>
          <w:iCs/>
          <w:sz w:val="18"/>
          <w:szCs w:val="18"/>
        </w:rPr>
        <w:t>Jersey, Channel Islands</w:t>
      </w:r>
    </w:p>
    <w:p w:rsidR="009278EC" w:rsidRDefault="00BA2B3B" w:rsidP="009278EC">
      <w:pPr>
        <w:rPr>
          <w:rFonts w:ascii="Verdana" w:hAnsi="Verdana"/>
          <w:i/>
          <w:sz w:val="18"/>
          <w:szCs w:val="18"/>
        </w:rPr>
      </w:pPr>
      <w:r>
        <w:rPr>
          <w:rFonts w:ascii="Verdana" w:hAnsi="Verdana" w:cs="Arial"/>
          <w:iCs/>
          <w:sz w:val="18"/>
          <w:szCs w:val="18"/>
        </w:rPr>
        <w:t xml:space="preserve">11 </w:t>
      </w:r>
      <w:r w:rsidR="009278EC" w:rsidRPr="00E54387">
        <w:rPr>
          <w:rFonts w:ascii="Verdana" w:hAnsi="Verdana" w:cs="Arial"/>
          <w:iCs/>
          <w:sz w:val="18"/>
          <w:szCs w:val="18"/>
        </w:rPr>
        <w:t>April</w:t>
      </w:r>
      <w:r w:rsidR="009278EC">
        <w:rPr>
          <w:rFonts w:ascii="Verdana" w:hAnsi="Verdana" w:cs="Arial"/>
          <w:iCs/>
          <w:sz w:val="18"/>
          <w:szCs w:val="18"/>
        </w:rPr>
        <w:t xml:space="preserve"> 2019</w:t>
      </w:r>
    </w:p>
    <w:p w:rsidR="0068366F" w:rsidRDefault="0068366F"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F7741A" w:rsidRDefault="00F7741A" w:rsidP="0068366F">
      <w:pPr>
        <w:rPr>
          <w:rFonts w:ascii="Verdana" w:hAnsi="Verdana" w:cs="Arial"/>
          <w:iCs/>
          <w:sz w:val="18"/>
          <w:szCs w:val="18"/>
        </w:rPr>
      </w:pPr>
    </w:p>
    <w:p w:rsidR="009278EC" w:rsidRDefault="009278EC" w:rsidP="0068366F">
      <w:pPr>
        <w:rPr>
          <w:rFonts w:ascii="Verdana" w:hAnsi="Verdana" w:cs="Arial"/>
          <w:iCs/>
          <w:sz w:val="18"/>
          <w:szCs w:val="18"/>
        </w:rPr>
      </w:pPr>
    </w:p>
    <w:p w:rsidR="009278EC" w:rsidRDefault="009278EC" w:rsidP="0068366F">
      <w:pPr>
        <w:rPr>
          <w:rFonts w:ascii="Verdana" w:hAnsi="Verdana" w:cs="Arial"/>
          <w:iCs/>
          <w:sz w:val="18"/>
          <w:szCs w:val="18"/>
        </w:rPr>
      </w:pPr>
    </w:p>
    <w:p w:rsidR="009278EC" w:rsidRDefault="009278EC" w:rsidP="0068366F">
      <w:pPr>
        <w:rPr>
          <w:rFonts w:ascii="Verdana" w:hAnsi="Verdana" w:cs="Arial"/>
          <w:iCs/>
          <w:sz w:val="18"/>
          <w:szCs w:val="18"/>
        </w:rPr>
      </w:pPr>
    </w:p>
    <w:p w:rsidR="009278EC" w:rsidRDefault="009278EC" w:rsidP="0068366F">
      <w:pPr>
        <w:rPr>
          <w:rFonts w:ascii="Verdana" w:hAnsi="Verdana" w:cs="Arial"/>
          <w:iCs/>
          <w:sz w:val="18"/>
          <w:szCs w:val="18"/>
        </w:rPr>
      </w:pPr>
    </w:p>
    <w:p w:rsidR="00F7741A" w:rsidRDefault="00F7741A" w:rsidP="0068366F">
      <w:pPr>
        <w:rPr>
          <w:rFonts w:ascii="Verdana" w:hAnsi="Verdana" w:cs="Arial"/>
          <w:iCs/>
          <w:sz w:val="18"/>
          <w:szCs w:val="18"/>
        </w:rPr>
      </w:pPr>
    </w:p>
    <w:p w:rsidR="0068366F" w:rsidRDefault="0068366F" w:rsidP="0068366F">
      <w:pPr>
        <w:rPr>
          <w:rFonts w:ascii="Verdana" w:hAnsi="Verdana" w:cs="Arial"/>
          <w:iCs/>
          <w:sz w:val="18"/>
          <w:szCs w:val="18"/>
        </w:rPr>
      </w:pPr>
    </w:p>
    <w:p w:rsidR="0068366F" w:rsidRDefault="0068366F" w:rsidP="0068366F">
      <w:pPr>
        <w:rPr>
          <w:rFonts w:ascii="Verdana" w:hAnsi="Verdana" w:cs="Arial"/>
          <w:iCs/>
          <w:sz w:val="18"/>
          <w:szCs w:val="18"/>
        </w:rPr>
      </w:pPr>
    </w:p>
    <w:p w:rsidR="0068366F" w:rsidRDefault="0068366F" w:rsidP="0068366F">
      <w:pPr>
        <w:rPr>
          <w:rFonts w:ascii="Verdana" w:hAnsi="Verdana" w:cs="Arial"/>
          <w:iCs/>
          <w:sz w:val="18"/>
          <w:szCs w:val="18"/>
        </w:rPr>
      </w:pPr>
    </w:p>
    <w:p w:rsidR="0068366F" w:rsidRDefault="0068366F" w:rsidP="0068366F">
      <w:pPr>
        <w:rPr>
          <w:rFonts w:ascii="Verdana" w:hAnsi="Verdana" w:cs="Arial"/>
          <w:iCs/>
          <w:sz w:val="18"/>
          <w:szCs w:val="18"/>
        </w:rPr>
      </w:pPr>
    </w:p>
    <w:p w:rsidR="0068366F" w:rsidRDefault="0068366F" w:rsidP="0068366F">
      <w:pPr>
        <w:rPr>
          <w:rFonts w:ascii="Verdana" w:hAnsi="Verdana" w:cs="Arial"/>
          <w:iCs/>
          <w:sz w:val="18"/>
          <w:szCs w:val="18"/>
        </w:rPr>
      </w:pPr>
    </w:p>
    <w:p w:rsidR="0068366F" w:rsidRDefault="0068366F" w:rsidP="0068366F">
      <w:pPr>
        <w:rPr>
          <w:rFonts w:ascii="Verdana" w:hAnsi="Verdana" w:cs="Arial"/>
          <w:iCs/>
          <w:sz w:val="18"/>
          <w:szCs w:val="18"/>
        </w:rPr>
      </w:pPr>
    </w:p>
    <w:p w:rsidR="0068366F" w:rsidRDefault="0068366F" w:rsidP="0068366F">
      <w:pPr>
        <w:rPr>
          <w:rFonts w:ascii="Verdana" w:hAnsi="Verdana"/>
          <w:i/>
          <w:sz w:val="18"/>
          <w:szCs w:val="18"/>
        </w:rPr>
      </w:pPr>
    </w:p>
    <w:p w:rsidR="0008270C" w:rsidRPr="009170B8" w:rsidRDefault="00A60119">
      <w:pPr>
        <w:pStyle w:val="Heading2"/>
        <w:tabs>
          <w:tab w:val="right" w:pos="8222"/>
        </w:tabs>
        <w:rPr>
          <w:rFonts w:ascii="Times New Roman" w:hAnsi="Times New Roman"/>
        </w:rPr>
      </w:pPr>
      <w:r w:rsidRPr="009170B8">
        <w:rPr>
          <w:rFonts w:ascii="Times New Roman" w:hAnsi="Times New Roman"/>
        </w:rPr>
        <w:t xml:space="preserve">Statement of </w:t>
      </w:r>
      <w:r w:rsidR="00D0423F" w:rsidRPr="009170B8">
        <w:rPr>
          <w:rFonts w:ascii="Times New Roman" w:hAnsi="Times New Roman"/>
        </w:rPr>
        <w:t>F</w:t>
      </w:r>
      <w:r w:rsidRPr="009170B8">
        <w:rPr>
          <w:rFonts w:ascii="Times New Roman" w:hAnsi="Times New Roman"/>
        </w:rPr>
        <w:t xml:space="preserve">inancial </w:t>
      </w:r>
      <w:r w:rsidR="00D0423F" w:rsidRPr="009170B8">
        <w:rPr>
          <w:rFonts w:ascii="Times New Roman" w:hAnsi="Times New Roman"/>
        </w:rPr>
        <w:t>P</w:t>
      </w:r>
      <w:r w:rsidRPr="009170B8">
        <w:rPr>
          <w:rFonts w:ascii="Times New Roman" w:hAnsi="Times New Roman"/>
        </w:rPr>
        <w:t>osition</w:t>
      </w:r>
      <w:r w:rsidR="00F01D4B" w:rsidRPr="009170B8">
        <w:rPr>
          <w:rFonts w:ascii="Times New Roman" w:hAnsi="Times New Roman"/>
        </w:rPr>
        <w:t xml:space="preserve"> </w:t>
      </w:r>
      <w:r w:rsidRPr="009170B8">
        <w:rPr>
          <w:rFonts w:ascii="Times New Roman" w:hAnsi="Times New Roman"/>
        </w:rPr>
        <w:t xml:space="preserve">of </w:t>
      </w:r>
      <w:r w:rsidR="00F01D4B" w:rsidRPr="009170B8">
        <w:rPr>
          <w:rFonts w:ascii="Times New Roman" w:hAnsi="Times New Roman"/>
        </w:rPr>
        <w:t xml:space="preserve">the </w:t>
      </w:r>
      <w:r w:rsidRPr="009170B8">
        <w:rPr>
          <w:rFonts w:ascii="Times New Roman" w:hAnsi="Times New Roman"/>
        </w:rPr>
        <w:t>Fund</w:t>
      </w:r>
    </w:p>
    <w:p w:rsidR="0008270C" w:rsidRPr="00914395" w:rsidRDefault="0008270C">
      <w:pPr>
        <w:pStyle w:val="Heading3"/>
        <w:rPr>
          <w:rFonts w:ascii="Times New Roman" w:hAnsi="Times New Roman"/>
          <w:sz w:val="22"/>
        </w:rPr>
      </w:pPr>
      <w:r w:rsidRPr="009170B8">
        <w:rPr>
          <w:rFonts w:ascii="Times New Roman" w:hAnsi="Times New Roman"/>
          <w:sz w:val="22"/>
        </w:rPr>
        <w:t xml:space="preserve">As at 31 December </w:t>
      </w:r>
      <w:r w:rsidR="00475643" w:rsidRPr="009170B8">
        <w:rPr>
          <w:rFonts w:ascii="Times New Roman" w:hAnsi="Times New Roman"/>
          <w:sz w:val="22"/>
        </w:rPr>
        <w:t>201</w:t>
      </w:r>
      <w:r w:rsidR="00C84D94">
        <w:rPr>
          <w:rFonts w:ascii="Times New Roman" w:hAnsi="Times New Roman"/>
          <w:sz w:val="22"/>
        </w:rPr>
        <w:t>8</w:t>
      </w:r>
      <w:r w:rsidRPr="009170B8">
        <w:rPr>
          <w:rFonts w:ascii="Times New Roman" w:hAnsi="Times New Roman"/>
          <w:sz w:val="22"/>
        </w:rPr>
        <w:t xml:space="preserve"> </w:t>
      </w:r>
    </w:p>
    <w:p w:rsidR="0008270C" w:rsidRPr="00914395" w:rsidRDefault="0008270C">
      <w:pPr>
        <w:rPr>
          <w:rFonts w:ascii="Times New Roman" w:hAnsi="Times New Roman"/>
        </w:rPr>
      </w:pPr>
    </w:p>
    <w:tbl>
      <w:tblPr>
        <w:tblW w:w="0" w:type="auto"/>
        <w:tblLayout w:type="fixed"/>
        <w:tblLook w:val="0000" w:firstRow="0" w:lastRow="0" w:firstColumn="0" w:lastColumn="0" w:noHBand="0" w:noVBand="0"/>
      </w:tblPr>
      <w:tblGrid>
        <w:gridCol w:w="5555"/>
        <w:gridCol w:w="866"/>
        <w:gridCol w:w="1909"/>
        <w:gridCol w:w="283"/>
        <w:gridCol w:w="1807"/>
      </w:tblGrid>
      <w:tr w:rsidR="008E0649" w:rsidRPr="00914395" w:rsidTr="008E0649">
        <w:trPr>
          <w:cantSplit/>
        </w:trPr>
        <w:tc>
          <w:tcPr>
            <w:tcW w:w="5555" w:type="dxa"/>
          </w:tcPr>
          <w:p w:rsidR="00E37B41" w:rsidRPr="00914395" w:rsidRDefault="00E37B41" w:rsidP="00DB5E9F">
            <w:pPr>
              <w:rPr>
                <w:rFonts w:ascii="Times New Roman" w:hAnsi="Times New Roman"/>
                <w:sz w:val="20"/>
              </w:rPr>
            </w:pPr>
          </w:p>
        </w:tc>
        <w:tc>
          <w:tcPr>
            <w:tcW w:w="866" w:type="dxa"/>
          </w:tcPr>
          <w:p w:rsidR="00E37B41" w:rsidRPr="00914395" w:rsidRDefault="00E37B41" w:rsidP="00DB5E9F">
            <w:pPr>
              <w:pStyle w:val="Heading7"/>
              <w:rPr>
                <w:rFonts w:ascii="Times New Roman" w:hAnsi="Times New Roman"/>
                <w:sz w:val="20"/>
              </w:rPr>
            </w:pPr>
          </w:p>
          <w:p w:rsidR="00E37B41" w:rsidRPr="00914395" w:rsidRDefault="00E37B41" w:rsidP="00DB5E9F">
            <w:pPr>
              <w:jc w:val="center"/>
              <w:rPr>
                <w:rFonts w:ascii="Times New Roman" w:hAnsi="Times New Roman"/>
                <w:b/>
                <w:sz w:val="20"/>
              </w:rPr>
            </w:pPr>
            <w:r w:rsidRPr="00914395">
              <w:rPr>
                <w:rFonts w:ascii="Times New Roman" w:hAnsi="Times New Roman"/>
                <w:b/>
                <w:sz w:val="20"/>
              </w:rPr>
              <w:t>Notes</w:t>
            </w:r>
          </w:p>
        </w:tc>
        <w:tc>
          <w:tcPr>
            <w:tcW w:w="1909" w:type="dxa"/>
          </w:tcPr>
          <w:p w:rsidR="00E37B41" w:rsidRPr="00914395" w:rsidRDefault="00E37B41" w:rsidP="00DB5E9F">
            <w:pPr>
              <w:pStyle w:val="Heading7"/>
              <w:rPr>
                <w:rFonts w:ascii="Times New Roman" w:hAnsi="Times New Roman"/>
                <w:sz w:val="20"/>
              </w:rPr>
            </w:pPr>
          </w:p>
          <w:p w:rsidR="00E37B41" w:rsidRPr="00914395" w:rsidRDefault="00E37B41">
            <w:pPr>
              <w:jc w:val="right"/>
              <w:rPr>
                <w:rFonts w:ascii="Times New Roman" w:hAnsi="Times New Roman"/>
                <w:b/>
                <w:bCs/>
                <w:sz w:val="20"/>
              </w:rPr>
            </w:pPr>
            <w:r w:rsidRPr="00914395">
              <w:rPr>
                <w:rFonts w:ascii="Times New Roman" w:hAnsi="Times New Roman"/>
              </w:rPr>
              <w:tab/>
            </w:r>
            <w:r w:rsidRPr="00914395">
              <w:rPr>
                <w:rFonts w:ascii="Times New Roman" w:hAnsi="Times New Roman"/>
                <w:b/>
                <w:bCs/>
                <w:sz w:val="20"/>
              </w:rPr>
              <w:t>201</w:t>
            </w:r>
            <w:r w:rsidR="00C84D94">
              <w:rPr>
                <w:rFonts w:ascii="Times New Roman" w:hAnsi="Times New Roman"/>
                <w:b/>
                <w:bCs/>
                <w:sz w:val="20"/>
              </w:rPr>
              <w:t>8</w:t>
            </w:r>
          </w:p>
        </w:tc>
        <w:tc>
          <w:tcPr>
            <w:tcW w:w="283" w:type="dxa"/>
          </w:tcPr>
          <w:p w:rsidR="00E37B41" w:rsidRPr="00914395" w:rsidRDefault="00E37B41" w:rsidP="00DB5E9F">
            <w:pPr>
              <w:pStyle w:val="Heading7"/>
              <w:rPr>
                <w:rFonts w:ascii="Times New Roman" w:hAnsi="Times New Roman"/>
                <w:sz w:val="20"/>
              </w:rPr>
            </w:pPr>
          </w:p>
        </w:tc>
        <w:tc>
          <w:tcPr>
            <w:tcW w:w="1807" w:type="dxa"/>
          </w:tcPr>
          <w:p w:rsidR="00E37B41" w:rsidRPr="00914395" w:rsidRDefault="00E37B41" w:rsidP="00590B67">
            <w:pPr>
              <w:pStyle w:val="Heading7"/>
              <w:rPr>
                <w:rFonts w:ascii="Times New Roman" w:hAnsi="Times New Roman"/>
                <w:sz w:val="20"/>
              </w:rPr>
            </w:pPr>
          </w:p>
          <w:p w:rsidR="00E37B41" w:rsidRPr="00914395" w:rsidRDefault="00E37B41">
            <w:pPr>
              <w:jc w:val="right"/>
              <w:rPr>
                <w:rFonts w:ascii="Times New Roman" w:hAnsi="Times New Roman"/>
                <w:b/>
                <w:bCs/>
                <w:sz w:val="20"/>
              </w:rPr>
            </w:pPr>
            <w:r w:rsidRPr="00914395">
              <w:rPr>
                <w:rFonts w:ascii="Times New Roman" w:hAnsi="Times New Roman"/>
              </w:rPr>
              <w:tab/>
            </w:r>
            <w:r w:rsidRPr="00914395">
              <w:rPr>
                <w:rFonts w:ascii="Times New Roman" w:hAnsi="Times New Roman"/>
                <w:b/>
                <w:bCs/>
                <w:sz w:val="20"/>
              </w:rPr>
              <w:t>201</w:t>
            </w:r>
            <w:r w:rsidR="00C84D94">
              <w:rPr>
                <w:rFonts w:ascii="Times New Roman" w:hAnsi="Times New Roman"/>
                <w:b/>
                <w:bCs/>
                <w:sz w:val="20"/>
              </w:rPr>
              <w:t>7</w:t>
            </w:r>
          </w:p>
        </w:tc>
      </w:tr>
      <w:tr w:rsidR="008E0649" w:rsidRPr="00914395" w:rsidTr="008E0649">
        <w:trPr>
          <w:cantSplit/>
        </w:trPr>
        <w:tc>
          <w:tcPr>
            <w:tcW w:w="5555" w:type="dxa"/>
          </w:tcPr>
          <w:p w:rsidR="00E37B41" w:rsidRPr="00914395" w:rsidRDefault="00E37B41" w:rsidP="00DB5E9F">
            <w:pPr>
              <w:rPr>
                <w:rFonts w:ascii="Times New Roman" w:hAnsi="Times New Roman"/>
                <w:sz w:val="20"/>
              </w:rPr>
            </w:pPr>
          </w:p>
        </w:tc>
        <w:tc>
          <w:tcPr>
            <w:tcW w:w="866" w:type="dxa"/>
          </w:tcPr>
          <w:p w:rsidR="00E37B41" w:rsidRPr="00914395" w:rsidRDefault="00E37B41" w:rsidP="00DB5E9F">
            <w:pPr>
              <w:rPr>
                <w:rFonts w:ascii="Times New Roman" w:hAnsi="Times New Roman"/>
                <w:sz w:val="20"/>
              </w:rPr>
            </w:pPr>
          </w:p>
        </w:tc>
        <w:tc>
          <w:tcPr>
            <w:tcW w:w="1909" w:type="dxa"/>
          </w:tcPr>
          <w:p w:rsidR="00E37B41" w:rsidRPr="00914395" w:rsidRDefault="00E37B41" w:rsidP="00DB5E9F">
            <w:pPr>
              <w:jc w:val="right"/>
              <w:rPr>
                <w:rFonts w:ascii="Times New Roman" w:hAnsi="Times New Roman"/>
                <w:b/>
                <w:bCs/>
                <w:sz w:val="20"/>
              </w:rPr>
            </w:pPr>
            <w:r w:rsidRPr="00914395">
              <w:rPr>
                <w:rFonts w:ascii="Times New Roman" w:hAnsi="Times New Roman"/>
                <w:b/>
                <w:bCs/>
                <w:sz w:val="20"/>
              </w:rPr>
              <w:t>GBP</w:t>
            </w:r>
          </w:p>
        </w:tc>
        <w:tc>
          <w:tcPr>
            <w:tcW w:w="283" w:type="dxa"/>
          </w:tcPr>
          <w:p w:rsidR="00E37B41" w:rsidRPr="00914395" w:rsidRDefault="00E37B41" w:rsidP="00DB5E9F">
            <w:pPr>
              <w:jc w:val="right"/>
              <w:rPr>
                <w:rFonts w:ascii="Times New Roman" w:hAnsi="Times New Roman"/>
                <w:b/>
                <w:bCs/>
                <w:sz w:val="20"/>
              </w:rPr>
            </w:pPr>
          </w:p>
        </w:tc>
        <w:tc>
          <w:tcPr>
            <w:tcW w:w="1807" w:type="dxa"/>
          </w:tcPr>
          <w:p w:rsidR="00E37B41" w:rsidRPr="00914395" w:rsidRDefault="00E37B41" w:rsidP="00590B67">
            <w:pPr>
              <w:jc w:val="right"/>
              <w:rPr>
                <w:rFonts w:ascii="Times New Roman" w:hAnsi="Times New Roman"/>
                <w:b/>
                <w:bCs/>
                <w:sz w:val="20"/>
              </w:rPr>
            </w:pPr>
            <w:r w:rsidRPr="00914395">
              <w:rPr>
                <w:rFonts w:ascii="Times New Roman" w:hAnsi="Times New Roman"/>
                <w:b/>
                <w:bCs/>
                <w:sz w:val="20"/>
              </w:rPr>
              <w:t>GBP</w:t>
            </w:r>
          </w:p>
        </w:tc>
      </w:tr>
      <w:tr w:rsidR="008E0649" w:rsidRPr="00914395" w:rsidTr="008E0649">
        <w:trPr>
          <w:cantSplit/>
        </w:trPr>
        <w:tc>
          <w:tcPr>
            <w:tcW w:w="5555" w:type="dxa"/>
          </w:tcPr>
          <w:p w:rsidR="00E37B41" w:rsidRPr="00914395" w:rsidRDefault="00E37B41" w:rsidP="00DB5E9F">
            <w:pPr>
              <w:pStyle w:val="Heading3"/>
              <w:tabs>
                <w:tab w:val="clear" w:pos="3402"/>
                <w:tab w:val="clear" w:pos="8222"/>
              </w:tabs>
              <w:rPr>
                <w:rFonts w:ascii="Times New Roman" w:hAnsi="Times New Roman"/>
                <w:b w:val="0"/>
                <w:bCs w:val="0"/>
              </w:rPr>
            </w:pPr>
            <w:r w:rsidRPr="00914395">
              <w:rPr>
                <w:rFonts w:ascii="Times New Roman" w:hAnsi="Times New Roman"/>
              </w:rPr>
              <w:t>Current assets</w:t>
            </w:r>
          </w:p>
        </w:tc>
        <w:tc>
          <w:tcPr>
            <w:tcW w:w="866" w:type="dxa"/>
          </w:tcPr>
          <w:p w:rsidR="00E37B41" w:rsidRPr="00914395" w:rsidRDefault="00E37B41" w:rsidP="00DB5E9F">
            <w:pPr>
              <w:jc w:val="center"/>
              <w:rPr>
                <w:rFonts w:ascii="Times New Roman" w:hAnsi="Times New Roman"/>
                <w:sz w:val="20"/>
              </w:rPr>
            </w:pPr>
          </w:p>
        </w:tc>
        <w:tc>
          <w:tcPr>
            <w:tcW w:w="1909" w:type="dxa"/>
          </w:tcPr>
          <w:p w:rsidR="00E37B41" w:rsidRPr="00914395" w:rsidRDefault="00E37B41" w:rsidP="00DB5E9F">
            <w:pPr>
              <w:jc w:val="right"/>
              <w:rPr>
                <w:rFonts w:ascii="Times New Roman" w:hAnsi="Times New Roman"/>
                <w:sz w:val="20"/>
              </w:rPr>
            </w:pPr>
          </w:p>
        </w:tc>
        <w:tc>
          <w:tcPr>
            <w:tcW w:w="283" w:type="dxa"/>
          </w:tcPr>
          <w:p w:rsidR="00E37B41" w:rsidRPr="00914395" w:rsidRDefault="00E37B41" w:rsidP="00DB5E9F">
            <w:pPr>
              <w:jc w:val="right"/>
              <w:rPr>
                <w:rFonts w:ascii="Times New Roman" w:hAnsi="Times New Roman"/>
                <w:sz w:val="20"/>
              </w:rPr>
            </w:pPr>
          </w:p>
        </w:tc>
        <w:tc>
          <w:tcPr>
            <w:tcW w:w="1807" w:type="dxa"/>
          </w:tcPr>
          <w:p w:rsidR="00E37B41" w:rsidRPr="00914395" w:rsidRDefault="00E37B41" w:rsidP="00590B67">
            <w:pPr>
              <w:jc w:val="right"/>
              <w:rPr>
                <w:rFonts w:ascii="Times New Roman" w:hAnsi="Times New Roman"/>
                <w:sz w:val="20"/>
              </w:rPr>
            </w:pP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bCs w:val="0"/>
              </w:rPr>
            </w:pPr>
            <w:r w:rsidRPr="00914395">
              <w:rPr>
                <w:rFonts w:ascii="Times New Roman" w:hAnsi="Times New Roman"/>
                <w:b w:val="0"/>
                <w:bCs w:val="0"/>
              </w:rPr>
              <w:t>Securities (at fair value through profit or loss)</w:t>
            </w:r>
          </w:p>
        </w:tc>
        <w:tc>
          <w:tcPr>
            <w:tcW w:w="866" w:type="dxa"/>
          </w:tcPr>
          <w:p w:rsidR="00C84D94" w:rsidRPr="00914395" w:rsidRDefault="00C84D94">
            <w:pPr>
              <w:jc w:val="center"/>
              <w:rPr>
                <w:rFonts w:ascii="Times New Roman" w:hAnsi="Times New Roman"/>
                <w:sz w:val="20"/>
              </w:rPr>
            </w:pPr>
            <w:r w:rsidRPr="00914395">
              <w:rPr>
                <w:rFonts w:ascii="Times New Roman" w:hAnsi="Times New Roman"/>
                <w:sz w:val="20"/>
              </w:rPr>
              <w:t xml:space="preserve">3 &amp; </w:t>
            </w:r>
            <w:r>
              <w:rPr>
                <w:rFonts w:ascii="Times New Roman" w:hAnsi="Times New Roman"/>
                <w:sz w:val="20"/>
              </w:rPr>
              <w:t>20</w:t>
            </w:r>
          </w:p>
        </w:tc>
        <w:tc>
          <w:tcPr>
            <w:tcW w:w="1909" w:type="dxa"/>
          </w:tcPr>
          <w:p w:rsidR="00C84D94" w:rsidRPr="00914395" w:rsidRDefault="00C84D94">
            <w:pPr>
              <w:tabs>
                <w:tab w:val="decimal" w:pos="1332"/>
              </w:tabs>
              <w:jc w:val="right"/>
              <w:rPr>
                <w:rFonts w:ascii="Times New Roman" w:hAnsi="Times New Roman"/>
                <w:sz w:val="20"/>
              </w:rPr>
            </w:pPr>
            <w:r>
              <w:rPr>
                <w:rFonts w:ascii="Times New Roman" w:hAnsi="Times New Roman"/>
                <w:sz w:val="20"/>
              </w:rPr>
              <w:t>1</w:t>
            </w:r>
            <w:r w:rsidR="00C02E54">
              <w:rPr>
                <w:rFonts w:ascii="Times New Roman" w:hAnsi="Times New Roman"/>
                <w:sz w:val="20"/>
              </w:rPr>
              <w:t>14</w:t>
            </w:r>
            <w:r>
              <w:rPr>
                <w:rFonts w:ascii="Times New Roman" w:hAnsi="Times New Roman"/>
                <w:sz w:val="20"/>
              </w:rPr>
              <w:t>,</w:t>
            </w:r>
            <w:r w:rsidR="00C02E54">
              <w:rPr>
                <w:rFonts w:ascii="Times New Roman" w:hAnsi="Times New Roman"/>
                <w:sz w:val="20"/>
              </w:rPr>
              <w:t>095</w:t>
            </w:r>
            <w:r>
              <w:rPr>
                <w:rFonts w:ascii="Times New Roman" w:hAnsi="Times New Roman"/>
                <w:sz w:val="20"/>
              </w:rPr>
              <w:t>,</w:t>
            </w:r>
            <w:r w:rsidR="00C02E54">
              <w:rPr>
                <w:rFonts w:ascii="Times New Roman" w:hAnsi="Times New Roman"/>
                <w:sz w:val="20"/>
              </w:rPr>
              <w:t>281</w:t>
            </w:r>
          </w:p>
        </w:tc>
        <w:tc>
          <w:tcPr>
            <w:tcW w:w="283" w:type="dxa"/>
          </w:tcPr>
          <w:p w:rsidR="00C84D94" w:rsidRPr="00914395" w:rsidRDefault="00C84D94">
            <w:pPr>
              <w:jc w:val="right"/>
              <w:rPr>
                <w:rFonts w:ascii="Times New Roman" w:hAnsi="Times New Roman"/>
                <w:sz w:val="20"/>
              </w:rPr>
            </w:pPr>
          </w:p>
        </w:tc>
        <w:tc>
          <w:tcPr>
            <w:tcW w:w="1807" w:type="dxa"/>
          </w:tcPr>
          <w:p w:rsidR="00C84D94" w:rsidRPr="00914395" w:rsidRDefault="00C84D94" w:rsidP="00C41A3C">
            <w:pPr>
              <w:tabs>
                <w:tab w:val="decimal" w:pos="1332"/>
              </w:tabs>
              <w:jc w:val="right"/>
              <w:rPr>
                <w:rFonts w:ascii="Times New Roman" w:hAnsi="Times New Roman"/>
                <w:sz w:val="20"/>
              </w:rPr>
            </w:pPr>
            <w:r>
              <w:rPr>
                <w:rFonts w:ascii="Times New Roman" w:hAnsi="Times New Roman"/>
                <w:sz w:val="20"/>
              </w:rPr>
              <w:t>148,464,909</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bCs w:val="0"/>
              </w:rPr>
            </w:pPr>
            <w:r w:rsidRPr="00914395">
              <w:rPr>
                <w:rFonts w:ascii="Times New Roman" w:hAnsi="Times New Roman"/>
                <w:b w:val="0"/>
                <w:bCs w:val="0"/>
              </w:rPr>
              <w:t>Accrued bond interest</w:t>
            </w:r>
          </w:p>
        </w:tc>
        <w:tc>
          <w:tcPr>
            <w:tcW w:w="866" w:type="dxa"/>
          </w:tcPr>
          <w:p w:rsidR="00C84D94" w:rsidRPr="00914395" w:rsidRDefault="00C84D94" w:rsidP="00DB5E9F">
            <w:pPr>
              <w:jc w:val="center"/>
              <w:rPr>
                <w:rFonts w:ascii="Times New Roman" w:hAnsi="Times New Roman"/>
                <w:sz w:val="20"/>
              </w:rPr>
            </w:pPr>
          </w:p>
        </w:tc>
        <w:tc>
          <w:tcPr>
            <w:tcW w:w="1909" w:type="dxa"/>
          </w:tcPr>
          <w:p w:rsidR="00C84D94" w:rsidRPr="00914395" w:rsidRDefault="00C84D94">
            <w:pPr>
              <w:jc w:val="right"/>
              <w:rPr>
                <w:rFonts w:ascii="Times New Roman" w:hAnsi="Times New Roman"/>
                <w:sz w:val="20"/>
              </w:rPr>
            </w:pPr>
            <w:r>
              <w:rPr>
                <w:rFonts w:ascii="Times New Roman" w:hAnsi="Times New Roman"/>
                <w:sz w:val="20"/>
              </w:rPr>
              <w:t>1</w:t>
            </w:r>
            <w:r w:rsidR="00C02E54">
              <w:rPr>
                <w:rFonts w:ascii="Times New Roman" w:hAnsi="Times New Roman"/>
                <w:sz w:val="20"/>
              </w:rPr>
              <w:t>7</w:t>
            </w:r>
            <w:r>
              <w:rPr>
                <w:rFonts w:ascii="Times New Roman" w:hAnsi="Times New Roman"/>
                <w:sz w:val="20"/>
              </w:rPr>
              <w:t>,070</w:t>
            </w: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16,070</w:t>
            </w:r>
          </w:p>
        </w:tc>
      </w:tr>
      <w:tr w:rsidR="00C84D94" w:rsidRPr="00914395" w:rsidTr="008E0649">
        <w:trPr>
          <w:cantSplit/>
        </w:trPr>
        <w:tc>
          <w:tcPr>
            <w:tcW w:w="5555" w:type="dxa"/>
          </w:tcPr>
          <w:p w:rsidR="00C84D94" w:rsidRPr="00914395" w:rsidRDefault="00C84D94" w:rsidP="00D97499">
            <w:pPr>
              <w:pStyle w:val="Heading3"/>
              <w:tabs>
                <w:tab w:val="clear" w:pos="3402"/>
                <w:tab w:val="clear" w:pos="8222"/>
              </w:tabs>
              <w:rPr>
                <w:rFonts w:ascii="Times New Roman" w:hAnsi="Times New Roman"/>
                <w:b w:val="0"/>
                <w:bCs w:val="0"/>
              </w:rPr>
            </w:pPr>
            <w:r w:rsidRPr="00914395">
              <w:rPr>
                <w:rFonts w:ascii="Times New Roman" w:hAnsi="Times New Roman"/>
                <w:b w:val="0"/>
                <w:bCs w:val="0"/>
              </w:rPr>
              <w:t>Accrued bank interest</w:t>
            </w:r>
          </w:p>
        </w:tc>
        <w:tc>
          <w:tcPr>
            <w:tcW w:w="866" w:type="dxa"/>
          </w:tcPr>
          <w:p w:rsidR="00C84D94" w:rsidRPr="00914395" w:rsidRDefault="00C84D94" w:rsidP="00DB5E9F">
            <w:pPr>
              <w:jc w:val="center"/>
              <w:rPr>
                <w:rFonts w:ascii="Times New Roman" w:hAnsi="Times New Roman"/>
                <w:sz w:val="20"/>
              </w:rPr>
            </w:pPr>
          </w:p>
        </w:tc>
        <w:tc>
          <w:tcPr>
            <w:tcW w:w="1909" w:type="dxa"/>
          </w:tcPr>
          <w:p w:rsidR="00C84D94" w:rsidRPr="00914395" w:rsidRDefault="00C02E54">
            <w:pPr>
              <w:jc w:val="right"/>
              <w:rPr>
                <w:rFonts w:ascii="Times New Roman" w:hAnsi="Times New Roman"/>
                <w:sz w:val="20"/>
              </w:rPr>
            </w:pPr>
            <w:r>
              <w:rPr>
                <w:rFonts w:ascii="Times New Roman" w:hAnsi="Times New Roman"/>
                <w:sz w:val="20"/>
              </w:rPr>
              <w:t>7</w:t>
            </w:r>
            <w:r w:rsidR="00C84D94">
              <w:rPr>
                <w:rFonts w:ascii="Times New Roman" w:hAnsi="Times New Roman"/>
                <w:sz w:val="20"/>
              </w:rPr>
              <w:t>,</w:t>
            </w:r>
            <w:r>
              <w:rPr>
                <w:rFonts w:ascii="Times New Roman" w:hAnsi="Times New Roman"/>
                <w:sz w:val="20"/>
              </w:rPr>
              <w:t>541</w:t>
            </w: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5,374</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bCs w:val="0"/>
              </w:rPr>
            </w:pPr>
            <w:r w:rsidRPr="00914395">
              <w:rPr>
                <w:rFonts w:ascii="Times New Roman" w:hAnsi="Times New Roman"/>
                <w:b w:val="0"/>
                <w:bCs w:val="0"/>
              </w:rPr>
              <w:t>Accrued dividend income</w:t>
            </w:r>
          </w:p>
        </w:tc>
        <w:tc>
          <w:tcPr>
            <w:tcW w:w="866" w:type="dxa"/>
          </w:tcPr>
          <w:p w:rsidR="00C84D94" w:rsidRPr="00914395" w:rsidRDefault="00C84D94" w:rsidP="00DB5E9F">
            <w:pPr>
              <w:jc w:val="center"/>
              <w:rPr>
                <w:rFonts w:ascii="Times New Roman" w:hAnsi="Times New Roman"/>
                <w:sz w:val="20"/>
              </w:rPr>
            </w:pPr>
          </w:p>
        </w:tc>
        <w:tc>
          <w:tcPr>
            <w:tcW w:w="1909" w:type="dxa"/>
          </w:tcPr>
          <w:p w:rsidR="00C84D94" w:rsidRPr="00914395" w:rsidRDefault="00C02E54">
            <w:pPr>
              <w:jc w:val="right"/>
              <w:rPr>
                <w:rFonts w:ascii="Times New Roman" w:hAnsi="Times New Roman"/>
                <w:sz w:val="20"/>
              </w:rPr>
            </w:pPr>
            <w:r>
              <w:rPr>
                <w:rFonts w:ascii="Times New Roman" w:hAnsi="Times New Roman"/>
                <w:sz w:val="20"/>
              </w:rPr>
              <w:t>570</w:t>
            </w:r>
            <w:r w:rsidR="00C84D94">
              <w:rPr>
                <w:rFonts w:ascii="Times New Roman" w:hAnsi="Times New Roman"/>
                <w:sz w:val="20"/>
              </w:rPr>
              <w:t>,</w:t>
            </w:r>
            <w:r>
              <w:rPr>
                <w:rFonts w:ascii="Times New Roman" w:hAnsi="Times New Roman"/>
                <w:sz w:val="20"/>
              </w:rPr>
              <w:t>781</w:t>
            </w: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662,645</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bCs w:val="0"/>
              </w:rPr>
            </w:pPr>
            <w:r w:rsidRPr="00914395">
              <w:rPr>
                <w:rFonts w:ascii="Times New Roman" w:hAnsi="Times New Roman"/>
                <w:b w:val="0"/>
                <w:bCs w:val="0"/>
              </w:rPr>
              <w:t>Other receivables</w:t>
            </w:r>
          </w:p>
        </w:tc>
        <w:tc>
          <w:tcPr>
            <w:tcW w:w="866" w:type="dxa"/>
          </w:tcPr>
          <w:p w:rsidR="00C84D94" w:rsidRPr="00914395" w:rsidRDefault="00C84D94" w:rsidP="00DB5E9F">
            <w:pPr>
              <w:jc w:val="center"/>
              <w:rPr>
                <w:rFonts w:ascii="Times New Roman" w:hAnsi="Times New Roman"/>
                <w:sz w:val="20"/>
              </w:rPr>
            </w:pPr>
            <w:r w:rsidRPr="00914395">
              <w:rPr>
                <w:rFonts w:ascii="Times New Roman" w:hAnsi="Times New Roman"/>
                <w:sz w:val="20"/>
              </w:rPr>
              <w:t>6</w:t>
            </w:r>
          </w:p>
        </w:tc>
        <w:tc>
          <w:tcPr>
            <w:tcW w:w="1909" w:type="dxa"/>
          </w:tcPr>
          <w:p w:rsidR="00C84D94" w:rsidRPr="00914395" w:rsidRDefault="00C84D94" w:rsidP="00DB5E9F">
            <w:pPr>
              <w:jc w:val="right"/>
              <w:rPr>
                <w:rFonts w:ascii="Times New Roman" w:hAnsi="Times New Roman"/>
                <w:sz w:val="20"/>
              </w:rPr>
            </w:pPr>
            <w:r>
              <w:rPr>
                <w:rFonts w:ascii="Times New Roman" w:hAnsi="Times New Roman"/>
                <w:sz w:val="20"/>
              </w:rPr>
              <w:t>2</w:t>
            </w: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2</w:t>
            </w:r>
          </w:p>
        </w:tc>
      </w:tr>
      <w:tr w:rsidR="00C84D94" w:rsidRPr="00914395" w:rsidTr="008E0649">
        <w:trPr>
          <w:cantSplit/>
        </w:trPr>
        <w:tc>
          <w:tcPr>
            <w:tcW w:w="5555" w:type="dxa"/>
          </w:tcPr>
          <w:p w:rsidR="00C84D94" w:rsidRPr="00914395" w:rsidRDefault="00C84D94" w:rsidP="006C2E26">
            <w:pPr>
              <w:pStyle w:val="Heading3"/>
              <w:tabs>
                <w:tab w:val="clear" w:pos="3402"/>
                <w:tab w:val="clear" w:pos="8222"/>
              </w:tabs>
              <w:rPr>
                <w:rFonts w:ascii="Times New Roman" w:hAnsi="Times New Roman"/>
                <w:b w:val="0"/>
                <w:bCs w:val="0"/>
              </w:rPr>
            </w:pPr>
            <w:r w:rsidRPr="00914395">
              <w:rPr>
                <w:rFonts w:ascii="Times New Roman" w:hAnsi="Times New Roman"/>
                <w:b w:val="0"/>
                <w:bCs w:val="0"/>
              </w:rPr>
              <w:t>Prepayments</w:t>
            </w:r>
          </w:p>
        </w:tc>
        <w:tc>
          <w:tcPr>
            <w:tcW w:w="866" w:type="dxa"/>
          </w:tcPr>
          <w:p w:rsidR="00C84D94" w:rsidRPr="00914395" w:rsidRDefault="00C84D94" w:rsidP="006C2E26">
            <w:pPr>
              <w:jc w:val="center"/>
              <w:rPr>
                <w:rFonts w:ascii="Times New Roman" w:hAnsi="Times New Roman"/>
                <w:sz w:val="20"/>
              </w:rPr>
            </w:pPr>
          </w:p>
        </w:tc>
        <w:tc>
          <w:tcPr>
            <w:tcW w:w="1909" w:type="dxa"/>
          </w:tcPr>
          <w:p w:rsidR="00C84D94" w:rsidRPr="00914395" w:rsidRDefault="00C84D94">
            <w:pPr>
              <w:jc w:val="right"/>
              <w:rPr>
                <w:rFonts w:ascii="Times New Roman" w:hAnsi="Times New Roman"/>
                <w:sz w:val="20"/>
              </w:rPr>
            </w:pPr>
            <w:r>
              <w:rPr>
                <w:rFonts w:ascii="Times New Roman" w:hAnsi="Times New Roman"/>
                <w:sz w:val="20"/>
              </w:rPr>
              <w:t>1</w:t>
            </w:r>
            <w:r w:rsidR="00C02E54">
              <w:rPr>
                <w:rFonts w:ascii="Times New Roman" w:hAnsi="Times New Roman"/>
                <w:sz w:val="20"/>
              </w:rPr>
              <w:t>4</w:t>
            </w:r>
            <w:r>
              <w:rPr>
                <w:rFonts w:ascii="Times New Roman" w:hAnsi="Times New Roman"/>
                <w:sz w:val="20"/>
              </w:rPr>
              <w:t>,</w:t>
            </w:r>
            <w:r w:rsidR="00C02E54">
              <w:rPr>
                <w:rFonts w:ascii="Times New Roman" w:hAnsi="Times New Roman"/>
                <w:sz w:val="20"/>
              </w:rPr>
              <w:t>775</w:t>
            </w:r>
          </w:p>
        </w:tc>
        <w:tc>
          <w:tcPr>
            <w:tcW w:w="283" w:type="dxa"/>
          </w:tcPr>
          <w:p w:rsidR="00C84D94" w:rsidRPr="00914395" w:rsidRDefault="00C84D94" w:rsidP="006C2E26">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15,540</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rPr>
            </w:pPr>
            <w:r w:rsidRPr="00914395">
              <w:rPr>
                <w:rFonts w:ascii="Times New Roman" w:hAnsi="Times New Roman"/>
                <w:b w:val="0"/>
              </w:rPr>
              <w:t>Cash and cash equivalents</w:t>
            </w:r>
          </w:p>
        </w:tc>
        <w:tc>
          <w:tcPr>
            <w:tcW w:w="866" w:type="dxa"/>
          </w:tcPr>
          <w:p w:rsidR="00C84D94" w:rsidRPr="00914395" w:rsidRDefault="00C84D94" w:rsidP="00DB5E9F">
            <w:pPr>
              <w:jc w:val="center"/>
              <w:rPr>
                <w:rFonts w:ascii="Times New Roman" w:hAnsi="Times New Roman"/>
                <w:sz w:val="20"/>
              </w:rPr>
            </w:pPr>
            <w:r w:rsidRPr="00914395">
              <w:rPr>
                <w:rFonts w:ascii="Times New Roman" w:hAnsi="Times New Roman"/>
                <w:sz w:val="20"/>
              </w:rPr>
              <w:t>4</w:t>
            </w:r>
          </w:p>
        </w:tc>
        <w:tc>
          <w:tcPr>
            <w:tcW w:w="1909" w:type="dxa"/>
            <w:tcBorders>
              <w:bottom w:val="single" w:sz="4" w:space="0" w:color="auto"/>
            </w:tcBorders>
          </w:tcPr>
          <w:p w:rsidR="00C84D94" w:rsidRPr="00914395" w:rsidRDefault="00C02E54">
            <w:pPr>
              <w:jc w:val="right"/>
              <w:rPr>
                <w:rFonts w:ascii="Times New Roman" w:hAnsi="Times New Roman"/>
                <w:sz w:val="20"/>
              </w:rPr>
            </w:pPr>
            <w:r>
              <w:rPr>
                <w:rFonts w:ascii="Times New Roman" w:hAnsi="Times New Roman"/>
                <w:sz w:val="20"/>
              </w:rPr>
              <w:t>7</w:t>
            </w:r>
            <w:r w:rsidR="00C84D94">
              <w:rPr>
                <w:rFonts w:ascii="Times New Roman" w:hAnsi="Times New Roman"/>
                <w:sz w:val="20"/>
              </w:rPr>
              <w:t>,</w:t>
            </w:r>
            <w:r>
              <w:rPr>
                <w:rFonts w:ascii="Times New Roman" w:hAnsi="Times New Roman"/>
                <w:sz w:val="20"/>
              </w:rPr>
              <w:t>889</w:t>
            </w:r>
            <w:r w:rsidR="00C84D94">
              <w:rPr>
                <w:rFonts w:ascii="Times New Roman" w:hAnsi="Times New Roman"/>
                <w:sz w:val="20"/>
              </w:rPr>
              <w:t>,</w:t>
            </w:r>
            <w:r>
              <w:rPr>
                <w:rFonts w:ascii="Times New Roman" w:hAnsi="Times New Roman"/>
                <w:sz w:val="20"/>
              </w:rPr>
              <w:t>488</w:t>
            </w:r>
          </w:p>
        </w:tc>
        <w:tc>
          <w:tcPr>
            <w:tcW w:w="283" w:type="dxa"/>
          </w:tcPr>
          <w:p w:rsidR="00C84D94" w:rsidRPr="00914395" w:rsidRDefault="00C84D94" w:rsidP="00DB5E9F">
            <w:pPr>
              <w:jc w:val="right"/>
              <w:rPr>
                <w:rFonts w:ascii="Times New Roman" w:hAnsi="Times New Roman"/>
                <w:sz w:val="20"/>
              </w:rPr>
            </w:pPr>
          </w:p>
        </w:tc>
        <w:tc>
          <w:tcPr>
            <w:tcW w:w="1807" w:type="dxa"/>
            <w:tcBorders>
              <w:bottom w:val="single" w:sz="4" w:space="0" w:color="auto"/>
            </w:tcBorders>
          </w:tcPr>
          <w:p w:rsidR="00C84D94" w:rsidRPr="00914395" w:rsidRDefault="00C84D94" w:rsidP="003B01CA">
            <w:pPr>
              <w:jc w:val="right"/>
              <w:rPr>
                <w:rFonts w:ascii="Times New Roman" w:hAnsi="Times New Roman"/>
                <w:sz w:val="20"/>
              </w:rPr>
            </w:pPr>
            <w:r>
              <w:rPr>
                <w:rFonts w:ascii="Times New Roman" w:hAnsi="Times New Roman"/>
                <w:sz w:val="20"/>
              </w:rPr>
              <w:t>9,328,518</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p>
        </w:tc>
        <w:tc>
          <w:tcPr>
            <w:tcW w:w="866" w:type="dxa"/>
          </w:tcPr>
          <w:p w:rsidR="00C84D94" w:rsidRPr="00914395" w:rsidRDefault="00C84D94" w:rsidP="00DB5E9F">
            <w:pPr>
              <w:jc w:val="center"/>
              <w:rPr>
                <w:rFonts w:ascii="Times New Roman" w:hAnsi="Times New Roman"/>
                <w:sz w:val="20"/>
              </w:rPr>
            </w:pPr>
          </w:p>
        </w:tc>
        <w:tc>
          <w:tcPr>
            <w:tcW w:w="1909" w:type="dxa"/>
            <w:tcBorders>
              <w:top w:val="single" w:sz="4" w:space="0" w:color="auto"/>
              <w:bottom w:val="single" w:sz="4" w:space="0" w:color="auto"/>
            </w:tcBorders>
          </w:tcPr>
          <w:p w:rsidR="00C84D94" w:rsidRPr="00914395" w:rsidRDefault="00C84D94">
            <w:pPr>
              <w:jc w:val="right"/>
              <w:rPr>
                <w:rFonts w:ascii="Times New Roman" w:hAnsi="Times New Roman"/>
                <w:sz w:val="20"/>
              </w:rPr>
            </w:pPr>
            <w:r>
              <w:rPr>
                <w:rFonts w:ascii="Times New Roman" w:hAnsi="Times New Roman"/>
                <w:sz w:val="20"/>
              </w:rPr>
              <w:t>1</w:t>
            </w:r>
            <w:r w:rsidR="00C02E54">
              <w:rPr>
                <w:rFonts w:ascii="Times New Roman" w:hAnsi="Times New Roman"/>
                <w:sz w:val="20"/>
              </w:rPr>
              <w:t>22</w:t>
            </w:r>
            <w:r>
              <w:rPr>
                <w:rFonts w:ascii="Times New Roman" w:hAnsi="Times New Roman"/>
                <w:sz w:val="20"/>
              </w:rPr>
              <w:t>,</w:t>
            </w:r>
            <w:r w:rsidR="00C02E54">
              <w:rPr>
                <w:rFonts w:ascii="Times New Roman" w:hAnsi="Times New Roman"/>
                <w:sz w:val="20"/>
              </w:rPr>
              <w:t>594</w:t>
            </w:r>
            <w:r>
              <w:rPr>
                <w:rFonts w:ascii="Times New Roman" w:hAnsi="Times New Roman"/>
                <w:sz w:val="20"/>
              </w:rPr>
              <w:t>,</w:t>
            </w:r>
            <w:r w:rsidR="00C02E54">
              <w:rPr>
                <w:rFonts w:ascii="Times New Roman" w:hAnsi="Times New Roman"/>
                <w:sz w:val="20"/>
              </w:rPr>
              <w:t>938</w:t>
            </w:r>
          </w:p>
        </w:tc>
        <w:tc>
          <w:tcPr>
            <w:tcW w:w="283" w:type="dxa"/>
          </w:tcPr>
          <w:p w:rsidR="00C84D94" w:rsidRPr="00914395" w:rsidRDefault="00C84D94" w:rsidP="00DB5E9F">
            <w:pPr>
              <w:jc w:val="right"/>
              <w:rPr>
                <w:rFonts w:ascii="Times New Roman" w:hAnsi="Times New Roman"/>
                <w:sz w:val="20"/>
              </w:rPr>
            </w:pPr>
          </w:p>
        </w:tc>
        <w:tc>
          <w:tcPr>
            <w:tcW w:w="1807" w:type="dxa"/>
            <w:tcBorders>
              <w:top w:val="single" w:sz="4" w:space="0" w:color="auto"/>
              <w:bottom w:val="single" w:sz="4" w:space="0" w:color="auto"/>
            </w:tcBorders>
          </w:tcPr>
          <w:p w:rsidR="00C84D94" w:rsidRPr="00914395" w:rsidRDefault="00C84D94" w:rsidP="003B01CA">
            <w:pPr>
              <w:jc w:val="right"/>
              <w:rPr>
                <w:rFonts w:ascii="Times New Roman" w:hAnsi="Times New Roman"/>
                <w:sz w:val="20"/>
              </w:rPr>
            </w:pPr>
            <w:r>
              <w:rPr>
                <w:rFonts w:ascii="Times New Roman" w:hAnsi="Times New Roman"/>
                <w:sz w:val="20"/>
              </w:rPr>
              <w:t>158,493,058</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p>
        </w:tc>
        <w:tc>
          <w:tcPr>
            <w:tcW w:w="866" w:type="dxa"/>
          </w:tcPr>
          <w:p w:rsidR="00C84D94" w:rsidRPr="00914395" w:rsidRDefault="00C84D94" w:rsidP="00DB5E9F">
            <w:pPr>
              <w:jc w:val="center"/>
              <w:rPr>
                <w:rFonts w:ascii="Times New Roman" w:hAnsi="Times New Roman"/>
                <w:sz w:val="20"/>
              </w:rPr>
            </w:pPr>
          </w:p>
        </w:tc>
        <w:tc>
          <w:tcPr>
            <w:tcW w:w="1909" w:type="dxa"/>
            <w:tcBorders>
              <w:top w:val="single" w:sz="4" w:space="0" w:color="auto"/>
            </w:tcBorders>
          </w:tcPr>
          <w:p w:rsidR="00C84D94" w:rsidRPr="00914395" w:rsidRDefault="00C84D94" w:rsidP="00DB5E9F">
            <w:pPr>
              <w:jc w:val="right"/>
              <w:rPr>
                <w:rFonts w:ascii="Times New Roman" w:hAnsi="Times New Roman"/>
                <w:b/>
                <w:sz w:val="20"/>
                <w:u w:val="single"/>
              </w:rPr>
            </w:pPr>
          </w:p>
        </w:tc>
        <w:tc>
          <w:tcPr>
            <w:tcW w:w="283" w:type="dxa"/>
          </w:tcPr>
          <w:p w:rsidR="00C84D94" w:rsidRPr="00914395" w:rsidRDefault="00C84D94" w:rsidP="00DB5E9F">
            <w:pPr>
              <w:jc w:val="right"/>
              <w:rPr>
                <w:rFonts w:ascii="Times New Roman" w:hAnsi="Times New Roman"/>
                <w:sz w:val="20"/>
                <w:u w:val="single"/>
              </w:rPr>
            </w:pPr>
          </w:p>
        </w:tc>
        <w:tc>
          <w:tcPr>
            <w:tcW w:w="1807" w:type="dxa"/>
            <w:tcBorders>
              <w:top w:val="single" w:sz="4" w:space="0" w:color="auto"/>
            </w:tcBorders>
          </w:tcPr>
          <w:p w:rsidR="00C84D94" w:rsidRPr="00914395" w:rsidRDefault="00C84D94" w:rsidP="003B01CA">
            <w:pPr>
              <w:jc w:val="right"/>
              <w:rPr>
                <w:rFonts w:ascii="Times New Roman" w:hAnsi="Times New Roman"/>
                <w:b/>
                <w:sz w:val="20"/>
                <w:u w:val="single"/>
              </w:rPr>
            </w:pPr>
          </w:p>
        </w:tc>
      </w:tr>
      <w:tr w:rsidR="00C84D94" w:rsidRPr="00914395" w:rsidTr="008E0649">
        <w:trPr>
          <w:cantSplit/>
        </w:trPr>
        <w:tc>
          <w:tcPr>
            <w:tcW w:w="5555" w:type="dxa"/>
          </w:tcPr>
          <w:p w:rsidR="00C84D94" w:rsidRPr="00914395" w:rsidRDefault="00C84D94" w:rsidP="00C41D63">
            <w:pPr>
              <w:pStyle w:val="Heading3"/>
              <w:tabs>
                <w:tab w:val="clear" w:pos="3402"/>
                <w:tab w:val="clear" w:pos="8222"/>
              </w:tabs>
              <w:rPr>
                <w:rFonts w:ascii="Times New Roman" w:hAnsi="Times New Roman"/>
              </w:rPr>
            </w:pPr>
            <w:r w:rsidRPr="00914395">
              <w:rPr>
                <w:rFonts w:ascii="Times New Roman" w:hAnsi="Times New Roman"/>
              </w:rPr>
              <w:t>Current liabilities</w:t>
            </w:r>
          </w:p>
        </w:tc>
        <w:tc>
          <w:tcPr>
            <w:tcW w:w="866" w:type="dxa"/>
          </w:tcPr>
          <w:p w:rsidR="00C84D94" w:rsidRPr="00914395" w:rsidRDefault="00C84D94" w:rsidP="00DB5E9F">
            <w:pPr>
              <w:jc w:val="center"/>
              <w:rPr>
                <w:rFonts w:ascii="Times New Roman" w:hAnsi="Times New Roman"/>
                <w:sz w:val="20"/>
              </w:rPr>
            </w:pPr>
          </w:p>
        </w:tc>
        <w:tc>
          <w:tcPr>
            <w:tcW w:w="1909" w:type="dxa"/>
          </w:tcPr>
          <w:p w:rsidR="00C84D94" w:rsidRPr="00914395" w:rsidRDefault="00C84D94" w:rsidP="00DB5E9F">
            <w:pPr>
              <w:jc w:val="right"/>
              <w:rPr>
                <w:rFonts w:ascii="Times New Roman" w:hAnsi="Times New Roman"/>
                <w:b/>
                <w:sz w:val="20"/>
              </w:rPr>
            </w:pP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b/>
                <w:sz w:val="20"/>
              </w:rPr>
            </w:pP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bCs w:val="0"/>
              </w:rPr>
            </w:pPr>
            <w:r w:rsidRPr="00914395">
              <w:rPr>
                <w:rFonts w:ascii="Times New Roman" w:hAnsi="Times New Roman"/>
                <w:b w:val="0"/>
                <w:bCs w:val="0"/>
              </w:rPr>
              <w:t>Other payables and accruals</w:t>
            </w:r>
          </w:p>
        </w:tc>
        <w:tc>
          <w:tcPr>
            <w:tcW w:w="866" w:type="dxa"/>
          </w:tcPr>
          <w:p w:rsidR="00C84D94" w:rsidRPr="00914395" w:rsidRDefault="00C84D94" w:rsidP="00DB5E9F">
            <w:pPr>
              <w:jc w:val="center"/>
              <w:rPr>
                <w:rFonts w:ascii="Times New Roman" w:hAnsi="Times New Roman"/>
                <w:sz w:val="20"/>
              </w:rPr>
            </w:pPr>
            <w:r w:rsidRPr="00914395">
              <w:rPr>
                <w:rFonts w:ascii="Times New Roman" w:hAnsi="Times New Roman"/>
                <w:sz w:val="20"/>
              </w:rPr>
              <w:t>5</w:t>
            </w:r>
          </w:p>
        </w:tc>
        <w:tc>
          <w:tcPr>
            <w:tcW w:w="1909" w:type="dxa"/>
          </w:tcPr>
          <w:p w:rsidR="00C84D94" w:rsidRPr="00914395" w:rsidRDefault="00C84D94">
            <w:pPr>
              <w:jc w:val="right"/>
              <w:rPr>
                <w:rFonts w:ascii="Times New Roman" w:hAnsi="Times New Roman"/>
                <w:sz w:val="20"/>
              </w:rPr>
            </w:pPr>
            <w:r>
              <w:rPr>
                <w:rFonts w:ascii="Times New Roman" w:hAnsi="Times New Roman"/>
                <w:sz w:val="20"/>
              </w:rPr>
              <w:t>(3</w:t>
            </w:r>
            <w:r w:rsidR="00C02E54">
              <w:rPr>
                <w:rFonts w:ascii="Times New Roman" w:hAnsi="Times New Roman"/>
                <w:sz w:val="20"/>
              </w:rPr>
              <w:t>83</w:t>
            </w:r>
            <w:r>
              <w:rPr>
                <w:rFonts w:ascii="Times New Roman" w:hAnsi="Times New Roman"/>
                <w:sz w:val="20"/>
              </w:rPr>
              <w:t>,</w:t>
            </w:r>
            <w:r w:rsidR="00C02E54">
              <w:rPr>
                <w:rFonts w:ascii="Times New Roman" w:hAnsi="Times New Roman"/>
                <w:sz w:val="20"/>
              </w:rPr>
              <w:t>613</w:t>
            </w:r>
            <w:r>
              <w:rPr>
                <w:rFonts w:ascii="Times New Roman" w:hAnsi="Times New Roman"/>
                <w:sz w:val="20"/>
              </w:rPr>
              <w:t>)</w:t>
            </w: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(362,428)</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bCs w:val="0"/>
              </w:rPr>
            </w:pPr>
            <w:r w:rsidRPr="00914395">
              <w:rPr>
                <w:rFonts w:ascii="Times New Roman" w:hAnsi="Times New Roman"/>
                <w:b w:val="0"/>
                <w:bCs w:val="0"/>
              </w:rPr>
              <w:t>Interest payable</w:t>
            </w:r>
          </w:p>
        </w:tc>
        <w:tc>
          <w:tcPr>
            <w:tcW w:w="866" w:type="dxa"/>
          </w:tcPr>
          <w:p w:rsidR="00C84D94" w:rsidRPr="00914395" w:rsidRDefault="00C84D94" w:rsidP="002E37DE">
            <w:pPr>
              <w:jc w:val="center"/>
              <w:rPr>
                <w:rFonts w:ascii="Times New Roman" w:hAnsi="Times New Roman"/>
                <w:sz w:val="20"/>
              </w:rPr>
            </w:pPr>
          </w:p>
        </w:tc>
        <w:tc>
          <w:tcPr>
            <w:tcW w:w="1909" w:type="dxa"/>
          </w:tcPr>
          <w:p w:rsidR="00C84D94" w:rsidRPr="00914395" w:rsidRDefault="00C84D94">
            <w:pPr>
              <w:jc w:val="right"/>
              <w:rPr>
                <w:rFonts w:ascii="Times New Roman" w:hAnsi="Times New Roman"/>
                <w:sz w:val="20"/>
              </w:rPr>
            </w:pPr>
            <w:r>
              <w:rPr>
                <w:rFonts w:ascii="Times New Roman" w:hAnsi="Times New Roman"/>
                <w:sz w:val="20"/>
              </w:rPr>
              <w:t>(</w:t>
            </w:r>
            <w:r w:rsidR="00C02E54">
              <w:rPr>
                <w:rFonts w:ascii="Times New Roman" w:hAnsi="Times New Roman"/>
                <w:sz w:val="20"/>
              </w:rPr>
              <w:t>17</w:t>
            </w:r>
            <w:r>
              <w:rPr>
                <w:rFonts w:ascii="Times New Roman" w:hAnsi="Times New Roman"/>
                <w:sz w:val="20"/>
              </w:rPr>
              <w:t>,</w:t>
            </w:r>
            <w:r w:rsidR="00C02E54">
              <w:rPr>
                <w:rFonts w:ascii="Times New Roman" w:hAnsi="Times New Roman"/>
                <w:sz w:val="20"/>
              </w:rPr>
              <w:t>281</w:t>
            </w:r>
            <w:r>
              <w:rPr>
                <w:rFonts w:ascii="Times New Roman" w:hAnsi="Times New Roman"/>
                <w:sz w:val="20"/>
              </w:rPr>
              <w:t>)</w:t>
            </w: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(84,616)</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bCs w:val="0"/>
              </w:rPr>
            </w:pPr>
            <w:r w:rsidRPr="00914395">
              <w:rPr>
                <w:rFonts w:ascii="Times New Roman" w:hAnsi="Times New Roman"/>
                <w:b w:val="0"/>
                <w:bCs w:val="0"/>
              </w:rPr>
              <w:t>Loan payable</w:t>
            </w:r>
          </w:p>
        </w:tc>
        <w:tc>
          <w:tcPr>
            <w:tcW w:w="866" w:type="dxa"/>
          </w:tcPr>
          <w:p w:rsidR="00C84D94" w:rsidRPr="00914395" w:rsidRDefault="00C84D94" w:rsidP="002E37DE">
            <w:pPr>
              <w:jc w:val="center"/>
              <w:rPr>
                <w:rFonts w:ascii="Times New Roman" w:hAnsi="Times New Roman"/>
                <w:sz w:val="20"/>
              </w:rPr>
            </w:pPr>
            <w:r w:rsidRPr="00914395">
              <w:rPr>
                <w:rFonts w:ascii="Times New Roman" w:hAnsi="Times New Roman"/>
                <w:sz w:val="20"/>
              </w:rPr>
              <w:t>14</w:t>
            </w:r>
          </w:p>
        </w:tc>
        <w:tc>
          <w:tcPr>
            <w:tcW w:w="1909" w:type="dxa"/>
            <w:tcBorders>
              <w:bottom w:val="single" w:sz="4" w:space="0" w:color="auto"/>
            </w:tcBorders>
          </w:tcPr>
          <w:p w:rsidR="00C84D94" w:rsidRPr="00914395" w:rsidRDefault="00C84D94">
            <w:pPr>
              <w:jc w:val="right"/>
              <w:rPr>
                <w:rFonts w:ascii="Times New Roman" w:hAnsi="Times New Roman"/>
                <w:sz w:val="20"/>
              </w:rPr>
            </w:pPr>
            <w:r>
              <w:rPr>
                <w:rFonts w:ascii="Times New Roman" w:hAnsi="Times New Roman"/>
                <w:sz w:val="20"/>
              </w:rPr>
              <w:t>(</w:t>
            </w:r>
            <w:r w:rsidR="00C02E54">
              <w:rPr>
                <w:rFonts w:ascii="Times New Roman" w:hAnsi="Times New Roman"/>
                <w:sz w:val="20"/>
              </w:rPr>
              <w:t>20</w:t>
            </w:r>
            <w:r>
              <w:rPr>
                <w:rFonts w:ascii="Times New Roman" w:hAnsi="Times New Roman"/>
                <w:sz w:val="20"/>
              </w:rPr>
              <w:t>,</w:t>
            </w:r>
            <w:r w:rsidR="00C02E54">
              <w:rPr>
                <w:rFonts w:ascii="Times New Roman" w:hAnsi="Times New Roman"/>
                <w:sz w:val="20"/>
              </w:rPr>
              <w:t>025</w:t>
            </w:r>
            <w:r>
              <w:rPr>
                <w:rFonts w:ascii="Times New Roman" w:hAnsi="Times New Roman"/>
                <w:sz w:val="20"/>
              </w:rPr>
              <w:t>,</w:t>
            </w:r>
            <w:r w:rsidR="00C02E54">
              <w:rPr>
                <w:rFonts w:ascii="Times New Roman" w:hAnsi="Times New Roman"/>
                <w:sz w:val="20"/>
              </w:rPr>
              <w:t>095</w:t>
            </w:r>
            <w:r>
              <w:rPr>
                <w:rFonts w:ascii="Times New Roman" w:hAnsi="Times New Roman"/>
                <w:sz w:val="20"/>
              </w:rPr>
              <w:t>)</w:t>
            </w:r>
          </w:p>
        </w:tc>
        <w:tc>
          <w:tcPr>
            <w:tcW w:w="283" w:type="dxa"/>
          </w:tcPr>
          <w:p w:rsidR="00C84D94" w:rsidRPr="00914395" w:rsidRDefault="00C84D94" w:rsidP="00DB5E9F">
            <w:pPr>
              <w:jc w:val="right"/>
              <w:rPr>
                <w:rFonts w:ascii="Times New Roman" w:hAnsi="Times New Roman"/>
                <w:sz w:val="20"/>
              </w:rPr>
            </w:pPr>
          </w:p>
        </w:tc>
        <w:tc>
          <w:tcPr>
            <w:tcW w:w="1807" w:type="dxa"/>
            <w:tcBorders>
              <w:bottom w:val="single" w:sz="4" w:space="0" w:color="auto"/>
            </w:tcBorders>
          </w:tcPr>
          <w:p w:rsidR="00C84D94" w:rsidRPr="00914395" w:rsidRDefault="00C84D94" w:rsidP="003B01CA">
            <w:pPr>
              <w:jc w:val="right"/>
              <w:rPr>
                <w:rFonts w:ascii="Times New Roman" w:hAnsi="Times New Roman"/>
                <w:sz w:val="20"/>
              </w:rPr>
            </w:pPr>
            <w:r>
              <w:rPr>
                <w:rFonts w:ascii="Times New Roman" w:hAnsi="Times New Roman"/>
                <w:sz w:val="20"/>
              </w:rPr>
              <w:t>(35,814,484)</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p>
        </w:tc>
        <w:tc>
          <w:tcPr>
            <w:tcW w:w="866" w:type="dxa"/>
          </w:tcPr>
          <w:p w:rsidR="00C84D94" w:rsidRPr="00914395" w:rsidRDefault="00C84D94" w:rsidP="00DB5E9F">
            <w:pPr>
              <w:jc w:val="center"/>
              <w:rPr>
                <w:rFonts w:ascii="Times New Roman" w:hAnsi="Times New Roman"/>
                <w:sz w:val="20"/>
              </w:rPr>
            </w:pPr>
          </w:p>
        </w:tc>
        <w:tc>
          <w:tcPr>
            <w:tcW w:w="1909" w:type="dxa"/>
            <w:tcBorders>
              <w:top w:val="single" w:sz="4" w:space="0" w:color="auto"/>
              <w:bottom w:val="single" w:sz="4" w:space="0" w:color="auto"/>
            </w:tcBorders>
          </w:tcPr>
          <w:p w:rsidR="00C84D94" w:rsidRPr="00914395" w:rsidRDefault="00C84D94">
            <w:pPr>
              <w:jc w:val="right"/>
              <w:rPr>
                <w:rFonts w:ascii="Times New Roman" w:hAnsi="Times New Roman"/>
                <w:sz w:val="20"/>
              </w:rPr>
            </w:pPr>
            <w:r>
              <w:rPr>
                <w:rFonts w:ascii="Times New Roman" w:hAnsi="Times New Roman"/>
                <w:sz w:val="20"/>
              </w:rPr>
              <w:t>(</w:t>
            </w:r>
            <w:r w:rsidR="00C02E54">
              <w:rPr>
                <w:rFonts w:ascii="Times New Roman" w:hAnsi="Times New Roman"/>
                <w:sz w:val="20"/>
              </w:rPr>
              <w:t>20</w:t>
            </w:r>
            <w:r>
              <w:rPr>
                <w:rFonts w:ascii="Times New Roman" w:hAnsi="Times New Roman"/>
                <w:sz w:val="20"/>
              </w:rPr>
              <w:t>,</w:t>
            </w:r>
            <w:r w:rsidR="00C02E54">
              <w:rPr>
                <w:rFonts w:ascii="Times New Roman" w:hAnsi="Times New Roman"/>
                <w:sz w:val="20"/>
              </w:rPr>
              <w:t>425</w:t>
            </w:r>
            <w:r>
              <w:rPr>
                <w:rFonts w:ascii="Times New Roman" w:hAnsi="Times New Roman"/>
                <w:sz w:val="20"/>
              </w:rPr>
              <w:t>,</w:t>
            </w:r>
            <w:r w:rsidR="00C02E54">
              <w:rPr>
                <w:rFonts w:ascii="Times New Roman" w:hAnsi="Times New Roman"/>
                <w:sz w:val="20"/>
              </w:rPr>
              <w:t>989</w:t>
            </w:r>
            <w:r>
              <w:rPr>
                <w:rFonts w:ascii="Times New Roman" w:hAnsi="Times New Roman"/>
                <w:sz w:val="20"/>
              </w:rPr>
              <w:t>)</w:t>
            </w:r>
          </w:p>
        </w:tc>
        <w:tc>
          <w:tcPr>
            <w:tcW w:w="283" w:type="dxa"/>
          </w:tcPr>
          <w:p w:rsidR="00C84D94" w:rsidRPr="00914395" w:rsidRDefault="00C84D94" w:rsidP="00DB5E9F">
            <w:pPr>
              <w:jc w:val="right"/>
              <w:rPr>
                <w:rFonts w:ascii="Times New Roman" w:hAnsi="Times New Roman"/>
                <w:sz w:val="20"/>
              </w:rPr>
            </w:pPr>
          </w:p>
        </w:tc>
        <w:tc>
          <w:tcPr>
            <w:tcW w:w="1807" w:type="dxa"/>
            <w:tcBorders>
              <w:top w:val="single" w:sz="4" w:space="0" w:color="auto"/>
              <w:bottom w:val="single" w:sz="4" w:space="0" w:color="auto"/>
            </w:tcBorders>
          </w:tcPr>
          <w:p w:rsidR="00C84D94" w:rsidRPr="00914395" w:rsidRDefault="00C84D94" w:rsidP="003B01CA">
            <w:pPr>
              <w:jc w:val="right"/>
              <w:rPr>
                <w:rFonts w:ascii="Times New Roman" w:hAnsi="Times New Roman"/>
                <w:sz w:val="20"/>
              </w:rPr>
            </w:pPr>
            <w:r>
              <w:rPr>
                <w:rFonts w:ascii="Times New Roman" w:hAnsi="Times New Roman"/>
                <w:sz w:val="20"/>
              </w:rPr>
              <w:t>(36,261,528)</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p>
        </w:tc>
        <w:tc>
          <w:tcPr>
            <w:tcW w:w="866" w:type="dxa"/>
          </w:tcPr>
          <w:p w:rsidR="00C84D94" w:rsidRPr="00914395" w:rsidRDefault="00C84D94" w:rsidP="00DB5E9F">
            <w:pPr>
              <w:jc w:val="center"/>
              <w:rPr>
                <w:rFonts w:ascii="Times New Roman" w:hAnsi="Times New Roman"/>
                <w:sz w:val="20"/>
              </w:rPr>
            </w:pPr>
          </w:p>
        </w:tc>
        <w:tc>
          <w:tcPr>
            <w:tcW w:w="1909" w:type="dxa"/>
            <w:tcBorders>
              <w:top w:val="single" w:sz="4" w:space="0" w:color="auto"/>
            </w:tcBorders>
          </w:tcPr>
          <w:p w:rsidR="00C84D94" w:rsidRPr="00914395" w:rsidRDefault="00C84D94" w:rsidP="00DB5E9F">
            <w:pPr>
              <w:jc w:val="right"/>
              <w:rPr>
                <w:rFonts w:ascii="Times New Roman" w:hAnsi="Times New Roman"/>
                <w:sz w:val="20"/>
              </w:rPr>
            </w:pPr>
          </w:p>
        </w:tc>
        <w:tc>
          <w:tcPr>
            <w:tcW w:w="283" w:type="dxa"/>
          </w:tcPr>
          <w:p w:rsidR="00C84D94" w:rsidRPr="00914395" w:rsidRDefault="00C84D94" w:rsidP="00DB5E9F">
            <w:pPr>
              <w:jc w:val="right"/>
              <w:rPr>
                <w:rFonts w:ascii="Times New Roman" w:hAnsi="Times New Roman"/>
                <w:b/>
                <w:sz w:val="20"/>
              </w:rPr>
            </w:pPr>
          </w:p>
        </w:tc>
        <w:tc>
          <w:tcPr>
            <w:tcW w:w="1807" w:type="dxa"/>
            <w:tcBorders>
              <w:top w:val="single" w:sz="4" w:space="0" w:color="auto"/>
            </w:tcBorders>
          </w:tcPr>
          <w:p w:rsidR="00C84D94" w:rsidRPr="00914395" w:rsidRDefault="00C84D94" w:rsidP="003B01CA">
            <w:pPr>
              <w:jc w:val="right"/>
              <w:rPr>
                <w:rFonts w:ascii="Times New Roman" w:hAnsi="Times New Roman"/>
                <w:sz w:val="20"/>
              </w:rPr>
            </w:pP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r w:rsidRPr="00914395">
              <w:rPr>
                <w:rFonts w:ascii="Times New Roman" w:hAnsi="Times New Roman"/>
              </w:rPr>
              <w:t xml:space="preserve">Net assets </w:t>
            </w:r>
          </w:p>
        </w:tc>
        <w:tc>
          <w:tcPr>
            <w:tcW w:w="866" w:type="dxa"/>
          </w:tcPr>
          <w:p w:rsidR="00C84D94" w:rsidRPr="00914395" w:rsidRDefault="00C84D94" w:rsidP="00DB5E9F">
            <w:pPr>
              <w:jc w:val="center"/>
              <w:rPr>
                <w:rFonts w:ascii="Times New Roman" w:hAnsi="Times New Roman"/>
                <w:sz w:val="20"/>
              </w:rPr>
            </w:pPr>
          </w:p>
        </w:tc>
        <w:tc>
          <w:tcPr>
            <w:tcW w:w="1909" w:type="dxa"/>
            <w:tcBorders>
              <w:bottom w:val="double" w:sz="4" w:space="0" w:color="auto"/>
            </w:tcBorders>
          </w:tcPr>
          <w:p w:rsidR="00C84D94" w:rsidRPr="00914395" w:rsidRDefault="00C84D94">
            <w:pPr>
              <w:jc w:val="right"/>
              <w:rPr>
                <w:rFonts w:ascii="Times New Roman" w:hAnsi="Times New Roman"/>
                <w:sz w:val="20"/>
              </w:rPr>
            </w:pPr>
            <w:r>
              <w:rPr>
                <w:rFonts w:ascii="Times New Roman" w:hAnsi="Times New Roman"/>
                <w:sz w:val="20"/>
              </w:rPr>
              <w:t>1</w:t>
            </w:r>
            <w:r w:rsidR="00C02E54">
              <w:rPr>
                <w:rFonts w:ascii="Times New Roman" w:hAnsi="Times New Roman"/>
                <w:sz w:val="20"/>
              </w:rPr>
              <w:t>02,168,949</w:t>
            </w:r>
          </w:p>
        </w:tc>
        <w:tc>
          <w:tcPr>
            <w:tcW w:w="283" w:type="dxa"/>
          </w:tcPr>
          <w:p w:rsidR="00C84D94" w:rsidRPr="00914395" w:rsidRDefault="00C84D94" w:rsidP="00DB5E9F">
            <w:pPr>
              <w:jc w:val="right"/>
              <w:rPr>
                <w:rFonts w:ascii="Times New Roman" w:hAnsi="Times New Roman"/>
                <w:b/>
                <w:sz w:val="20"/>
              </w:rPr>
            </w:pPr>
          </w:p>
        </w:tc>
        <w:tc>
          <w:tcPr>
            <w:tcW w:w="1807" w:type="dxa"/>
            <w:tcBorders>
              <w:bottom w:val="double" w:sz="4" w:space="0" w:color="auto"/>
            </w:tcBorders>
          </w:tcPr>
          <w:p w:rsidR="00C84D94" w:rsidRPr="00914395" w:rsidRDefault="00C84D94" w:rsidP="003B01CA">
            <w:pPr>
              <w:jc w:val="right"/>
              <w:rPr>
                <w:rFonts w:ascii="Times New Roman" w:hAnsi="Times New Roman"/>
                <w:sz w:val="20"/>
              </w:rPr>
            </w:pPr>
            <w:r>
              <w:rPr>
                <w:rFonts w:ascii="Times New Roman" w:hAnsi="Times New Roman"/>
                <w:sz w:val="20"/>
              </w:rPr>
              <w:t>122,231,530</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p>
        </w:tc>
        <w:tc>
          <w:tcPr>
            <w:tcW w:w="866" w:type="dxa"/>
          </w:tcPr>
          <w:p w:rsidR="00C84D94" w:rsidRPr="00914395" w:rsidRDefault="00C84D94" w:rsidP="00DB5E9F">
            <w:pPr>
              <w:jc w:val="center"/>
              <w:rPr>
                <w:rFonts w:ascii="Times New Roman" w:hAnsi="Times New Roman"/>
                <w:sz w:val="20"/>
              </w:rPr>
            </w:pPr>
          </w:p>
        </w:tc>
        <w:tc>
          <w:tcPr>
            <w:tcW w:w="1909" w:type="dxa"/>
            <w:tcBorders>
              <w:top w:val="double" w:sz="4" w:space="0" w:color="auto"/>
            </w:tcBorders>
          </w:tcPr>
          <w:p w:rsidR="00C84D94" w:rsidRPr="00914395" w:rsidRDefault="00C84D94" w:rsidP="00DB5E9F">
            <w:pPr>
              <w:jc w:val="right"/>
              <w:rPr>
                <w:rFonts w:ascii="Times New Roman" w:hAnsi="Times New Roman"/>
                <w:sz w:val="20"/>
              </w:rPr>
            </w:pPr>
          </w:p>
        </w:tc>
        <w:tc>
          <w:tcPr>
            <w:tcW w:w="283" w:type="dxa"/>
          </w:tcPr>
          <w:p w:rsidR="00C84D94" w:rsidRPr="00914395" w:rsidRDefault="00C84D94" w:rsidP="00DB5E9F">
            <w:pPr>
              <w:jc w:val="right"/>
              <w:rPr>
                <w:rFonts w:ascii="Times New Roman" w:hAnsi="Times New Roman"/>
                <w:sz w:val="20"/>
              </w:rPr>
            </w:pPr>
          </w:p>
        </w:tc>
        <w:tc>
          <w:tcPr>
            <w:tcW w:w="1807" w:type="dxa"/>
            <w:tcBorders>
              <w:top w:val="double" w:sz="4" w:space="0" w:color="auto"/>
            </w:tcBorders>
          </w:tcPr>
          <w:p w:rsidR="00C84D94" w:rsidRPr="00914395" w:rsidRDefault="00C84D94" w:rsidP="003B01CA">
            <w:pPr>
              <w:jc w:val="right"/>
              <w:rPr>
                <w:rFonts w:ascii="Times New Roman" w:hAnsi="Times New Roman"/>
                <w:sz w:val="20"/>
              </w:rPr>
            </w:pP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r w:rsidRPr="00914395">
              <w:rPr>
                <w:rFonts w:ascii="Times New Roman" w:hAnsi="Times New Roman"/>
              </w:rPr>
              <w:t>Equity attributable to equity holders</w:t>
            </w:r>
          </w:p>
        </w:tc>
        <w:tc>
          <w:tcPr>
            <w:tcW w:w="866" w:type="dxa"/>
          </w:tcPr>
          <w:p w:rsidR="00C84D94" w:rsidRPr="00914395" w:rsidRDefault="00C84D94" w:rsidP="00DB5E9F">
            <w:pPr>
              <w:jc w:val="center"/>
              <w:rPr>
                <w:rFonts w:ascii="Times New Roman" w:hAnsi="Times New Roman"/>
                <w:sz w:val="20"/>
              </w:rPr>
            </w:pPr>
          </w:p>
        </w:tc>
        <w:tc>
          <w:tcPr>
            <w:tcW w:w="1909" w:type="dxa"/>
          </w:tcPr>
          <w:p w:rsidR="00C84D94" w:rsidRPr="00914395" w:rsidRDefault="00C84D94" w:rsidP="00DB5E9F">
            <w:pPr>
              <w:jc w:val="right"/>
              <w:rPr>
                <w:rFonts w:ascii="Times New Roman" w:hAnsi="Times New Roman"/>
                <w:sz w:val="20"/>
              </w:rPr>
            </w:pP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p>
        </w:tc>
      </w:tr>
      <w:tr w:rsidR="00C84D94" w:rsidRPr="00914395" w:rsidTr="008E0649">
        <w:trPr>
          <w:cantSplit/>
        </w:trPr>
        <w:tc>
          <w:tcPr>
            <w:tcW w:w="5555" w:type="dxa"/>
          </w:tcPr>
          <w:p w:rsidR="00C84D94" w:rsidRPr="00914395" w:rsidRDefault="00C84D94" w:rsidP="00D0423F">
            <w:pPr>
              <w:pStyle w:val="Heading3"/>
              <w:tabs>
                <w:tab w:val="clear" w:pos="3402"/>
                <w:tab w:val="clear" w:pos="8222"/>
              </w:tabs>
              <w:rPr>
                <w:rFonts w:ascii="Times New Roman" w:hAnsi="Times New Roman"/>
                <w:b w:val="0"/>
              </w:rPr>
            </w:pPr>
            <w:r w:rsidRPr="00914395">
              <w:rPr>
                <w:rFonts w:ascii="Times New Roman" w:hAnsi="Times New Roman"/>
                <w:b w:val="0"/>
              </w:rPr>
              <w:t>Stated capital</w:t>
            </w:r>
          </w:p>
        </w:tc>
        <w:tc>
          <w:tcPr>
            <w:tcW w:w="866" w:type="dxa"/>
          </w:tcPr>
          <w:p w:rsidR="00C84D94" w:rsidRPr="00914395" w:rsidRDefault="00C84D94" w:rsidP="00DB5E9F">
            <w:pPr>
              <w:jc w:val="center"/>
              <w:rPr>
                <w:rFonts w:ascii="Times New Roman" w:hAnsi="Times New Roman"/>
                <w:sz w:val="20"/>
              </w:rPr>
            </w:pPr>
            <w:r w:rsidRPr="00914395">
              <w:rPr>
                <w:rFonts w:ascii="Times New Roman" w:hAnsi="Times New Roman"/>
                <w:sz w:val="20"/>
              </w:rPr>
              <w:t>6</w:t>
            </w:r>
          </w:p>
        </w:tc>
        <w:tc>
          <w:tcPr>
            <w:tcW w:w="1909" w:type="dxa"/>
          </w:tcPr>
          <w:p w:rsidR="00C84D94" w:rsidRPr="00914395" w:rsidRDefault="00C84D94">
            <w:pPr>
              <w:jc w:val="right"/>
              <w:rPr>
                <w:rFonts w:ascii="Times New Roman" w:hAnsi="Times New Roman"/>
                <w:sz w:val="20"/>
              </w:rPr>
            </w:pPr>
            <w:r>
              <w:rPr>
                <w:rFonts w:ascii="Times New Roman" w:hAnsi="Times New Roman"/>
                <w:sz w:val="20"/>
              </w:rPr>
              <w:t>49,704,414</w:t>
            </w: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49,704,414</w:t>
            </w:r>
          </w:p>
        </w:tc>
      </w:tr>
      <w:tr w:rsidR="00C84D94" w:rsidRPr="00914395" w:rsidTr="008E0649">
        <w:trPr>
          <w:cantSplit/>
        </w:trPr>
        <w:tc>
          <w:tcPr>
            <w:tcW w:w="5555" w:type="dxa"/>
          </w:tcPr>
          <w:p w:rsidR="00C84D94" w:rsidRPr="00914395" w:rsidRDefault="00C84D94" w:rsidP="004307BF">
            <w:pPr>
              <w:pStyle w:val="Heading3"/>
              <w:tabs>
                <w:tab w:val="clear" w:pos="3402"/>
                <w:tab w:val="clear" w:pos="8222"/>
              </w:tabs>
              <w:rPr>
                <w:rFonts w:ascii="Times New Roman" w:hAnsi="Times New Roman"/>
                <w:b w:val="0"/>
              </w:rPr>
            </w:pPr>
            <w:r w:rsidRPr="00914395">
              <w:rPr>
                <w:rFonts w:ascii="Times New Roman" w:hAnsi="Times New Roman"/>
                <w:b w:val="0"/>
              </w:rPr>
              <w:t>Retained earnings</w:t>
            </w:r>
          </w:p>
        </w:tc>
        <w:tc>
          <w:tcPr>
            <w:tcW w:w="866" w:type="dxa"/>
          </w:tcPr>
          <w:p w:rsidR="00C84D94" w:rsidRPr="00914395" w:rsidRDefault="00C84D94" w:rsidP="00DB5E9F">
            <w:pPr>
              <w:jc w:val="center"/>
              <w:rPr>
                <w:rFonts w:ascii="Times New Roman" w:hAnsi="Times New Roman"/>
                <w:sz w:val="20"/>
              </w:rPr>
            </w:pPr>
          </w:p>
        </w:tc>
        <w:tc>
          <w:tcPr>
            <w:tcW w:w="1909" w:type="dxa"/>
          </w:tcPr>
          <w:p w:rsidR="00C84D94" w:rsidRPr="00914395" w:rsidRDefault="00C02E54">
            <w:pPr>
              <w:jc w:val="right"/>
              <w:rPr>
                <w:rFonts w:ascii="Times New Roman" w:hAnsi="Times New Roman"/>
                <w:sz w:val="20"/>
              </w:rPr>
            </w:pPr>
            <w:r>
              <w:rPr>
                <w:rFonts w:ascii="Times New Roman" w:hAnsi="Times New Roman"/>
                <w:sz w:val="20"/>
              </w:rPr>
              <w:t>52</w:t>
            </w:r>
            <w:r w:rsidR="00C84D94">
              <w:rPr>
                <w:rFonts w:ascii="Times New Roman" w:hAnsi="Times New Roman"/>
                <w:sz w:val="20"/>
              </w:rPr>
              <w:t>,</w:t>
            </w:r>
            <w:r>
              <w:rPr>
                <w:rFonts w:ascii="Times New Roman" w:hAnsi="Times New Roman"/>
                <w:sz w:val="20"/>
              </w:rPr>
              <w:t>464</w:t>
            </w:r>
            <w:r w:rsidR="00C84D94">
              <w:rPr>
                <w:rFonts w:ascii="Times New Roman" w:hAnsi="Times New Roman"/>
                <w:sz w:val="20"/>
              </w:rPr>
              <w:t>,</w:t>
            </w:r>
            <w:r>
              <w:rPr>
                <w:rFonts w:ascii="Times New Roman" w:hAnsi="Times New Roman"/>
                <w:sz w:val="20"/>
              </w:rPr>
              <w:t>535</w:t>
            </w:r>
          </w:p>
        </w:tc>
        <w:tc>
          <w:tcPr>
            <w:tcW w:w="283" w:type="dxa"/>
          </w:tcPr>
          <w:p w:rsidR="00C84D94" w:rsidRPr="00914395" w:rsidRDefault="00C84D94" w:rsidP="00DB5E9F">
            <w:pPr>
              <w:jc w:val="right"/>
              <w:rPr>
                <w:rFonts w:ascii="Times New Roman" w:hAnsi="Times New Roman"/>
                <w:sz w:val="20"/>
              </w:rPr>
            </w:pPr>
          </w:p>
        </w:tc>
        <w:tc>
          <w:tcPr>
            <w:tcW w:w="1807" w:type="dxa"/>
          </w:tcPr>
          <w:p w:rsidR="00C84D94" w:rsidRPr="00914395" w:rsidRDefault="00C84D94" w:rsidP="003B01CA">
            <w:pPr>
              <w:jc w:val="right"/>
              <w:rPr>
                <w:rFonts w:ascii="Times New Roman" w:hAnsi="Times New Roman"/>
                <w:sz w:val="20"/>
              </w:rPr>
            </w:pPr>
            <w:r>
              <w:rPr>
                <w:rFonts w:ascii="Times New Roman" w:hAnsi="Times New Roman"/>
                <w:sz w:val="20"/>
              </w:rPr>
              <w:t>72,527,116</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b w:val="0"/>
              </w:rPr>
            </w:pPr>
          </w:p>
        </w:tc>
        <w:tc>
          <w:tcPr>
            <w:tcW w:w="866" w:type="dxa"/>
          </w:tcPr>
          <w:p w:rsidR="00C84D94" w:rsidRPr="00914395" w:rsidRDefault="00C84D94" w:rsidP="00DB5E9F">
            <w:pPr>
              <w:jc w:val="center"/>
              <w:rPr>
                <w:rFonts w:ascii="Times New Roman" w:hAnsi="Times New Roman"/>
                <w:sz w:val="20"/>
              </w:rPr>
            </w:pPr>
          </w:p>
        </w:tc>
        <w:tc>
          <w:tcPr>
            <w:tcW w:w="1909" w:type="dxa"/>
            <w:tcBorders>
              <w:bottom w:val="single" w:sz="4" w:space="0" w:color="auto"/>
            </w:tcBorders>
          </w:tcPr>
          <w:p w:rsidR="00C84D94" w:rsidRPr="00914395" w:rsidRDefault="00C84D94" w:rsidP="00DB5E9F">
            <w:pPr>
              <w:jc w:val="right"/>
              <w:rPr>
                <w:rFonts w:ascii="Times New Roman" w:hAnsi="Times New Roman"/>
                <w:sz w:val="20"/>
              </w:rPr>
            </w:pPr>
          </w:p>
        </w:tc>
        <w:tc>
          <w:tcPr>
            <w:tcW w:w="283" w:type="dxa"/>
          </w:tcPr>
          <w:p w:rsidR="00C84D94" w:rsidRPr="00914395" w:rsidRDefault="00C84D94" w:rsidP="00DB5E9F">
            <w:pPr>
              <w:jc w:val="right"/>
              <w:rPr>
                <w:rFonts w:ascii="Times New Roman" w:hAnsi="Times New Roman"/>
                <w:sz w:val="20"/>
              </w:rPr>
            </w:pPr>
          </w:p>
        </w:tc>
        <w:tc>
          <w:tcPr>
            <w:tcW w:w="1807" w:type="dxa"/>
            <w:tcBorders>
              <w:bottom w:val="single" w:sz="4" w:space="0" w:color="auto"/>
            </w:tcBorders>
          </w:tcPr>
          <w:p w:rsidR="00C84D94" w:rsidRPr="00914395" w:rsidRDefault="00C84D94" w:rsidP="003B01CA">
            <w:pPr>
              <w:jc w:val="right"/>
              <w:rPr>
                <w:rFonts w:ascii="Times New Roman" w:hAnsi="Times New Roman"/>
                <w:sz w:val="20"/>
              </w:rPr>
            </w:pP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r w:rsidRPr="00914395">
              <w:rPr>
                <w:rFonts w:ascii="Times New Roman" w:hAnsi="Times New Roman"/>
              </w:rPr>
              <w:t>Total Shareholders’ equity</w:t>
            </w:r>
          </w:p>
        </w:tc>
        <w:tc>
          <w:tcPr>
            <w:tcW w:w="866" w:type="dxa"/>
          </w:tcPr>
          <w:p w:rsidR="00C84D94" w:rsidRPr="00914395" w:rsidRDefault="00C84D94" w:rsidP="00DB5E9F">
            <w:pPr>
              <w:jc w:val="center"/>
              <w:rPr>
                <w:rFonts w:ascii="Times New Roman" w:hAnsi="Times New Roman"/>
                <w:sz w:val="20"/>
              </w:rPr>
            </w:pPr>
          </w:p>
        </w:tc>
        <w:tc>
          <w:tcPr>
            <w:tcW w:w="1909" w:type="dxa"/>
            <w:tcBorders>
              <w:top w:val="single" w:sz="4" w:space="0" w:color="auto"/>
              <w:bottom w:val="double" w:sz="4" w:space="0" w:color="auto"/>
            </w:tcBorders>
          </w:tcPr>
          <w:p w:rsidR="00C84D94" w:rsidRPr="00914395" w:rsidRDefault="00C84D94">
            <w:pPr>
              <w:jc w:val="right"/>
              <w:rPr>
                <w:rFonts w:ascii="Times New Roman" w:hAnsi="Times New Roman"/>
                <w:sz w:val="20"/>
              </w:rPr>
            </w:pPr>
            <w:r>
              <w:rPr>
                <w:rFonts w:ascii="Times New Roman" w:hAnsi="Times New Roman"/>
                <w:sz w:val="20"/>
              </w:rPr>
              <w:t>1</w:t>
            </w:r>
            <w:r w:rsidR="00C02E54">
              <w:rPr>
                <w:rFonts w:ascii="Times New Roman" w:hAnsi="Times New Roman"/>
                <w:sz w:val="20"/>
              </w:rPr>
              <w:t>02</w:t>
            </w:r>
            <w:r>
              <w:rPr>
                <w:rFonts w:ascii="Times New Roman" w:hAnsi="Times New Roman"/>
                <w:sz w:val="20"/>
              </w:rPr>
              <w:t>,</w:t>
            </w:r>
            <w:r w:rsidR="00C02E54">
              <w:rPr>
                <w:rFonts w:ascii="Times New Roman" w:hAnsi="Times New Roman"/>
                <w:sz w:val="20"/>
              </w:rPr>
              <w:t>168</w:t>
            </w:r>
            <w:r>
              <w:rPr>
                <w:rFonts w:ascii="Times New Roman" w:hAnsi="Times New Roman"/>
                <w:sz w:val="20"/>
              </w:rPr>
              <w:t>,</w:t>
            </w:r>
            <w:r w:rsidR="00C02E54">
              <w:rPr>
                <w:rFonts w:ascii="Times New Roman" w:hAnsi="Times New Roman"/>
                <w:sz w:val="20"/>
              </w:rPr>
              <w:t>949</w:t>
            </w:r>
          </w:p>
        </w:tc>
        <w:tc>
          <w:tcPr>
            <w:tcW w:w="283" w:type="dxa"/>
          </w:tcPr>
          <w:p w:rsidR="00C84D94" w:rsidRPr="00914395" w:rsidRDefault="00C84D94" w:rsidP="00DB5E9F">
            <w:pPr>
              <w:jc w:val="right"/>
              <w:rPr>
                <w:rFonts w:ascii="Times New Roman" w:hAnsi="Times New Roman"/>
                <w:b/>
                <w:sz w:val="20"/>
              </w:rPr>
            </w:pPr>
          </w:p>
        </w:tc>
        <w:tc>
          <w:tcPr>
            <w:tcW w:w="1807" w:type="dxa"/>
            <w:tcBorders>
              <w:top w:val="single" w:sz="4" w:space="0" w:color="auto"/>
              <w:bottom w:val="double" w:sz="4" w:space="0" w:color="auto"/>
            </w:tcBorders>
          </w:tcPr>
          <w:p w:rsidR="00C84D94" w:rsidRPr="00914395" w:rsidRDefault="00C84D94" w:rsidP="003B01CA">
            <w:pPr>
              <w:jc w:val="right"/>
              <w:rPr>
                <w:rFonts w:ascii="Times New Roman" w:hAnsi="Times New Roman"/>
                <w:sz w:val="20"/>
              </w:rPr>
            </w:pPr>
            <w:r>
              <w:rPr>
                <w:rFonts w:ascii="Times New Roman" w:hAnsi="Times New Roman"/>
                <w:sz w:val="20"/>
              </w:rPr>
              <w:t>122,231,530</w:t>
            </w:r>
          </w:p>
        </w:tc>
      </w:tr>
      <w:tr w:rsidR="00C84D94" w:rsidRPr="00914395" w:rsidTr="008E0649">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p>
        </w:tc>
        <w:tc>
          <w:tcPr>
            <w:tcW w:w="866" w:type="dxa"/>
          </w:tcPr>
          <w:p w:rsidR="00C84D94" w:rsidRPr="00914395" w:rsidRDefault="00C84D94" w:rsidP="00DB5E9F">
            <w:pPr>
              <w:jc w:val="center"/>
              <w:rPr>
                <w:rFonts w:ascii="Times New Roman" w:hAnsi="Times New Roman"/>
                <w:sz w:val="20"/>
              </w:rPr>
            </w:pPr>
          </w:p>
        </w:tc>
        <w:tc>
          <w:tcPr>
            <w:tcW w:w="1909" w:type="dxa"/>
            <w:tcBorders>
              <w:top w:val="double" w:sz="4" w:space="0" w:color="auto"/>
            </w:tcBorders>
          </w:tcPr>
          <w:p w:rsidR="00C84D94" w:rsidRPr="00914395" w:rsidRDefault="00C84D94" w:rsidP="00DB5E9F">
            <w:pPr>
              <w:jc w:val="right"/>
              <w:rPr>
                <w:rFonts w:ascii="Times New Roman" w:hAnsi="Times New Roman"/>
                <w:sz w:val="20"/>
              </w:rPr>
            </w:pPr>
          </w:p>
        </w:tc>
        <w:tc>
          <w:tcPr>
            <w:tcW w:w="283" w:type="dxa"/>
          </w:tcPr>
          <w:p w:rsidR="00C84D94" w:rsidRPr="00914395" w:rsidRDefault="00C84D94" w:rsidP="00DB5E9F">
            <w:pPr>
              <w:jc w:val="right"/>
              <w:rPr>
                <w:rFonts w:ascii="Times New Roman" w:hAnsi="Times New Roman"/>
                <w:sz w:val="20"/>
              </w:rPr>
            </w:pPr>
          </w:p>
        </w:tc>
        <w:tc>
          <w:tcPr>
            <w:tcW w:w="1807" w:type="dxa"/>
            <w:tcBorders>
              <w:top w:val="double" w:sz="4" w:space="0" w:color="auto"/>
            </w:tcBorders>
          </w:tcPr>
          <w:p w:rsidR="00C84D94" w:rsidRPr="00914395" w:rsidRDefault="00C84D94" w:rsidP="003B01CA">
            <w:pPr>
              <w:jc w:val="right"/>
              <w:rPr>
                <w:rFonts w:ascii="Times New Roman" w:hAnsi="Times New Roman"/>
                <w:sz w:val="20"/>
              </w:rPr>
            </w:pPr>
          </w:p>
        </w:tc>
      </w:tr>
      <w:tr w:rsidR="00C84D94" w:rsidRPr="00914395" w:rsidTr="00E54387">
        <w:trPr>
          <w:cantSplit/>
        </w:trPr>
        <w:tc>
          <w:tcPr>
            <w:tcW w:w="5555" w:type="dxa"/>
          </w:tcPr>
          <w:p w:rsidR="00C84D94" w:rsidRPr="00914395" w:rsidRDefault="00C84D94" w:rsidP="00DB5E9F">
            <w:pPr>
              <w:pStyle w:val="Heading3"/>
              <w:tabs>
                <w:tab w:val="clear" w:pos="3402"/>
                <w:tab w:val="clear" w:pos="8222"/>
              </w:tabs>
              <w:rPr>
                <w:rFonts w:ascii="Times New Roman" w:hAnsi="Times New Roman"/>
              </w:rPr>
            </w:pPr>
            <w:r w:rsidRPr="00914395">
              <w:rPr>
                <w:rFonts w:ascii="Times New Roman" w:hAnsi="Times New Roman"/>
              </w:rPr>
              <w:t>Net asset value per redeemable participating preference share</w:t>
            </w:r>
            <w:r>
              <w:rPr>
                <w:rFonts w:ascii="Times New Roman" w:hAnsi="Times New Roman"/>
              </w:rPr>
              <w:t xml:space="preserve"> (pence)</w:t>
            </w:r>
          </w:p>
        </w:tc>
        <w:tc>
          <w:tcPr>
            <w:tcW w:w="866" w:type="dxa"/>
            <w:vAlign w:val="bottom"/>
          </w:tcPr>
          <w:p w:rsidR="00C84D94" w:rsidRPr="00914395" w:rsidRDefault="00C84D94">
            <w:pPr>
              <w:jc w:val="center"/>
              <w:rPr>
                <w:rFonts w:ascii="Times New Roman" w:hAnsi="Times New Roman"/>
                <w:sz w:val="20"/>
              </w:rPr>
            </w:pPr>
            <w:r w:rsidRPr="00914395">
              <w:rPr>
                <w:rFonts w:ascii="Times New Roman" w:hAnsi="Times New Roman"/>
                <w:sz w:val="20"/>
              </w:rPr>
              <w:t>7</w:t>
            </w:r>
          </w:p>
        </w:tc>
        <w:tc>
          <w:tcPr>
            <w:tcW w:w="1909" w:type="dxa"/>
            <w:tcBorders>
              <w:bottom w:val="double" w:sz="4" w:space="0" w:color="auto"/>
            </w:tcBorders>
            <w:vAlign w:val="bottom"/>
          </w:tcPr>
          <w:p w:rsidR="00C84D94" w:rsidRPr="00914395" w:rsidRDefault="00C02E54">
            <w:pPr>
              <w:jc w:val="right"/>
              <w:rPr>
                <w:rFonts w:ascii="Times New Roman" w:hAnsi="Times New Roman"/>
                <w:sz w:val="20"/>
              </w:rPr>
            </w:pPr>
            <w:r>
              <w:rPr>
                <w:rFonts w:ascii="Times New Roman" w:hAnsi="Times New Roman"/>
                <w:sz w:val="20"/>
              </w:rPr>
              <w:t>95</w:t>
            </w:r>
            <w:r w:rsidR="00C84D94">
              <w:rPr>
                <w:rFonts w:ascii="Times New Roman" w:hAnsi="Times New Roman"/>
                <w:sz w:val="20"/>
              </w:rPr>
              <w:t>.</w:t>
            </w:r>
            <w:r>
              <w:rPr>
                <w:rFonts w:ascii="Times New Roman" w:hAnsi="Times New Roman"/>
                <w:sz w:val="20"/>
              </w:rPr>
              <w:t>94</w:t>
            </w:r>
          </w:p>
        </w:tc>
        <w:tc>
          <w:tcPr>
            <w:tcW w:w="283" w:type="dxa"/>
            <w:vAlign w:val="bottom"/>
          </w:tcPr>
          <w:p w:rsidR="00C84D94" w:rsidRPr="00914395" w:rsidRDefault="00C84D94">
            <w:pPr>
              <w:jc w:val="right"/>
              <w:rPr>
                <w:rFonts w:ascii="Times New Roman" w:hAnsi="Times New Roman"/>
                <w:b/>
                <w:sz w:val="20"/>
              </w:rPr>
            </w:pPr>
          </w:p>
        </w:tc>
        <w:tc>
          <w:tcPr>
            <w:tcW w:w="1807" w:type="dxa"/>
            <w:tcBorders>
              <w:bottom w:val="double" w:sz="4" w:space="0" w:color="auto"/>
            </w:tcBorders>
            <w:vAlign w:val="bottom"/>
          </w:tcPr>
          <w:p w:rsidR="00C84D94" w:rsidRPr="00914395" w:rsidRDefault="00C84D94">
            <w:pPr>
              <w:jc w:val="right"/>
              <w:rPr>
                <w:rFonts w:ascii="Times New Roman" w:hAnsi="Times New Roman"/>
                <w:sz w:val="20"/>
              </w:rPr>
            </w:pPr>
            <w:r>
              <w:rPr>
                <w:rFonts w:ascii="Times New Roman" w:hAnsi="Times New Roman"/>
                <w:sz w:val="20"/>
              </w:rPr>
              <w:t>114.79</w:t>
            </w:r>
          </w:p>
        </w:tc>
      </w:tr>
    </w:tbl>
    <w:p w:rsidR="0008270C" w:rsidRPr="00914395" w:rsidRDefault="0008270C">
      <w:pPr>
        <w:jc w:val="both"/>
        <w:rPr>
          <w:rFonts w:ascii="Times New Roman" w:hAnsi="Times New Roman"/>
          <w:sz w:val="20"/>
        </w:rPr>
      </w:pPr>
    </w:p>
    <w:p w:rsidR="00A56847" w:rsidRPr="00914395" w:rsidRDefault="00A56847">
      <w:pPr>
        <w:jc w:val="both"/>
        <w:rPr>
          <w:rFonts w:ascii="Times New Roman" w:hAnsi="Times New Roman"/>
          <w:sz w:val="20"/>
        </w:rPr>
      </w:pPr>
    </w:p>
    <w:p w:rsidR="0008270C" w:rsidRPr="009170B8" w:rsidRDefault="0008270C">
      <w:pPr>
        <w:jc w:val="both"/>
        <w:rPr>
          <w:rFonts w:ascii="Times New Roman" w:hAnsi="Times New Roman"/>
          <w:sz w:val="20"/>
        </w:rPr>
      </w:pPr>
      <w:r w:rsidRPr="001F5EE5">
        <w:rPr>
          <w:rFonts w:ascii="Times New Roman" w:hAnsi="Times New Roman"/>
          <w:sz w:val="20"/>
        </w:rPr>
        <w:t xml:space="preserve">The </w:t>
      </w:r>
      <w:r w:rsidR="00454491" w:rsidRPr="001F5EE5">
        <w:rPr>
          <w:rFonts w:ascii="Times New Roman" w:hAnsi="Times New Roman"/>
          <w:sz w:val="20"/>
        </w:rPr>
        <w:t>financ</w:t>
      </w:r>
      <w:r w:rsidR="00BA0F3B" w:rsidRPr="001F5EE5">
        <w:rPr>
          <w:rFonts w:ascii="Times New Roman" w:hAnsi="Times New Roman"/>
          <w:sz w:val="20"/>
        </w:rPr>
        <w:t xml:space="preserve">ial statements </w:t>
      </w:r>
      <w:r w:rsidR="009545C0" w:rsidRPr="001F5EE5">
        <w:rPr>
          <w:rFonts w:ascii="Times New Roman" w:hAnsi="Times New Roman"/>
          <w:sz w:val="20"/>
        </w:rPr>
        <w:t xml:space="preserve">and notes </w:t>
      </w:r>
      <w:r w:rsidR="00BA0F3B" w:rsidRPr="001F5EE5">
        <w:rPr>
          <w:rFonts w:ascii="Times New Roman" w:hAnsi="Times New Roman"/>
          <w:sz w:val="20"/>
        </w:rPr>
        <w:t xml:space="preserve">on </w:t>
      </w:r>
      <w:r w:rsidR="00F630DF" w:rsidRPr="001F5EE5">
        <w:rPr>
          <w:rFonts w:ascii="Times New Roman" w:hAnsi="Times New Roman"/>
          <w:sz w:val="20"/>
        </w:rPr>
        <w:t xml:space="preserve">pages </w:t>
      </w:r>
      <w:r w:rsidR="00D0380B" w:rsidRPr="001F5EE5">
        <w:rPr>
          <w:rFonts w:ascii="Times New Roman" w:hAnsi="Times New Roman"/>
          <w:sz w:val="20"/>
        </w:rPr>
        <w:t>3</w:t>
      </w:r>
      <w:r w:rsidR="00A66792">
        <w:rPr>
          <w:rFonts w:ascii="Times New Roman" w:hAnsi="Times New Roman"/>
          <w:sz w:val="20"/>
        </w:rPr>
        <w:t>5</w:t>
      </w:r>
      <w:r w:rsidR="00F804C0" w:rsidRPr="001F5EE5">
        <w:rPr>
          <w:rFonts w:ascii="Times New Roman" w:hAnsi="Times New Roman"/>
          <w:sz w:val="20"/>
        </w:rPr>
        <w:t xml:space="preserve"> </w:t>
      </w:r>
      <w:r w:rsidR="00136367" w:rsidRPr="001F5EE5">
        <w:rPr>
          <w:rFonts w:ascii="Times New Roman" w:hAnsi="Times New Roman"/>
          <w:sz w:val="20"/>
        </w:rPr>
        <w:t xml:space="preserve">to </w:t>
      </w:r>
      <w:r w:rsidR="00D54AA3">
        <w:rPr>
          <w:rFonts w:ascii="Times New Roman" w:hAnsi="Times New Roman"/>
          <w:sz w:val="20"/>
        </w:rPr>
        <w:t>5</w:t>
      </w:r>
      <w:r w:rsidR="00000F1B">
        <w:rPr>
          <w:rFonts w:ascii="Times New Roman" w:hAnsi="Times New Roman"/>
          <w:sz w:val="20"/>
        </w:rPr>
        <w:t>4</w:t>
      </w:r>
      <w:r w:rsidRPr="001F5EE5">
        <w:rPr>
          <w:rFonts w:ascii="Times New Roman" w:hAnsi="Times New Roman"/>
          <w:sz w:val="20"/>
        </w:rPr>
        <w:t xml:space="preserve"> were a</w:t>
      </w:r>
      <w:r w:rsidR="00AB52D6" w:rsidRPr="001F5EE5">
        <w:rPr>
          <w:rFonts w:ascii="Times New Roman" w:hAnsi="Times New Roman"/>
          <w:sz w:val="20"/>
        </w:rPr>
        <w:t>pproved by the d</w:t>
      </w:r>
      <w:r w:rsidR="00547BA4" w:rsidRPr="001F5EE5">
        <w:rPr>
          <w:rFonts w:ascii="Times New Roman" w:hAnsi="Times New Roman"/>
          <w:sz w:val="20"/>
        </w:rPr>
        <w:t>irectors on</w:t>
      </w:r>
      <w:r w:rsidR="00CA1FC3" w:rsidRPr="001F5EE5">
        <w:rPr>
          <w:rFonts w:ascii="Times New Roman" w:hAnsi="Times New Roman"/>
          <w:sz w:val="20"/>
        </w:rPr>
        <w:t xml:space="preserve"> </w:t>
      </w:r>
      <w:r w:rsidR="00B30E86">
        <w:rPr>
          <w:rFonts w:ascii="Times New Roman" w:hAnsi="Times New Roman"/>
          <w:sz w:val="20"/>
        </w:rPr>
        <w:t>1</w:t>
      </w:r>
      <w:r w:rsidR="00C84D94">
        <w:rPr>
          <w:rFonts w:ascii="Times New Roman" w:hAnsi="Times New Roman"/>
          <w:sz w:val="20"/>
        </w:rPr>
        <w:t>1</w:t>
      </w:r>
      <w:r w:rsidR="001319CD">
        <w:rPr>
          <w:rFonts w:ascii="Times New Roman" w:hAnsi="Times New Roman"/>
          <w:sz w:val="20"/>
        </w:rPr>
        <w:t xml:space="preserve"> April 201</w:t>
      </w:r>
      <w:r w:rsidR="00C84D94">
        <w:rPr>
          <w:rFonts w:ascii="Times New Roman" w:hAnsi="Times New Roman"/>
          <w:sz w:val="20"/>
        </w:rPr>
        <w:t>9</w:t>
      </w:r>
      <w:r w:rsidR="00FC448E" w:rsidRPr="001F5EE5">
        <w:rPr>
          <w:rFonts w:ascii="Times New Roman" w:hAnsi="Times New Roman"/>
          <w:sz w:val="20"/>
        </w:rPr>
        <w:t xml:space="preserve"> </w:t>
      </w:r>
      <w:r w:rsidRPr="001F5EE5">
        <w:rPr>
          <w:rFonts w:ascii="Times New Roman" w:hAnsi="Times New Roman"/>
          <w:sz w:val="20"/>
        </w:rPr>
        <w:t>and signed on behalf of</w:t>
      </w:r>
      <w:r w:rsidRPr="00914395">
        <w:rPr>
          <w:rFonts w:ascii="Times New Roman" w:hAnsi="Times New Roman"/>
          <w:sz w:val="20"/>
        </w:rPr>
        <w:t xml:space="preserve"> the Board by:</w:t>
      </w:r>
    </w:p>
    <w:p w:rsidR="0008270C" w:rsidRPr="009170B8" w:rsidRDefault="0008270C">
      <w:pPr>
        <w:jc w:val="both"/>
        <w:rPr>
          <w:rFonts w:ascii="Times New Roman" w:hAnsi="Times New Roman"/>
          <w:sz w:val="20"/>
        </w:rPr>
      </w:pPr>
    </w:p>
    <w:p w:rsidR="0008270C" w:rsidRPr="009170B8" w:rsidRDefault="0008270C">
      <w:pPr>
        <w:jc w:val="both"/>
        <w:rPr>
          <w:rFonts w:ascii="Times New Roman" w:hAnsi="Times New Roman"/>
          <w:sz w:val="20"/>
        </w:rPr>
      </w:pPr>
    </w:p>
    <w:p w:rsidR="0008270C" w:rsidRPr="009170B8" w:rsidRDefault="0008270C">
      <w:pPr>
        <w:tabs>
          <w:tab w:val="left" w:pos="6237"/>
        </w:tabs>
        <w:jc w:val="both"/>
        <w:rPr>
          <w:rFonts w:ascii="Times New Roman" w:hAnsi="Times New Roman"/>
          <w:sz w:val="20"/>
        </w:rPr>
      </w:pPr>
    </w:p>
    <w:p w:rsidR="0008270C" w:rsidRPr="009170B8" w:rsidRDefault="00F72FA0">
      <w:pPr>
        <w:tabs>
          <w:tab w:val="left" w:pos="6237"/>
        </w:tabs>
        <w:jc w:val="both"/>
        <w:rPr>
          <w:rFonts w:ascii="Times New Roman" w:hAnsi="Times New Roman"/>
          <w:i/>
          <w:iCs/>
          <w:sz w:val="20"/>
        </w:rPr>
      </w:pPr>
      <w:r>
        <w:rPr>
          <w:rFonts w:ascii="Times New Roman" w:hAnsi="Times New Roman"/>
          <w:sz w:val="20"/>
        </w:rPr>
        <w:t>Thomas Grose</w:t>
      </w:r>
      <w:r w:rsidR="0008270C" w:rsidRPr="009170B8">
        <w:rPr>
          <w:rFonts w:ascii="Times New Roman" w:hAnsi="Times New Roman"/>
          <w:sz w:val="20"/>
        </w:rPr>
        <w:tab/>
      </w:r>
      <w:r>
        <w:rPr>
          <w:rFonts w:ascii="Times New Roman" w:hAnsi="Times New Roman"/>
          <w:sz w:val="20"/>
        </w:rPr>
        <w:t>Nicholas Villiers</w:t>
      </w:r>
    </w:p>
    <w:p w:rsidR="0008270C" w:rsidRPr="009170B8" w:rsidRDefault="00DB3E3C">
      <w:pPr>
        <w:tabs>
          <w:tab w:val="left" w:pos="6237"/>
        </w:tabs>
        <w:jc w:val="both"/>
        <w:rPr>
          <w:rFonts w:ascii="Times New Roman" w:hAnsi="Times New Roman"/>
          <w:b/>
          <w:iCs/>
          <w:sz w:val="20"/>
        </w:rPr>
      </w:pPr>
      <w:r w:rsidRPr="009170B8">
        <w:rPr>
          <w:rFonts w:ascii="Times New Roman" w:hAnsi="Times New Roman"/>
          <w:b/>
          <w:iCs/>
          <w:sz w:val="20"/>
        </w:rPr>
        <w:t>Director</w:t>
      </w:r>
      <w:r w:rsidRPr="009170B8">
        <w:rPr>
          <w:rFonts w:ascii="Times New Roman" w:hAnsi="Times New Roman"/>
          <w:b/>
          <w:iCs/>
          <w:sz w:val="20"/>
        </w:rPr>
        <w:tab/>
      </w:r>
      <w:proofErr w:type="spellStart"/>
      <w:r w:rsidRPr="009170B8">
        <w:rPr>
          <w:rFonts w:ascii="Times New Roman" w:hAnsi="Times New Roman"/>
          <w:b/>
          <w:iCs/>
          <w:sz w:val="20"/>
        </w:rPr>
        <w:t>Director</w:t>
      </w:r>
      <w:proofErr w:type="spellEnd"/>
    </w:p>
    <w:p w:rsidR="0008270C" w:rsidRPr="009170B8" w:rsidRDefault="0008270C">
      <w:pPr>
        <w:tabs>
          <w:tab w:val="left" w:pos="6237"/>
        </w:tabs>
        <w:jc w:val="both"/>
        <w:rPr>
          <w:rFonts w:ascii="Times New Roman" w:hAnsi="Times New Roman"/>
          <w:i/>
          <w:iCs/>
          <w:sz w:val="20"/>
        </w:rPr>
      </w:pPr>
    </w:p>
    <w:p w:rsidR="0008270C" w:rsidRPr="009170B8" w:rsidRDefault="0008270C">
      <w:pPr>
        <w:tabs>
          <w:tab w:val="left" w:pos="6237"/>
        </w:tabs>
        <w:jc w:val="both"/>
        <w:rPr>
          <w:rFonts w:ascii="Times New Roman" w:hAnsi="Times New Roman"/>
          <w:sz w:val="20"/>
        </w:rPr>
      </w:pPr>
    </w:p>
    <w:p w:rsidR="0008270C" w:rsidRPr="009170B8" w:rsidRDefault="0008270C">
      <w:pPr>
        <w:pStyle w:val="BodyText"/>
        <w:tabs>
          <w:tab w:val="clear" w:pos="3402"/>
          <w:tab w:val="clear" w:pos="8222"/>
          <w:tab w:val="left" w:pos="6237"/>
        </w:tabs>
        <w:rPr>
          <w:rFonts w:ascii="Times New Roman" w:hAnsi="Times New Roman"/>
        </w:rPr>
      </w:pPr>
      <w:bookmarkStart w:id="29" w:name="OLE_LINK22"/>
      <w:bookmarkStart w:id="30" w:name="OLE_LINK23"/>
      <w:r w:rsidRPr="00D0380B">
        <w:rPr>
          <w:rFonts w:ascii="Times New Roman" w:hAnsi="Times New Roman"/>
        </w:rPr>
        <w:t xml:space="preserve">The </w:t>
      </w:r>
      <w:r w:rsidR="00DF7B9E" w:rsidRPr="00D0380B">
        <w:rPr>
          <w:rFonts w:ascii="Times New Roman" w:hAnsi="Times New Roman"/>
        </w:rPr>
        <w:t>acco</w:t>
      </w:r>
      <w:r w:rsidR="00BA0F3B" w:rsidRPr="00D0380B">
        <w:rPr>
          <w:rFonts w:ascii="Times New Roman" w:hAnsi="Times New Roman"/>
        </w:rPr>
        <w:t xml:space="preserve">mpanying notes on </w:t>
      </w:r>
      <w:r w:rsidR="00FE6E41" w:rsidRPr="00D0380B">
        <w:rPr>
          <w:rFonts w:ascii="Times New Roman" w:hAnsi="Times New Roman"/>
        </w:rPr>
        <w:t xml:space="preserve">pages </w:t>
      </w:r>
      <w:r w:rsidR="00916D00" w:rsidRPr="00E5676A">
        <w:rPr>
          <w:rFonts w:ascii="Times New Roman" w:hAnsi="Times New Roman"/>
        </w:rPr>
        <w:t>3</w:t>
      </w:r>
      <w:r w:rsidR="00A66792">
        <w:rPr>
          <w:rFonts w:ascii="Times New Roman" w:hAnsi="Times New Roman"/>
        </w:rPr>
        <w:t>9</w:t>
      </w:r>
      <w:r w:rsidR="00BA0F3B" w:rsidRPr="00E5676A">
        <w:rPr>
          <w:rFonts w:ascii="Times New Roman" w:hAnsi="Times New Roman"/>
        </w:rPr>
        <w:t xml:space="preserve"> </w:t>
      </w:r>
      <w:r w:rsidR="00136367" w:rsidRPr="00E5676A">
        <w:rPr>
          <w:rFonts w:ascii="Times New Roman" w:hAnsi="Times New Roman"/>
        </w:rPr>
        <w:t xml:space="preserve">to </w:t>
      </w:r>
      <w:r w:rsidR="00000F1B">
        <w:rPr>
          <w:rFonts w:ascii="Times New Roman" w:hAnsi="Times New Roman"/>
        </w:rPr>
        <w:t>54</w:t>
      </w:r>
      <w:r w:rsidRPr="00D0380B">
        <w:rPr>
          <w:rFonts w:ascii="Times New Roman" w:hAnsi="Times New Roman"/>
        </w:rPr>
        <w:t xml:space="preserve"> f</w:t>
      </w:r>
      <w:r w:rsidRPr="009170B8">
        <w:rPr>
          <w:rFonts w:ascii="Times New Roman" w:hAnsi="Times New Roman"/>
        </w:rPr>
        <w:t>orm an integral part of these financial statements</w:t>
      </w:r>
      <w:bookmarkEnd w:id="29"/>
      <w:bookmarkEnd w:id="30"/>
      <w:r w:rsidRPr="009170B8">
        <w:rPr>
          <w:rFonts w:ascii="Times New Roman" w:hAnsi="Times New Roman"/>
        </w:rPr>
        <w:t>.</w:t>
      </w:r>
    </w:p>
    <w:p w:rsidR="005C0D38" w:rsidRPr="009170B8" w:rsidRDefault="005C0D38">
      <w:pPr>
        <w:pStyle w:val="BodyText"/>
        <w:tabs>
          <w:tab w:val="clear" w:pos="3402"/>
          <w:tab w:val="clear" w:pos="8222"/>
          <w:tab w:val="left" w:pos="6237"/>
        </w:tabs>
        <w:rPr>
          <w:rFonts w:ascii="Times New Roman" w:hAnsi="Times New Roman"/>
        </w:rPr>
      </w:pPr>
    </w:p>
    <w:p w:rsidR="005C0D38" w:rsidRPr="009170B8" w:rsidRDefault="005C0D38">
      <w:pPr>
        <w:pStyle w:val="BodyText"/>
        <w:tabs>
          <w:tab w:val="clear" w:pos="3402"/>
          <w:tab w:val="clear" w:pos="8222"/>
          <w:tab w:val="left" w:pos="6237"/>
        </w:tabs>
        <w:rPr>
          <w:rFonts w:ascii="Times New Roman" w:hAnsi="Times New Roman"/>
        </w:rPr>
      </w:pPr>
    </w:p>
    <w:p w:rsidR="005C0D38" w:rsidRPr="009170B8" w:rsidRDefault="005C0D38">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4802E3" w:rsidRPr="009170B8" w:rsidRDefault="004802E3">
      <w:pPr>
        <w:rPr>
          <w:rFonts w:ascii="Times New Roman" w:hAnsi="Times New Roman"/>
          <w:sz w:val="20"/>
        </w:rPr>
      </w:pPr>
      <w:r w:rsidRPr="009170B8">
        <w:rPr>
          <w:rFonts w:ascii="Times New Roman" w:hAnsi="Times New Roman"/>
        </w:rPr>
        <w:br w:type="page"/>
      </w:r>
    </w:p>
    <w:p w:rsidR="00A60119" w:rsidRPr="003A191D" w:rsidRDefault="0008270C" w:rsidP="00A60119">
      <w:pPr>
        <w:pStyle w:val="Heading2"/>
        <w:tabs>
          <w:tab w:val="right" w:pos="8222"/>
        </w:tabs>
        <w:rPr>
          <w:rFonts w:ascii="Times New Roman" w:hAnsi="Times New Roman"/>
        </w:rPr>
      </w:pPr>
      <w:r w:rsidRPr="003A191D">
        <w:rPr>
          <w:rFonts w:ascii="Times New Roman" w:hAnsi="Times New Roman"/>
        </w:rPr>
        <w:t>Statement</w:t>
      </w:r>
      <w:r w:rsidR="004B0E89" w:rsidRPr="003A191D">
        <w:rPr>
          <w:rFonts w:ascii="Times New Roman" w:hAnsi="Times New Roman"/>
        </w:rPr>
        <w:t xml:space="preserve"> of Comprehensive Income</w:t>
      </w:r>
      <w:r w:rsidR="00F01D4B" w:rsidRPr="003A191D">
        <w:rPr>
          <w:rFonts w:ascii="Times New Roman" w:hAnsi="Times New Roman"/>
        </w:rPr>
        <w:t xml:space="preserve"> of</w:t>
      </w:r>
      <w:r w:rsidR="00A60119" w:rsidRPr="003A191D">
        <w:rPr>
          <w:rFonts w:ascii="Times New Roman" w:hAnsi="Times New Roman"/>
        </w:rPr>
        <w:t xml:space="preserve"> the Fund </w:t>
      </w:r>
    </w:p>
    <w:p w:rsidR="0008270C" w:rsidRPr="003A191D" w:rsidRDefault="00AF1F94" w:rsidP="00A60119">
      <w:pPr>
        <w:pStyle w:val="Heading2"/>
        <w:tabs>
          <w:tab w:val="right" w:pos="8222"/>
        </w:tabs>
        <w:rPr>
          <w:rFonts w:ascii="Times New Roman" w:hAnsi="Times New Roman"/>
          <w:sz w:val="20"/>
        </w:rPr>
      </w:pPr>
      <w:r>
        <w:rPr>
          <w:rFonts w:ascii="Times New Roman" w:hAnsi="Times New Roman"/>
        </w:rPr>
        <w:t>For the year ended 31 December 201</w:t>
      </w:r>
      <w:r w:rsidR="00C84D94">
        <w:rPr>
          <w:rFonts w:ascii="Times New Roman" w:hAnsi="Times New Roman"/>
        </w:rPr>
        <w:t>8</w:t>
      </w:r>
      <w:r w:rsidR="0008270C" w:rsidRPr="003A191D">
        <w:rPr>
          <w:rFonts w:ascii="Times New Roman" w:hAnsi="Times New Roman"/>
        </w:rPr>
        <w:tab/>
      </w:r>
    </w:p>
    <w:p w:rsidR="0008270C" w:rsidRPr="003A191D" w:rsidRDefault="0008270C">
      <w:pPr>
        <w:rPr>
          <w:rFonts w:ascii="Times New Roman" w:hAnsi="Times New Roman"/>
        </w:rPr>
      </w:pPr>
    </w:p>
    <w:tbl>
      <w:tblPr>
        <w:tblW w:w="10906" w:type="dxa"/>
        <w:tblLayout w:type="fixed"/>
        <w:tblLook w:val="0000" w:firstRow="0" w:lastRow="0" w:firstColumn="0" w:lastColumn="0" w:noHBand="0" w:noVBand="0"/>
      </w:tblPr>
      <w:tblGrid>
        <w:gridCol w:w="4531"/>
        <w:gridCol w:w="741"/>
        <w:gridCol w:w="269"/>
        <w:gridCol w:w="1274"/>
        <w:gridCol w:w="1274"/>
        <w:gridCol w:w="1274"/>
        <w:gridCol w:w="269"/>
        <w:gridCol w:w="1274"/>
      </w:tblGrid>
      <w:tr w:rsidR="0021526B" w:rsidRPr="003A191D" w:rsidTr="00460791">
        <w:trPr>
          <w:cantSplit/>
        </w:trPr>
        <w:tc>
          <w:tcPr>
            <w:tcW w:w="4531" w:type="dxa"/>
          </w:tcPr>
          <w:p w:rsidR="0021526B" w:rsidRPr="003A191D" w:rsidRDefault="0021526B" w:rsidP="00460791">
            <w:pPr>
              <w:rPr>
                <w:rFonts w:ascii="Times New Roman" w:hAnsi="Times New Roman"/>
                <w:sz w:val="20"/>
                <w:szCs w:val="20"/>
              </w:rPr>
            </w:pPr>
          </w:p>
        </w:tc>
        <w:tc>
          <w:tcPr>
            <w:tcW w:w="741" w:type="dxa"/>
          </w:tcPr>
          <w:p w:rsidR="0021526B" w:rsidRPr="003A191D" w:rsidRDefault="0021526B" w:rsidP="00460791">
            <w:pPr>
              <w:jc w:val="center"/>
              <w:rPr>
                <w:rFonts w:ascii="Times New Roman" w:hAnsi="Times New Roman"/>
                <w:sz w:val="20"/>
                <w:szCs w:val="20"/>
              </w:rPr>
            </w:pPr>
          </w:p>
        </w:tc>
        <w:tc>
          <w:tcPr>
            <w:tcW w:w="269"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9A5D33">
            <w:pPr>
              <w:jc w:val="right"/>
              <w:rPr>
                <w:rFonts w:ascii="Times New Roman" w:hAnsi="Times New Roman"/>
                <w:b/>
                <w:bCs/>
                <w:sz w:val="20"/>
                <w:szCs w:val="20"/>
              </w:rPr>
            </w:pPr>
            <w:r w:rsidRPr="003A191D">
              <w:rPr>
                <w:rFonts w:ascii="Times New Roman" w:hAnsi="Times New Roman"/>
                <w:b/>
                <w:bCs/>
                <w:sz w:val="20"/>
                <w:szCs w:val="20"/>
              </w:rPr>
              <w:t>201</w:t>
            </w:r>
            <w:r w:rsidR="00C84D94">
              <w:rPr>
                <w:rFonts w:ascii="Times New Roman" w:hAnsi="Times New Roman"/>
                <w:b/>
                <w:bCs/>
                <w:sz w:val="20"/>
                <w:szCs w:val="20"/>
              </w:rPr>
              <w:t>8</w:t>
            </w:r>
          </w:p>
        </w:tc>
        <w:tc>
          <w:tcPr>
            <w:tcW w:w="1274" w:type="dxa"/>
          </w:tcPr>
          <w:p w:rsidR="0021526B" w:rsidRPr="003A191D" w:rsidRDefault="0021526B" w:rsidP="00460791">
            <w:pPr>
              <w:jc w:val="right"/>
              <w:rPr>
                <w:rFonts w:ascii="Times New Roman" w:hAnsi="Times New Roman"/>
                <w:b/>
                <w:bCs/>
                <w:sz w:val="20"/>
                <w:szCs w:val="20"/>
              </w:rPr>
            </w:pPr>
          </w:p>
        </w:tc>
        <w:tc>
          <w:tcPr>
            <w:tcW w:w="269"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9A5D33">
            <w:pPr>
              <w:jc w:val="right"/>
              <w:rPr>
                <w:rFonts w:ascii="Times New Roman" w:hAnsi="Times New Roman"/>
                <w:b/>
                <w:bCs/>
                <w:sz w:val="20"/>
                <w:szCs w:val="20"/>
              </w:rPr>
            </w:pPr>
            <w:r w:rsidRPr="003A191D">
              <w:rPr>
                <w:rFonts w:ascii="Times New Roman" w:hAnsi="Times New Roman"/>
                <w:b/>
                <w:bCs/>
                <w:sz w:val="20"/>
                <w:szCs w:val="20"/>
              </w:rPr>
              <w:t>201</w:t>
            </w:r>
            <w:r w:rsidR="00C84D94">
              <w:rPr>
                <w:rFonts w:ascii="Times New Roman" w:hAnsi="Times New Roman"/>
                <w:b/>
                <w:bCs/>
                <w:sz w:val="20"/>
                <w:szCs w:val="20"/>
              </w:rPr>
              <w:t>7</w:t>
            </w:r>
          </w:p>
        </w:tc>
      </w:tr>
      <w:tr w:rsidR="0021526B" w:rsidRPr="003A191D" w:rsidTr="00460791">
        <w:trPr>
          <w:cantSplit/>
        </w:trPr>
        <w:tc>
          <w:tcPr>
            <w:tcW w:w="4531" w:type="dxa"/>
          </w:tcPr>
          <w:p w:rsidR="0021526B" w:rsidRPr="003A191D" w:rsidRDefault="0021526B" w:rsidP="00460791">
            <w:pPr>
              <w:rPr>
                <w:rFonts w:ascii="Times New Roman" w:hAnsi="Times New Roman"/>
                <w:sz w:val="20"/>
                <w:szCs w:val="20"/>
              </w:rPr>
            </w:pPr>
            <w:bookmarkStart w:id="31" w:name="OLE_LINK5"/>
            <w:bookmarkStart w:id="32" w:name="OLE_LINK6"/>
          </w:p>
        </w:tc>
        <w:tc>
          <w:tcPr>
            <w:tcW w:w="741" w:type="dxa"/>
          </w:tcPr>
          <w:p w:rsidR="0021526B" w:rsidRPr="003A191D" w:rsidRDefault="0021526B" w:rsidP="00460791">
            <w:pPr>
              <w:ind w:left="-19"/>
              <w:jc w:val="center"/>
              <w:rPr>
                <w:rFonts w:ascii="Times New Roman" w:hAnsi="Times New Roman"/>
                <w:b/>
                <w:sz w:val="20"/>
                <w:szCs w:val="20"/>
              </w:rPr>
            </w:pPr>
            <w:r w:rsidRPr="003A191D">
              <w:rPr>
                <w:rFonts w:ascii="Times New Roman" w:hAnsi="Times New Roman"/>
                <w:b/>
                <w:sz w:val="20"/>
                <w:szCs w:val="20"/>
              </w:rPr>
              <w:t>Notes</w:t>
            </w:r>
          </w:p>
        </w:tc>
        <w:tc>
          <w:tcPr>
            <w:tcW w:w="269"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21526B" w:rsidP="00460791">
            <w:pPr>
              <w:jc w:val="right"/>
              <w:rPr>
                <w:rFonts w:ascii="Times New Roman" w:hAnsi="Times New Roman"/>
                <w:b/>
                <w:bCs/>
                <w:sz w:val="20"/>
                <w:szCs w:val="20"/>
              </w:rPr>
            </w:pPr>
            <w:r w:rsidRPr="003A191D">
              <w:rPr>
                <w:rFonts w:ascii="Times New Roman" w:hAnsi="Times New Roman"/>
                <w:b/>
                <w:bCs/>
                <w:sz w:val="20"/>
                <w:szCs w:val="20"/>
              </w:rPr>
              <w:t>Revenue</w:t>
            </w:r>
          </w:p>
        </w:tc>
        <w:tc>
          <w:tcPr>
            <w:tcW w:w="1274" w:type="dxa"/>
          </w:tcPr>
          <w:p w:rsidR="0021526B" w:rsidRPr="003A191D" w:rsidRDefault="0021526B" w:rsidP="00460791">
            <w:pPr>
              <w:jc w:val="right"/>
              <w:rPr>
                <w:rFonts w:ascii="Times New Roman" w:hAnsi="Times New Roman"/>
                <w:b/>
                <w:bCs/>
                <w:sz w:val="20"/>
                <w:szCs w:val="20"/>
              </w:rPr>
            </w:pPr>
            <w:r w:rsidRPr="003A191D">
              <w:rPr>
                <w:rFonts w:ascii="Times New Roman" w:hAnsi="Times New Roman"/>
                <w:b/>
                <w:bCs/>
                <w:sz w:val="20"/>
                <w:szCs w:val="20"/>
              </w:rPr>
              <w:t>Capital</w:t>
            </w:r>
          </w:p>
        </w:tc>
        <w:tc>
          <w:tcPr>
            <w:tcW w:w="1274" w:type="dxa"/>
          </w:tcPr>
          <w:p w:rsidR="0021526B" w:rsidRPr="003A191D" w:rsidRDefault="0021526B" w:rsidP="00460791">
            <w:pPr>
              <w:jc w:val="right"/>
              <w:rPr>
                <w:rFonts w:ascii="Times New Roman" w:hAnsi="Times New Roman"/>
                <w:b/>
                <w:bCs/>
                <w:sz w:val="20"/>
                <w:szCs w:val="20"/>
              </w:rPr>
            </w:pPr>
            <w:r w:rsidRPr="003A191D">
              <w:rPr>
                <w:rFonts w:ascii="Times New Roman" w:hAnsi="Times New Roman"/>
                <w:b/>
                <w:bCs/>
                <w:sz w:val="20"/>
                <w:szCs w:val="20"/>
              </w:rPr>
              <w:t>Total</w:t>
            </w:r>
          </w:p>
        </w:tc>
        <w:tc>
          <w:tcPr>
            <w:tcW w:w="269"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21526B" w:rsidP="00460791">
            <w:pPr>
              <w:jc w:val="right"/>
              <w:rPr>
                <w:rFonts w:ascii="Times New Roman" w:hAnsi="Times New Roman"/>
                <w:b/>
                <w:bCs/>
                <w:sz w:val="20"/>
                <w:szCs w:val="20"/>
              </w:rPr>
            </w:pPr>
            <w:r w:rsidRPr="003A191D">
              <w:rPr>
                <w:rFonts w:ascii="Times New Roman" w:hAnsi="Times New Roman"/>
                <w:b/>
                <w:bCs/>
                <w:sz w:val="20"/>
                <w:szCs w:val="20"/>
              </w:rPr>
              <w:t>Total</w:t>
            </w:r>
          </w:p>
        </w:tc>
      </w:tr>
      <w:tr w:rsidR="0021526B" w:rsidRPr="003A191D" w:rsidTr="00460791">
        <w:trPr>
          <w:cantSplit/>
        </w:trPr>
        <w:tc>
          <w:tcPr>
            <w:tcW w:w="4531" w:type="dxa"/>
          </w:tcPr>
          <w:p w:rsidR="0021526B" w:rsidRPr="003A191D" w:rsidRDefault="0021526B" w:rsidP="00460791">
            <w:pPr>
              <w:rPr>
                <w:rFonts w:ascii="Times New Roman" w:hAnsi="Times New Roman"/>
                <w:sz w:val="20"/>
                <w:szCs w:val="20"/>
              </w:rPr>
            </w:pPr>
          </w:p>
        </w:tc>
        <w:tc>
          <w:tcPr>
            <w:tcW w:w="741" w:type="dxa"/>
          </w:tcPr>
          <w:p w:rsidR="0021526B" w:rsidRPr="003A191D" w:rsidRDefault="0021526B" w:rsidP="00460791">
            <w:pPr>
              <w:rPr>
                <w:rFonts w:ascii="Times New Roman" w:hAnsi="Times New Roman"/>
                <w:sz w:val="20"/>
                <w:szCs w:val="20"/>
              </w:rPr>
            </w:pPr>
          </w:p>
        </w:tc>
        <w:tc>
          <w:tcPr>
            <w:tcW w:w="269"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072E4E" w:rsidP="00460791">
            <w:pPr>
              <w:jc w:val="right"/>
              <w:rPr>
                <w:rFonts w:ascii="Times New Roman" w:hAnsi="Times New Roman"/>
                <w:b/>
                <w:bCs/>
                <w:sz w:val="20"/>
                <w:szCs w:val="20"/>
              </w:rPr>
            </w:pPr>
            <w:r w:rsidRPr="003A191D">
              <w:rPr>
                <w:rFonts w:ascii="Times New Roman" w:hAnsi="Times New Roman"/>
                <w:b/>
                <w:bCs/>
                <w:sz w:val="20"/>
                <w:szCs w:val="20"/>
              </w:rPr>
              <w:t>GBP</w:t>
            </w:r>
          </w:p>
        </w:tc>
        <w:tc>
          <w:tcPr>
            <w:tcW w:w="1274" w:type="dxa"/>
          </w:tcPr>
          <w:p w:rsidR="0021526B" w:rsidRPr="003A191D" w:rsidRDefault="00072E4E" w:rsidP="00460791">
            <w:pPr>
              <w:jc w:val="right"/>
              <w:rPr>
                <w:rFonts w:ascii="Times New Roman" w:hAnsi="Times New Roman"/>
                <w:b/>
                <w:bCs/>
                <w:sz w:val="20"/>
                <w:szCs w:val="20"/>
              </w:rPr>
            </w:pPr>
            <w:r w:rsidRPr="003A191D">
              <w:rPr>
                <w:rFonts w:ascii="Times New Roman" w:hAnsi="Times New Roman"/>
                <w:b/>
                <w:bCs/>
                <w:sz w:val="20"/>
                <w:szCs w:val="20"/>
              </w:rPr>
              <w:t>GBP</w:t>
            </w:r>
          </w:p>
        </w:tc>
        <w:tc>
          <w:tcPr>
            <w:tcW w:w="1274" w:type="dxa"/>
          </w:tcPr>
          <w:p w:rsidR="0021526B" w:rsidRPr="003A191D" w:rsidRDefault="00072E4E" w:rsidP="00460791">
            <w:pPr>
              <w:jc w:val="right"/>
              <w:rPr>
                <w:rFonts w:ascii="Times New Roman" w:hAnsi="Times New Roman"/>
                <w:b/>
                <w:bCs/>
                <w:sz w:val="20"/>
                <w:szCs w:val="20"/>
              </w:rPr>
            </w:pPr>
            <w:r w:rsidRPr="003A191D">
              <w:rPr>
                <w:rFonts w:ascii="Times New Roman" w:hAnsi="Times New Roman"/>
                <w:b/>
                <w:bCs/>
                <w:sz w:val="20"/>
                <w:szCs w:val="20"/>
              </w:rPr>
              <w:t>GBP</w:t>
            </w:r>
          </w:p>
        </w:tc>
        <w:tc>
          <w:tcPr>
            <w:tcW w:w="269"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072E4E" w:rsidP="00460791">
            <w:pPr>
              <w:jc w:val="right"/>
              <w:rPr>
                <w:rFonts w:ascii="Times New Roman" w:hAnsi="Times New Roman"/>
                <w:b/>
                <w:bCs/>
                <w:sz w:val="20"/>
                <w:szCs w:val="20"/>
              </w:rPr>
            </w:pPr>
            <w:r w:rsidRPr="003A191D">
              <w:rPr>
                <w:rFonts w:ascii="Times New Roman" w:hAnsi="Times New Roman"/>
                <w:b/>
                <w:bCs/>
                <w:sz w:val="20"/>
                <w:szCs w:val="20"/>
              </w:rPr>
              <w:t>GBP</w:t>
            </w:r>
          </w:p>
        </w:tc>
      </w:tr>
      <w:tr w:rsidR="0021526B" w:rsidRPr="003A191D" w:rsidTr="00460791">
        <w:trPr>
          <w:cantSplit/>
        </w:trPr>
        <w:tc>
          <w:tcPr>
            <w:tcW w:w="4531" w:type="dxa"/>
          </w:tcPr>
          <w:p w:rsidR="0021526B" w:rsidRPr="003A191D" w:rsidRDefault="0021526B" w:rsidP="00460791">
            <w:pPr>
              <w:pStyle w:val="Heading3"/>
              <w:tabs>
                <w:tab w:val="clear" w:pos="3402"/>
                <w:tab w:val="clear" w:pos="8222"/>
              </w:tabs>
              <w:rPr>
                <w:rFonts w:ascii="Times New Roman" w:hAnsi="Times New Roman"/>
                <w:szCs w:val="20"/>
              </w:rPr>
            </w:pPr>
            <w:r w:rsidRPr="003A191D">
              <w:rPr>
                <w:rFonts w:ascii="Times New Roman" w:hAnsi="Times New Roman"/>
                <w:szCs w:val="20"/>
              </w:rPr>
              <w:t>Revenue</w:t>
            </w:r>
          </w:p>
        </w:tc>
        <w:tc>
          <w:tcPr>
            <w:tcW w:w="741" w:type="dxa"/>
          </w:tcPr>
          <w:p w:rsidR="0021526B" w:rsidRPr="003A191D" w:rsidRDefault="0021526B" w:rsidP="00460791">
            <w:pPr>
              <w:rPr>
                <w:rFonts w:ascii="Times New Roman" w:hAnsi="Times New Roman"/>
                <w:sz w:val="20"/>
                <w:szCs w:val="20"/>
              </w:rPr>
            </w:pPr>
          </w:p>
        </w:tc>
        <w:tc>
          <w:tcPr>
            <w:tcW w:w="269"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21526B" w:rsidP="00460791">
            <w:pPr>
              <w:jc w:val="right"/>
              <w:rPr>
                <w:rFonts w:ascii="Times New Roman" w:hAnsi="Times New Roman"/>
                <w:b/>
                <w:bCs/>
                <w:sz w:val="20"/>
                <w:szCs w:val="20"/>
              </w:rPr>
            </w:pPr>
          </w:p>
        </w:tc>
        <w:tc>
          <w:tcPr>
            <w:tcW w:w="269" w:type="dxa"/>
          </w:tcPr>
          <w:p w:rsidR="0021526B" w:rsidRPr="003A191D" w:rsidRDefault="0021526B" w:rsidP="00460791">
            <w:pPr>
              <w:jc w:val="right"/>
              <w:rPr>
                <w:rFonts w:ascii="Times New Roman" w:hAnsi="Times New Roman"/>
                <w:b/>
                <w:bCs/>
                <w:sz w:val="20"/>
                <w:szCs w:val="20"/>
              </w:rPr>
            </w:pPr>
          </w:p>
        </w:tc>
        <w:tc>
          <w:tcPr>
            <w:tcW w:w="1274" w:type="dxa"/>
          </w:tcPr>
          <w:p w:rsidR="0021526B" w:rsidRPr="003A191D" w:rsidRDefault="0021526B" w:rsidP="00460791">
            <w:pPr>
              <w:jc w:val="right"/>
              <w:rPr>
                <w:rFonts w:ascii="Times New Roman" w:hAnsi="Times New Roman"/>
                <w:b/>
                <w:bCs/>
                <w:sz w:val="20"/>
                <w:szCs w:val="20"/>
              </w:rPr>
            </w:pPr>
          </w:p>
        </w:tc>
      </w:tr>
      <w:tr w:rsidR="00C84D94" w:rsidRPr="003A191D" w:rsidTr="00460791">
        <w:trPr>
          <w:cantSplit/>
          <w:trHeight w:val="170"/>
        </w:trPr>
        <w:tc>
          <w:tcPr>
            <w:tcW w:w="4531" w:type="dxa"/>
            <w:vAlign w:val="bottom"/>
          </w:tcPr>
          <w:p w:rsidR="00C84D94" w:rsidRPr="003A191D" w:rsidRDefault="00C84D94" w:rsidP="001319CD">
            <w:pPr>
              <w:pStyle w:val="Heading3"/>
              <w:tabs>
                <w:tab w:val="clear" w:pos="3402"/>
                <w:tab w:val="clear" w:pos="8222"/>
              </w:tabs>
              <w:rPr>
                <w:rFonts w:ascii="Times New Roman" w:hAnsi="Times New Roman"/>
                <w:b w:val="0"/>
                <w:bCs w:val="0"/>
                <w:szCs w:val="20"/>
              </w:rPr>
            </w:pPr>
            <w:bookmarkStart w:id="33" w:name="_Hlk474761312"/>
            <w:r w:rsidRPr="003A191D">
              <w:rPr>
                <w:rFonts w:ascii="Times New Roman" w:hAnsi="Times New Roman"/>
                <w:b w:val="0"/>
                <w:bCs w:val="0"/>
                <w:szCs w:val="20"/>
              </w:rPr>
              <w:t>Dividend</w:t>
            </w:r>
            <w:r>
              <w:rPr>
                <w:rFonts w:ascii="Times New Roman" w:hAnsi="Times New Roman"/>
                <w:b w:val="0"/>
                <w:bCs w:val="0"/>
                <w:szCs w:val="20"/>
              </w:rPr>
              <w:t xml:space="preserve"> income</w:t>
            </w:r>
          </w:p>
        </w:tc>
        <w:tc>
          <w:tcPr>
            <w:tcW w:w="741" w:type="dxa"/>
            <w:vAlign w:val="bottom"/>
          </w:tcPr>
          <w:p w:rsidR="00C84D94" w:rsidRPr="003A191D" w:rsidRDefault="00C84D94" w:rsidP="007362D0">
            <w:pPr>
              <w:jc w:val="center"/>
              <w:rPr>
                <w:rFonts w:ascii="Times New Roman" w:hAnsi="Times New Roman"/>
                <w:sz w:val="20"/>
                <w:szCs w:val="20"/>
              </w:rPr>
            </w:pPr>
            <w:r w:rsidRPr="003A191D">
              <w:rPr>
                <w:rFonts w:ascii="Times New Roman" w:hAnsi="Times New Roman"/>
                <w:sz w:val="20"/>
                <w:szCs w:val="20"/>
              </w:rPr>
              <w:t>8</w:t>
            </w:r>
          </w:p>
        </w:tc>
        <w:tc>
          <w:tcPr>
            <w:tcW w:w="269" w:type="dxa"/>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D83D2E">
            <w:pPr>
              <w:pStyle w:val="Tdec"/>
              <w:tabs>
                <w:tab w:val="clear" w:pos="993"/>
                <w:tab w:val="decimal" w:pos="1348"/>
              </w:tabs>
              <w:ind w:right="72"/>
              <w:jc w:val="left"/>
            </w:pPr>
            <w:r>
              <w:t>7,518,107</w:t>
            </w:r>
          </w:p>
        </w:tc>
        <w:tc>
          <w:tcPr>
            <w:tcW w:w="1274" w:type="dxa"/>
            <w:vAlign w:val="bottom"/>
          </w:tcPr>
          <w:p w:rsidR="00C84D94" w:rsidRPr="003A191D" w:rsidRDefault="00C84D94" w:rsidP="00460791">
            <w:pPr>
              <w:pStyle w:val="Tdec"/>
              <w:tabs>
                <w:tab w:val="clear" w:pos="993"/>
                <w:tab w:val="decimal" w:pos="1224"/>
              </w:tabs>
              <w:ind w:right="72"/>
              <w:jc w:val="left"/>
            </w:pPr>
            <w:r w:rsidRPr="003A191D">
              <w:t>-</w:t>
            </w:r>
          </w:p>
        </w:tc>
        <w:tc>
          <w:tcPr>
            <w:tcW w:w="1274" w:type="dxa"/>
            <w:vAlign w:val="bottom"/>
          </w:tcPr>
          <w:p w:rsidR="00C84D94" w:rsidRPr="003A191D" w:rsidRDefault="00C02E54">
            <w:pPr>
              <w:pStyle w:val="Tdec"/>
              <w:tabs>
                <w:tab w:val="clear" w:pos="993"/>
                <w:tab w:val="decimal" w:pos="1348"/>
              </w:tabs>
              <w:ind w:right="72"/>
              <w:jc w:val="left"/>
            </w:pPr>
            <w:r>
              <w:t>7,5</w:t>
            </w:r>
            <w:r w:rsidR="00D83D2E">
              <w:t>1</w:t>
            </w:r>
            <w:r>
              <w:t>8,</w:t>
            </w:r>
            <w:r w:rsidR="00D83D2E">
              <w:t>107</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rsidP="001319CD">
            <w:pPr>
              <w:pStyle w:val="Tdec"/>
              <w:tabs>
                <w:tab w:val="clear" w:pos="993"/>
                <w:tab w:val="decimal" w:pos="1058"/>
              </w:tabs>
              <w:ind w:right="-67"/>
              <w:jc w:val="left"/>
            </w:pPr>
            <w:r>
              <w:t>7,597,242</w:t>
            </w:r>
          </w:p>
        </w:tc>
      </w:tr>
      <w:tr w:rsidR="00C84D94" w:rsidRPr="003A191D" w:rsidTr="00460791">
        <w:trPr>
          <w:cantSplit/>
          <w:trHeight w:val="170"/>
        </w:trPr>
        <w:tc>
          <w:tcPr>
            <w:tcW w:w="4531" w:type="dxa"/>
            <w:vAlign w:val="bottom"/>
          </w:tcPr>
          <w:p w:rsidR="00C84D94" w:rsidRPr="003A191D" w:rsidRDefault="00C84D94" w:rsidP="00F57753">
            <w:pPr>
              <w:pStyle w:val="Heading3"/>
              <w:tabs>
                <w:tab w:val="clear" w:pos="3402"/>
                <w:tab w:val="clear" w:pos="8222"/>
              </w:tabs>
              <w:rPr>
                <w:rFonts w:ascii="Times New Roman" w:hAnsi="Times New Roman"/>
                <w:b w:val="0"/>
                <w:bCs w:val="0"/>
                <w:szCs w:val="20"/>
              </w:rPr>
            </w:pPr>
            <w:r>
              <w:rPr>
                <w:rFonts w:ascii="Times New Roman" w:hAnsi="Times New Roman"/>
                <w:b w:val="0"/>
                <w:bCs w:val="0"/>
                <w:szCs w:val="20"/>
              </w:rPr>
              <w:t>Interest Income</w:t>
            </w:r>
          </w:p>
        </w:tc>
        <w:tc>
          <w:tcPr>
            <w:tcW w:w="741" w:type="dxa"/>
            <w:vAlign w:val="bottom"/>
          </w:tcPr>
          <w:p w:rsidR="00C84D94" w:rsidRPr="003A191D" w:rsidRDefault="00963D05" w:rsidP="007362D0">
            <w:pPr>
              <w:jc w:val="center"/>
              <w:rPr>
                <w:rFonts w:ascii="Times New Roman" w:hAnsi="Times New Roman"/>
                <w:sz w:val="20"/>
                <w:szCs w:val="20"/>
              </w:rPr>
            </w:pPr>
            <w:r>
              <w:rPr>
                <w:rFonts w:ascii="Times New Roman" w:hAnsi="Times New Roman"/>
                <w:sz w:val="20"/>
                <w:szCs w:val="20"/>
              </w:rPr>
              <w:t>8</w:t>
            </w:r>
          </w:p>
        </w:tc>
        <w:tc>
          <w:tcPr>
            <w:tcW w:w="269" w:type="dxa"/>
          </w:tcPr>
          <w:p w:rsidR="00C84D94" w:rsidRPr="003A191D" w:rsidRDefault="00C84D94" w:rsidP="00460791">
            <w:pPr>
              <w:jc w:val="right"/>
              <w:rPr>
                <w:rFonts w:ascii="Times New Roman" w:hAnsi="Times New Roman"/>
                <w:sz w:val="20"/>
                <w:szCs w:val="20"/>
              </w:rPr>
            </w:pPr>
          </w:p>
        </w:tc>
        <w:tc>
          <w:tcPr>
            <w:tcW w:w="1274" w:type="dxa"/>
            <w:vAlign w:val="bottom"/>
          </w:tcPr>
          <w:p w:rsidR="00C84D94" w:rsidRDefault="00C02E54">
            <w:pPr>
              <w:pStyle w:val="Tdec"/>
              <w:tabs>
                <w:tab w:val="clear" w:pos="993"/>
                <w:tab w:val="decimal" w:pos="1348"/>
              </w:tabs>
              <w:ind w:right="72"/>
              <w:jc w:val="left"/>
            </w:pPr>
            <w:r>
              <w:t>205,442</w:t>
            </w:r>
          </w:p>
        </w:tc>
        <w:tc>
          <w:tcPr>
            <w:tcW w:w="1274" w:type="dxa"/>
            <w:vAlign w:val="bottom"/>
          </w:tcPr>
          <w:p w:rsidR="00C84D94" w:rsidRPr="003A191D" w:rsidRDefault="00C84D94" w:rsidP="00460791">
            <w:pPr>
              <w:pStyle w:val="Tdec"/>
              <w:tabs>
                <w:tab w:val="clear" w:pos="993"/>
                <w:tab w:val="decimal" w:pos="1224"/>
              </w:tabs>
              <w:ind w:right="72"/>
              <w:jc w:val="left"/>
            </w:pPr>
            <w:r>
              <w:t>-</w:t>
            </w:r>
          </w:p>
        </w:tc>
        <w:tc>
          <w:tcPr>
            <w:tcW w:w="1274" w:type="dxa"/>
            <w:vAlign w:val="bottom"/>
          </w:tcPr>
          <w:p w:rsidR="00C84D94" w:rsidRDefault="00C02E54">
            <w:pPr>
              <w:pStyle w:val="Tdec"/>
              <w:tabs>
                <w:tab w:val="clear" w:pos="993"/>
                <w:tab w:val="decimal" w:pos="1348"/>
              </w:tabs>
              <w:ind w:right="72"/>
              <w:jc w:val="left"/>
            </w:pPr>
            <w:r>
              <w:t>205</w:t>
            </w:r>
            <w:r w:rsidR="0069096F">
              <w:t>,</w:t>
            </w:r>
            <w:r>
              <w:t>442</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rsidP="007A254B">
            <w:pPr>
              <w:pStyle w:val="Tdec"/>
              <w:tabs>
                <w:tab w:val="clear" w:pos="993"/>
                <w:tab w:val="decimal" w:pos="1058"/>
              </w:tabs>
              <w:ind w:right="-67"/>
              <w:jc w:val="left"/>
            </w:pPr>
            <w:r>
              <w:t>454,685</w:t>
            </w:r>
          </w:p>
        </w:tc>
      </w:tr>
      <w:tr w:rsidR="00C84D94" w:rsidRPr="003A191D" w:rsidTr="007A254B">
        <w:trPr>
          <w:cantSplit/>
          <w:trHeight w:val="404"/>
        </w:trPr>
        <w:tc>
          <w:tcPr>
            <w:tcW w:w="4531" w:type="dxa"/>
          </w:tcPr>
          <w:p w:rsidR="00C84D94" w:rsidRPr="003A191D" w:rsidRDefault="00C84D94" w:rsidP="00460791">
            <w:pPr>
              <w:pStyle w:val="Heading3"/>
              <w:tabs>
                <w:tab w:val="clear" w:pos="3402"/>
                <w:tab w:val="clear" w:pos="8222"/>
              </w:tabs>
              <w:rPr>
                <w:rFonts w:ascii="Times New Roman" w:hAnsi="Times New Roman"/>
                <w:b w:val="0"/>
                <w:bCs w:val="0"/>
                <w:szCs w:val="20"/>
              </w:rPr>
            </w:pPr>
            <w:r w:rsidRPr="003A191D">
              <w:rPr>
                <w:rFonts w:ascii="Times New Roman" w:hAnsi="Times New Roman"/>
                <w:b w:val="0"/>
                <w:bCs w:val="0"/>
                <w:szCs w:val="20"/>
              </w:rPr>
              <w:t xml:space="preserve">Net </w:t>
            </w:r>
            <w:r w:rsidRPr="007A254B">
              <w:rPr>
                <w:rFonts w:ascii="Times New Roman" w:hAnsi="Times New Roman"/>
                <w:b w:val="0"/>
                <w:bCs w:val="0"/>
                <w:szCs w:val="20"/>
              </w:rPr>
              <w:t>movement in the fair</w:t>
            </w:r>
            <w:r w:rsidRPr="003A191D">
              <w:rPr>
                <w:rFonts w:ascii="Times New Roman" w:hAnsi="Times New Roman"/>
                <w:b w:val="0"/>
                <w:bCs w:val="0"/>
                <w:szCs w:val="20"/>
              </w:rPr>
              <w:t xml:space="preserve"> value of securities (at fair value through profit or loss)</w:t>
            </w:r>
          </w:p>
        </w:tc>
        <w:tc>
          <w:tcPr>
            <w:tcW w:w="741" w:type="dxa"/>
          </w:tcPr>
          <w:p w:rsidR="00C84D94" w:rsidRPr="003A191D" w:rsidRDefault="00C84D94" w:rsidP="00460791">
            <w:pPr>
              <w:jc w:val="center"/>
              <w:rPr>
                <w:rFonts w:ascii="Times New Roman" w:hAnsi="Times New Roman"/>
                <w:sz w:val="20"/>
                <w:szCs w:val="20"/>
              </w:rPr>
            </w:pPr>
          </w:p>
          <w:p w:rsidR="00C84D94" w:rsidRPr="003A191D" w:rsidRDefault="00C84D94" w:rsidP="0039119D">
            <w:pPr>
              <w:jc w:val="center"/>
              <w:rPr>
                <w:rFonts w:ascii="Times New Roman" w:hAnsi="Times New Roman"/>
                <w:sz w:val="20"/>
                <w:szCs w:val="20"/>
              </w:rPr>
            </w:pPr>
            <w:r w:rsidRPr="003A191D">
              <w:rPr>
                <w:rFonts w:ascii="Times New Roman" w:hAnsi="Times New Roman"/>
                <w:sz w:val="20"/>
                <w:szCs w:val="20"/>
              </w:rPr>
              <w:t>9</w:t>
            </w:r>
          </w:p>
        </w:tc>
        <w:tc>
          <w:tcPr>
            <w:tcW w:w="269" w:type="dxa"/>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rsidP="00460791">
            <w:pPr>
              <w:pStyle w:val="Tdec"/>
              <w:tabs>
                <w:tab w:val="clear" w:pos="993"/>
                <w:tab w:val="decimal" w:pos="1348"/>
              </w:tabs>
              <w:ind w:right="72"/>
              <w:jc w:val="left"/>
            </w:pPr>
            <w:r w:rsidRPr="003A191D">
              <w:t>-</w:t>
            </w:r>
          </w:p>
        </w:tc>
        <w:tc>
          <w:tcPr>
            <w:tcW w:w="1274" w:type="dxa"/>
            <w:vAlign w:val="bottom"/>
          </w:tcPr>
          <w:p w:rsidR="00C84D94" w:rsidRPr="003A191D" w:rsidRDefault="00D83D2E">
            <w:pPr>
              <w:pStyle w:val="Tdec"/>
              <w:tabs>
                <w:tab w:val="clear" w:pos="993"/>
                <w:tab w:val="decimal" w:pos="1224"/>
              </w:tabs>
              <w:ind w:right="72"/>
              <w:jc w:val="left"/>
            </w:pPr>
            <w:r>
              <w:t>(19,171,856)</w:t>
            </w:r>
          </w:p>
        </w:tc>
        <w:tc>
          <w:tcPr>
            <w:tcW w:w="1274" w:type="dxa"/>
            <w:vAlign w:val="bottom"/>
          </w:tcPr>
          <w:p w:rsidR="00C84D94" w:rsidRPr="003A191D" w:rsidRDefault="00C84D94">
            <w:pPr>
              <w:pStyle w:val="Tdec"/>
              <w:tabs>
                <w:tab w:val="clear" w:pos="993"/>
                <w:tab w:val="decimal" w:pos="1224"/>
              </w:tabs>
              <w:ind w:right="72"/>
              <w:jc w:val="left"/>
            </w:pPr>
            <w:bookmarkStart w:id="34" w:name="OLE_LINK51"/>
            <w:r>
              <w:t>(</w:t>
            </w:r>
            <w:r w:rsidR="0069096F">
              <w:t>19</w:t>
            </w:r>
            <w:r>
              <w:t>,</w:t>
            </w:r>
            <w:r w:rsidR="00D83D2E">
              <w:t>171</w:t>
            </w:r>
            <w:r>
              <w:t>,</w:t>
            </w:r>
            <w:r w:rsidR="00D83D2E">
              <w:t>856</w:t>
            </w:r>
            <w:r>
              <w:t>)</w:t>
            </w:r>
            <w:bookmarkEnd w:id="34"/>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rsidP="003B01CA">
            <w:pPr>
              <w:pStyle w:val="Tdec"/>
              <w:tabs>
                <w:tab w:val="clear" w:pos="993"/>
                <w:tab w:val="decimal" w:pos="1224"/>
              </w:tabs>
              <w:ind w:right="72"/>
              <w:jc w:val="left"/>
            </w:pPr>
            <w:r>
              <w:t>(3,842,301)</w:t>
            </w:r>
          </w:p>
        </w:tc>
      </w:tr>
      <w:tr w:rsidR="00C84D94" w:rsidRPr="003A191D" w:rsidTr="007A254B">
        <w:trPr>
          <w:cantSplit/>
        </w:trPr>
        <w:tc>
          <w:tcPr>
            <w:tcW w:w="4531" w:type="dxa"/>
          </w:tcPr>
          <w:p w:rsidR="00C84D94" w:rsidRPr="003A191D" w:rsidRDefault="00C84D94" w:rsidP="00460791">
            <w:pPr>
              <w:pStyle w:val="Heading3"/>
              <w:tabs>
                <w:tab w:val="clear" w:pos="3402"/>
                <w:tab w:val="clear" w:pos="8222"/>
              </w:tabs>
              <w:rPr>
                <w:rFonts w:ascii="Times New Roman" w:hAnsi="Times New Roman"/>
                <w:b w:val="0"/>
                <w:bCs w:val="0"/>
                <w:szCs w:val="20"/>
              </w:rPr>
            </w:pPr>
            <w:r w:rsidRPr="003A191D">
              <w:rPr>
                <w:rFonts w:ascii="Times New Roman" w:hAnsi="Times New Roman"/>
                <w:b w:val="0"/>
                <w:bCs w:val="0"/>
                <w:szCs w:val="20"/>
              </w:rPr>
              <w:t xml:space="preserve">Net movement on </w:t>
            </w:r>
            <w:r w:rsidRPr="007A254B">
              <w:rPr>
                <w:rFonts w:ascii="Times New Roman" w:hAnsi="Times New Roman"/>
                <w:b w:val="0"/>
                <w:bCs w:val="0"/>
                <w:szCs w:val="20"/>
              </w:rPr>
              <w:t>foreign</w:t>
            </w:r>
            <w:r w:rsidRPr="003A191D">
              <w:rPr>
                <w:rFonts w:ascii="Times New Roman" w:hAnsi="Times New Roman"/>
                <w:b w:val="0"/>
                <w:bCs w:val="0"/>
                <w:szCs w:val="20"/>
              </w:rPr>
              <w:t xml:space="preserve"> exchange</w:t>
            </w: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rsidP="00460791">
            <w:pPr>
              <w:pStyle w:val="Tdec"/>
              <w:tabs>
                <w:tab w:val="clear" w:pos="993"/>
                <w:tab w:val="decimal" w:pos="1348"/>
              </w:tabs>
              <w:ind w:right="72"/>
              <w:jc w:val="left"/>
              <w:rPr>
                <w:lang w:eastAsia="en-US"/>
              </w:rPr>
            </w:pPr>
            <w:r w:rsidRPr="003A191D">
              <w:rPr>
                <w:lang w:eastAsia="en-US"/>
              </w:rPr>
              <w:t>-</w:t>
            </w:r>
          </w:p>
        </w:tc>
        <w:tc>
          <w:tcPr>
            <w:tcW w:w="1274" w:type="dxa"/>
            <w:vAlign w:val="bottom"/>
          </w:tcPr>
          <w:p w:rsidR="00C84D94" w:rsidRPr="003A191D" w:rsidRDefault="00C02E54">
            <w:pPr>
              <w:pStyle w:val="Tdec"/>
              <w:tabs>
                <w:tab w:val="clear" w:pos="993"/>
                <w:tab w:val="decimal" w:pos="1224"/>
              </w:tabs>
              <w:ind w:right="72"/>
              <w:jc w:val="left"/>
              <w:rPr>
                <w:lang w:eastAsia="en-US"/>
              </w:rPr>
            </w:pPr>
            <w:r>
              <w:rPr>
                <w:lang w:eastAsia="en-US"/>
              </w:rPr>
              <w:t>187</w:t>
            </w:r>
            <w:r w:rsidR="00C84D94">
              <w:rPr>
                <w:lang w:eastAsia="en-US"/>
              </w:rPr>
              <w:t>,</w:t>
            </w:r>
            <w:r>
              <w:rPr>
                <w:lang w:eastAsia="en-US"/>
              </w:rPr>
              <w:t>004</w:t>
            </w:r>
          </w:p>
        </w:tc>
        <w:tc>
          <w:tcPr>
            <w:tcW w:w="1274" w:type="dxa"/>
            <w:vAlign w:val="bottom"/>
          </w:tcPr>
          <w:p w:rsidR="00C84D94" w:rsidRPr="003A191D" w:rsidRDefault="00C02E54">
            <w:pPr>
              <w:pStyle w:val="Tdec"/>
              <w:tabs>
                <w:tab w:val="clear" w:pos="993"/>
                <w:tab w:val="decimal" w:pos="1224"/>
              </w:tabs>
              <w:ind w:right="72"/>
              <w:jc w:val="left"/>
              <w:rPr>
                <w:lang w:eastAsia="en-US"/>
              </w:rPr>
            </w:pPr>
            <w:r>
              <w:rPr>
                <w:lang w:eastAsia="en-US"/>
              </w:rPr>
              <w:t>187</w:t>
            </w:r>
            <w:r w:rsidR="00C84D94">
              <w:rPr>
                <w:lang w:eastAsia="en-US"/>
              </w:rPr>
              <w:t>,</w:t>
            </w:r>
            <w:r>
              <w:rPr>
                <w:lang w:eastAsia="en-US"/>
              </w:rPr>
              <w:t>004</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rsidP="003B01CA">
            <w:pPr>
              <w:pStyle w:val="Tdec"/>
              <w:tabs>
                <w:tab w:val="clear" w:pos="993"/>
                <w:tab w:val="decimal" w:pos="1224"/>
              </w:tabs>
              <w:ind w:right="72"/>
              <w:jc w:val="left"/>
              <w:rPr>
                <w:lang w:eastAsia="en-US"/>
              </w:rPr>
            </w:pPr>
            <w:r>
              <w:rPr>
                <w:lang w:eastAsia="en-US"/>
              </w:rPr>
              <w:t>343,580</w:t>
            </w:r>
          </w:p>
        </w:tc>
      </w:tr>
      <w:bookmarkEnd w:id="33"/>
      <w:tr w:rsidR="00C84D94" w:rsidRPr="003A191D" w:rsidTr="003B01CA">
        <w:trPr>
          <w:cantSplit/>
        </w:trPr>
        <w:tc>
          <w:tcPr>
            <w:tcW w:w="4531" w:type="dxa"/>
          </w:tcPr>
          <w:p w:rsidR="00C84D94" w:rsidRPr="003A191D" w:rsidRDefault="00C84D94" w:rsidP="006A4D71">
            <w:pPr>
              <w:pStyle w:val="Heading3"/>
              <w:tabs>
                <w:tab w:val="clear" w:pos="3402"/>
                <w:tab w:val="clear" w:pos="8222"/>
              </w:tabs>
              <w:rPr>
                <w:rFonts w:ascii="Times New Roman" w:hAnsi="Times New Roman"/>
                <w:b w:val="0"/>
                <w:bCs w:val="0"/>
                <w:szCs w:val="20"/>
              </w:rPr>
            </w:pPr>
            <w:r w:rsidRPr="003A191D">
              <w:rPr>
                <w:rFonts w:ascii="Times New Roman" w:hAnsi="Times New Roman"/>
                <w:szCs w:val="20"/>
              </w:rPr>
              <w:t>Total revenue</w:t>
            </w: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tcBorders>
              <w:top w:val="single" w:sz="4" w:space="0" w:color="auto"/>
              <w:bottom w:val="single" w:sz="4" w:space="0" w:color="auto"/>
            </w:tcBorders>
            <w:vAlign w:val="bottom"/>
          </w:tcPr>
          <w:p w:rsidR="00C84D94" w:rsidRPr="003A191D" w:rsidRDefault="00C02E54">
            <w:pPr>
              <w:pStyle w:val="Tdec"/>
              <w:tabs>
                <w:tab w:val="clear" w:pos="993"/>
                <w:tab w:val="decimal" w:pos="1348"/>
              </w:tabs>
              <w:ind w:right="72"/>
              <w:jc w:val="left"/>
              <w:rPr>
                <w:lang w:eastAsia="en-US"/>
              </w:rPr>
            </w:pPr>
            <w:r>
              <w:t>7</w:t>
            </w:r>
            <w:r w:rsidR="00C84D94">
              <w:t>,</w:t>
            </w:r>
            <w:r>
              <w:t>7</w:t>
            </w:r>
            <w:r w:rsidR="00D83D2E">
              <w:t>23</w:t>
            </w:r>
            <w:r w:rsidR="00C84D94">
              <w:t>,</w:t>
            </w:r>
            <w:r w:rsidR="00D83D2E">
              <w:t>549</w:t>
            </w:r>
          </w:p>
        </w:tc>
        <w:tc>
          <w:tcPr>
            <w:tcW w:w="1274" w:type="dxa"/>
            <w:tcBorders>
              <w:top w:val="single" w:sz="4" w:space="0" w:color="auto"/>
              <w:bottom w:val="single" w:sz="4" w:space="0" w:color="auto"/>
            </w:tcBorders>
            <w:vAlign w:val="bottom"/>
          </w:tcPr>
          <w:p w:rsidR="00C84D94" w:rsidRDefault="00C84D94">
            <w:pPr>
              <w:pStyle w:val="Tdec"/>
              <w:tabs>
                <w:tab w:val="clear" w:pos="993"/>
                <w:tab w:val="decimal" w:pos="1224"/>
              </w:tabs>
              <w:ind w:right="72"/>
              <w:jc w:val="left"/>
              <w:rPr>
                <w:lang w:eastAsia="en-US"/>
              </w:rPr>
            </w:pPr>
            <w:r>
              <w:t>(</w:t>
            </w:r>
            <w:r w:rsidR="00C02E54">
              <w:t>1</w:t>
            </w:r>
            <w:r w:rsidR="00D83D2E">
              <w:t>8</w:t>
            </w:r>
            <w:r>
              <w:t>,</w:t>
            </w:r>
            <w:r w:rsidR="00D83D2E">
              <w:t>984</w:t>
            </w:r>
            <w:r>
              <w:t>,</w:t>
            </w:r>
            <w:r w:rsidR="00D83D2E">
              <w:t>852</w:t>
            </w:r>
            <w:r>
              <w:t>)</w:t>
            </w:r>
          </w:p>
        </w:tc>
        <w:tc>
          <w:tcPr>
            <w:tcW w:w="1274" w:type="dxa"/>
            <w:tcBorders>
              <w:top w:val="single" w:sz="4" w:space="0" w:color="auto"/>
              <w:bottom w:val="single" w:sz="4" w:space="0" w:color="auto"/>
            </w:tcBorders>
            <w:vAlign w:val="bottom"/>
          </w:tcPr>
          <w:p w:rsidR="00C84D94" w:rsidRDefault="00C02E54">
            <w:pPr>
              <w:pStyle w:val="Tdec"/>
              <w:tabs>
                <w:tab w:val="clear" w:pos="993"/>
                <w:tab w:val="decimal" w:pos="1224"/>
              </w:tabs>
              <w:ind w:right="72"/>
              <w:jc w:val="left"/>
              <w:rPr>
                <w:lang w:eastAsia="en-US"/>
              </w:rPr>
            </w:pPr>
            <w:r>
              <w:t>(11</w:t>
            </w:r>
            <w:r w:rsidR="00C84D94">
              <w:t>,</w:t>
            </w:r>
            <w:r>
              <w:t>261</w:t>
            </w:r>
            <w:r w:rsidR="00C84D94">
              <w:t>,</w:t>
            </w:r>
            <w:r>
              <w:t>303)</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top w:val="single" w:sz="4" w:space="0" w:color="auto"/>
              <w:bottom w:val="single" w:sz="4" w:space="0" w:color="auto"/>
            </w:tcBorders>
            <w:vAlign w:val="bottom"/>
          </w:tcPr>
          <w:p w:rsidR="00C84D94" w:rsidRDefault="00C84D94" w:rsidP="003B01CA">
            <w:pPr>
              <w:pStyle w:val="Tdec"/>
              <w:tabs>
                <w:tab w:val="clear" w:pos="993"/>
                <w:tab w:val="decimal" w:pos="1224"/>
              </w:tabs>
              <w:ind w:right="72"/>
              <w:jc w:val="left"/>
              <w:rPr>
                <w:lang w:eastAsia="en-US"/>
              </w:rPr>
            </w:pPr>
            <w:r>
              <w:t>4,553,206</w:t>
            </w:r>
          </w:p>
        </w:tc>
      </w:tr>
      <w:tr w:rsidR="00C84D94" w:rsidRPr="003A191D" w:rsidTr="003B01CA">
        <w:trPr>
          <w:cantSplit/>
        </w:trPr>
        <w:tc>
          <w:tcPr>
            <w:tcW w:w="4531" w:type="dxa"/>
          </w:tcPr>
          <w:p w:rsidR="00C84D94" w:rsidRPr="003A191D" w:rsidRDefault="00C84D94" w:rsidP="00460791">
            <w:pPr>
              <w:pStyle w:val="Heading3"/>
              <w:tabs>
                <w:tab w:val="clear" w:pos="3402"/>
                <w:tab w:val="clear" w:pos="8222"/>
              </w:tabs>
              <w:rPr>
                <w:rFonts w:ascii="Times New Roman" w:hAnsi="Times New Roman"/>
                <w:szCs w:val="20"/>
              </w:rPr>
            </w:pP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tcBorders>
              <w:top w:val="single" w:sz="4" w:space="0" w:color="auto"/>
            </w:tcBorders>
            <w:vAlign w:val="bottom"/>
          </w:tcPr>
          <w:p w:rsidR="00C84D94" w:rsidRPr="003A191D" w:rsidRDefault="00C84D94">
            <w:pPr>
              <w:pStyle w:val="Tdec"/>
              <w:tabs>
                <w:tab w:val="clear" w:pos="993"/>
                <w:tab w:val="decimal" w:pos="1348"/>
              </w:tabs>
              <w:ind w:right="72"/>
              <w:jc w:val="left"/>
            </w:pPr>
          </w:p>
        </w:tc>
        <w:tc>
          <w:tcPr>
            <w:tcW w:w="1274" w:type="dxa"/>
            <w:tcBorders>
              <w:top w:val="single" w:sz="4" w:space="0" w:color="auto"/>
            </w:tcBorders>
            <w:vAlign w:val="bottom"/>
          </w:tcPr>
          <w:p w:rsidR="00C84D94" w:rsidRPr="003A191D" w:rsidRDefault="00C84D94" w:rsidP="00864147">
            <w:pPr>
              <w:pStyle w:val="Tdec"/>
              <w:tabs>
                <w:tab w:val="clear" w:pos="993"/>
                <w:tab w:val="decimal" w:pos="1224"/>
              </w:tabs>
              <w:ind w:right="72"/>
              <w:jc w:val="left"/>
            </w:pPr>
          </w:p>
        </w:tc>
        <w:tc>
          <w:tcPr>
            <w:tcW w:w="1274" w:type="dxa"/>
            <w:tcBorders>
              <w:top w:val="single" w:sz="4" w:space="0" w:color="auto"/>
            </w:tcBorders>
            <w:vAlign w:val="bottom"/>
          </w:tcPr>
          <w:p w:rsidR="00C84D94" w:rsidRPr="003A191D" w:rsidRDefault="00C84D94" w:rsidP="00864147">
            <w:pPr>
              <w:pStyle w:val="Tdec"/>
              <w:tabs>
                <w:tab w:val="clear" w:pos="993"/>
                <w:tab w:val="decimal" w:pos="1224"/>
              </w:tabs>
              <w:ind w:right="72"/>
              <w:jc w:val="left"/>
            </w:pP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top w:val="single" w:sz="4" w:space="0" w:color="auto"/>
            </w:tcBorders>
            <w:vAlign w:val="bottom"/>
          </w:tcPr>
          <w:p w:rsidR="00C84D94" w:rsidRPr="003A191D" w:rsidRDefault="00C84D94" w:rsidP="003B01CA">
            <w:pPr>
              <w:pStyle w:val="Tdec"/>
              <w:tabs>
                <w:tab w:val="clear" w:pos="993"/>
                <w:tab w:val="decimal" w:pos="1058"/>
              </w:tabs>
              <w:ind w:right="-67"/>
              <w:jc w:val="left"/>
            </w:pPr>
          </w:p>
        </w:tc>
      </w:tr>
      <w:tr w:rsidR="00C84D94" w:rsidRPr="003A191D" w:rsidTr="003B01CA">
        <w:trPr>
          <w:cantSplit/>
        </w:trPr>
        <w:tc>
          <w:tcPr>
            <w:tcW w:w="4531" w:type="dxa"/>
          </w:tcPr>
          <w:p w:rsidR="00C84D94" w:rsidRPr="003A191D" w:rsidRDefault="00C84D94" w:rsidP="00460791">
            <w:pPr>
              <w:pStyle w:val="Heading3"/>
              <w:tabs>
                <w:tab w:val="clear" w:pos="3402"/>
                <w:tab w:val="clear" w:pos="8222"/>
              </w:tabs>
              <w:rPr>
                <w:rFonts w:ascii="Times New Roman" w:hAnsi="Times New Roman"/>
                <w:szCs w:val="20"/>
              </w:rPr>
            </w:pPr>
            <w:r w:rsidRPr="003A191D">
              <w:rPr>
                <w:rFonts w:ascii="Times New Roman" w:hAnsi="Times New Roman"/>
                <w:szCs w:val="20"/>
              </w:rPr>
              <w:t>Expenditure</w:t>
            </w: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u w:val="single"/>
              </w:rPr>
            </w:pPr>
          </w:p>
        </w:tc>
        <w:tc>
          <w:tcPr>
            <w:tcW w:w="1274" w:type="dxa"/>
            <w:vAlign w:val="bottom"/>
          </w:tcPr>
          <w:p w:rsidR="00C84D94" w:rsidRPr="003A191D" w:rsidRDefault="00C84D94" w:rsidP="00460791">
            <w:pPr>
              <w:pStyle w:val="Tdec"/>
              <w:tabs>
                <w:tab w:val="clear" w:pos="993"/>
                <w:tab w:val="decimal" w:pos="1348"/>
              </w:tabs>
              <w:ind w:right="72"/>
              <w:jc w:val="left"/>
            </w:pPr>
          </w:p>
        </w:tc>
        <w:tc>
          <w:tcPr>
            <w:tcW w:w="1274" w:type="dxa"/>
            <w:vAlign w:val="bottom"/>
          </w:tcPr>
          <w:p w:rsidR="00C84D94" w:rsidRPr="003A191D" w:rsidRDefault="00C84D94" w:rsidP="00460791">
            <w:pPr>
              <w:pStyle w:val="Tdec"/>
              <w:tabs>
                <w:tab w:val="clear" w:pos="993"/>
                <w:tab w:val="decimal" w:pos="1224"/>
              </w:tabs>
              <w:ind w:right="72"/>
              <w:jc w:val="left"/>
            </w:pPr>
          </w:p>
        </w:tc>
        <w:tc>
          <w:tcPr>
            <w:tcW w:w="1274" w:type="dxa"/>
            <w:vAlign w:val="bottom"/>
          </w:tcPr>
          <w:p w:rsidR="00C84D94" w:rsidRPr="003A191D" w:rsidRDefault="00C84D94" w:rsidP="004F1F98">
            <w:pPr>
              <w:pStyle w:val="Tdec"/>
              <w:tabs>
                <w:tab w:val="clear" w:pos="993"/>
                <w:tab w:val="decimal" w:pos="1058"/>
                <w:tab w:val="decimal" w:pos="1224"/>
              </w:tabs>
              <w:ind w:right="-67"/>
              <w:jc w:val="left"/>
            </w:pPr>
          </w:p>
        </w:tc>
        <w:tc>
          <w:tcPr>
            <w:tcW w:w="269" w:type="dxa"/>
            <w:vAlign w:val="bottom"/>
          </w:tcPr>
          <w:p w:rsidR="00C84D94" w:rsidRPr="003A191D" w:rsidRDefault="00C84D94" w:rsidP="00460791">
            <w:pPr>
              <w:jc w:val="right"/>
              <w:rPr>
                <w:rFonts w:ascii="Times New Roman" w:hAnsi="Times New Roman"/>
                <w:sz w:val="20"/>
                <w:szCs w:val="20"/>
                <w:u w:val="single"/>
              </w:rPr>
            </w:pPr>
          </w:p>
        </w:tc>
        <w:tc>
          <w:tcPr>
            <w:tcW w:w="1274" w:type="dxa"/>
            <w:vAlign w:val="bottom"/>
          </w:tcPr>
          <w:p w:rsidR="00C84D94" w:rsidRPr="003A191D" w:rsidRDefault="00C84D94" w:rsidP="003B01CA">
            <w:pPr>
              <w:pStyle w:val="Tdec"/>
              <w:tabs>
                <w:tab w:val="clear" w:pos="993"/>
                <w:tab w:val="decimal" w:pos="1058"/>
                <w:tab w:val="decimal" w:pos="1224"/>
              </w:tabs>
              <w:ind w:right="-67"/>
              <w:jc w:val="left"/>
            </w:pPr>
          </w:p>
        </w:tc>
      </w:tr>
      <w:tr w:rsidR="00C84D94" w:rsidRPr="003A191D" w:rsidTr="00460791">
        <w:trPr>
          <w:cantSplit/>
        </w:trPr>
        <w:tc>
          <w:tcPr>
            <w:tcW w:w="4531" w:type="dxa"/>
          </w:tcPr>
          <w:p w:rsidR="00C84D94" w:rsidRPr="003A191D" w:rsidRDefault="00C84D94" w:rsidP="00460791">
            <w:pPr>
              <w:pStyle w:val="Heading3"/>
              <w:tabs>
                <w:tab w:val="clear" w:pos="3402"/>
                <w:tab w:val="clear" w:pos="8222"/>
              </w:tabs>
              <w:rPr>
                <w:rFonts w:ascii="Times New Roman" w:hAnsi="Times New Roman"/>
                <w:b w:val="0"/>
                <w:bCs w:val="0"/>
                <w:szCs w:val="20"/>
              </w:rPr>
            </w:pPr>
            <w:r w:rsidRPr="003A191D">
              <w:rPr>
                <w:rFonts w:ascii="Times New Roman" w:hAnsi="Times New Roman"/>
                <w:b w:val="0"/>
                <w:bCs w:val="0"/>
              </w:rPr>
              <w:t>Investment management fees</w:t>
            </w:r>
          </w:p>
        </w:tc>
        <w:tc>
          <w:tcPr>
            <w:tcW w:w="741" w:type="dxa"/>
          </w:tcPr>
          <w:p w:rsidR="00C84D94" w:rsidRPr="003A191D" w:rsidRDefault="00C84D94" w:rsidP="00460791">
            <w:pPr>
              <w:jc w:val="center"/>
              <w:rPr>
                <w:rFonts w:ascii="Times New Roman" w:hAnsi="Times New Roman"/>
                <w:sz w:val="20"/>
                <w:szCs w:val="20"/>
              </w:rPr>
            </w:pPr>
            <w:r w:rsidRPr="003A191D">
              <w:rPr>
                <w:rFonts w:ascii="Times New Roman" w:hAnsi="Times New Roman"/>
                <w:sz w:val="20"/>
                <w:szCs w:val="20"/>
              </w:rPr>
              <w:t>2 o</w:t>
            </w:r>
          </w:p>
        </w:tc>
        <w:tc>
          <w:tcPr>
            <w:tcW w:w="269" w:type="dxa"/>
          </w:tcPr>
          <w:p w:rsidR="00C84D94" w:rsidRPr="003A191D" w:rsidRDefault="00C84D94" w:rsidP="00460791">
            <w:pPr>
              <w:jc w:val="right"/>
              <w:rPr>
                <w:rFonts w:ascii="Times New Roman" w:hAnsi="Times New Roman"/>
                <w:sz w:val="20"/>
                <w:szCs w:val="20"/>
                <w:u w:val="single"/>
              </w:rPr>
            </w:pPr>
          </w:p>
        </w:tc>
        <w:tc>
          <w:tcPr>
            <w:tcW w:w="1274" w:type="dxa"/>
            <w:vAlign w:val="bottom"/>
          </w:tcPr>
          <w:p w:rsidR="00C84D94" w:rsidRPr="003A191D" w:rsidRDefault="00C02E54">
            <w:pPr>
              <w:pStyle w:val="Tdec"/>
              <w:tabs>
                <w:tab w:val="clear" w:pos="993"/>
                <w:tab w:val="decimal" w:pos="1348"/>
              </w:tabs>
              <w:ind w:right="72"/>
              <w:jc w:val="left"/>
            </w:pPr>
            <w:r>
              <w:t>330</w:t>
            </w:r>
            <w:r w:rsidR="00C84D94">
              <w:t>,</w:t>
            </w:r>
            <w:r>
              <w:t>246</w:t>
            </w:r>
          </w:p>
        </w:tc>
        <w:tc>
          <w:tcPr>
            <w:tcW w:w="1274" w:type="dxa"/>
            <w:vAlign w:val="bottom"/>
          </w:tcPr>
          <w:p w:rsidR="00C84D94" w:rsidRPr="003A191D" w:rsidRDefault="00C02E54">
            <w:pPr>
              <w:pStyle w:val="Tdec"/>
              <w:tabs>
                <w:tab w:val="clear" w:pos="993"/>
                <w:tab w:val="decimal" w:pos="1224"/>
              </w:tabs>
              <w:ind w:right="72"/>
              <w:jc w:val="left"/>
            </w:pPr>
            <w:r>
              <w:t>495</w:t>
            </w:r>
            <w:r w:rsidR="00C84D94">
              <w:t>,</w:t>
            </w:r>
            <w:r>
              <w:t>369</w:t>
            </w:r>
          </w:p>
        </w:tc>
        <w:tc>
          <w:tcPr>
            <w:tcW w:w="1274" w:type="dxa"/>
            <w:vAlign w:val="bottom"/>
          </w:tcPr>
          <w:p w:rsidR="00C84D94" w:rsidRPr="003A191D" w:rsidRDefault="00C84D94">
            <w:pPr>
              <w:pStyle w:val="Tdec"/>
              <w:tabs>
                <w:tab w:val="clear" w:pos="993"/>
                <w:tab w:val="decimal" w:pos="1058"/>
                <w:tab w:val="decimal" w:pos="1224"/>
              </w:tabs>
              <w:ind w:right="-67"/>
              <w:jc w:val="left"/>
            </w:pPr>
            <w:r>
              <w:t xml:space="preserve">         </w:t>
            </w:r>
            <w:r w:rsidR="00C02E54">
              <w:t>825</w:t>
            </w:r>
            <w:r>
              <w:t>,</w:t>
            </w:r>
            <w:r w:rsidR="00C02E54">
              <w:t>61</w:t>
            </w:r>
            <w:r w:rsidR="0069096F">
              <w:t>5</w:t>
            </w:r>
          </w:p>
        </w:tc>
        <w:tc>
          <w:tcPr>
            <w:tcW w:w="269" w:type="dxa"/>
            <w:vAlign w:val="bottom"/>
          </w:tcPr>
          <w:p w:rsidR="00C84D94" w:rsidRPr="003A191D" w:rsidRDefault="00C84D94" w:rsidP="00460791">
            <w:pPr>
              <w:jc w:val="right"/>
              <w:rPr>
                <w:rFonts w:ascii="Times New Roman" w:hAnsi="Times New Roman"/>
                <w:sz w:val="20"/>
                <w:szCs w:val="20"/>
                <w:u w:val="single"/>
              </w:rPr>
            </w:pPr>
          </w:p>
        </w:tc>
        <w:tc>
          <w:tcPr>
            <w:tcW w:w="1274" w:type="dxa"/>
            <w:vAlign w:val="bottom"/>
          </w:tcPr>
          <w:p w:rsidR="00C84D94" w:rsidRPr="003A191D" w:rsidRDefault="00C84D94" w:rsidP="00AC5183">
            <w:pPr>
              <w:pStyle w:val="Tdec"/>
              <w:tabs>
                <w:tab w:val="clear" w:pos="993"/>
                <w:tab w:val="decimal" w:pos="1058"/>
                <w:tab w:val="decimal" w:pos="1224"/>
              </w:tabs>
              <w:ind w:right="-67"/>
              <w:jc w:val="right"/>
            </w:pPr>
            <w:r>
              <w:t>860,300</w:t>
            </w:r>
          </w:p>
        </w:tc>
      </w:tr>
      <w:tr w:rsidR="00C02E54" w:rsidRPr="003A191D" w:rsidTr="00460791">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bookmarkStart w:id="35" w:name="_Hlk413840147"/>
            <w:bookmarkStart w:id="36" w:name="_Hlk474758520"/>
            <w:r w:rsidRPr="003A191D">
              <w:rPr>
                <w:rFonts w:ascii="Times New Roman" w:hAnsi="Times New Roman"/>
                <w:b w:val="0"/>
                <w:bCs w:val="0"/>
              </w:rPr>
              <w:t>Custodian fees</w:t>
            </w:r>
          </w:p>
        </w:tc>
        <w:tc>
          <w:tcPr>
            <w:tcW w:w="741" w:type="dxa"/>
          </w:tcPr>
          <w:p w:rsidR="00C02E54" w:rsidRPr="003A191D" w:rsidRDefault="00C02E54" w:rsidP="000100A6">
            <w:pPr>
              <w:jc w:val="center"/>
              <w:rPr>
                <w:rFonts w:ascii="Times New Roman" w:hAnsi="Times New Roman"/>
                <w:sz w:val="20"/>
                <w:szCs w:val="20"/>
              </w:rPr>
            </w:pPr>
            <w:r w:rsidRPr="003A191D">
              <w:rPr>
                <w:rFonts w:ascii="Times New Roman" w:hAnsi="Times New Roman"/>
                <w:sz w:val="20"/>
                <w:szCs w:val="20"/>
              </w:rPr>
              <w:t>2 l</w:t>
            </w:r>
          </w:p>
        </w:tc>
        <w:tc>
          <w:tcPr>
            <w:tcW w:w="269" w:type="dxa"/>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pPr>
              <w:pStyle w:val="Tdec"/>
              <w:tabs>
                <w:tab w:val="clear" w:pos="993"/>
                <w:tab w:val="decimal" w:pos="1348"/>
              </w:tabs>
              <w:ind w:right="72"/>
              <w:jc w:val="left"/>
            </w:pPr>
            <w:r>
              <w:t>13,328</w:t>
            </w:r>
          </w:p>
        </w:tc>
        <w:tc>
          <w:tcPr>
            <w:tcW w:w="1274" w:type="dxa"/>
            <w:vAlign w:val="bottom"/>
          </w:tcPr>
          <w:p w:rsidR="00C02E54" w:rsidRPr="003A191D" w:rsidRDefault="00C02E54" w:rsidP="0044672E">
            <w:pPr>
              <w:pStyle w:val="Tdec"/>
              <w:tabs>
                <w:tab w:val="clear" w:pos="993"/>
                <w:tab w:val="decimal" w:pos="1224"/>
              </w:tabs>
              <w:ind w:right="72"/>
              <w:jc w:val="left"/>
            </w:pPr>
            <w:r w:rsidRPr="003A191D">
              <w:t>-</w:t>
            </w:r>
          </w:p>
        </w:tc>
        <w:tc>
          <w:tcPr>
            <w:tcW w:w="1274" w:type="dxa"/>
            <w:vAlign w:val="bottom"/>
          </w:tcPr>
          <w:p w:rsidR="00C02E54" w:rsidRPr="003A191D" w:rsidRDefault="00C02E54">
            <w:pPr>
              <w:pStyle w:val="Tdec"/>
              <w:tabs>
                <w:tab w:val="clear" w:pos="993"/>
                <w:tab w:val="decimal" w:pos="1224"/>
              </w:tabs>
              <w:ind w:right="72"/>
              <w:jc w:val="left"/>
            </w:pPr>
            <w:r>
              <w:t>13,328</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rsidP="00AC5183">
            <w:pPr>
              <w:pStyle w:val="Tdec"/>
              <w:tabs>
                <w:tab w:val="clear" w:pos="993"/>
                <w:tab w:val="decimal" w:pos="1058"/>
              </w:tabs>
              <w:ind w:right="-67"/>
              <w:jc w:val="right"/>
            </w:pPr>
            <w:r>
              <w:t>14,906</w:t>
            </w:r>
          </w:p>
        </w:tc>
      </w:tr>
      <w:tr w:rsidR="00C02E54" w:rsidRPr="003A191D" w:rsidTr="00460791">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r w:rsidRPr="003A191D">
              <w:rPr>
                <w:rFonts w:ascii="Times New Roman" w:hAnsi="Times New Roman"/>
                <w:b w:val="0"/>
                <w:bCs w:val="0"/>
              </w:rPr>
              <w:t>Sponsor’s fees</w:t>
            </w:r>
          </w:p>
        </w:tc>
        <w:tc>
          <w:tcPr>
            <w:tcW w:w="741" w:type="dxa"/>
          </w:tcPr>
          <w:p w:rsidR="00C02E54" w:rsidRPr="003A191D" w:rsidRDefault="00C02E54" w:rsidP="00460791">
            <w:pPr>
              <w:jc w:val="center"/>
              <w:rPr>
                <w:rFonts w:ascii="Times New Roman" w:hAnsi="Times New Roman"/>
                <w:sz w:val="20"/>
                <w:szCs w:val="20"/>
              </w:rPr>
            </w:pPr>
            <w:r w:rsidRPr="003A191D">
              <w:rPr>
                <w:rFonts w:ascii="Times New Roman" w:hAnsi="Times New Roman"/>
                <w:sz w:val="20"/>
                <w:szCs w:val="20"/>
              </w:rPr>
              <w:t>2 m</w:t>
            </w:r>
          </w:p>
        </w:tc>
        <w:tc>
          <w:tcPr>
            <w:tcW w:w="269" w:type="dxa"/>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pPr>
              <w:pStyle w:val="Tdec"/>
              <w:tabs>
                <w:tab w:val="clear" w:pos="993"/>
                <w:tab w:val="decimal" w:pos="1348"/>
              </w:tabs>
              <w:ind w:right="72"/>
              <w:jc w:val="left"/>
            </w:pPr>
            <w:r>
              <w:t>235,892</w:t>
            </w:r>
          </w:p>
        </w:tc>
        <w:tc>
          <w:tcPr>
            <w:tcW w:w="1274" w:type="dxa"/>
            <w:vAlign w:val="bottom"/>
          </w:tcPr>
          <w:p w:rsidR="00C02E54" w:rsidRPr="003A191D" w:rsidRDefault="00C02E54" w:rsidP="00460791">
            <w:pPr>
              <w:pStyle w:val="Tdec"/>
              <w:tabs>
                <w:tab w:val="clear" w:pos="993"/>
                <w:tab w:val="decimal" w:pos="1224"/>
              </w:tabs>
              <w:ind w:right="72"/>
              <w:jc w:val="left"/>
            </w:pPr>
            <w:r w:rsidRPr="003A191D">
              <w:t>-</w:t>
            </w:r>
          </w:p>
        </w:tc>
        <w:tc>
          <w:tcPr>
            <w:tcW w:w="1274" w:type="dxa"/>
            <w:vAlign w:val="bottom"/>
          </w:tcPr>
          <w:p w:rsidR="00C02E54" w:rsidRPr="003A191D" w:rsidRDefault="00C02E54">
            <w:pPr>
              <w:pStyle w:val="Tdec"/>
              <w:tabs>
                <w:tab w:val="clear" w:pos="993"/>
                <w:tab w:val="decimal" w:pos="1224"/>
              </w:tabs>
              <w:ind w:right="72"/>
              <w:jc w:val="left"/>
            </w:pPr>
            <w:r>
              <w:t>235,892</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rsidP="00AC5183">
            <w:pPr>
              <w:pStyle w:val="Tdec"/>
              <w:tabs>
                <w:tab w:val="clear" w:pos="993"/>
                <w:tab w:val="decimal" w:pos="1348"/>
              </w:tabs>
              <w:ind w:right="72"/>
              <w:jc w:val="right"/>
            </w:pPr>
            <w:r>
              <w:t>245,800</w:t>
            </w:r>
          </w:p>
        </w:tc>
      </w:tr>
      <w:tr w:rsidR="00C02E54" w:rsidRPr="003A191D" w:rsidTr="00460791">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r w:rsidRPr="003A191D">
              <w:rPr>
                <w:rFonts w:ascii="Times New Roman" w:hAnsi="Times New Roman"/>
                <w:b w:val="0"/>
                <w:bCs w:val="0"/>
              </w:rPr>
              <w:t>Directors’ fees and expenses</w:t>
            </w:r>
          </w:p>
        </w:tc>
        <w:tc>
          <w:tcPr>
            <w:tcW w:w="741" w:type="dxa"/>
          </w:tcPr>
          <w:p w:rsidR="00C02E54" w:rsidRPr="003A191D" w:rsidRDefault="00C02E54" w:rsidP="00460791">
            <w:pPr>
              <w:jc w:val="center"/>
              <w:rPr>
                <w:rFonts w:ascii="Times New Roman" w:hAnsi="Times New Roman"/>
                <w:sz w:val="20"/>
                <w:szCs w:val="20"/>
              </w:rPr>
            </w:pPr>
          </w:p>
        </w:tc>
        <w:tc>
          <w:tcPr>
            <w:tcW w:w="269" w:type="dxa"/>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pPr>
              <w:pStyle w:val="Tdec"/>
              <w:tabs>
                <w:tab w:val="clear" w:pos="993"/>
                <w:tab w:val="decimal" w:pos="1348"/>
              </w:tabs>
              <w:ind w:right="72"/>
              <w:jc w:val="left"/>
            </w:pPr>
            <w:r>
              <w:t>127,852</w:t>
            </w:r>
          </w:p>
        </w:tc>
        <w:tc>
          <w:tcPr>
            <w:tcW w:w="1274" w:type="dxa"/>
            <w:vAlign w:val="bottom"/>
          </w:tcPr>
          <w:p w:rsidR="00C02E54" w:rsidRPr="003A191D" w:rsidRDefault="00C02E54" w:rsidP="00460791">
            <w:pPr>
              <w:pStyle w:val="Tdec"/>
              <w:tabs>
                <w:tab w:val="clear" w:pos="993"/>
                <w:tab w:val="decimal" w:pos="1224"/>
              </w:tabs>
              <w:ind w:right="72"/>
              <w:jc w:val="left"/>
            </w:pPr>
            <w:r w:rsidRPr="003A191D">
              <w:t>-</w:t>
            </w:r>
          </w:p>
        </w:tc>
        <w:tc>
          <w:tcPr>
            <w:tcW w:w="1274" w:type="dxa"/>
            <w:vAlign w:val="bottom"/>
          </w:tcPr>
          <w:p w:rsidR="00C02E54" w:rsidRPr="003A191D" w:rsidRDefault="00C02E54">
            <w:pPr>
              <w:pStyle w:val="Tdec"/>
              <w:tabs>
                <w:tab w:val="clear" w:pos="993"/>
                <w:tab w:val="decimal" w:pos="1224"/>
              </w:tabs>
              <w:ind w:right="72"/>
              <w:jc w:val="left"/>
            </w:pPr>
            <w:r>
              <w:t>127,852</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rsidP="00AC5183">
            <w:pPr>
              <w:pStyle w:val="Tdec"/>
              <w:tabs>
                <w:tab w:val="clear" w:pos="993"/>
                <w:tab w:val="decimal" w:pos="1348"/>
              </w:tabs>
              <w:ind w:right="72"/>
              <w:jc w:val="right"/>
            </w:pPr>
            <w:r>
              <w:t>116,949</w:t>
            </w:r>
          </w:p>
        </w:tc>
      </w:tr>
      <w:tr w:rsidR="00C02E54" w:rsidRPr="003A191D" w:rsidTr="00460791">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r w:rsidRPr="003A191D">
              <w:rPr>
                <w:rFonts w:ascii="Times New Roman" w:hAnsi="Times New Roman"/>
                <w:b w:val="0"/>
                <w:bCs w:val="0"/>
              </w:rPr>
              <w:t>Legal and professional fees</w:t>
            </w:r>
          </w:p>
        </w:tc>
        <w:tc>
          <w:tcPr>
            <w:tcW w:w="741" w:type="dxa"/>
          </w:tcPr>
          <w:p w:rsidR="00C02E54" w:rsidRPr="003A191D" w:rsidRDefault="00C02E54" w:rsidP="00460791">
            <w:pPr>
              <w:jc w:val="center"/>
              <w:rPr>
                <w:rFonts w:ascii="Times New Roman" w:hAnsi="Times New Roman"/>
                <w:sz w:val="20"/>
                <w:szCs w:val="20"/>
              </w:rPr>
            </w:pPr>
          </w:p>
        </w:tc>
        <w:tc>
          <w:tcPr>
            <w:tcW w:w="269" w:type="dxa"/>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pPr>
              <w:pStyle w:val="Tdec"/>
              <w:tabs>
                <w:tab w:val="clear" w:pos="993"/>
                <w:tab w:val="decimal" w:pos="1348"/>
              </w:tabs>
              <w:ind w:right="72"/>
              <w:jc w:val="left"/>
            </w:pPr>
            <w:r>
              <w:t>29,613</w:t>
            </w:r>
          </w:p>
        </w:tc>
        <w:tc>
          <w:tcPr>
            <w:tcW w:w="1274" w:type="dxa"/>
            <w:vAlign w:val="bottom"/>
          </w:tcPr>
          <w:p w:rsidR="00C02E54" w:rsidRPr="003A191D" w:rsidRDefault="00C02E54" w:rsidP="00460791">
            <w:pPr>
              <w:pStyle w:val="Tdec"/>
              <w:tabs>
                <w:tab w:val="clear" w:pos="993"/>
                <w:tab w:val="decimal" w:pos="1224"/>
              </w:tabs>
              <w:ind w:right="72"/>
              <w:jc w:val="left"/>
            </w:pPr>
            <w:r w:rsidRPr="003A191D">
              <w:t>-</w:t>
            </w:r>
          </w:p>
        </w:tc>
        <w:tc>
          <w:tcPr>
            <w:tcW w:w="1274" w:type="dxa"/>
            <w:vAlign w:val="bottom"/>
          </w:tcPr>
          <w:p w:rsidR="00C02E54" w:rsidRPr="003A191D" w:rsidRDefault="00C02E54">
            <w:pPr>
              <w:pStyle w:val="Tdec"/>
              <w:tabs>
                <w:tab w:val="clear" w:pos="993"/>
                <w:tab w:val="decimal" w:pos="1224"/>
              </w:tabs>
              <w:ind w:right="72"/>
              <w:jc w:val="left"/>
            </w:pPr>
            <w:r>
              <w:t>29,613</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rsidP="00AC5183">
            <w:pPr>
              <w:pStyle w:val="Tdec"/>
              <w:tabs>
                <w:tab w:val="clear" w:pos="993"/>
                <w:tab w:val="decimal" w:pos="1348"/>
              </w:tabs>
              <w:ind w:right="72"/>
              <w:jc w:val="right"/>
            </w:pPr>
            <w:r>
              <w:t>620</w:t>
            </w:r>
          </w:p>
        </w:tc>
      </w:tr>
      <w:tr w:rsidR="00C02E54" w:rsidRPr="003A191D" w:rsidTr="00460791">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r w:rsidRPr="003A191D">
              <w:rPr>
                <w:rFonts w:ascii="Times New Roman" w:hAnsi="Times New Roman"/>
                <w:b w:val="0"/>
                <w:bCs w:val="0"/>
              </w:rPr>
              <w:t>Audit fees</w:t>
            </w:r>
          </w:p>
        </w:tc>
        <w:tc>
          <w:tcPr>
            <w:tcW w:w="741" w:type="dxa"/>
          </w:tcPr>
          <w:p w:rsidR="00C02E54" w:rsidRPr="003A191D" w:rsidRDefault="00C02E54" w:rsidP="00460791">
            <w:pPr>
              <w:jc w:val="center"/>
              <w:rPr>
                <w:rFonts w:ascii="Times New Roman" w:hAnsi="Times New Roman"/>
                <w:sz w:val="20"/>
                <w:szCs w:val="20"/>
              </w:rPr>
            </w:pPr>
          </w:p>
        </w:tc>
        <w:tc>
          <w:tcPr>
            <w:tcW w:w="269" w:type="dxa"/>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pPr>
              <w:pStyle w:val="Tdec"/>
              <w:tabs>
                <w:tab w:val="clear" w:pos="993"/>
                <w:tab w:val="decimal" w:pos="1348"/>
              </w:tabs>
              <w:ind w:right="72"/>
              <w:jc w:val="left"/>
            </w:pPr>
            <w:r>
              <w:t>3</w:t>
            </w:r>
            <w:r w:rsidR="00963D05">
              <w:t>0</w:t>
            </w:r>
            <w:r>
              <w:t>,</w:t>
            </w:r>
            <w:r w:rsidR="00963D05">
              <w:t>5</w:t>
            </w:r>
            <w:r>
              <w:t>00</w:t>
            </w:r>
          </w:p>
        </w:tc>
        <w:tc>
          <w:tcPr>
            <w:tcW w:w="1274" w:type="dxa"/>
            <w:vAlign w:val="bottom"/>
          </w:tcPr>
          <w:p w:rsidR="00C02E54" w:rsidRPr="003A191D" w:rsidRDefault="00C02E54" w:rsidP="00460791">
            <w:pPr>
              <w:pStyle w:val="Tdec"/>
              <w:tabs>
                <w:tab w:val="clear" w:pos="993"/>
                <w:tab w:val="decimal" w:pos="1224"/>
              </w:tabs>
              <w:ind w:right="72"/>
              <w:jc w:val="left"/>
            </w:pPr>
            <w:r w:rsidRPr="003A191D">
              <w:t>-</w:t>
            </w:r>
          </w:p>
        </w:tc>
        <w:tc>
          <w:tcPr>
            <w:tcW w:w="1274" w:type="dxa"/>
            <w:vAlign w:val="bottom"/>
          </w:tcPr>
          <w:p w:rsidR="00C02E54" w:rsidRPr="003A191D" w:rsidRDefault="00C02E54">
            <w:pPr>
              <w:pStyle w:val="Tdec"/>
              <w:tabs>
                <w:tab w:val="clear" w:pos="993"/>
                <w:tab w:val="decimal" w:pos="1224"/>
              </w:tabs>
              <w:ind w:right="72"/>
              <w:jc w:val="left"/>
            </w:pPr>
            <w:r>
              <w:t>3</w:t>
            </w:r>
            <w:r w:rsidR="00963D05">
              <w:t>0</w:t>
            </w:r>
            <w:r>
              <w:t>,</w:t>
            </w:r>
            <w:r w:rsidR="00963D05">
              <w:t>5</w:t>
            </w:r>
            <w:r>
              <w:t>00</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rsidP="00AC5183">
            <w:pPr>
              <w:pStyle w:val="Tdec"/>
              <w:tabs>
                <w:tab w:val="clear" w:pos="993"/>
                <w:tab w:val="decimal" w:pos="1348"/>
              </w:tabs>
              <w:ind w:right="72"/>
              <w:jc w:val="right"/>
            </w:pPr>
            <w:r>
              <w:t>34,074</w:t>
            </w:r>
          </w:p>
        </w:tc>
      </w:tr>
      <w:tr w:rsidR="00C02E54" w:rsidRPr="003A191D" w:rsidTr="00460791">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r w:rsidRPr="003A191D">
              <w:rPr>
                <w:rFonts w:ascii="Times New Roman" w:hAnsi="Times New Roman"/>
                <w:b w:val="0"/>
                <w:bCs w:val="0"/>
              </w:rPr>
              <w:t>Tax fees</w:t>
            </w:r>
          </w:p>
        </w:tc>
        <w:tc>
          <w:tcPr>
            <w:tcW w:w="741" w:type="dxa"/>
          </w:tcPr>
          <w:p w:rsidR="00C02E54" w:rsidRPr="003A191D" w:rsidRDefault="00C02E54" w:rsidP="00460791">
            <w:pPr>
              <w:jc w:val="center"/>
              <w:rPr>
                <w:rFonts w:ascii="Times New Roman" w:hAnsi="Times New Roman"/>
                <w:sz w:val="20"/>
                <w:szCs w:val="20"/>
              </w:rPr>
            </w:pPr>
          </w:p>
        </w:tc>
        <w:tc>
          <w:tcPr>
            <w:tcW w:w="269" w:type="dxa"/>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963D05">
            <w:pPr>
              <w:pStyle w:val="Tdec"/>
              <w:tabs>
                <w:tab w:val="clear" w:pos="993"/>
                <w:tab w:val="decimal" w:pos="1348"/>
              </w:tabs>
              <w:ind w:right="72"/>
              <w:jc w:val="left"/>
            </w:pPr>
            <w:r>
              <w:t>5,800</w:t>
            </w:r>
          </w:p>
        </w:tc>
        <w:tc>
          <w:tcPr>
            <w:tcW w:w="1274" w:type="dxa"/>
            <w:vAlign w:val="bottom"/>
          </w:tcPr>
          <w:p w:rsidR="00C02E54" w:rsidRPr="003A191D" w:rsidRDefault="00C02E54" w:rsidP="00460791">
            <w:pPr>
              <w:pStyle w:val="Tdec"/>
              <w:tabs>
                <w:tab w:val="clear" w:pos="993"/>
                <w:tab w:val="decimal" w:pos="1224"/>
              </w:tabs>
              <w:ind w:right="72"/>
              <w:jc w:val="left"/>
            </w:pPr>
            <w:r w:rsidRPr="003A191D">
              <w:t>-</w:t>
            </w:r>
          </w:p>
        </w:tc>
        <w:tc>
          <w:tcPr>
            <w:tcW w:w="1274" w:type="dxa"/>
            <w:vAlign w:val="bottom"/>
          </w:tcPr>
          <w:p w:rsidR="00C02E54" w:rsidRPr="003A191D" w:rsidRDefault="00963D05">
            <w:pPr>
              <w:pStyle w:val="Tdec"/>
              <w:tabs>
                <w:tab w:val="clear" w:pos="993"/>
                <w:tab w:val="decimal" w:pos="1224"/>
              </w:tabs>
              <w:ind w:right="72"/>
              <w:jc w:val="left"/>
            </w:pPr>
            <w:r>
              <w:t>5,800</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rsidP="00AC5183">
            <w:pPr>
              <w:pStyle w:val="Tdec"/>
              <w:tabs>
                <w:tab w:val="clear" w:pos="993"/>
                <w:tab w:val="decimal" w:pos="1348"/>
              </w:tabs>
              <w:ind w:right="72"/>
              <w:jc w:val="right"/>
            </w:pPr>
            <w:r>
              <w:t>5,800</w:t>
            </w:r>
          </w:p>
        </w:tc>
      </w:tr>
      <w:tr w:rsidR="00C02E54" w:rsidRPr="003A191D" w:rsidTr="00460791">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r w:rsidRPr="003A191D">
              <w:rPr>
                <w:rFonts w:ascii="Times New Roman" w:hAnsi="Times New Roman"/>
                <w:b w:val="0"/>
                <w:bCs w:val="0"/>
              </w:rPr>
              <w:t>Registrar’s fees</w:t>
            </w:r>
          </w:p>
        </w:tc>
        <w:tc>
          <w:tcPr>
            <w:tcW w:w="741" w:type="dxa"/>
          </w:tcPr>
          <w:p w:rsidR="00C02E54" w:rsidRPr="003A191D" w:rsidRDefault="00C02E54" w:rsidP="00460791">
            <w:pPr>
              <w:jc w:val="center"/>
              <w:rPr>
                <w:rFonts w:ascii="Times New Roman" w:hAnsi="Times New Roman"/>
                <w:sz w:val="20"/>
                <w:szCs w:val="20"/>
              </w:rPr>
            </w:pPr>
          </w:p>
        </w:tc>
        <w:tc>
          <w:tcPr>
            <w:tcW w:w="269" w:type="dxa"/>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pPr>
              <w:pStyle w:val="Tdec"/>
              <w:tabs>
                <w:tab w:val="clear" w:pos="993"/>
                <w:tab w:val="decimal" w:pos="1348"/>
              </w:tabs>
              <w:ind w:right="72"/>
              <w:jc w:val="left"/>
            </w:pPr>
            <w:r>
              <w:t>45,17</w:t>
            </w:r>
            <w:r w:rsidR="0069096F">
              <w:t>5</w:t>
            </w:r>
          </w:p>
        </w:tc>
        <w:tc>
          <w:tcPr>
            <w:tcW w:w="1274" w:type="dxa"/>
            <w:vAlign w:val="bottom"/>
          </w:tcPr>
          <w:p w:rsidR="00C02E54" w:rsidRPr="003A191D" w:rsidRDefault="00C02E54" w:rsidP="00460791">
            <w:pPr>
              <w:pStyle w:val="Tdec"/>
              <w:tabs>
                <w:tab w:val="clear" w:pos="993"/>
                <w:tab w:val="decimal" w:pos="1224"/>
              </w:tabs>
              <w:ind w:right="72"/>
              <w:jc w:val="left"/>
            </w:pPr>
            <w:r w:rsidRPr="003A191D">
              <w:t>-</w:t>
            </w:r>
          </w:p>
        </w:tc>
        <w:tc>
          <w:tcPr>
            <w:tcW w:w="1274" w:type="dxa"/>
            <w:vAlign w:val="bottom"/>
          </w:tcPr>
          <w:p w:rsidR="00C02E54" w:rsidRPr="003A191D" w:rsidRDefault="00C02E54">
            <w:pPr>
              <w:pStyle w:val="Tdec"/>
              <w:tabs>
                <w:tab w:val="clear" w:pos="993"/>
                <w:tab w:val="decimal" w:pos="1224"/>
              </w:tabs>
              <w:ind w:right="72"/>
              <w:jc w:val="left"/>
            </w:pPr>
            <w:r>
              <w:t>45,17</w:t>
            </w:r>
            <w:r w:rsidR="0069096F">
              <w:t>5</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rsidP="00AC5183">
            <w:pPr>
              <w:pStyle w:val="Tdec"/>
              <w:tabs>
                <w:tab w:val="clear" w:pos="993"/>
                <w:tab w:val="decimal" w:pos="1348"/>
              </w:tabs>
              <w:ind w:right="72"/>
              <w:jc w:val="right"/>
            </w:pPr>
            <w:r>
              <w:t>49,238</w:t>
            </w:r>
          </w:p>
        </w:tc>
      </w:tr>
      <w:tr w:rsidR="00C02E54" w:rsidRPr="003A191D" w:rsidTr="00460791">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bookmarkStart w:id="37" w:name="OLE_LINK32"/>
            <w:bookmarkStart w:id="38" w:name="OLE_LINK33"/>
            <w:r w:rsidRPr="003A191D">
              <w:rPr>
                <w:rFonts w:ascii="Times New Roman" w:hAnsi="Times New Roman"/>
                <w:b w:val="0"/>
                <w:bCs w:val="0"/>
              </w:rPr>
              <w:t>Administration and secretarial fees</w:t>
            </w:r>
            <w:bookmarkEnd w:id="37"/>
            <w:bookmarkEnd w:id="38"/>
          </w:p>
        </w:tc>
        <w:tc>
          <w:tcPr>
            <w:tcW w:w="741" w:type="dxa"/>
          </w:tcPr>
          <w:p w:rsidR="00C02E54" w:rsidRPr="003A191D" w:rsidRDefault="00C02E54" w:rsidP="00460791">
            <w:pPr>
              <w:jc w:val="center"/>
              <w:rPr>
                <w:rFonts w:ascii="Times New Roman" w:hAnsi="Times New Roman"/>
                <w:sz w:val="20"/>
                <w:szCs w:val="20"/>
              </w:rPr>
            </w:pPr>
            <w:r w:rsidRPr="003A191D">
              <w:rPr>
                <w:rFonts w:ascii="Times New Roman" w:hAnsi="Times New Roman"/>
                <w:sz w:val="20"/>
                <w:szCs w:val="20"/>
              </w:rPr>
              <w:t>2 k</w:t>
            </w:r>
          </w:p>
        </w:tc>
        <w:tc>
          <w:tcPr>
            <w:tcW w:w="269" w:type="dxa"/>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pPr>
              <w:pStyle w:val="Tdec"/>
              <w:tabs>
                <w:tab w:val="clear" w:pos="993"/>
                <w:tab w:val="decimal" w:pos="1348"/>
              </w:tabs>
              <w:ind w:right="72"/>
              <w:jc w:val="left"/>
            </w:pPr>
            <w:r>
              <w:t>117,945</w:t>
            </w:r>
          </w:p>
        </w:tc>
        <w:tc>
          <w:tcPr>
            <w:tcW w:w="1274" w:type="dxa"/>
            <w:vAlign w:val="bottom"/>
          </w:tcPr>
          <w:p w:rsidR="00C02E54" w:rsidRPr="003A191D" w:rsidRDefault="00C02E54" w:rsidP="00460791">
            <w:pPr>
              <w:pStyle w:val="Tdec"/>
              <w:tabs>
                <w:tab w:val="clear" w:pos="993"/>
                <w:tab w:val="decimal" w:pos="1224"/>
              </w:tabs>
              <w:ind w:right="72"/>
              <w:jc w:val="left"/>
            </w:pPr>
            <w:r w:rsidRPr="003A191D">
              <w:t>-</w:t>
            </w:r>
          </w:p>
        </w:tc>
        <w:tc>
          <w:tcPr>
            <w:tcW w:w="1274" w:type="dxa"/>
            <w:vAlign w:val="bottom"/>
          </w:tcPr>
          <w:p w:rsidR="00C02E54" w:rsidRPr="003A191D" w:rsidRDefault="00C02E54">
            <w:pPr>
              <w:pStyle w:val="Tdec"/>
              <w:tabs>
                <w:tab w:val="clear" w:pos="993"/>
                <w:tab w:val="decimal" w:pos="1224"/>
              </w:tabs>
              <w:ind w:right="72"/>
              <w:jc w:val="left"/>
            </w:pPr>
            <w:r>
              <w:t>117,945</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vAlign w:val="bottom"/>
          </w:tcPr>
          <w:p w:rsidR="00C02E54" w:rsidRPr="003A191D" w:rsidRDefault="00C02E54" w:rsidP="00AC5183">
            <w:pPr>
              <w:pStyle w:val="Tdec"/>
              <w:tabs>
                <w:tab w:val="clear" w:pos="993"/>
                <w:tab w:val="decimal" w:pos="1348"/>
              </w:tabs>
              <w:ind w:right="72"/>
              <w:jc w:val="right"/>
            </w:pPr>
            <w:r>
              <w:t>122,901</w:t>
            </w:r>
          </w:p>
        </w:tc>
      </w:tr>
      <w:tr w:rsidR="00C02E54" w:rsidRPr="003A191D" w:rsidTr="003B01CA">
        <w:trPr>
          <w:cantSplit/>
        </w:trPr>
        <w:tc>
          <w:tcPr>
            <w:tcW w:w="4531" w:type="dxa"/>
          </w:tcPr>
          <w:p w:rsidR="00C02E54" w:rsidRPr="003A191D" w:rsidRDefault="00C02E54" w:rsidP="00460791">
            <w:pPr>
              <w:pStyle w:val="Heading3"/>
              <w:tabs>
                <w:tab w:val="clear" w:pos="3402"/>
                <w:tab w:val="clear" w:pos="8222"/>
              </w:tabs>
              <w:rPr>
                <w:rFonts w:ascii="Times New Roman" w:hAnsi="Times New Roman"/>
                <w:b w:val="0"/>
                <w:bCs w:val="0"/>
              </w:rPr>
            </w:pPr>
            <w:r w:rsidRPr="003A191D">
              <w:rPr>
                <w:rFonts w:ascii="Times New Roman" w:hAnsi="Times New Roman"/>
                <w:b w:val="0"/>
                <w:bCs w:val="0"/>
              </w:rPr>
              <w:t>General expenses</w:t>
            </w:r>
          </w:p>
        </w:tc>
        <w:tc>
          <w:tcPr>
            <w:tcW w:w="741" w:type="dxa"/>
          </w:tcPr>
          <w:p w:rsidR="00C02E54" w:rsidRPr="003A191D" w:rsidRDefault="00C02E54" w:rsidP="00460791">
            <w:pPr>
              <w:jc w:val="center"/>
              <w:rPr>
                <w:rFonts w:ascii="Times New Roman" w:hAnsi="Times New Roman"/>
                <w:sz w:val="20"/>
                <w:szCs w:val="20"/>
              </w:rPr>
            </w:pPr>
          </w:p>
        </w:tc>
        <w:tc>
          <w:tcPr>
            <w:tcW w:w="269" w:type="dxa"/>
          </w:tcPr>
          <w:p w:rsidR="00C02E54" w:rsidRPr="003A191D" w:rsidRDefault="00C02E54" w:rsidP="00460791">
            <w:pPr>
              <w:jc w:val="right"/>
              <w:rPr>
                <w:rFonts w:ascii="Times New Roman" w:hAnsi="Times New Roman"/>
                <w:sz w:val="20"/>
                <w:szCs w:val="20"/>
              </w:rPr>
            </w:pPr>
          </w:p>
        </w:tc>
        <w:tc>
          <w:tcPr>
            <w:tcW w:w="1274" w:type="dxa"/>
            <w:tcBorders>
              <w:bottom w:val="single" w:sz="4" w:space="0" w:color="auto"/>
            </w:tcBorders>
            <w:vAlign w:val="bottom"/>
          </w:tcPr>
          <w:p w:rsidR="00C02E54" w:rsidRPr="003A191D" w:rsidRDefault="00C02E54">
            <w:pPr>
              <w:pStyle w:val="Tdec"/>
              <w:tabs>
                <w:tab w:val="clear" w:pos="993"/>
                <w:tab w:val="decimal" w:pos="1348"/>
              </w:tabs>
              <w:ind w:right="72"/>
              <w:jc w:val="left"/>
            </w:pPr>
            <w:r>
              <w:t>166,330</w:t>
            </w:r>
          </w:p>
        </w:tc>
        <w:tc>
          <w:tcPr>
            <w:tcW w:w="1274" w:type="dxa"/>
            <w:tcBorders>
              <w:bottom w:val="single" w:sz="4" w:space="0" w:color="auto"/>
            </w:tcBorders>
            <w:vAlign w:val="bottom"/>
          </w:tcPr>
          <w:p w:rsidR="00C02E54" w:rsidRPr="003A191D" w:rsidRDefault="00C02E54" w:rsidP="00460791">
            <w:pPr>
              <w:pStyle w:val="Tdec"/>
              <w:tabs>
                <w:tab w:val="clear" w:pos="993"/>
                <w:tab w:val="decimal" w:pos="1224"/>
              </w:tabs>
              <w:ind w:right="72"/>
              <w:jc w:val="left"/>
            </w:pPr>
            <w:r w:rsidRPr="003A191D">
              <w:t>-</w:t>
            </w:r>
          </w:p>
        </w:tc>
        <w:tc>
          <w:tcPr>
            <w:tcW w:w="1274" w:type="dxa"/>
            <w:tcBorders>
              <w:bottom w:val="single" w:sz="4" w:space="0" w:color="auto"/>
            </w:tcBorders>
            <w:vAlign w:val="bottom"/>
          </w:tcPr>
          <w:p w:rsidR="00C02E54" w:rsidRPr="003A191D" w:rsidRDefault="00C02E54">
            <w:pPr>
              <w:pStyle w:val="Tdec"/>
              <w:tabs>
                <w:tab w:val="clear" w:pos="993"/>
                <w:tab w:val="decimal" w:pos="1224"/>
              </w:tabs>
              <w:ind w:right="72"/>
              <w:jc w:val="left"/>
            </w:pPr>
            <w:r>
              <w:t>166,330</w:t>
            </w:r>
          </w:p>
        </w:tc>
        <w:tc>
          <w:tcPr>
            <w:tcW w:w="269" w:type="dxa"/>
            <w:vAlign w:val="bottom"/>
          </w:tcPr>
          <w:p w:rsidR="00C02E54" w:rsidRPr="003A191D" w:rsidRDefault="00C02E54" w:rsidP="00460791">
            <w:pPr>
              <w:jc w:val="right"/>
              <w:rPr>
                <w:rFonts w:ascii="Times New Roman" w:hAnsi="Times New Roman"/>
                <w:sz w:val="20"/>
                <w:szCs w:val="20"/>
              </w:rPr>
            </w:pPr>
          </w:p>
        </w:tc>
        <w:tc>
          <w:tcPr>
            <w:tcW w:w="1274" w:type="dxa"/>
            <w:tcBorders>
              <w:bottom w:val="single" w:sz="4" w:space="0" w:color="auto"/>
            </w:tcBorders>
            <w:vAlign w:val="bottom"/>
          </w:tcPr>
          <w:p w:rsidR="00C02E54" w:rsidRPr="003A191D" w:rsidRDefault="00C02E54" w:rsidP="00AC5183">
            <w:pPr>
              <w:pStyle w:val="Tdec"/>
              <w:tabs>
                <w:tab w:val="clear" w:pos="993"/>
                <w:tab w:val="decimal" w:pos="1348"/>
              </w:tabs>
              <w:ind w:right="72"/>
              <w:jc w:val="right"/>
            </w:pPr>
            <w:r>
              <w:t>76,384</w:t>
            </w:r>
          </w:p>
        </w:tc>
      </w:tr>
      <w:tr w:rsidR="00C84D94" w:rsidRPr="003A191D" w:rsidTr="003B01CA">
        <w:trPr>
          <w:cantSplit/>
        </w:trPr>
        <w:tc>
          <w:tcPr>
            <w:tcW w:w="4531" w:type="dxa"/>
          </w:tcPr>
          <w:p w:rsidR="00C84D94" w:rsidRPr="003A191D" w:rsidRDefault="00C84D94" w:rsidP="00460791">
            <w:pPr>
              <w:pStyle w:val="Heading3"/>
              <w:tabs>
                <w:tab w:val="clear" w:pos="3402"/>
                <w:tab w:val="clear" w:pos="8222"/>
              </w:tabs>
              <w:rPr>
                <w:rFonts w:ascii="Times New Roman" w:hAnsi="Times New Roman"/>
                <w:b w:val="0"/>
                <w:bCs w:val="0"/>
              </w:rPr>
            </w:pPr>
            <w:r w:rsidRPr="003A191D">
              <w:rPr>
                <w:rFonts w:ascii="Times New Roman" w:hAnsi="Times New Roman"/>
                <w:szCs w:val="20"/>
              </w:rPr>
              <w:t>Operating expenses</w:t>
            </w: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tcBorders>
              <w:top w:val="single" w:sz="4" w:space="0" w:color="auto"/>
              <w:bottom w:val="single" w:sz="4" w:space="0" w:color="auto"/>
            </w:tcBorders>
            <w:vAlign w:val="bottom"/>
          </w:tcPr>
          <w:p w:rsidR="00C84D94" w:rsidRPr="003A191D" w:rsidRDefault="00C84D94">
            <w:pPr>
              <w:pStyle w:val="Tdec"/>
              <w:tabs>
                <w:tab w:val="clear" w:pos="993"/>
                <w:tab w:val="decimal" w:pos="1348"/>
              </w:tabs>
              <w:ind w:right="72"/>
              <w:jc w:val="left"/>
            </w:pPr>
            <w:r>
              <w:t>1,10</w:t>
            </w:r>
            <w:r w:rsidR="00C02E54">
              <w:t>2</w:t>
            </w:r>
            <w:r>
              <w:t>,</w:t>
            </w:r>
            <w:r w:rsidR="00C02E54">
              <w:t>681</w:t>
            </w:r>
          </w:p>
        </w:tc>
        <w:tc>
          <w:tcPr>
            <w:tcW w:w="1274" w:type="dxa"/>
            <w:tcBorders>
              <w:top w:val="single" w:sz="4" w:space="0" w:color="auto"/>
              <w:bottom w:val="single" w:sz="4" w:space="0" w:color="auto"/>
            </w:tcBorders>
            <w:vAlign w:val="bottom"/>
          </w:tcPr>
          <w:p w:rsidR="00C84D94" w:rsidRPr="003A191D" w:rsidRDefault="00C02E54">
            <w:pPr>
              <w:pStyle w:val="Tdec"/>
              <w:tabs>
                <w:tab w:val="clear" w:pos="993"/>
                <w:tab w:val="decimal" w:pos="1224"/>
              </w:tabs>
              <w:ind w:right="72"/>
              <w:jc w:val="left"/>
            </w:pPr>
            <w:r>
              <w:t>495</w:t>
            </w:r>
            <w:r w:rsidR="00C84D94">
              <w:t>,</w:t>
            </w:r>
            <w:r>
              <w:t>369</w:t>
            </w:r>
          </w:p>
        </w:tc>
        <w:tc>
          <w:tcPr>
            <w:tcW w:w="1274" w:type="dxa"/>
            <w:tcBorders>
              <w:top w:val="single" w:sz="4" w:space="0" w:color="auto"/>
              <w:bottom w:val="single" w:sz="4" w:space="0" w:color="auto"/>
            </w:tcBorders>
            <w:vAlign w:val="bottom"/>
          </w:tcPr>
          <w:p w:rsidR="00C84D94" w:rsidRPr="003A191D" w:rsidRDefault="00C84D94">
            <w:pPr>
              <w:pStyle w:val="Tdec"/>
              <w:tabs>
                <w:tab w:val="clear" w:pos="993"/>
                <w:tab w:val="decimal" w:pos="1224"/>
              </w:tabs>
              <w:ind w:right="72"/>
              <w:jc w:val="left"/>
            </w:pPr>
            <w:r>
              <w:t>1,5</w:t>
            </w:r>
            <w:r w:rsidR="00C02E54">
              <w:t>98</w:t>
            </w:r>
            <w:r>
              <w:t>,</w:t>
            </w:r>
            <w:r w:rsidR="00C02E54">
              <w:t>050</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top w:val="single" w:sz="4" w:space="0" w:color="auto"/>
              <w:bottom w:val="single" w:sz="4" w:space="0" w:color="auto"/>
            </w:tcBorders>
            <w:vAlign w:val="bottom"/>
          </w:tcPr>
          <w:p w:rsidR="00C84D94" w:rsidRPr="003A191D" w:rsidRDefault="00C84D94" w:rsidP="003B01CA">
            <w:pPr>
              <w:pStyle w:val="Tdec"/>
              <w:tabs>
                <w:tab w:val="clear" w:pos="993"/>
                <w:tab w:val="decimal" w:pos="1348"/>
              </w:tabs>
              <w:ind w:right="72"/>
              <w:jc w:val="left"/>
            </w:pPr>
            <w:r>
              <w:t>1,526,972</w:t>
            </w:r>
          </w:p>
        </w:tc>
      </w:tr>
      <w:bookmarkEnd w:id="35"/>
      <w:tr w:rsidR="00C84D94" w:rsidRPr="003A191D" w:rsidTr="003B01CA">
        <w:trPr>
          <w:cantSplit/>
        </w:trPr>
        <w:tc>
          <w:tcPr>
            <w:tcW w:w="4531" w:type="dxa"/>
          </w:tcPr>
          <w:p w:rsidR="00C84D94" w:rsidRPr="003A191D" w:rsidRDefault="00C84D94" w:rsidP="00460791">
            <w:pPr>
              <w:pStyle w:val="Heading3"/>
              <w:tabs>
                <w:tab w:val="clear" w:pos="3402"/>
                <w:tab w:val="clear" w:pos="8222"/>
              </w:tabs>
              <w:rPr>
                <w:rFonts w:ascii="Times New Roman" w:hAnsi="Times New Roman"/>
                <w:szCs w:val="20"/>
              </w:rPr>
            </w:pP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tcBorders>
              <w:top w:val="single" w:sz="4" w:space="0" w:color="auto"/>
            </w:tcBorders>
            <w:vAlign w:val="bottom"/>
          </w:tcPr>
          <w:p w:rsidR="00C84D94" w:rsidRPr="003A191D" w:rsidRDefault="00C84D94" w:rsidP="007A254B">
            <w:pPr>
              <w:pStyle w:val="Tdec"/>
              <w:tabs>
                <w:tab w:val="clear" w:pos="993"/>
                <w:tab w:val="decimal" w:pos="1348"/>
              </w:tabs>
              <w:ind w:right="72"/>
              <w:jc w:val="left"/>
            </w:pPr>
          </w:p>
        </w:tc>
        <w:tc>
          <w:tcPr>
            <w:tcW w:w="1274" w:type="dxa"/>
            <w:tcBorders>
              <w:top w:val="single" w:sz="4" w:space="0" w:color="auto"/>
            </w:tcBorders>
            <w:vAlign w:val="bottom"/>
          </w:tcPr>
          <w:p w:rsidR="00C84D94" w:rsidRPr="003A191D" w:rsidRDefault="00C84D94" w:rsidP="001C542E">
            <w:pPr>
              <w:pStyle w:val="Tdec"/>
              <w:tabs>
                <w:tab w:val="clear" w:pos="993"/>
                <w:tab w:val="decimal" w:pos="1224"/>
              </w:tabs>
              <w:ind w:right="72"/>
              <w:jc w:val="left"/>
            </w:pPr>
          </w:p>
        </w:tc>
        <w:tc>
          <w:tcPr>
            <w:tcW w:w="1274" w:type="dxa"/>
            <w:tcBorders>
              <w:top w:val="single" w:sz="4" w:space="0" w:color="auto"/>
            </w:tcBorders>
            <w:vAlign w:val="bottom"/>
          </w:tcPr>
          <w:p w:rsidR="00C84D94" w:rsidRPr="003A191D" w:rsidRDefault="00C84D94" w:rsidP="003B01CA">
            <w:pPr>
              <w:pStyle w:val="Tdec"/>
              <w:tabs>
                <w:tab w:val="clear" w:pos="993"/>
                <w:tab w:val="decimal" w:pos="1224"/>
              </w:tabs>
              <w:ind w:right="72"/>
              <w:jc w:val="left"/>
            </w:pP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top w:val="single" w:sz="4" w:space="0" w:color="auto"/>
            </w:tcBorders>
            <w:vAlign w:val="bottom"/>
          </w:tcPr>
          <w:p w:rsidR="00C84D94" w:rsidRPr="003A191D" w:rsidRDefault="00C84D94" w:rsidP="003B01CA">
            <w:pPr>
              <w:pStyle w:val="Tdec"/>
              <w:tabs>
                <w:tab w:val="clear" w:pos="993"/>
                <w:tab w:val="decimal" w:pos="1348"/>
              </w:tabs>
              <w:ind w:right="72"/>
              <w:jc w:val="left"/>
            </w:pPr>
          </w:p>
        </w:tc>
      </w:tr>
      <w:tr w:rsidR="00C84D94" w:rsidRPr="003A191D" w:rsidTr="003B01CA">
        <w:trPr>
          <w:cantSplit/>
        </w:trPr>
        <w:tc>
          <w:tcPr>
            <w:tcW w:w="4531" w:type="dxa"/>
          </w:tcPr>
          <w:p w:rsidR="00C84D94" w:rsidRPr="003A191D" w:rsidRDefault="00C84D94">
            <w:pPr>
              <w:pStyle w:val="Heading3"/>
              <w:tabs>
                <w:tab w:val="clear" w:pos="3402"/>
                <w:tab w:val="clear" w:pos="8222"/>
              </w:tabs>
              <w:rPr>
                <w:rFonts w:ascii="Times New Roman" w:hAnsi="Times New Roman"/>
                <w:szCs w:val="20"/>
              </w:rPr>
            </w:pPr>
            <w:r w:rsidRPr="003A191D">
              <w:rPr>
                <w:rFonts w:ascii="Times New Roman" w:hAnsi="Times New Roman"/>
                <w:szCs w:val="20"/>
              </w:rPr>
              <w:t xml:space="preserve">Net operating </w:t>
            </w:r>
            <w:r w:rsidR="009278EC">
              <w:rPr>
                <w:rFonts w:ascii="Times New Roman" w:hAnsi="Times New Roman"/>
                <w:szCs w:val="20"/>
              </w:rPr>
              <w:t>(loss)/profit</w:t>
            </w:r>
            <w:r w:rsidRPr="003A191D">
              <w:rPr>
                <w:rFonts w:ascii="Times New Roman" w:hAnsi="Times New Roman"/>
                <w:szCs w:val="20"/>
              </w:rPr>
              <w:t xml:space="preserve"> before finance costs</w:t>
            </w: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02E54">
            <w:pPr>
              <w:pStyle w:val="Tdec"/>
              <w:tabs>
                <w:tab w:val="clear" w:pos="993"/>
                <w:tab w:val="decimal" w:pos="1348"/>
              </w:tabs>
              <w:ind w:right="72"/>
              <w:jc w:val="left"/>
            </w:pPr>
            <w:r>
              <w:t>6</w:t>
            </w:r>
            <w:r w:rsidR="00C84D94">
              <w:t>,</w:t>
            </w:r>
            <w:r>
              <w:t>6</w:t>
            </w:r>
            <w:r w:rsidR="00D83D2E">
              <w:t>20</w:t>
            </w:r>
            <w:r w:rsidR="00C84D94">
              <w:t>,</w:t>
            </w:r>
            <w:r w:rsidR="00D83D2E">
              <w:t>868</w:t>
            </w:r>
          </w:p>
        </w:tc>
        <w:tc>
          <w:tcPr>
            <w:tcW w:w="1274" w:type="dxa"/>
            <w:vAlign w:val="bottom"/>
          </w:tcPr>
          <w:p w:rsidR="00C84D94" w:rsidRPr="003A191D" w:rsidRDefault="00C84D94">
            <w:pPr>
              <w:pStyle w:val="Tdec"/>
              <w:tabs>
                <w:tab w:val="clear" w:pos="993"/>
                <w:tab w:val="decimal" w:pos="1224"/>
              </w:tabs>
              <w:ind w:right="72"/>
              <w:jc w:val="left"/>
            </w:pPr>
            <w:r>
              <w:t>(</w:t>
            </w:r>
            <w:r w:rsidR="00C02E54">
              <w:t>19</w:t>
            </w:r>
            <w:r>
              <w:t>,</w:t>
            </w:r>
            <w:r w:rsidR="00D83D2E">
              <w:t>480</w:t>
            </w:r>
            <w:r>
              <w:t>,</w:t>
            </w:r>
            <w:r w:rsidR="00D83D2E">
              <w:t>221</w:t>
            </w:r>
            <w:r>
              <w:t>)</w:t>
            </w:r>
          </w:p>
        </w:tc>
        <w:tc>
          <w:tcPr>
            <w:tcW w:w="1274" w:type="dxa"/>
            <w:vAlign w:val="bottom"/>
          </w:tcPr>
          <w:p w:rsidR="00C84D94" w:rsidRPr="003A191D" w:rsidRDefault="00C02E54">
            <w:pPr>
              <w:pStyle w:val="Tdec"/>
              <w:tabs>
                <w:tab w:val="clear" w:pos="993"/>
                <w:tab w:val="decimal" w:pos="1058"/>
              </w:tabs>
              <w:ind w:right="-67"/>
              <w:jc w:val="left"/>
            </w:pPr>
            <w:r>
              <w:t>(12</w:t>
            </w:r>
            <w:r w:rsidR="00C84D94">
              <w:t>,</w:t>
            </w:r>
            <w:r>
              <w:t>859</w:t>
            </w:r>
            <w:r w:rsidR="00C84D94">
              <w:t>,</w:t>
            </w:r>
            <w:r>
              <w:t>353)</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rsidP="003B01CA">
            <w:pPr>
              <w:pStyle w:val="Tdec"/>
              <w:tabs>
                <w:tab w:val="clear" w:pos="993"/>
                <w:tab w:val="decimal" w:pos="1058"/>
              </w:tabs>
              <w:ind w:right="-67"/>
              <w:jc w:val="left"/>
            </w:pPr>
            <w:r>
              <w:t>3,026,234</w:t>
            </w:r>
          </w:p>
        </w:tc>
      </w:tr>
      <w:tr w:rsidR="00C84D94" w:rsidRPr="003A191D" w:rsidTr="003B01CA">
        <w:trPr>
          <w:cantSplit/>
        </w:trPr>
        <w:tc>
          <w:tcPr>
            <w:tcW w:w="4531" w:type="dxa"/>
          </w:tcPr>
          <w:p w:rsidR="00C84D94" w:rsidRPr="003A191D" w:rsidRDefault="00C84D94" w:rsidP="002023BC">
            <w:pPr>
              <w:pStyle w:val="Heading3"/>
              <w:tabs>
                <w:tab w:val="clear" w:pos="3402"/>
                <w:tab w:val="clear" w:pos="8222"/>
              </w:tabs>
              <w:rPr>
                <w:rFonts w:ascii="Times New Roman" w:hAnsi="Times New Roman"/>
                <w:szCs w:val="20"/>
              </w:rPr>
            </w:pPr>
            <w:r w:rsidRPr="003A191D">
              <w:rPr>
                <w:rFonts w:ascii="Times New Roman" w:hAnsi="Times New Roman"/>
                <w:b w:val="0"/>
                <w:bCs w:val="0"/>
                <w:szCs w:val="20"/>
              </w:rPr>
              <w:t>Finance cost</w:t>
            </w:r>
            <w:r>
              <w:rPr>
                <w:rFonts w:ascii="Times New Roman" w:hAnsi="Times New Roman"/>
                <w:b w:val="0"/>
                <w:bCs w:val="0"/>
                <w:szCs w:val="20"/>
              </w:rPr>
              <w:t>s</w:t>
            </w:r>
          </w:p>
        </w:tc>
        <w:tc>
          <w:tcPr>
            <w:tcW w:w="741" w:type="dxa"/>
          </w:tcPr>
          <w:p w:rsidR="00C84D94" w:rsidRPr="003A191D" w:rsidRDefault="00C84D94" w:rsidP="00460791">
            <w:pPr>
              <w:jc w:val="center"/>
              <w:rPr>
                <w:rFonts w:ascii="Times New Roman" w:hAnsi="Times New Roman"/>
                <w:sz w:val="20"/>
                <w:szCs w:val="20"/>
              </w:rPr>
            </w:pPr>
            <w:r>
              <w:rPr>
                <w:rFonts w:ascii="Times New Roman" w:hAnsi="Times New Roman"/>
                <w:sz w:val="20"/>
                <w:szCs w:val="20"/>
              </w:rPr>
              <w:t>2 r</w:t>
            </w:r>
          </w:p>
        </w:tc>
        <w:tc>
          <w:tcPr>
            <w:tcW w:w="269" w:type="dxa"/>
          </w:tcPr>
          <w:p w:rsidR="00C84D94" w:rsidRPr="003A191D" w:rsidRDefault="00C84D94" w:rsidP="00460791">
            <w:pPr>
              <w:jc w:val="right"/>
              <w:rPr>
                <w:rFonts w:ascii="Times New Roman" w:hAnsi="Times New Roman"/>
                <w:sz w:val="20"/>
                <w:szCs w:val="20"/>
              </w:rPr>
            </w:pPr>
          </w:p>
        </w:tc>
        <w:tc>
          <w:tcPr>
            <w:tcW w:w="1274" w:type="dxa"/>
            <w:tcBorders>
              <w:bottom w:val="single" w:sz="4" w:space="0" w:color="auto"/>
            </w:tcBorders>
            <w:vAlign w:val="bottom"/>
          </w:tcPr>
          <w:p w:rsidR="00C84D94" w:rsidRPr="003A191D" w:rsidRDefault="00C84D94">
            <w:pPr>
              <w:pStyle w:val="Tdec"/>
              <w:tabs>
                <w:tab w:val="clear" w:pos="993"/>
                <w:tab w:val="decimal" w:pos="1348"/>
              </w:tabs>
              <w:ind w:right="72"/>
              <w:jc w:val="left"/>
            </w:pPr>
            <w:r>
              <w:t>(2</w:t>
            </w:r>
            <w:r w:rsidR="00C02E54">
              <w:t>89</w:t>
            </w:r>
            <w:r>
              <w:t>,</w:t>
            </w:r>
            <w:r w:rsidR="00C02E54">
              <w:t>411</w:t>
            </w:r>
            <w:r>
              <w:t>)</w:t>
            </w:r>
          </w:p>
        </w:tc>
        <w:tc>
          <w:tcPr>
            <w:tcW w:w="1274" w:type="dxa"/>
            <w:tcBorders>
              <w:bottom w:val="single" w:sz="4" w:space="0" w:color="auto"/>
            </w:tcBorders>
            <w:vAlign w:val="bottom"/>
          </w:tcPr>
          <w:p w:rsidR="00C84D94" w:rsidRPr="003A191D" w:rsidRDefault="00C84D94">
            <w:pPr>
              <w:pStyle w:val="Tdec"/>
              <w:tabs>
                <w:tab w:val="clear" w:pos="993"/>
                <w:tab w:val="decimal" w:pos="1224"/>
              </w:tabs>
              <w:ind w:right="72"/>
              <w:jc w:val="left"/>
            </w:pPr>
            <w:r>
              <w:t>(</w:t>
            </w:r>
            <w:r w:rsidR="00C02E54">
              <w:t>434</w:t>
            </w:r>
            <w:r>
              <w:t>,</w:t>
            </w:r>
            <w:r w:rsidR="00C02E54">
              <w:t>116</w:t>
            </w:r>
            <w:r>
              <w:t>)</w:t>
            </w:r>
          </w:p>
        </w:tc>
        <w:tc>
          <w:tcPr>
            <w:tcW w:w="1274" w:type="dxa"/>
            <w:tcBorders>
              <w:bottom w:val="single" w:sz="4" w:space="0" w:color="auto"/>
            </w:tcBorders>
            <w:vAlign w:val="bottom"/>
          </w:tcPr>
          <w:p w:rsidR="00C84D94" w:rsidRPr="003A191D" w:rsidRDefault="00C84D94">
            <w:pPr>
              <w:pStyle w:val="Tdec"/>
              <w:tabs>
                <w:tab w:val="clear" w:pos="993"/>
                <w:tab w:val="decimal" w:pos="1058"/>
              </w:tabs>
              <w:ind w:right="-67"/>
              <w:jc w:val="left"/>
            </w:pPr>
            <w:r>
              <w:t>(</w:t>
            </w:r>
            <w:r w:rsidR="00C02E54">
              <w:t>723</w:t>
            </w:r>
            <w:r>
              <w:t>,</w:t>
            </w:r>
            <w:r w:rsidR="00C02E54">
              <w:t>527</w:t>
            </w:r>
            <w:r>
              <w:t>)</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bottom w:val="single" w:sz="4" w:space="0" w:color="auto"/>
            </w:tcBorders>
            <w:vAlign w:val="bottom"/>
          </w:tcPr>
          <w:p w:rsidR="00C84D94" w:rsidRPr="003A191D" w:rsidRDefault="00C84D94" w:rsidP="003B01CA">
            <w:pPr>
              <w:pStyle w:val="Tdec"/>
              <w:tabs>
                <w:tab w:val="clear" w:pos="993"/>
                <w:tab w:val="decimal" w:pos="1058"/>
              </w:tabs>
              <w:ind w:right="-67"/>
              <w:jc w:val="left"/>
            </w:pPr>
            <w:r>
              <w:t>(580,338)</w:t>
            </w:r>
          </w:p>
        </w:tc>
      </w:tr>
      <w:tr w:rsidR="00C84D94" w:rsidRPr="003A191D" w:rsidTr="003B01CA">
        <w:trPr>
          <w:cantSplit/>
        </w:trPr>
        <w:tc>
          <w:tcPr>
            <w:tcW w:w="4531" w:type="dxa"/>
          </w:tcPr>
          <w:p w:rsidR="00C84D94" w:rsidRPr="003A191D" w:rsidRDefault="00C84D94" w:rsidP="00460791">
            <w:pPr>
              <w:pStyle w:val="Heading3"/>
              <w:tabs>
                <w:tab w:val="clear" w:pos="3402"/>
                <w:tab w:val="clear" w:pos="8222"/>
              </w:tabs>
              <w:rPr>
                <w:rFonts w:ascii="Times New Roman" w:hAnsi="Times New Roman"/>
                <w:b w:val="0"/>
                <w:bCs w:val="0"/>
                <w:szCs w:val="20"/>
              </w:rPr>
            </w:pP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tcBorders>
              <w:top w:val="single" w:sz="4" w:space="0" w:color="auto"/>
            </w:tcBorders>
            <w:vAlign w:val="bottom"/>
          </w:tcPr>
          <w:p w:rsidR="00C84D94" w:rsidRPr="003A191D" w:rsidRDefault="00C84D94" w:rsidP="0044672E">
            <w:pPr>
              <w:pStyle w:val="Tdec"/>
              <w:tabs>
                <w:tab w:val="clear" w:pos="993"/>
                <w:tab w:val="decimal" w:pos="1348"/>
              </w:tabs>
              <w:ind w:right="72"/>
              <w:jc w:val="left"/>
            </w:pPr>
          </w:p>
        </w:tc>
        <w:tc>
          <w:tcPr>
            <w:tcW w:w="1274" w:type="dxa"/>
            <w:tcBorders>
              <w:top w:val="single" w:sz="4" w:space="0" w:color="auto"/>
            </w:tcBorders>
            <w:vAlign w:val="bottom"/>
          </w:tcPr>
          <w:p w:rsidR="00C84D94" w:rsidRPr="003A191D" w:rsidRDefault="00C84D94" w:rsidP="0044672E">
            <w:pPr>
              <w:pStyle w:val="Tdec"/>
              <w:tabs>
                <w:tab w:val="clear" w:pos="993"/>
                <w:tab w:val="decimal" w:pos="1224"/>
              </w:tabs>
              <w:ind w:right="72"/>
              <w:jc w:val="left"/>
            </w:pPr>
          </w:p>
        </w:tc>
        <w:tc>
          <w:tcPr>
            <w:tcW w:w="1274" w:type="dxa"/>
            <w:tcBorders>
              <w:top w:val="single" w:sz="4" w:space="0" w:color="auto"/>
            </w:tcBorders>
            <w:vAlign w:val="bottom"/>
          </w:tcPr>
          <w:p w:rsidR="00C84D94" w:rsidRPr="003A191D" w:rsidRDefault="00C84D94" w:rsidP="001F7130">
            <w:pPr>
              <w:pStyle w:val="Tdec"/>
              <w:tabs>
                <w:tab w:val="clear" w:pos="993"/>
                <w:tab w:val="decimal" w:pos="1058"/>
              </w:tabs>
              <w:ind w:right="-67"/>
              <w:jc w:val="left"/>
            </w:pP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top w:val="single" w:sz="4" w:space="0" w:color="auto"/>
            </w:tcBorders>
            <w:vAlign w:val="bottom"/>
          </w:tcPr>
          <w:p w:rsidR="00C84D94" w:rsidRPr="003A191D" w:rsidRDefault="00C84D94" w:rsidP="003B01CA">
            <w:pPr>
              <w:pStyle w:val="Tdec"/>
              <w:tabs>
                <w:tab w:val="clear" w:pos="993"/>
                <w:tab w:val="decimal" w:pos="1058"/>
              </w:tabs>
              <w:ind w:right="-67"/>
              <w:jc w:val="left"/>
            </w:pPr>
          </w:p>
        </w:tc>
      </w:tr>
      <w:tr w:rsidR="00C84D94" w:rsidRPr="003A191D" w:rsidTr="003B01CA">
        <w:trPr>
          <w:cantSplit/>
        </w:trPr>
        <w:tc>
          <w:tcPr>
            <w:tcW w:w="4531" w:type="dxa"/>
          </w:tcPr>
          <w:p w:rsidR="00C84D94" w:rsidRPr="003A191D" w:rsidRDefault="00BB783A">
            <w:pPr>
              <w:pStyle w:val="Heading3"/>
              <w:tabs>
                <w:tab w:val="clear" w:pos="3402"/>
                <w:tab w:val="clear" w:pos="8222"/>
              </w:tabs>
              <w:rPr>
                <w:rFonts w:ascii="Times New Roman" w:hAnsi="Times New Roman"/>
                <w:szCs w:val="20"/>
              </w:rPr>
            </w:pPr>
            <w:r>
              <w:rPr>
                <w:rFonts w:ascii="Times New Roman" w:hAnsi="Times New Roman"/>
                <w:szCs w:val="20"/>
              </w:rPr>
              <w:t>(Loss)/p</w:t>
            </w:r>
            <w:r w:rsidR="00C84D94">
              <w:rPr>
                <w:rFonts w:ascii="Times New Roman" w:hAnsi="Times New Roman"/>
                <w:szCs w:val="20"/>
              </w:rPr>
              <w:t xml:space="preserve">rofit </w:t>
            </w:r>
            <w:r w:rsidR="00C84D94" w:rsidRPr="003A191D">
              <w:rPr>
                <w:rFonts w:ascii="Times New Roman" w:hAnsi="Times New Roman"/>
                <w:szCs w:val="20"/>
              </w:rPr>
              <w:t>before tax</w:t>
            </w: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pPr>
              <w:pStyle w:val="Tdec"/>
              <w:tabs>
                <w:tab w:val="clear" w:pos="993"/>
                <w:tab w:val="decimal" w:pos="1348"/>
              </w:tabs>
              <w:ind w:right="72"/>
              <w:jc w:val="left"/>
            </w:pPr>
            <w:r>
              <w:t>6,</w:t>
            </w:r>
            <w:r w:rsidR="00D83D2E">
              <w:t>331</w:t>
            </w:r>
            <w:r>
              <w:t>,</w:t>
            </w:r>
            <w:r w:rsidR="00D83D2E">
              <w:t>457</w:t>
            </w:r>
          </w:p>
        </w:tc>
        <w:tc>
          <w:tcPr>
            <w:tcW w:w="1274" w:type="dxa"/>
            <w:vAlign w:val="bottom"/>
          </w:tcPr>
          <w:p w:rsidR="00C84D94" w:rsidRPr="003A191D" w:rsidRDefault="00C84D94">
            <w:pPr>
              <w:pStyle w:val="Tdec"/>
              <w:tabs>
                <w:tab w:val="clear" w:pos="993"/>
                <w:tab w:val="decimal" w:pos="1224"/>
              </w:tabs>
              <w:ind w:right="72"/>
              <w:jc w:val="left"/>
            </w:pPr>
            <w:r>
              <w:t>(</w:t>
            </w:r>
            <w:r w:rsidR="00C02E54">
              <w:t>19</w:t>
            </w:r>
            <w:r>
              <w:t>,</w:t>
            </w:r>
            <w:r w:rsidR="00C02E54">
              <w:t>9</w:t>
            </w:r>
            <w:r w:rsidR="00D83D2E">
              <w:t>14</w:t>
            </w:r>
            <w:r>
              <w:t>,</w:t>
            </w:r>
            <w:r w:rsidR="00D83D2E">
              <w:t>337</w:t>
            </w:r>
            <w:r>
              <w:t>)</w:t>
            </w:r>
          </w:p>
        </w:tc>
        <w:tc>
          <w:tcPr>
            <w:tcW w:w="1274" w:type="dxa"/>
            <w:vAlign w:val="bottom"/>
          </w:tcPr>
          <w:p w:rsidR="00C84D94" w:rsidRPr="003A191D" w:rsidRDefault="00C02E54">
            <w:pPr>
              <w:pStyle w:val="Tdec"/>
              <w:tabs>
                <w:tab w:val="clear" w:pos="993"/>
                <w:tab w:val="decimal" w:pos="1058"/>
              </w:tabs>
              <w:ind w:right="-67"/>
              <w:jc w:val="left"/>
            </w:pPr>
            <w:r>
              <w:t>(13</w:t>
            </w:r>
            <w:r w:rsidR="00C84D94">
              <w:t>,</w:t>
            </w:r>
            <w:r>
              <w:t>582</w:t>
            </w:r>
            <w:r w:rsidR="00C84D94">
              <w:t>,</w:t>
            </w:r>
            <w:r>
              <w:t>880)</w:t>
            </w:r>
          </w:p>
        </w:tc>
        <w:tc>
          <w:tcPr>
            <w:tcW w:w="269" w:type="dxa"/>
            <w:vAlign w:val="bottom"/>
          </w:tcPr>
          <w:p w:rsidR="00C84D94" w:rsidRPr="003A191D" w:rsidRDefault="00C84D94" w:rsidP="003C5D38">
            <w:pPr>
              <w:jc w:val="right"/>
              <w:rPr>
                <w:rFonts w:ascii="Times New Roman" w:hAnsi="Times New Roman"/>
                <w:sz w:val="20"/>
                <w:szCs w:val="20"/>
                <w:lang w:eastAsia="en-GB"/>
              </w:rPr>
            </w:pPr>
          </w:p>
        </w:tc>
        <w:tc>
          <w:tcPr>
            <w:tcW w:w="1274" w:type="dxa"/>
            <w:vAlign w:val="bottom"/>
          </w:tcPr>
          <w:p w:rsidR="00C84D94" w:rsidRPr="003A191D" w:rsidRDefault="00C84D94" w:rsidP="003B01CA">
            <w:pPr>
              <w:pStyle w:val="Tdec"/>
              <w:tabs>
                <w:tab w:val="clear" w:pos="993"/>
                <w:tab w:val="decimal" w:pos="1058"/>
              </w:tabs>
              <w:ind w:right="-67"/>
              <w:jc w:val="left"/>
            </w:pPr>
            <w:r>
              <w:t>2,445,896</w:t>
            </w:r>
          </w:p>
        </w:tc>
      </w:tr>
      <w:tr w:rsidR="00C84D94" w:rsidRPr="003A191D" w:rsidTr="00460791">
        <w:trPr>
          <w:cantSplit/>
        </w:trPr>
        <w:tc>
          <w:tcPr>
            <w:tcW w:w="4531" w:type="dxa"/>
          </w:tcPr>
          <w:p w:rsidR="00C84D94" w:rsidRPr="003A191D" w:rsidRDefault="00C84D94" w:rsidP="00EB18F7">
            <w:pPr>
              <w:pStyle w:val="Heading3"/>
              <w:tabs>
                <w:tab w:val="clear" w:pos="3402"/>
                <w:tab w:val="clear" w:pos="8222"/>
              </w:tabs>
              <w:rPr>
                <w:rFonts w:ascii="Times New Roman" w:hAnsi="Times New Roman"/>
                <w:szCs w:val="20"/>
              </w:rPr>
            </w:pPr>
            <w:r w:rsidRPr="003A191D">
              <w:rPr>
                <w:rFonts w:ascii="Times New Roman" w:hAnsi="Times New Roman"/>
                <w:b w:val="0"/>
                <w:szCs w:val="20"/>
              </w:rPr>
              <w:t>Withholding tax expense</w:t>
            </w:r>
          </w:p>
        </w:tc>
        <w:tc>
          <w:tcPr>
            <w:tcW w:w="741" w:type="dxa"/>
          </w:tcPr>
          <w:p w:rsidR="00C84D94" w:rsidRPr="003A191D" w:rsidRDefault="00C84D94" w:rsidP="00460791">
            <w:pPr>
              <w:jc w:val="center"/>
              <w:rPr>
                <w:rFonts w:ascii="Times New Roman" w:hAnsi="Times New Roman"/>
                <w:sz w:val="20"/>
                <w:szCs w:val="20"/>
              </w:rPr>
            </w:pPr>
            <w:r>
              <w:rPr>
                <w:rFonts w:ascii="Times New Roman" w:hAnsi="Times New Roman"/>
                <w:sz w:val="20"/>
                <w:szCs w:val="20"/>
              </w:rPr>
              <w:t>12</w:t>
            </w:r>
          </w:p>
        </w:tc>
        <w:tc>
          <w:tcPr>
            <w:tcW w:w="269" w:type="dxa"/>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pPr>
              <w:pStyle w:val="Tdec"/>
              <w:tabs>
                <w:tab w:val="clear" w:pos="993"/>
                <w:tab w:val="decimal" w:pos="1348"/>
              </w:tabs>
              <w:ind w:right="72"/>
              <w:jc w:val="left"/>
            </w:pPr>
            <w:r>
              <w:t>(1,0</w:t>
            </w:r>
            <w:r w:rsidR="0069096F">
              <w:t>48</w:t>
            </w:r>
            <w:r>
              <w:t>,</w:t>
            </w:r>
            <w:r w:rsidR="0069096F">
              <w:t>851</w:t>
            </w:r>
            <w:r>
              <w:t>)</w:t>
            </w:r>
          </w:p>
        </w:tc>
        <w:tc>
          <w:tcPr>
            <w:tcW w:w="1274" w:type="dxa"/>
            <w:vAlign w:val="bottom"/>
          </w:tcPr>
          <w:p w:rsidR="00C84D94" w:rsidRPr="003A191D" w:rsidRDefault="00C84D94">
            <w:pPr>
              <w:pStyle w:val="Tdec"/>
              <w:tabs>
                <w:tab w:val="clear" w:pos="993"/>
                <w:tab w:val="decimal" w:pos="1224"/>
              </w:tabs>
              <w:ind w:right="72"/>
              <w:jc w:val="left"/>
            </w:pPr>
            <w:r w:rsidRPr="003A191D">
              <w:t>-</w:t>
            </w:r>
          </w:p>
        </w:tc>
        <w:tc>
          <w:tcPr>
            <w:tcW w:w="1274" w:type="dxa"/>
            <w:vAlign w:val="bottom"/>
          </w:tcPr>
          <w:p w:rsidR="00C84D94" w:rsidRPr="003A191D" w:rsidRDefault="00C84D94">
            <w:pPr>
              <w:pStyle w:val="Tdec"/>
              <w:tabs>
                <w:tab w:val="clear" w:pos="993"/>
                <w:tab w:val="decimal" w:pos="1058"/>
              </w:tabs>
              <w:ind w:right="-67"/>
              <w:jc w:val="left"/>
            </w:pPr>
            <w:r>
              <w:t>(1,0</w:t>
            </w:r>
            <w:r w:rsidR="0069096F">
              <w:t>48</w:t>
            </w:r>
            <w:r>
              <w:t>,</w:t>
            </w:r>
            <w:r w:rsidR="0069096F">
              <w:t>851</w:t>
            </w:r>
            <w:r>
              <w:t>)</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vAlign w:val="bottom"/>
          </w:tcPr>
          <w:p w:rsidR="00C84D94" w:rsidRPr="003A191D" w:rsidRDefault="00C84D94" w:rsidP="003B01CA">
            <w:pPr>
              <w:pStyle w:val="Tdec"/>
              <w:tabs>
                <w:tab w:val="clear" w:pos="993"/>
                <w:tab w:val="decimal" w:pos="1058"/>
              </w:tabs>
              <w:ind w:right="-67"/>
              <w:jc w:val="left"/>
            </w:pPr>
            <w:r>
              <w:t>(1,067,358)</w:t>
            </w:r>
          </w:p>
        </w:tc>
      </w:tr>
      <w:tr w:rsidR="00C84D94" w:rsidRPr="003A191D" w:rsidTr="003B01CA">
        <w:trPr>
          <w:cantSplit/>
        </w:trPr>
        <w:tc>
          <w:tcPr>
            <w:tcW w:w="4531" w:type="dxa"/>
          </w:tcPr>
          <w:p w:rsidR="00C84D94" w:rsidRPr="003A191D" w:rsidRDefault="00C84D94" w:rsidP="00460791">
            <w:pPr>
              <w:pStyle w:val="Heading3"/>
              <w:tabs>
                <w:tab w:val="clear" w:pos="3402"/>
                <w:tab w:val="clear" w:pos="8222"/>
              </w:tabs>
              <w:rPr>
                <w:rFonts w:ascii="Times New Roman" w:hAnsi="Times New Roman"/>
                <w:b w:val="0"/>
                <w:szCs w:val="20"/>
              </w:rPr>
            </w:pP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tcBorders>
              <w:bottom w:val="single" w:sz="4" w:space="0" w:color="auto"/>
            </w:tcBorders>
            <w:vAlign w:val="bottom"/>
          </w:tcPr>
          <w:p w:rsidR="00C84D94" w:rsidRPr="003A191D" w:rsidRDefault="00C84D94" w:rsidP="0044672E">
            <w:pPr>
              <w:pStyle w:val="Tdec"/>
              <w:tabs>
                <w:tab w:val="clear" w:pos="993"/>
                <w:tab w:val="decimal" w:pos="1348"/>
              </w:tabs>
              <w:ind w:right="72"/>
              <w:jc w:val="left"/>
            </w:pPr>
          </w:p>
        </w:tc>
        <w:tc>
          <w:tcPr>
            <w:tcW w:w="1274" w:type="dxa"/>
            <w:tcBorders>
              <w:bottom w:val="single" w:sz="4" w:space="0" w:color="auto"/>
            </w:tcBorders>
            <w:vAlign w:val="bottom"/>
          </w:tcPr>
          <w:p w:rsidR="00C84D94" w:rsidRPr="003A191D" w:rsidRDefault="00C84D94" w:rsidP="00460791">
            <w:pPr>
              <w:pStyle w:val="Tdec"/>
              <w:tabs>
                <w:tab w:val="clear" w:pos="993"/>
                <w:tab w:val="decimal" w:pos="1224"/>
              </w:tabs>
              <w:ind w:right="72"/>
              <w:jc w:val="left"/>
            </w:pPr>
          </w:p>
        </w:tc>
        <w:tc>
          <w:tcPr>
            <w:tcW w:w="1274" w:type="dxa"/>
            <w:tcBorders>
              <w:bottom w:val="single" w:sz="4" w:space="0" w:color="auto"/>
            </w:tcBorders>
            <w:vAlign w:val="bottom"/>
          </w:tcPr>
          <w:p w:rsidR="00C84D94" w:rsidRPr="003A191D" w:rsidRDefault="00C84D94" w:rsidP="0044672E">
            <w:pPr>
              <w:pStyle w:val="Tdec"/>
              <w:tabs>
                <w:tab w:val="clear" w:pos="993"/>
                <w:tab w:val="decimal" w:pos="1058"/>
              </w:tabs>
              <w:ind w:right="-67"/>
              <w:jc w:val="left"/>
            </w:pP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bottom w:val="single" w:sz="4" w:space="0" w:color="auto"/>
            </w:tcBorders>
            <w:vAlign w:val="bottom"/>
          </w:tcPr>
          <w:p w:rsidR="00C84D94" w:rsidRPr="003A191D" w:rsidRDefault="00C84D94" w:rsidP="003B01CA">
            <w:pPr>
              <w:pStyle w:val="Tdec"/>
              <w:tabs>
                <w:tab w:val="clear" w:pos="993"/>
                <w:tab w:val="decimal" w:pos="1058"/>
              </w:tabs>
              <w:ind w:right="-67"/>
              <w:jc w:val="left"/>
            </w:pPr>
          </w:p>
        </w:tc>
      </w:tr>
      <w:tr w:rsidR="00C84D94" w:rsidRPr="003A191D" w:rsidTr="003B01CA">
        <w:trPr>
          <w:cantSplit/>
        </w:trPr>
        <w:tc>
          <w:tcPr>
            <w:tcW w:w="4531" w:type="dxa"/>
          </w:tcPr>
          <w:p w:rsidR="00C84D94" w:rsidRPr="003A191D" w:rsidRDefault="00BB783A">
            <w:pPr>
              <w:pStyle w:val="Heading3"/>
              <w:tabs>
                <w:tab w:val="clear" w:pos="3402"/>
                <w:tab w:val="clear" w:pos="8222"/>
              </w:tabs>
              <w:rPr>
                <w:rFonts w:ascii="Times New Roman" w:hAnsi="Times New Roman"/>
                <w:szCs w:val="20"/>
              </w:rPr>
            </w:pPr>
            <w:r>
              <w:rPr>
                <w:rFonts w:ascii="Times New Roman" w:hAnsi="Times New Roman"/>
                <w:szCs w:val="20"/>
              </w:rPr>
              <w:t>Net (loss)/p</w:t>
            </w:r>
            <w:r w:rsidR="00C84D94">
              <w:rPr>
                <w:rFonts w:ascii="Times New Roman" w:hAnsi="Times New Roman"/>
                <w:szCs w:val="20"/>
              </w:rPr>
              <w:t>rofit after taxation</w:t>
            </w: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tcBorders>
              <w:top w:val="single" w:sz="4" w:space="0" w:color="auto"/>
              <w:bottom w:val="double" w:sz="4" w:space="0" w:color="auto"/>
            </w:tcBorders>
            <w:vAlign w:val="bottom"/>
          </w:tcPr>
          <w:p w:rsidR="00C84D94" w:rsidRPr="003A191D" w:rsidRDefault="00C84D94">
            <w:pPr>
              <w:pStyle w:val="Tdec"/>
              <w:tabs>
                <w:tab w:val="clear" w:pos="993"/>
                <w:tab w:val="decimal" w:pos="1348"/>
              </w:tabs>
              <w:ind w:right="72"/>
              <w:jc w:val="left"/>
            </w:pPr>
            <w:r>
              <w:t>5,</w:t>
            </w:r>
            <w:r w:rsidR="00D83D2E">
              <w:t>282</w:t>
            </w:r>
            <w:r>
              <w:t>,</w:t>
            </w:r>
            <w:r w:rsidR="00D83D2E">
              <w:t>606</w:t>
            </w:r>
          </w:p>
        </w:tc>
        <w:tc>
          <w:tcPr>
            <w:tcW w:w="1274" w:type="dxa"/>
            <w:tcBorders>
              <w:top w:val="single" w:sz="4" w:space="0" w:color="auto"/>
              <w:bottom w:val="double" w:sz="4" w:space="0" w:color="auto"/>
            </w:tcBorders>
            <w:vAlign w:val="bottom"/>
          </w:tcPr>
          <w:p w:rsidR="00C84D94" w:rsidRPr="003A191D" w:rsidRDefault="00C84D94">
            <w:pPr>
              <w:pStyle w:val="Tdec"/>
              <w:tabs>
                <w:tab w:val="clear" w:pos="993"/>
                <w:tab w:val="decimal" w:pos="1224"/>
              </w:tabs>
              <w:ind w:right="72"/>
              <w:jc w:val="left"/>
            </w:pPr>
            <w:r>
              <w:t>(</w:t>
            </w:r>
            <w:r w:rsidR="00C02E54">
              <w:t>19</w:t>
            </w:r>
            <w:r>
              <w:t>,</w:t>
            </w:r>
            <w:r w:rsidR="00C02E54">
              <w:t>9</w:t>
            </w:r>
            <w:r w:rsidR="00D83D2E">
              <w:t>14</w:t>
            </w:r>
            <w:r>
              <w:t>,</w:t>
            </w:r>
            <w:r w:rsidR="00D83D2E">
              <w:t>337</w:t>
            </w:r>
            <w:r>
              <w:t>)</w:t>
            </w:r>
          </w:p>
        </w:tc>
        <w:tc>
          <w:tcPr>
            <w:tcW w:w="1274" w:type="dxa"/>
            <w:tcBorders>
              <w:top w:val="single" w:sz="4" w:space="0" w:color="auto"/>
              <w:bottom w:val="double" w:sz="4" w:space="0" w:color="auto"/>
            </w:tcBorders>
            <w:vAlign w:val="bottom"/>
          </w:tcPr>
          <w:p w:rsidR="00C84D94" w:rsidRPr="003A191D" w:rsidRDefault="00C02E54">
            <w:pPr>
              <w:pStyle w:val="Tdec"/>
              <w:tabs>
                <w:tab w:val="clear" w:pos="993"/>
                <w:tab w:val="decimal" w:pos="1058"/>
              </w:tabs>
              <w:ind w:right="-67"/>
              <w:jc w:val="left"/>
            </w:pPr>
            <w:r>
              <w:t>(1</w:t>
            </w:r>
            <w:r w:rsidR="0069096F">
              <w:t>4</w:t>
            </w:r>
            <w:r w:rsidR="00C84D94">
              <w:t>,</w:t>
            </w:r>
            <w:r w:rsidR="0069096F">
              <w:t>631</w:t>
            </w:r>
            <w:r w:rsidR="00C84D94">
              <w:t>,</w:t>
            </w:r>
            <w:r w:rsidR="0069096F">
              <w:t>731</w:t>
            </w:r>
            <w:r>
              <w:t>)</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top w:val="single" w:sz="4" w:space="0" w:color="auto"/>
              <w:bottom w:val="double" w:sz="4" w:space="0" w:color="auto"/>
            </w:tcBorders>
            <w:vAlign w:val="bottom"/>
          </w:tcPr>
          <w:p w:rsidR="00C84D94" w:rsidRPr="003A191D" w:rsidRDefault="00C84D94" w:rsidP="003B01CA">
            <w:pPr>
              <w:pStyle w:val="Tdec"/>
              <w:tabs>
                <w:tab w:val="clear" w:pos="993"/>
                <w:tab w:val="decimal" w:pos="1058"/>
              </w:tabs>
              <w:ind w:right="-67"/>
              <w:jc w:val="left"/>
            </w:pPr>
            <w:r>
              <w:t>1,378,538</w:t>
            </w:r>
          </w:p>
        </w:tc>
      </w:tr>
      <w:tr w:rsidR="00C84D94" w:rsidRPr="003A191D" w:rsidTr="003B01CA">
        <w:trPr>
          <w:cantSplit/>
        </w:trPr>
        <w:tc>
          <w:tcPr>
            <w:tcW w:w="4531" w:type="dxa"/>
          </w:tcPr>
          <w:p w:rsidR="00C84D94" w:rsidRPr="003A191D" w:rsidRDefault="00C84D94" w:rsidP="00BA2D91">
            <w:pPr>
              <w:pStyle w:val="Heading3"/>
              <w:tabs>
                <w:tab w:val="clear" w:pos="3402"/>
                <w:tab w:val="clear" w:pos="8222"/>
              </w:tabs>
              <w:rPr>
                <w:rFonts w:ascii="Times New Roman" w:hAnsi="Times New Roman"/>
                <w:szCs w:val="20"/>
              </w:rPr>
            </w:pPr>
          </w:p>
        </w:tc>
        <w:tc>
          <w:tcPr>
            <w:tcW w:w="741" w:type="dxa"/>
          </w:tcPr>
          <w:p w:rsidR="00C84D94" w:rsidRPr="003A191D" w:rsidRDefault="00C84D94" w:rsidP="00460791">
            <w:pPr>
              <w:jc w:val="center"/>
              <w:rPr>
                <w:rFonts w:ascii="Times New Roman" w:hAnsi="Times New Roman"/>
                <w:sz w:val="20"/>
                <w:szCs w:val="20"/>
              </w:rPr>
            </w:pPr>
          </w:p>
        </w:tc>
        <w:tc>
          <w:tcPr>
            <w:tcW w:w="269" w:type="dxa"/>
          </w:tcPr>
          <w:p w:rsidR="00C84D94" w:rsidRPr="003A191D" w:rsidRDefault="00C84D94" w:rsidP="00460791">
            <w:pPr>
              <w:jc w:val="right"/>
              <w:rPr>
                <w:rFonts w:ascii="Times New Roman" w:hAnsi="Times New Roman"/>
                <w:sz w:val="20"/>
                <w:szCs w:val="20"/>
              </w:rPr>
            </w:pPr>
          </w:p>
        </w:tc>
        <w:tc>
          <w:tcPr>
            <w:tcW w:w="1274" w:type="dxa"/>
            <w:tcBorders>
              <w:top w:val="double" w:sz="4" w:space="0" w:color="auto"/>
            </w:tcBorders>
            <w:vAlign w:val="bottom"/>
          </w:tcPr>
          <w:p w:rsidR="00C84D94" w:rsidRPr="003A191D" w:rsidRDefault="00C84D94" w:rsidP="00864147">
            <w:pPr>
              <w:pStyle w:val="Tdec"/>
              <w:tabs>
                <w:tab w:val="clear" w:pos="993"/>
                <w:tab w:val="decimal" w:pos="1348"/>
              </w:tabs>
              <w:ind w:right="72"/>
              <w:jc w:val="left"/>
            </w:pPr>
          </w:p>
        </w:tc>
        <w:tc>
          <w:tcPr>
            <w:tcW w:w="1274" w:type="dxa"/>
            <w:tcBorders>
              <w:top w:val="double" w:sz="4" w:space="0" w:color="auto"/>
            </w:tcBorders>
            <w:vAlign w:val="bottom"/>
          </w:tcPr>
          <w:p w:rsidR="00C84D94" w:rsidRPr="003A191D" w:rsidRDefault="00C84D94" w:rsidP="00864147">
            <w:pPr>
              <w:pStyle w:val="Tdec"/>
              <w:tabs>
                <w:tab w:val="clear" w:pos="993"/>
                <w:tab w:val="decimal" w:pos="1224"/>
              </w:tabs>
              <w:ind w:right="72"/>
              <w:jc w:val="left"/>
            </w:pPr>
          </w:p>
        </w:tc>
        <w:tc>
          <w:tcPr>
            <w:tcW w:w="1274" w:type="dxa"/>
            <w:tcBorders>
              <w:top w:val="double" w:sz="4" w:space="0" w:color="auto"/>
            </w:tcBorders>
            <w:vAlign w:val="bottom"/>
          </w:tcPr>
          <w:p w:rsidR="00C84D94" w:rsidRPr="003A191D" w:rsidRDefault="00C84D94" w:rsidP="00864147">
            <w:pPr>
              <w:pStyle w:val="Tdec"/>
              <w:tabs>
                <w:tab w:val="clear" w:pos="993"/>
                <w:tab w:val="decimal" w:pos="1058"/>
              </w:tabs>
              <w:ind w:right="-67"/>
              <w:jc w:val="left"/>
            </w:pP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top w:val="double" w:sz="4" w:space="0" w:color="auto"/>
            </w:tcBorders>
            <w:vAlign w:val="bottom"/>
          </w:tcPr>
          <w:p w:rsidR="00C84D94" w:rsidRPr="003A191D" w:rsidRDefault="00C84D94" w:rsidP="003B01CA">
            <w:pPr>
              <w:pStyle w:val="Tdec"/>
              <w:tabs>
                <w:tab w:val="clear" w:pos="993"/>
                <w:tab w:val="decimal" w:pos="1058"/>
              </w:tabs>
              <w:ind w:right="-67"/>
              <w:jc w:val="left"/>
            </w:pPr>
          </w:p>
        </w:tc>
      </w:tr>
      <w:bookmarkEnd w:id="36"/>
      <w:tr w:rsidR="00C84D94" w:rsidRPr="003A191D" w:rsidTr="003B01CA">
        <w:trPr>
          <w:cantSplit/>
        </w:trPr>
        <w:tc>
          <w:tcPr>
            <w:tcW w:w="4531" w:type="dxa"/>
          </w:tcPr>
          <w:p w:rsidR="00C84D94" w:rsidRPr="003A191D" w:rsidRDefault="00B836DB">
            <w:pPr>
              <w:pStyle w:val="Heading3"/>
              <w:tabs>
                <w:tab w:val="clear" w:pos="3402"/>
                <w:tab w:val="clear" w:pos="8222"/>
              </w:tabs>
              <w:rPr>
                <w:rFonts w:ascii="Times New Roman" w:hAnsi="Times New Roman"/>
                <w:szCs w:val="20"/>
              </w:rPr>
            </w:pPr>
            <w:r>
              <w:rPr>
                <w:rFonts w:ascii="Times New Roman" w:hAnsi="Times New Roman"/>
                <w:szCs w:val="20"/>
              </w:rPr>
              <w:t>(Loss)/p</w:t>
            </w:r>
            <w:r w:rsidR="00C84D94">
              <w:rPr>
                <w:rFonts w:ascii="Times New Roman" w:hAnsi="Times New Roman"/>
                <w:szCs w:val="20"/>
              </w:rPr>
              <w:t xml:space="preserve">rofit </w:t>
            </w:r>
            <w:r w:rsidR="00C84D94" w:rsidRPr="003A191D">
              <w:rPr>
                <w:rFonts w:ascii="Times New Roman" w:hAnsi="Times New Roman"/>
                <w:szCs w:val="20"/>
              </w:rPr>
              <w:t>per redeemable participating preference share - basic and diluted</w:t>
            </w:r>
            <w:r w:rsidR="00C84D94">
              <w:rPr>
                <w:rFonts w:ascii="Times New Roman" w:hAnsi="Times New Roman"/>
                <w:szCs w:val="20"/>
              </w:rPr>
              <w:t xml:space="preserve"> (pence)</w:t>
            </w:r>
          </w:p>
        </w:tc>
        <w:tc>
          <w:tcPr>
            <w:tcW w:w="741" w:type="dxa"/>
            <w:vAlign w:val="bottom"/>
          </w:tcPr>
          <w:p w:rsidR="00C84D94" w:rsidRPr="003A191D" w:rsidRDefault="00C84D94" w:rsidP="00460791">
            <w:pPr>
              <w:jc w:val="center"/>
              <w:rPr>
                <w:rFonts w:ascii="Times New Roman" w:hAnsi="Times New Roman"/>
                <w:sz w:val="20"/>
                <w:szCs w:val="20"/>
              </w:rPr>
            </w:pPr>
            <w:r w:rsidRPr="003A191D">
              <w:rPr>
                <w:rFonts w:ascii="Times New Roman" w:hAnsi="Times New Roman"/>
                <w:sz w:val="20"/>
                <w:szCs w:val="20"/>
              </w:rPr>
              <w:t>10</w:t>
            </w:r>
          </w:p>
        </w:tc>
        <w:tc>
          <w:tcPr>
            <w:tcW w:w="269" w:type="dxa"/>
          </w:tcPr>
          <w:p w:rsidR="00C84D94" w:rsidRPr="003A191D" w:rsidRDefault="00C84D94" w:rsidP="00460791">
            <w:pPr>
              <w:jc w:val="right"/>
              <w:rPr>
                <w:rFonts w:ascii="Times New Roman" w:hAnsi="Times New Roman"/>
                <w:sz w:val="20"/>
                <w:szCs w:val="20"/>
              </w:rPr>
            </w:pPr>
          </w:p>
        </w:tc>
        <w:tc>
          <w:tcPr>
            <w:tcW w:w="1274" w:type="dxa"/>
            <w:tcBorders>
              <w:bottom w:val="double" w:sz="4" w:space="0" w:color="auto"/>
            </w:tcBorders>
            <w:vAlign w:val="bottom"/>
          </w:tcPr>
          <w:p w:rsidR="00C84D94" w:rsidRPr="003A191D" w:rsidRDefault="00D83D2E">
            <w:pPr>
              <w:pStyle w:val="Tdec"/>
              <w:tabs>
                <w:tab w:val="clear" w:pos="993"/>
                <w:tab w:val="decimal" w:pos="1348"/>
              </w:tabs>
              <w:ind w:right="72"/>
              <w:jc w:val="left"/>
            </w:pPr>
            <w:r>
              <w:t>4</w:t>
            </w:r>
            <w:r w:rsidR="00C84D94">
              <w:t>.</w:t>
            </w:r>
            <w:r>
              <w:t>96</w:t>
            </w:r>
          </w:p>
        </w:tc>
        <w:tc>
          <w:tcPr>
            <w:tcW w:w="1274" w:type="dxa"/>
            <w:tcBorders>
              <w:bottom w:val="double" w:sz="4" w:space="0" w:color="auto"/>
            </w:tcBorders>
            <w:vAlign w:val="bottom"/>
          </w:tcPr>
          <w:p w:rsidR="00C84D94" w:rsidRPr="003A191D" w:rsidRDefault="00C84D94">
            <w:pPr>
              <w:pStyle w:val="Tdec"/>
              <w:tabs>
                <w:tab w:val="clear" w:pos="993"/>
                <w:tab w:val="decimal" w:pos="1224"/>
              </w:tabs>
              <w:ind w:right="72"/>
              <w:jc w:val="left"/>
            </w:pPr>
            <w:r>
              <w:t>(</w:t>
            </w:r>
            <w:r w:rsidR="00C02E54">
              <w:t>18</w:t>
            </w:r>
            <w:r>
              <w:t>.</w:t>
            </w:r>
            <w:r w:rsidR="00C02E54">
              <w:t>7</w:t>
            </w:r>
            <w:r w:rsidR="00D83D2E">
              <w:t>0</w:t>
            </w:r>
            <w:r>
              <w:t>)</w:t>
            </w:r>
          </w:p>
        </w:tc>
        <w:tc>
          <w:tcPr>
            <w:tcW w:w="1274" w:type="dxa"/>
            <w:tcBorders>
              <w:bottom w:val="double" w:sz="4" w:space="0" w:color="auto"/>
            </w:tcBorders>
            <w:vAlign w:val="bottom"/>
          </w:tcPr>
          <w:p w:rsidR="00C84D94" w:rsidRPr="003A191D" w:rsidRDefault="00C02E54">
            <w:pPr>
              <w:pStyle w:val="Tdec"/>
              <w:tabs>
                <w:tab w:val="clear" w:pos="993"/>
                <w:tab w:val="decimal" w:pos="1224"/>
              </w:tabs>
              <w:ind w:right="72"/>
              <w:jc w:val="left"/>
            </w:pPr>
            <w:r>
              <w:t>(</w:t>
            </w:r>
            <w:r w:rsidR="00C84D94">
              <w:t>1</w:t>
            </w:r>
            <w:r>
              <w:t>3</w:t>
            </w:r>
            <w:r w:rsidR="00C84D94">
              <w:t>.</w:t>
            </w:r>
            <w:r>
              <w:t>74)</w:t>
            </w:r>
            <w:r w:rsidR="00C84D94">
              <w:t xml:space="preserve"> </w:t>
            </w:r>
          </w:p>
        </w:tc>
        <w:tc>
          <w:tcPr>
            <w:tcW w:w="269" w:type="dxa"/>
            <w:vAlign w:val="bottom"/>
          </w:tcPr>
          <w:p w:rsidR="00C84D94" w:rsidRPr="003A191D" w:rsidRDefault="00C84D94" w:rsidP="00460791">
            <w:pPr>
              <w:jc w:val="right"/>
              <w:rPr>
                <w:rFonts w:ascii="Times New Roman" w:hAnsi="Times New Roman"/>
                <w:sz w:val="20"/>
                <w:szCs w:val="20"/>
              </w:rPr>
            </w:pPr>
          </w:p>
        </w:tc>
        <w:tc>
          <w:tcPr>
            <w:tcW w:w="1274" w:type="dxa"/>
            <w:tcBorders>
              <w:bottom w:val="double" w:sz="4" w:space="0" w:color="auto"/>
            </w:tcBorders>
            <w:vAlign w:val="bottom"/>
          </w:tcPr>
          <w:p w:rsidR="00C84D94" w:rsidRPr="003A191D" w:rsidRDefault="00C84D94" w:rsidP="00590B67">
            <w:pPr>
              <w:pStyle w:val="Tdec"/>
              <w:tabs>
                <w:tab w:val="clear" w:pos="993"/>
                <w:tab w:val="decimal" w:pos="1224"/>
              </w:tabs>
              <w:ind w:right="72"/>
              <w:jc w:val="left"/>
            </w:pPr>
            <w:r>
              <w:t xml:space="preserve">1.29 </w:t>
            </w:r>
          </w:p>
        </w:tc>
      </w:tr>
      <w:bookmarkEnd w:id="31"/>
      <w:bookmarkEnd w:id="32"/>
    </w:tbl>
    <w:p w:rsidR="00AB2628" w:rsidRDefault="00AB2628">
      <w:pPr>
        <w:pStyle w:val="BodyText"/>
        <w:tabs>
          <w:tab w:val="clear" w:pos="3402"/>
          <w:tab w:val="clear" w:pos="8222"/>
          <w:tab w:val="left" w:pos="6237"/>
        </w:tabs>
        <w:rPr>
          <w:rFonts w:ascii="Times New Roman" w:hAnsi="Times New Roman"/>
        </w:rPr>
      </w:pPr>
    </w:p>
    <w:p w:rsidR="00D54AA3" w:rsidRPr="003A191D" w:rsidRDefault="00D54AA3">
      <w:pPr>
        <w:pStyle w:val="BodyText"/>
        <w:tabs>
          <w:tab w:val="clear" w:pos="3402"/>
          <w:tab w:val="clear" w:pos="8222"/>
          <w:tab w:val="left" w:pos="6237"/>
        </w:tabs>
        <w:rPr>
          <w:rFonts w:ascii="Times New Roman" w:hAnsi="Times New Roman"/>
        </w:rPr>
      </w:pPr>
    </w:p>
    <w:p w:rsidR="00AB2628" w:rsidRDefault="00225DD1" w:rsidP="00BA75C4">
      <w:pPr>
        <w:pStyle w:val="BodyText"/>
        <w:tabs>
          <w:tab w:val="clear" w:pos="3402"/>
          <w:tab w:val="clear" w:pos="8222"/>
          <w:tab w:val="left" w:pos="6237"/>
        </w:tabs>
        <w:ind w:right="-569"/>
        <w:rPr>
          <w:rFonts w:ascii="Times New Roman" w:hAnsi="Times New Roman"/>
        </w:rPr>
      </w:pPr>
      <w:r>
        <w:rPr>
          <w:rFonts w:ascii="Times New Roman" w:hAnsi="Times New Roman"/>
        </w:rPr>
        <w:t xml:space="preserve">The total column of this statement represents the Fund’s </w:t>
      </w:r>
      <w:r w:rsidR="009278EC">
        <w:rPr>
          <w:rFonts w:ascii="Times New Roman" w:hAnsi="Times New Roman"/>
        </w:rPr>
        <w:t>S</w:t>
      </w:r>
      <w:r>
        <w:rPr>
          <w:rFonts w:ascii="Times New Roman" w:hAnsi="Times New Roman"/>
        </w:rPr>
        <w:t xml:space="preserve">tatement of </w:t>
      </w:r>
      <w:r w:rsidR="009278EC">
        <w:rPr>
          <w:rFonts w:ascii="Times New Roman" w:hAnsi="Times New Roman"/>
        </w:rPr>
        <w:t>C</w:t>
      </w:r>
      <w:r>
        <w:rPr>
          <w:rFonts w:ascii="Times New Roman" w:hAnsi="Times New Roman"/>
        </w:rPr>
        <w:t xml:space="preserve">omprehensive </w:t>
      </w:r>
      <w:r w:rsidR="009278EC">
        <w:rPr>
          <w:rFonts w:ascii="Times New Roman" w:hAnsi="Times New Roman"/>
        </w:rPr>
        <w:t>I</w:t>
      </w:r>
      <w:r>
        <w:rPr>
          <w:rFonts w:ascii="Times New Roman" w:hAnsi="Times New Roman"/>
        </w:rPr>
        <w:t>ncome, prepared in accordance with International Financial Reporting Standards</w:t>
      </w:r>
      <w:r w:rsidR="0075060A">
        <w:rPr>
          <w:rFonts w:ascii="Times New Roman" w:hAnsi="Times New Roman"/>
        </w:rPr>
        <w:t xml:space="preserve"> as adopted by the European Union</w:t>
      </w:r>
      <w:r>
        <w:rPr>
          <w:rFonts w:ascii="Times New Roman" w:hAnsi="Times New Roman"/>
        </w:rPr>
        <w:t>. The (loss)</w:t>
      </w:r>
      <w:r w:rsidR="00963D05">
        <w:rPr>
          <w:rFonts w:ascii="Times New Roman" w:hAnsi="Times New Roman"/>
        </w:rPr>
        <w:t>/profit</w:t>
      </w:r>
      <w:r>
        <w:rPr>
          <w:rFonts w:ascii="Times New Roman" w:hAnsi="Times New Roman"/>
        </w:rPr>
        <w:t xml:space="preserve"> after taxation is the total comprehensive income. The supplementary revenue and capital columns are both prepared in accordance with the Statement of Recommended Practice issued by the Association of Investment Companies</w:t>
      </w:r>
      <w:r w:rsidR="00735183">
        <w:rPr>
          <w:rFonts w:ascii="Times New Roman" w:hAnsi="Times New Roman"/>
        </w:rPr>
        <w:t xml:space="preserve"> as disc</w:t>
      </w:r>
      <w:r w:rsidR="00536B8C">
        <w:rPr>
          <w:rFonts w:ascii="Times New Roman" w:hAnsi="Times New Roman"/>
        </w:rPr>
        <w:t>losed</w:t>
      </w:r>
      <w:r w:rsidR="00735183">
        <w:rPr>
          <w:rFonts w:ascii="Times New Roman" w:hAnsi="Times New Roman"/>
        </w:rPr>
        <w:t xml:space="preserve"> in note 2a</w:t>
      </w:r>
      <w:r>
        <w:rPr>
          <w:rFonts w:ascii="Times New Roman" w:hAnsi="Times New Roman"/>
        </w:rPr>
        <w:t>. All items in the above statement derive from continuing operations. No operations were acquired or discontinued in the year.</w:t>
      </w:r>
    </w:p>
    <w:p w:rsidR="00225DD1" w:rsidRPr="003A191D" w:rsidRDefault="00225DD1">
      <w:pPr>
        <w:pStyle w:val="BodyText"/>
        <w:tabs>
          <w:tab w:val="clear" w:pos="3402"/>
          <w:tab w:val="clear" w:pos="8222"/>
          <w:tab w:val="left" w:pos="6237"/>
        </w:tabs>
        <w:rPr>
          <w:rFonts w:ascii="Times New Roman" w:hAnsi="Times New Roman"/>
        </w:rPr>
      </w:pPr>
    </w:p>
    <w:p w:rsidR="0008270C" w:rsidRPr="003A191D" w:rsidRDefault="0008270C">
      <w:pPr>
        <w:pStyle w:val="BodyText"/>
        <w:tabs>
          <w:tab w:val="clear" w:pos="3402"/>
          <w:tab w:val="clear" w:pos="8222"/>
          <w:tab w:val="left" w:pos="6237"/>
        </w:tabs>
        <w:rPr>
          <w:rFonts w:ascii="Times New Roman" w:hAnsi="Times New Roman"/>
        </w:rPr>
      </w:pPr>
      <w:r w:rsidRPr="003A191D">
        <w:rPr>
          <w:rFonts w:ascii="Times New Roman" w:hAnsi="Times New Roman"/>
        </w:rPr>
        <w:t xml:space="preserve">There are </w:t>
      </w:r>
      <w:r w:rsidR="00835EC7" w:rsidRPr="003A191D">
        <w:rPr>
          <w:rFonts w:ascii="Times New Roman" w:hAnsi="Times New Roman"/>
        </w:rPr>
        <w:t>GBP nil (</w:t>
      </w:r>
      <w:r w:rsidR="008B71BC" w:rsidRPr="003A191D">
        <w:rPr>
          <w:rFonts w:ascii="Times New Roman" w:hAnsi="Times New Roman"/>
        </w:rPr>
        <w:t>201</w:t>
      </w:r>
      <w:r w:rsidR="00C84D94">
        <w:rPr>
          <w:rFonts w:ascii="Times New Roman" w:hAnsi="Times New Roman"/>
        </w:rPr>
        <w:t>7</w:t>
      </w:r>
      <w:r w:rsidR="00835EC7" w:rsidRPr="003A191D">
        <w:rPr>
          <w:rFonts w:ascii="Times New Roman" w:hAnsi="Times New Roman"/>
        </w:rPr>
        <w:t xml:space="preserve">: GBP nil) </w:t>
      </w:r>
      <w:r w:rsidRPr="003A191D">
        <w:rPr>
          <w:rFonts w:ascii="Times New Roman" w:hAnsi="Times New Roman"/>
        </w:rPr>
        <w:t>earnings attributable to the management shares.</w:t>
      </w:r>
      <w:r w:rsidRPr="003A191D">
        <w:rPr>
          <w:rFonts w:ascii="Times New Roman" w:hAnsi="Times New Roman"/>
        </w:rPr>
        <w:tab/>
      </w:r>
    </w:p>
    <w:p w:rsidR="00AB2628" w:rsidRPr="003A191D" w:rsidRDefault="00AB2628">
      <w:pPr>
        <w:pStyle w:val="BodyText"/>
        <w:tabs>
          <w:tab w:val="clear" w:pos="3402"/>
          <w:tab w:val="clear" w:pos="8222"/>
          <w:tab w:val="left" w:pos="6237"/>
        </w:tabs>
        <w:rPr>
          <w:rFonts w:ascii="Times New Roman" w:hAnsi="Times New Roman"/>
        </w:rPr>
      </w:pPr>
    </w:p>
    <w:p w:rsidR="00EC3CFA" w:rsidRPr="009170B8" w:rsidRDefault="001F5383" w:rsidP="00F01D4B">
      <w:pPr>
        <w:pStyle w:val="BodyText"/>
        <w:tabs>
          <w:tab w:val="clear" w:pos="3402"/>
          <w:tab w:val="clear" w:pos="8222"/>
          <w:tab w:val="left" w:pos="6237"/>
        </w:tabs>
        <w:rPr>
          <w:rFonts w:ascii="Times New Roman" w:hAnsi="Times New Roman"/>
        </w:rPr>
      </w:pPr>
      <w:r w:rsidRPr="003A191D">
        <w:rPr>
          <w:rFonts w:ascii="Times New Roman" w:hAnsi="Times New Roman"/>
        </w:rPr>
        <w:t>Th</w:t>
      </w:r>
      <w:r w:rsidR="00916D00" w:rsidRPr="003A191D">
        <w:rPr>
          <w:rFonts w:ascii="Times New Roman" w:hAnsi="Times New Roman"/>
        </w:rPr>
        <w:t xml:space="preserve">e accompanying notes on </w:t>
      </w:r>
      <w:r w:rsidR="00916D00" w:rsidRPr="00D0380B">
        <w:rPr>
          <w:rFonts w:ascii="Times New Roman" w:hAnsi="Times New Roman"/>
        </w:rPr>
        <w:t xml:space="preserve">pages </w:t>
      </w:r>
      <w:r w:rsidR="00D0380B" w:rsidRPr="00D0380B">
        <w:rPr>
          <w:rFonts w:ascii="Times New Roman" w:hAnsi="Times New Roman"/>
        </w:rPr>
        <w:t>3</w:t>
      </w:r>
      <w:r w:rsidR="00A66792">
        <w:rPr>
          <w:rFonts w:ascii="Times New Roman" w:hAnsi="Times New Roman"/>
        </w:rPr>
        <w:t>9</w:t>
      </w:r>
      <w:r w:rsidR="00602C0B" w:rsidRPr="00E5676A">
        <w:rPr>
          <w:rFonts w:ascii="Times New Roman" w:hAnsi="Times New Roman"/>
        </w:rPr>
        <w:t xml:space="preserve"> to </w:t>
      </w:r>
      <w:r w:rsidR="00D54AA3">
        <w:rPr>
          <w:rFonts w:ascii="Times New Roman" w:hAnsi="Times New Roman"/>
        </w:rPr>
        <w:t>5</w:t>
      </w:r>
      <w:r w:rsidR="00000F1B">
        <w:rPr>
          <w:rFonts w:ascii="Times New Roman" w:hAnsi="Times New Roman"/>
        </w:rPr>
        <w:t>4</w:t>
      </w:r>
      <w:r w:rsidRPr="003A191D">
        <w:rPr>
          <w:rFonts w:ascii="Times New Roman" w:hAnsi="Times New Roman"/>
        </w:rPr>
        <w:t xml:space="preserve"> form an integral part of these financial statements</w:t>
      </w:r>
      <w:r w:rsidR="0008270C" w:rsidRPr="003A191D">
        <w:rPr>
          <w:rFonts w:ascii="Times New Roman" w:hAnsi="Times New Roman"/>
        </w:rPr>
        <w:t>.</w:t>
      </w:r>
    </w:p>
    <w:p w:rsidR="00EC3CFA" w:rsidRPr="009170B8" w:rsidRDefault="00EC3CFA">
      <w:pPr>
        <w:pStyle w:val="Heading2"/>
        <w:rPr>
          <w:rFonts w:ascii="Times New Roman" w:hAnsi="Times New Roman"/>
        </w:rPr>
      </w:pPr>
    </w:p>
    <w:p w:rsidR="00EC3CFA" w:rsidRPr="009170B8" w:rsidRDefault="00EC3CFA">
      <w:pPr>
        <w:pStyle w:val="Heading2"/>
        <w:rPr>
          <w:rFonts w:ascii="Times New Roman" w:hAnsi="Times New Roman"/>
        </w:rPr>
      </w:pPr>
    </w:p>
    <w:p w:rsidR="00EC3CFA" w:rsidRPr="009170B8" w:rsidRDefault="00EC3CFA">
      <w:pPr>
        <w:pStyle w:val="Heading2"/>
        <w:rPr>
          <w:rFonts w:ascii="Times New Roman" w:hAnsi="Times New Roman"/>
        </w:rPr>
      </w:pPr>
    </w:p>
    <w:p w:rsidR="00EC3CFA" w:rsidRPr="009170B8" w:rsidRDefault="00EC3CFA">
      <w:pPr>
        <w:pStyle w:val="Heading2"/>
        <w:rPr>
          <w:rFonts w:ascii="Times New Roman" w:hAnsi="Times New Roman"/>
        </w:rPr>
      </w:pPr>
    </w:p>
    <w:p w:rsidR="00EC3CFA" w:rsidRPr="009170B8" w:rsidRDefault="00EC3CFA">
      <w:pPr>
        <w:pStyle w:val="Heading2"/>
        <w:rPr>
          <w:rFonts w:ascii="Times New Roman" w:hAnsi="Times New Roman"/>
        </w:rPr>
      </w:pPr>
    </w:p>
    <w:p w:rsidR="00EC3CFA" w:rsidRPr="009170B8" w:rsidRDefault="00EC3CFA">
      <w:pPr>
        <w:pStyle w:val="Heading2"/>
        <w:rPr>
          <w:rFonts w:ascii="Times New Roman" w:hAnsi="Times New Roman"/>
        </w:rPr>
      </w:pPr>
    </w:p>
    <w:p w:rsidR="00EC3CFA" w:rsidRPr="009170B8" w:rsidRDefault="00EC3CFA">
      <w:pPr>
        <w:pStyle w:val="Heading2"/>
        <w:rPr>
          <w:rFonts w:ascii="Times New Roman" w:hAnsi="Times New Roman"/>
        </w:rPr>
      </w:pPr>
    </w:p>
    <w:p w:rsidR="00EC3CFA" w:rsidRPr="009170B8" w:rsidRDefault="00EC3CFA">
      <w:pPr>
        <w:pStyle w:val="Heading2"/>
        <w:rPr>
          <w:rFonts w:ascii="Times New Roman" w:hAnsi="Times New Roman"/>
        </w:rPr>
      </w:pPr>
    </w:p>
    <w:p w:rsidR="00EC3CFA" w:rsidRPr="009170B8" w:rsidRDefault="00EC3CFA" w:rsidP="00EC3CFA">
      <w:pPr>
        <w:rPr>
          <w:rFonts w:ascii="Times New Roman" w:hAnsi="Times New Roman"/>
        </w:rPr>
      </w:pPr>
    </w:p>
    <w:p w:rsidR="00EC3CFA" w:rsidRPr="009170B8" w:rsidRDefault="00EC3CFA" w:rsidP="00EC3CFA">
      <w:pPr>
        <w:rPr>
          <w:rFonts w:ascii="Times New Roman" w:hAnsi="Times New Roman"/>
        </w:rPr>
      </w:pPr>
    </w:p>
    <w:p w:rsidR="0046295B" w:rsidRPr="009170B8" w:rsidRDefault="0046295B">
      <w:pPr>
        <w:rPr>
          <w:rFonts w:ascii="Times New Roman" w:hAnsi="Times New Roman"/>
          <w:b/>
          <w:bCs/>
          <w:szCs w:val="22"/>
        </w:rPr>
      </w:pPr>
      <w:r w:rsidRPr="009170B8">
        <w:rPr>
          <w:rFonts w:ascii="Times New Roman" w:hAnsi="Times New Roman"/>
          <w:szCs w:val="22"/>
        </w:rPr>
        <w:br w:type="page"/>
      </w:r>
    </w:p>
    <w:p w:rsidR="0008270C" w:rsidRPr="00252FB0" w:rsidRDefault="0008270C" w:rsidP="00F01D4B">
      <w:pPr>
        <w:pStyle w:val="Heading2"/>
        <w:tabs>
          <w:tab w:val="right" w:pos="8222"/>
        </w:tabs>
        <w:rPr>
          <w:rFonts w:ascii="Times New Roman" w:hAnsi="Times New Roman"/>
          <w:szCs w:val="22"/>
        </w:rPr>
      </w:pPr>
      <w:r w:rsidRPr="009170B8">
        <w:rPr>
          <w:rFonts w:ascii="Times New Roman" w:hAnsi="Times New Roman"/>
          <w:szCs w:val="22"/>
        </w:rPr>
        <w:t xml:space="preserve">Statement of Changes in </w:t>
      </w:r>
      <w:r w:rsidRPr="00252FB0">
        <w:rPr>
          <w:rFonts w:ascii="Times New Roman" w:hAnsi="Times New Roman"/>
          <w:szCs w:val="22"/>
        </w:rPr>
        <w:t>Redeemable Participating Preference Shareholders’ Equity</w:t>
      </w:r>
      <w:r w:rsidR="00F01D4B" w:rsidRPr="00252FB0">
        <w:rPr>
          <w:rFonts w:ascii="Times New Roman" w:hAnsi="Times New Roman"/>
          <w:szCs w:val="22"/>
        </w:rPr>
        <w:t xml:space="preserve"> of</w:t>
      </w:r>
      <w:r w:rsidR="00A60119" w:rsidRPr="00252FB0">
        <w:rPr>
          <w:rFonts w:ascii="Times New Roman" w:hAnsi="Times New Roman"/>
          <w:szCs w:val="22"/>
        </w:rPr>
        <w:t xml:space="preserve"> the Fund</w:t>
      </w:r>
    </w:p>
    <w:p w:rsidR="009A1074" w:rsidRPr="00B74D7C" w:rsidRDefault="00AF1F94" w:rsidP="009A1074">
      <w:pPr>
        <w:pStyle w:val="Heading3"/>
        <w:rPr>
          <w:rFonts w:ascii="Times New Roman" w:hAnsi="Times New Roman"/>
          <w:strike/>
          <w:sz w:val="22"/>
          <w:szCs w:val="22"/>
        </w:rPr>
      </w:pPr>
      <w:r>
        <w:rPr>
          <w:rFonts w:ascii="Times New Roman" w:hAnsi="Times New Roman"/>
          <w:sz w:val="22"/>
          <w:szCs w:val="22"/>
        </w:rPr>
        <w:t>For the year ended 31 December 201</w:t>
      </w:r>
      <w:r w:rsidR="00C84D94">
        <w:rPr>
          <w:rFonts w:ascii="Times New Roman" w:hAnsi="Times New Roman"/>
          <w:sz w:val="22"/>
          <w:szCs w:val="22"/>
        </w:rPr>
        <w:t>8</w:t>
      </w:r>
      <w:r w:rsidR="0008270C" w:rsidRPr="00252FB0">
        <w:rPr>
          <w:rFonts w:ascii="Times New Roman" w:hAnsi="Times New Roman"/>
          <w:sz w:val="22"/>
          <w:szCs w:val="22"/>
        </w:rPr>
        <w:t xml:space="preserve"> </w:t>
      </w:r>
    </w:p>
    <w:p w:rsidR="00637569" w:rsidRPr="00252FB0" w:rsidRDefault="00637569" w:rsidP="00637569">
      <w:pPr>
        <w:rPr>
          <w:rFonts w:ascii="Times New Roman" w:hAnsi="Times New Roman"/>
        </w:rPr>
      </w:pPr>
    </w:p>
    <w:p w:rsidR="0008270C" w:rsidRPr="00252FB0" w:rsidRDefault="0008270C" w:rsidP="009A1074">
      <w:pPr>
        <w:pStyle w:val="Heading3"/>
        <w:rPr>
          <w:rFonts w:ascii="Times New Roman" w:hAnsi="Times New Roman"/>
        </w:rPr>
      </w:pPr>
      <w:r w:rsidRPr="00252FB0">
        <w:rPr>
          <w:rFonts w:ascii="Times New Roman" w:hAnsi="Times New Roman"/>
        </w:rPr>
        <w:tab/>
      </w:r>
    </w:p>
    <w:tbl>
      <w:tblPr>
        <w:tblW w:w="4401" w:type="pct"/>
        <w:tblLayout w:type="fixed"/>
        <w:tblCellMar>
          <w:top w:w="14" w:type="dxa"/>
          <w:left w:w="0" w:type="dxa"/>
          <w:right w:w="0" w:type="dxa"/>
        </w:tblCellMar>
        <w:tblLook w:val="0000" w:firstRow="0" w:lastRow="0" w:firstColumn="0" w:lastColumn="0" w:noHBand="0" w:noVBand="0"/>
      </w:tblPr>
      <w:tblGrid>
        <w:gridCol w:w="4253"/>
        <w:gridCol w:w="733"/>
        <w:gridCol w:w="1384"/>
        <w:gridCol w:w="1307"/>
        <w:gridCol w:w="1305"/>
      </w:tblGrid>
      <w:tr w:rsidR="002A4630" w:rsidRPr="00252FB0" w:rsidTr="00964288">
        <w:trPr>
          <w:cantSplit/>
        </w:trPr>
        <w:tc>
          <w:tcPr>
            <w:tcW w:w="4253" w:type="dxa"/>
            <w:tcBorders>
              <w:top w:val="nil"/>
              <w:left w:val="nil"/>
              <w:bottom w:val="nil"/>
              <w:right w:val="nil"/>
            </w:tcBorders>
            <w:noWrap/>
            <w:vAlign w:val="bottom"/>
          </w:tcPr>
          <w:p w:rsidR="002A4630" w:rsidRPr="00252FB0" w:rsidRDefault="002A4630" w:rsidP="00637569">
            <w:pPr>
              <w:pStyle w:val="Heading1"/>
              <w:jc w:val="left"/>
              <w:rPr>
                <w:rFonts w:ascii="Times New Roman" w:hAnsi="Times New Roman"/>
                <w:sz w:val="20"/>
                <w:szCs w:val="20"/>
              </w:rPr>
            </w:pPr>
          </w:p>
        </w:tc>
        <w:tc>
          <w:tcPr>
            <w:tcW w:w="733" w:type="dxa"/>
            <w:tcBorders>
              <w:top w:val="nil"/>
              <w:left w:val="nil"/>
              <w:bottom w:val="nil"/>
              <w:right w:val="nil"/>
            </w:tcBorders>
            <w:noWrap/>
            <w:vAlign w:val="bottom"/>
          </w:tcPr>
          <w:p w:rsidR="002A4630" w:rsidRPr="00252FB0" w:rsidRDefault="002A4630" w:rsidP="00637569">
            <w:pPr>
              <w:jc w:val="center"/>
              <w:rPr>
                <w:rFonts w:ascii="Times New Roman" w:hAnsi="Times New Roman"/>
                <w:sz w:val="20"/>
                <w:szCs w:val="20"/>
              </w:rPr>
            </w:pPr>
          </w:p>
        </w:tc>
        <w:tc>
          <w:tcPr>
            <w:tcW w:w="1384" w:type="dxa"/>
            <w:tcBorders>
              <w:left w:val="nil"/>
              <w:right w:val="nil"/>
            </w:tcBorders>
            <w:noWrap/>
            <w:vAlign w:val="bottom"/>
          </w:tcPr>
          <w:p w:rsidR="002A4630" w:rsidRPr="00252FB0" w:rsidRDefault="002A4630" w:rsidP="00637569">
            <w:pPr>
              <w:ind w:right="57"/>
              <w:jc w:val="right"/>
              <w:rPr>
                <w:rFonts w:ascii="Times New Roman" w:hAnsi="Times New Roman"/>
                <w:b/>
                <w:bCs/>
                <w:sz w:val="20"/>
                <w:szCs w:val="20"/>
              </w:rPr>
            </w:pPr>
            <w:r w:rsidRPr="00252FB0">
              <w:rPr>
                <w:rFonts w:ascii="Times New Roman" w:hAnsi="Times New Roman"/>
                <w:b/>
                <w:bCs/>
                <w:sz w:val="20"/>
                <w:szCs w:val="20"/>
              </w:rPr>
              <w:t>Stated Capital</w:t>
            </w:r>
          </w:p>
        </w:tc>
        <w:tc>
          <w:tcPr>
            <w:tcW w:w="1307" w:type="dxa"/>
            <w:tcBorders>
              <w:left w:val="nil"/>
              <w:right w:val="nil"/>
            </w:tcBorders>
            <w:noWrap/>
            <w:vAlign w:val="bottom"/>
          </w:tcPr>
          <w:p w:rsidR="002A4630" w:rsidRPr="00252FB0" w:rsidRDefault="002A4630" w:rsidP="00637569">
            <w:pPr>
              <w:ind w:right="57"/>
              <w:jc w:val="right"/>
              <w:rPr>
                <w:rFonts w:ascii="Times New Roman" w:hAnsi="Times New Roman"/>
                <w:b/>
                <w:bCs/>
                <w:sz w:val="20"/>
                <w:szCs w:val="20"/>
              </w:rPr>
            </w:pPr>
            <w:r w:rsidRPr="00252FB0">
              <w:rPr>
                <w:rFonts w:ascii="Times New Roman" w:hAnsi="Times New Roman"/>
                <w:b/>
                <w:bCs/>
                <w:sz w:val="20"/>
                <w:szCs w:val="20"/>
              </w:rPr>
              <w:t>Retained</w:t>
            </w:r>
          </w:p>
        </w:tc>
        <w:tc>
          <w:tcPr>
            <w:tcW w:w="1305" w:type="dxa"/>
            <w:tcBorders>
              <w:left w:val="nil"/>
              <w:right w:val="nil"/>
            </w:tcBorders>
          </w:tcPr>
          <w:p w:rsidR="002A4630" w:rsidRPr="00252FB0" w:rsidRDefault="002A4630" w:rsidP="00637569">
            <w:pPr>
              <w:ind w:right="57"/>
              <w:jc w:val="right"/>
              <w:rPr>
                <w:rFonts w:ascii="Times New Roman" w:hAnsi="Times New Roman"/>
                <w:b/>
                <w:bCs/>
                <w:sz w:val="20"/>
                <w:szCs w:val="20"/>
              </w:rPr>
            </w:pPr>
          </w:p>
        </w:tc>
      </w:tr>
      <w:tr w:rsidR="002A4630" w:rsidRPr="00252FB0" w:rsidTr="00964288">
        <w:trPr>
          <w:cantSplit/>
        </w:trPr>
        <w:tc>
          <w:tcPr>
            <w:tcW w:w="4253" w:type="dxa"/>
            <w:tcBorders>
              <w:top w:val="nil"/>
              <w:left w:val="nil"/>
              <w:bottom w:val="nil"/>
              <w:right w:val="nil"/>
            </w:tcBorders>
            <w:noWrap/>
            <w:vAlign w:val="bottom"/>
          </w:tcPr>
          <w:p w:rsidR="002A4630" w:rsidRPr="00252FB0" w:rsidRDefault="002A4630" w:rsidP="00637569">
            <w:pPr>
              <w:pStyle w:val="Heading1"/>
              <w:jc w:val="left"/>
              <w:rPr>
                <w:rFonts w:ascii="Times New Roman" w:hAnsi="Times New Roman"/>
                <w:sz w:val="20"/>
                <w:szCs w:val="20"/>
              </w:rPr>
            </w:pPr>
          </w:p>
        </w:tc>
        <w:tc>
          <w:tcPr>
            <w:tcW w:w="733" w:type="dxa"/>
            <w:tcBorders>
              <w:top w:val="nil"/>
              <w:left w:val="nil"/>
              <w:bottom w:val="nil"/>
              <w:right w:val="nil"/>
            </w:tcBorders>
            <w:noWrap/>
            <w:vAlign w:val="bottom"/>
          </w:tcPr>
          <w:p w:rsidR="002A4630" w:rsidRPr="00252FB0" w:rsidRDefault="002A4630" w:rsidP="00637569">
            <w:pPr>
              <w:jc w:val="center"/>
              <w:rPr>
                <w:rFonts w:ascii="Times New Roman" w:hAnsi="Times New Roman"/>
                <w:sz w:val="20"/>
                <w:szCs w:val="20"/>
              </w:rPr>
            </w:pPr>
          </w:p>
        </w:tc>
        <w:tc>
          <w:tcPr>
            <w:tcW w:w="1384" w:type="dxa"/>
            <w:tcBorders>
              <w:left w:val="nil"/>
              <w:right w:val="nil"/>
            </w:tcBorders>
            <w:noWrap/>
            <w:vAlign w:val="bottom"/>
          </w:tcPr>
          <w:p w:rsidR="002A4630" w:rsidRPr="00252FB0" w:rsidRDefault="002A4630" w:rsidP="00637569">
            <w:pPr>
              <w:ind w:right="57"/>
              <w:jc w:val="right"/>
              <w:rPr>
                <w:rFonts w:ascii="Times New Roman" w:hAnsi="Times New Roman"/>
                <w:b/>
                <w:bCs/>
                <w:sz w:val="20"/>
                <w:szCs w:val="20"/>
              </w:rPr>
            </w:pPr>
            <w:r w:rsidRPr="00252FB0">
              <w:rPr>
                <w:rFonts w:ascii="Times New Roman" w:hAnsi="Times New Roman"/>
                <w:b/>
                <w:bCs/>
                <w:sz w:val="20"/>
                <w:szCs w:val="20"/>
              </w:rPr>
              <w:t>Account</w:t>
            </w:r>
          </w:p>
        </w:tc>
        <w:tc>
          <w:tcPr>
            <w:tcW w:w="1307" w:type="dxa"/>
            <w:tcBorders>
              <w:left w:val="nil"/>
              <w:right w:val="nil"/>
            </w:tcBorders>
            <w:noWrap/>
            <w:vAlign w:val="bottom"/>
          </w:tcPr>
          <w:p w:rsidR="002A4630" w:rsidRPr="00252FB0" w:rsidRDefault="008831E9" w:rsidP="00446471">
            <w:pPr>
              <w:ind w:right="57"/>
              <w:jc w:val="right"/>
              <w:rPr>
                <w:rFonts w:ascii="Times New Roman" w:hAnsi="Times New Roman"/>
                <w:b/>
                <w:bCs/>
                <w:sz w:val="20"/>
                <w:szCs w:val="20"/>
              </w:rPr>
            </w:pPr>
            <w:r w:rsidRPr="00252FB0">
              <w:rPr>
                <w:rFonts w:ascii="Times New Roman" w:hAnsi="Times New Roman"/>
                <w:b/>
                <w:bCs/>
                <w:sz w:val="20"/>
                <w:szCs w:val="20"/>
              </w:rPr>
              <w:t>I</w:t>
            </w:r>
            <w:r w:rsidR="002A4630" w:rsidRPr="00252FB0">
              <w:rPr>
                <w:rFonts w:ascii="Times New Roman" w:hAnsi="Times New Roman"/>
                <w:b/>
                <w:bCs/>
                <w:sz w:val="20"/>
                <w:szCs w:val="20"/>
              </w:rPr>
              <w:t>ncome</w:t>
            </w:r>
          </w:p>
        </w:tc>
        <w:tc>
          <w:tcPr>
            <w:tcW w:w="1305" w:type="dxa"/>
            <w:tcBorders>
              <w:left w:val="nil"/>
              <w:right w:val="nil"/>
            </w:tcBorders>
          </w:tcPr>
          <w:p w:rsidR="002A4630" w:rsidRPr="00252FB0" w:rsidRDefault="002A4630" w:rsidP="00637569">
            <w:pPr>
              <w:ind w:right="57"/>
              <w:jc w:val="right"/>
              <w:rPr>
                <w:rFonts w:ascii="Times New Roman" w:hAnsi="Times New Roman"/>
                <w:b/>
                <w:bCs/>
                <w:sz w:val="20"/>
                <w:szCs w:val="20"/>
              </w:rPr>
            </w:pPr>
            <w:r w:rsidRPr="00252FB0">
              <w:rPr>
                <w:rFonts w:ascii="Times New Roman" w:hAnsi="Times New Roman"/>
                <w:b/>
                <w:bCs/>
                <w:sz w:val="20"/>
                <w:szCs w:val="20"/>
              </w:rPr>
              <w:t>Total</w:t>
            </w:r>
          </w:p>
        </w:tc>
      </w:tr>
      <w:tr w:rsidR="002A4630" w:rsidRPr="00252FB0" w:rsidTr="00964288">
        <w:trPr>
          <w:cantSplit/>
        </w:trPr>
        <w:tc>
          <w:tcPr>
            <w:tcW w:w="4253" w:type="dxa"/>
            <w:tcBorders>
              <w:top w:val="nil"/>
              <w:left w:val="nil"/>
              <w:bottom w:val="nil"/>
              <w:right w:val="nil"/>
            </w:tcBorders>
            <w:noWrap/>
            <w:vAlign w:val="bottom"/>
          </w:tcPr>
          <w:p w:rsidR="002A4630" w:rsidRPr="00252FB0" w:rsidRDefault="002A4630" w:rsidP="00637569">
            <w:pPr>
              <w:pStyle w:val="Heading1"/>
              <w:jc w:val="left"/>
              <w:rPr>
                <w:rFonts w:ascii="Times New Roman" w:hAnsi="Times New Roman"/>
                <w:sz w:val="20"/>
                <w:szCs w:val="20"/>
              </w:rPr>
            </w:pPr>
          </w:p>
        </w:tc>
        <w:tc>
          <w:tcPr>
            <w:tcW w:w="733" w:type="dxa"/>
            <w:tcBorders>
              <w:top w:val="nil"/>
              <w:left w:val="nil"/>
              <w:bottom w:val="nil"/>
              <w:right w:val="nil"/>
            </w:tcBorders>
            <w:noWrap/>
            <w:vAlign w:val="bottom"/>
          </w:tcPr>
          <w:p w:rsidR="002A4630" w:rsidRPr="00252FB0" w:rsidRDefault="002A4630" w:rsidP="00637569">
            <w:pPr>
              <w:jc w:val="center"/>
              <w:rPr>
                <w:rFonts w:ascii="Times New Roman" w:hAnsi="Times New Roman"/>
                <w:b/>
                <w:sz w:val="20"/>
                <w:szCs w:val="20"/>
              </w:rPr>
            </w:pPr>
            <w:r w:rsidRPr="00252FB0">
              <w:rPr>
                <w:rFonts w:ascii="Times New Roman" w:hAnsi="Times New Roman"/>
                <w:b/>
                <w:sz w:val="20"/>
              </w:rPr>
              <w:t>Notes</w:t>
            </w:r>
          </w:p>
        </w:tc>
        <w:tc>
          <w:tcPr>
            <w:tcW w:w="1384" w:type="dxa"/>
            <w:tcBorders>
              <w:left w:val="nil"/>
              <w:right w:val="nil"/>
            </w:tcBorders>
            <w:noWrap/>
            <w:vAlign w:val="bottom"/>
          </w:tcPr>
          <w:p w:rsidR="002A4630" w:rsidRPr="00252FB0" w:rsidRDefault="002A4630" w:rsidP="00637569">
            <w:pPr>
              <w:ind w:right="57"/>
              <w:jc w:val="right"/>
              <w:rPr>
                <w:rFonts w:ascii="Times New Roman" w:hAnsi="Times New Roman"/>
                <w:b/>
                <w:bCs/>
                <w:sz w:val="20"/>
                <w:szCs w:val="20"/>
              </w:rPr>
            </w:pPr>
            <w:r w:rsidRPr="00252FB0">
              <w:rPr>
                <w:rFonts w:ascii="Times New Roman" w:hAnsi="Times New Roman"/>
                <w:b/>
                <w:bCs/>
                <w:sz w:val="20"/>
                <w:szCs w:val="20"/>
              </w:rPr>
              <w:t>GBP</w:t>
            </w:r>
          </w:p>
        </w:tc>
        <w:tc>
          <w:tcPr>
            <w:tcW w:w="1307" w:type="dxa"/>
            <w:tcBorders>
              <w:left w:val="nil"/>
              <w:right w:val="nil"/>
            </w:tcBorders>
            <w:noWrap/>
            <w:vAlign w:val="bottom"/>
          </w:tcPr>
          <w:p w:rsidR="002A4630" w:rsidRPr="00252FB0" w:rsidRDefault="002A4630" w:rsidP="00637569">
            <w:pPr>
              <w:ind w:right="57"/>
              <w:jc w:val="right"/>
              <w:rPr>
                <w:rFonts w:ascii="Times New Roman" w:hAnsi="Times New Roman"/>
                <w:b/>
                <w:bCs/>
                <w:sz w:val="20"/>
                <w:szCs w:val="20"/>
              </w:rPr>
            </w:pPr>
            <w:r w:rsidRPr="00252FB0">
              <w:rPr>
                <w:rFonts w:ascii="Times New Roman" w:hAnsi="Times New Roman"/>
                <w:b/>
                <w:bCs/>
                <w:sz w:val="20"/>
                <w:szCs w:val="20"/>
              </w:rPr>
              <w:t>GBP</w:t>
            </w:r>
          </w:p>
        </w:tc>
        <w:tc>
          <w:tcPr>
            <w:tcW w:w="1305" w:type="dxa"/>
            <w:tcBorders>
              <w:left w:val="nil"/>
              <w:right w:val="nil"/>
            </w:tcBorders>
          </w:tcPr>
          <w:p w:rsidR="002A4630" w:rsidRPr="00252FB0" w:rsidRDefault="002A4630" w:rsidP="00637569">
            <w:pPr>
              <w:ind w:right="57"/>
              <w:jc w:val="right"/>
              <w:rPr>
                <w:rFonts w:ascii="Times New Roman" w:hAnsi="Times New Roman"/>
                <w:b/>
                <w:bCs/>
                <w:sz w:val="20"/>
                <w:szCs w:val="20"/>
              </w:rPr>
            </w:pPr>
            <w:r w:rsidRPr="00252FB0">
              <w:rPr>
                <w:rFonts w:ascii="Times New Roman" w:hAnsi="Times New Roman"/>
                <w:b/>
                <w:bCs/>
                <w:sz w:val="20"/>
                <w:szCs w:val="20"/>
              </w:rPr>
              <w:t>GBP</w:t>
            </w:r>
          </w:p>
        </w:tc>
      </w:tr>
      <w:tr w:rsidR="002A4630" w:rsidRPr="00252FB0" w:rsidTr="00964288">
        <w:trPr>
          <w:cantSplit/>
        </w:trPr>
        <w:tc>
          <w:tcPr>
            <w:tcW w:w="4253" w:type="dxa"/>
            <w:tcBorders>
              <w:top w:val="nil"/>
              <w:left w:val="nil"/>
              <w:bottom w:val="nil"/>
              <w:right w:val="nil"/>
            </w:tcBorders>
            <w:noWrap/>
            <w:vAlign w:val="bottom"/>
          </w:tcPr>
          <w:p w:rsidR="002A4630" w:rsidRPr="00252FB0" w:rsidRDefault="002A4630" w:rsidP="00637569">
            <w:pPr>
              <w:pStyle w:val="Heading1"/>
              <w:jc w:val="left"/>
              <w:rPr>
                <w:rFonts w:ascii="Times New Roman" w:hAnsi="Times New Roman"/>
                <w:sz w:val="20"/>
                <w:szCs w:val="20"/>
              </w:rPr>
            </w:pPr>
          </w:p>
        </w:tc>
        <w:tc>
          <w:tcPr>
            <w:tcW w:w="733" w:type="dxa"/>
            <w:tcBorders>
              <w:top w:val="nil"/>
              <w:left w:val="nil"/>
              <w:bottom w:val="nil"/>
              <w:right w:val="nil"/>
            </w:tcBorders>
            <w:noWrap/>
            <w:vAlign w:val="bottom"/>
          </w:tcPr>
          <w:p w:rsidR="002A4630" w:rsidRPr="00252FB0" w:rsidRDefault="002A4630" w:rsidP="00637569">
            <w:pPr>
              <w:jc w:val="center"/>
              <w:rPr>
                <w:rFonts w:ascii="Times New Roman" w:hAnsi="Times New Roman"/>
                <w:sz w:val="20"/>
                <w:szCs w:val="20"/>
              </w:rPr>
            </w:pPr>
          </w:p>
        </w:tc>
        <w:tc>
          <w:tcPr>
            <w:tcW w:w="1384" w:type="dxa"/>
            <w:tcBorders>
              <w:left w:val="nil"/>
              <w:right w:val="nil"/>
            </w:tcBorders>
            <w:noWrap/>
            <w:vAlign w:val="bottom"/>
          </w:tcPr>
          <w:p w:rsidR="002A4630" w:rsidRPr="00252FB0" w:rsidRDefault="002A4630" w:rsidP="00637569">
            <w:pPr>
              <w:ind w:right="57"/>
              <w:jc w:val="right"/>
              <w:rPr>
                <w:rFonts w:ascii="Times New Roman" w:hAnsi="Times New Roman"/>
                <w:b/>
                <w:bCs/>
                <w:sz w:val="20"/>
                <w:szCs w:val="20"/>
              </w:rPr>
            </w:pPr>
          </w:p>
        </w:tc>
        <w:tc>
          <w:tcPr>
            <w:tcW w:w="1307" w:type="dxa"/>
            <w:tcBorders>
              <w:left w:val="nil"/>
              <w:right w:val="nil"/>
            </w:tcBorders>
            <w:noWrap/>
            <w:vAlign w:val="bottom"/>
          </w:tcPr>
          <w:p w:rsidR="002A4630" w:rsidRPr="00252FB0" w:rsidRDefault="002A4630" w:rsidP="004307BF">
            <w:pPr>
              <w:tabs>
                <w:tab w:val="decimal" w:pos="1087"/>
              </w:tabs>
              <w:ind w:right="57"/>
              <w:rPr>
                <w:rFonts w:ascii="Times New Roman" w:hAnsi="Times New Roman"/>
                <w:b/>
                <w:bCs/>
                <w:sz w:val="20"/>
                <w:szCs w:val="20"/>
              </w:rPr>
            </w:pPr>
          </w:p>
        </w:tc>
        <w:tc>
          <w:tcPr>
            <w:tcW w:w="1305" w:type="dxa"/>
            <w:tcBorders>
              <w:left w:val="nil"/>
              <w:right w:val="nil"/>
            </w:tcBorders>
          </w:tcPr>
          <w:p w:rsidR="002A4630" w:rsidRPr="00252FB0" w:rsidRDefault="002A4630" w:rsidP="00637569">
            <w:pPr>
              <w:ind w:right="57"/>
              <w:jc w:val="right"/>
              <w:rPr>
                <w:rFonts w:ascii="Times New Roman" w:hAnsi="Times New Roman"/>
                <w:b/>
                <w:bCs/>
                <w:sz w:val="20"/>
                <w:szCs w:val="20"/>
              </w:rPr>
            </w:pPr>
          </w:p>
        </w:tc>
      </w:tr>
      <w:tr w:rsidR="00C84D94" w:rsidRPr="00252FB0" w:rsidTr="00590B67">
        <w:trPr>
          <w:cantSplit/>
        </w:trPr>
        <w:tc>
          <w:tcPr>
            <w:tcW w:w="4253" w:type="dxa"/>
            <w:tcBorders>
              <w:top w:val="nil"/>
              <w:left w:val="nil"/>
              <w:bottom w:val="nil"/>
              <w:right w:val="nil"/>
            </w:tcBorders>
            <w:noWrap/>
            <w:vAlign w:val="bottom"/>
          </w:tcPr>
          <w:p w:rsidR="00C84D94" w:rsidRPr="00252FB0" w:rsidRDefault="00C84D94">
            <w:pPr>
              <w:pStyle w:val="Heading1"/>
              <w:jc w:val="left"/>
              <w:rPr>
                <w:rFonts w:ascii="Times New Roman" w:hAnsi="Times New Roman"/>
                <w:sz w:val="20"/>
                <w:szCs w:val="20"/>
              </w:rPr>
            </w:pPr>
            <w:r w:rsidRPr="00252FB0">
              <w:rPr>
                <w:rFonts w:ascii="Times New Roman" w:hAnsi="Times New Roman"/>
                <w:sz w:val="20"/>
                <w:szCs w:val="20"/>
              </w:rPr>
              <w:t xml:space="preserve">At 1 </w:t>
            </w:r>
            <w:r>
              <w:rPr>
                <w:rFonts w:ascii="Times New Roman" w:hAnsi="Times New Roman"/>
                <w:sz w:val="20"/>
                <w:szCs w:val="20"/>
              </w:rPr>
              <w:t xml:space="preserve">January </w:t>
            </w:r>
            <w:r w:rsidRPr="00252FB0">
              <w:rPr>
                <w:rFonts w:ascii="Times New Roman" w:hAnsi="Times New Roman"/>
                <w:sz w:val="20"/>
                <w:szCs w:val="20"/>
              </w:rPr>
              <w:t>201</w:t>
            </w:r>
            <w:r>
              <w:rPr>
                <w:rFonts w:ascii="Times New Roman" w:hAnsi="Times New Roman"/>
                <w:sz w:val="20"/>
                <w:szCs w:val="20"/>
              </w:rPr>
              <w:t>7</w:t>
            </w:r>
          </w:p>
        </w:tc>
        <w:tc>
          <w:tcPr>
            <w:tcW w:w="733" w:type="dxa"/>
            <w:tcBorders>
              <w:top w:val="nil"/>
              <w:left w:val="nil"/>
              <w:bottom w:val="nil"/>
              <w:right w:val="nil"/>
            </w:tcBorders>
            <w:noWrap/>
            <w:vAlign w:val="bottom"/>
          </w:tcPr>
          <w:p w:rsidR="00C84D94" w:rsidRPr="00252FB0" w:rsidRDefault="00C84D94" w:rsidP="00637569">
            <w:pPr>
              <w:jc w:val="center"/>
              <w:rPr>
                <w:rFonts w:ascii="Times New Roman" w:hAnsi="Times New Roman"/>
                <w:sz w:val="20"/>
                <w:szCs w:val="20"/>
              </w:rPr>
            </w:pPr>
          </w:p>
        </w:tc>
        <w:tc>
          <w:tcPr>
            <w:tcW w:w="1384" w:type="dxa"/>
            <w:tcBorders>
              <w:left w:val="nil"/>
              <w:right w:val="nil"/>
            </w:tcBorders>
            <w:noWrap/>
            <w:vAlign w:val="bottom"/>
          </w:tcPr>
          <w:p w:rsidR="00C84D94" w:rsidRPr="00252FB0" w:rsidRDefault="00C84D94" w:rsidP="003B01CA">
            <w:pPr>
              <w:ind w:right="57"/>
              <w:jc w:val="right"/>
              <w:rPr>
                <w:rFonts w:ascii="Times New Roman" w:hAnsi="Times New Roman"/>
                <w:b/>
                <w:bCs/>
                <w:sz w:val="20"/>
                <w:szCs w:val="20"/>
              </w:rPr>
            </w:pPr>
            <w:r>
              <w:rPr>
                <w:rFonts w:ascii="Times New Roman" w:hAnsi="Times New Roman"/>
                <w:b/>
                <w:bCs/>
                <w:sz w:val="20"/>
                <w:szCs w:val="20"/>
              </w:rPr>
              <w:t>50,174,414</w:t>
            </w:r>
          </w:p>
        </w:tc>
        <w:tc>
          <w:tcPr>
            <w:tcW w:w="1307" w:type="dxa"/>
            <w:tcBorders>
              <w:left w:val="nil"/>
              <w:right w:val="nil"/>
            </w:tcBorders>
            <w:noWrap/>
            <w:vAlign w:val="bottom"/>
          </w:tcPr>
          <w:p w:rsidR="00C84D94" w:rsidRPr="00252FB0" w:rsidRDefault="00C84D94" w:rsidP="003B01CA">
            <w:pPr>
              <w:tabs>
                <w:tab w:val="decimal" w:pos="1229"/>
              </w:tabs>
              <w:ind w:right="-64"/>
              <w:rPr>
                <w:rFonts w:ascii="Times New Roman" w:hAnsi="Times New Roman"/>
                <w:b/>
                <w:bCs/>
                <w:sz w:val="20"/>
                <w:szCs w:val="20"/>
              </w:rPr>
            </w:pPr>
            <w:r>
              <w:rPr>
                <w:rFonts w:ascii="Times New Roman" w:hAnsi="Times New Roman"/>
                <w:b/>
                <w:bCs/>
                <w:sz w:val="20"/>
                <w:szCs w:val="20"/>
              </w:rPr>
              <w:t>76,530,559</w:t>
            </w:r>
          </w:p>
        </w:tc>
        <w:tc>
          <w:tcPr>
            <w:tcW w:w="1305" w:type="dxa"/>
            <w:tcBorders>
              <w:left w:val="nil"/>
              <w:right w:val="nil"/>
            </w:tcBorders>
            <w:vAlign w:val="bottom"/>
          </w:tcPr>
          <w:p w:rsidR="00C84D94" w:rsidRPr="00252FB0" w:rsidRDefault="00C84D94" w:rsidP="003B01CA">
            <w:pPr>
              <w:tabs>
                <w:tab w:val="decimal" w:pos="1198"/>
              </w:tabs>
              <w:rPr>
                <w:rFonts w:ascii="Times New Roman" w:hAnsi="Times New Roman"/>
                <w:b/>
                <w:bCs/>
                <w:sz w:val="20"/>
                <w:szCs w:val="20"/>
              </w:rPr>
            </w:pPr>
            <w:r>
              <w:rPr>
                <w:rFonts w:ascii="Times New Roman" w:hAnsi="Times New Roman"/>
                <w:b/>
                <w:bCs/>
                <w:sz w:val="20"/>
                <w:szCs w:val="20"/>
              </w:rPr>
              <w:t>126,704,973</w:t>
            </w:r>
          </w:p>
        </w:tc>
      </w:tr>
      <w:tr w:rsidR="00C84D94" w:rsidRPr="00252FB0" w:rsidTr="00964288">
        <w:trPr>
          <w:cantSplit/>
        </w:trPr>
        <w:tc>
          <w:tcPr>
            <w:tcW w:w="4253" w:type="dxa"/>
            <w:tcBorders>
              <w:top w:val="nil"/>
              <w:left w:val="nil"/>
              <w:bottom w:val="nil"/>
              <w:right w:val="nil"/>
            </w:tcBorders>
            <w:noWrap/>
            <w:vAlign w:val="bottom"/>
          </w:tcPr>
          <w:p w:rsidR="00C84D94" w:rsidRPr="00252FB0" w:rsidRDefault="00C84D94" w:rsidP="00637569">
            <w:pPr>
              <w:pStyle w:val="Heading1"/>
              <w:jc w:val="left"/>
              <w:rPr>
                <w:rFonts w:ascii="Times New Roman" w:hAnsi="Times New Roman"/>
                <w:sz w:val="20"/>
                <w:szCs w:val="20"/>
              </w:rPr>
            </w:pPr>
          </w:p>
        </w:tc>
        <w:tc>
          <w:tcPr>
            <w:tcW w:w="733" w:type="dxa"/>
            <w:tcBorders>
              <w:top w:val="nil"/>
              <w:left w:val="nil"/>
              <w:bottom w:val="nil"/>
              <w:right w:val="nil"/>
            </w:tcBorders>
            <w:noWrap/>
            <w:vAlign w:val="bottom"/>
          </w:tcPr>
          <w:p w:rsidR="00C84D94" w:rsidRPr="00252FB0" w:rsidRDefault="00C84D94" w:rsidP="00637569">
            <w:pPr>
              <w:jc w:val="center"/>
              <w:rPr>
                <w:rFonts w:ascii="Times New Roman" w:hAnsi="Times New Roman"/>
                <w:sz w:val="20"/>
                <w:szCs w:val="20"/>
              </w:rPr>
            </w:pPr>
          </w:p>
        </w:tc>
        <w:tc>
          <w:tcPr>
            <w:tcW w:w="1384" w:type="dxa"/>
            <w:tcBorders>
              <w:left w:val="nil"/>
              <w:right w:val="nil"/>
            </w:tcBorders>
            <w:noWrap/>
            <w:vAlign w:val="bottom"/>
          </w:tcPr>
          <w:p w:rsidR="00C84D94" w:rsidRPr="00252FB0" w:rsidRDefault="00C84D94" w:rsidP="003B01CA">
            <w:pPr>
              <w:ind w:right="57"/>
              <w:jc w:val="right"/>
              <w:rPr>
                <w:rFonts w:ascii="Times New Roman" w:hAnsi="Times New Roman"/>
                <w:b/>
                <w:bCs/>
                <w:sz w:val="20"/>
                <w:szCs w:val="20"/>
              </w:rPr>
            </w:pPr>
          </w:p>
        </w:tc>
        <w:tc>
          <w:tcPr>
            <w:tcW w:w="1307" w:type="dxa"/>
            <w:tcBorders>
              <w:left w:val="nil"/>
              <w:right w:val="nil"/>
            </w:tcBorders>
            <w:noWrap/>
            <w:vAlign w:val="bottom"/>
          </w:tcPr>
          <w:p w:rsidR="00C84D94" w:rsidRPr="00252FB0" w:rsidRDefault="00C84D94" w:rsidP="003B01CA">
            <w:pPr>
              <w:tabs>
                <w:tab w:val="decimal" w:pos="1229"/>
              </w:tabs>
              <w:ind w:right="-64"/>
              <w:rPr>
                <w:rFonts w:ascii="Times New Roman" w:hAnsi="Times New Roman"/>
                <w:b/>
                <w:bCs/>
                <w:sz w:val="20"/>
                <w:szCs w:val="20"/>
              </w:rPr>
            </w:pPr>
          </w:p>
        </w:tc>
        <w:tc>
          <w:tcPr>
            <w:tcW w:w="1305" w:type="dxa"/>
            <w:tcBorders>
              <w:left w:val="nil"/>
              <w:right w:val="nil"/>
            </w:tcBorders>
          </w:tcPr>
          <w:p w:rsidR="00C84D94" w:rsidRPr="00252FB0" w:rsidRDefault="00C84D94" w:rsidP="003B01CA">
            <w:pPr>
              <w:tabs>
                <w:tab w:val="decimal" w:pos="1198"/>
              </w:tabs>
              <w:ind w:right="57"/>
              <w:rPr>
                <w:rFonts w:ascii="Times New Roman" w:hAnsi="Times New Roman"/>
                <w:b/>
                <w:bCs/>
                <w:sz w:val="20"/>
                <w:szCs w:val="20"/>
              </w:rPr>
            </w:pPr>
          </w:p>
        </w:tc>
      </w:tr>
      <w:tr w:rsidR="00C84D94" w:rsidRPr="00252FB0" w:rsidTr="003B01CA">
        <w:trPr>
          <w:cantSplit/>
        </w:trPr>
        <w:tc>
          <w:tcPr>
            <w:tcW w:w="4253" w:type="dxa"/>
            <w:tcBorders>
              <w:top w:val="nil"/>
              <w:left w:val="nil"/>
              <w:bottom w:val="nil"/>
              <w:right w:val="nil"/>
            </w:tcBorders>
            <w:noWrap/>
            <w:vAlign w:val="bottom"/>
          </w:tcPr>
          <w:p w:rsidR="00C84D94" w:rsidRPr="00252FB0" w:rsidRDefault="00C84D94" w:rsidP="00637569">
            <w:pPr>
              <w:rPr>
                <w:rFonts w:ascii="Times New Roman" w:hAnsi="Times New Roman"/>
                <w:bCs/>
                <w:sz w:val="20"/>
                <w:szCs w:val="20"/>
              </w:rPr>
            </w:pPr>
            <w:r>
              <w:rPr>
                <w:rFonts w:ascii="Times New Roman" w:hAnsi="Times New Roman"/>
                <w:bCs/>
                <w:sz w:val="20"/>
                <w:szCs w:val="20"/>
              </w:rPr>
              <w:t>Profit</w:t>
            </w:r>
            <w:r w:rsidRPr="00252FB0">
              <w:rPr>
                <w:rFonts w:ascii="Times New Roman" w:hAnsi="Times New Roman"/>
                <w:bCs/>
                <w:sz w:val="20"/>
                <w:szCs w:val="20"/>
              </w:rPr>
              <w:t xml:space="preserve"> for the year</w:t>
            </w:r>
          </w:p>
        </w:tc>
        <w:tc>
          <w:tcPr>
            <w:tcW w:w="733" w:type="dxa"/>
            <w:tcBorders>
              <w:top w:val="nil"/>
              <w:left w:val="nil"/>
              <w:bottom w:val="nil"/>
              <w:right w:val="nil"/>
            </w:tcBorders>
            <w:noWrap/>
            <w:vAlign w:val="bottom"/>
          </w:tcPr>
          <w:p w:rsidR="00C84D94" w:rsidRPr="00252FB0" w:rsidRDefault="00C84D94" w:rsidP="00637569">
            <w:pPr>
              <w:jc w:val="center"/>
              <w:rPr>
                <w:rFonts w:ascii="Times New Roman" w:hAnsi="Times New Roman"/>
                <w:sz w:val="20"/>
                <w:szCs w:val="20"/>
              </w:rPr>
            </w:pPr>
          </w:p>
        </w:tc>
        <w:tc>
          <w:tcPr>
            <w:tcW w:w="1384" w:type="dxa"/>
            <w:tcBorders>
              <w:left w:val="nil"/>
              <w:right w:val="nil"/>
            </w:tcBorders>
            <w:noWrap/>
            <w:vAlign w:val="bottom"/>
          </w:tcPr>
          <w:p w:rsidR="00C84D94" w:rsidRPr="00252FB0" w:rsidRDefault="00C84D94" w:rsidP="003B01CA">
            <w:pPr>
              <w:ind w:right="57"/>
              <w:jc w:val="right"/>
              <w:rPr>
                <w:rFonts w:ascii="Times New Roman" w:hAnsi="Times New Roman"/>
                <w:bCs/>
                <w:sz w:val="20"/>
                <w:szCs w:val="20"/>
              </w:rPr>
            </w:pPr>
            <w:r>
              <w:rPr>
                <w:rFonts w:ascii="Times New Roman" w:hAnsi="Times New Roman"/>
                <w:bCs/>
                <w:sz w:val="20"/>
                <w:szCs w:val="20"/>
              </w:rPr>
              <w:t>-</w:t>
            </w:r>
          </w:p>
        </w:tc>
        <w:tc>
          <w:tcPr>
            <w:tcW w:w="1307" w:type="dxa"/>
            <w:tcBorders>
              <w:left w:val="nil"/>
              <w:right w:val="nil"/>
            </w:tcBorders>
            <w:noWrap/>
          </w:tcPr>
          <w:p w:rsidR="00C84D94" w:rsidRPr="00252FB0" w:rsidRDefault="00C84D94" w:rsidP="003B01CA">
            <w:pPr>
              <w:tabs>
                <w:tab w:val="decimal" w:pos="1229"/>
              </w:tabs>
              <w:ind w:right="-64"/>
              <w:rPr>
                <w:rFonts w:ascii="Times New Roman" w:hAnsi="Times New Roman"/>
                <w:sz w:val="20"/>
              </w:rPr>
            </w:pPr>
            <w:r>
              <w:rPr>
                <w:rFonts w:ascii="Times New Roman" w:hAnsi="Times New Roman"/>
                <w:sz w:val="20"/>
              </w:rPr>
              <w:t>1,378,538</w:t>
            </w:r>
          </w:p>
        </w:tc>
        <w:tc>
          <w:tcPr>
            <w:tcW w:w="1305" w:type="dxa"/>
            <w:tcBorders>
              <w:left w:val="nil"/>
              <w:right w:val="nil"/>
            </w:tcBorders>
          </w:tcPr>
          <w:p w:rsidR="00C84D94" w:rsidRPr="00252FB0" w:rsidRDefault="00C84D94" w:rsidP="003B01CA">
            <w:pPr>
              <w:tabs>
                <w:tab w:val="decimal" w:pos="1198"/>
              </w:tabs>
              <w:ind w:right="57"/>
              <w:rPr>
                <w:rFonts w:ascii="Times New Roman" w:hAnsi="Times New Roman"/>
                <w:bCs/>
                <w:sz w:val="20"/>
                <w:szCs w:val="20"/>
              </w:rPr>
            </w:pPr>
            <w:r>
              <w:rPr>
                <w:rFonts w:ascii="Times New Roman" w:hAnsi="Times New Roman"/>
                <w:bCs/>
                <w:sz w:val="20"/>
                <w:szCs w:val="20"/>
              </w:rPr>
              <w:t>1,378,538</w:t>
            </w:r>
          </w:p>
        </w:tc>
      </w:tr>
      <w:tr w:rsidR="00C84D94" w:rsidRPr="00252FB0" w:rsidTr="00964288">
        <w:trPr>
          <w:cantSplit/>
        </w:trPr>
        <w:tc>
          <w:tcPr>
            <w:tcW w:w="4253" w:type="dxa"/>
            <w:tcBorders>
              <w:top w:val="nil"/>
              <w:left w:val="nil"/>
              <w:bottom w:val="nil"/>
              <w:right w:val="nil"/>
            </w:tcBorders>
            <w:noWrap/>
            <w:vAlign w:val="bottom"/>
          </w:tcPr>
          <w:p w:rsidR="00C84D94" w:rsidRPr="00252FB0" w:rsidRDefault="00C84D94" w:rsidP="00637569">
            <w:pPr>
              <w:rPr>
                <w:rFonts w:ascii="Times New Roman" w:hAnsi="Times New Roman"/>
                <w:bCs/>
                <w:sz w:val="20"/>
                <w:szCs w:val="20"/>
              </w:rPr>
            </w:pPr>
            <w:bookmarkStart w:id="39" w:name="OLE_LINK43"/>
            <w:r>
              <w:rPr>
                <w:rFonts w:ascii="Times New Roman" w:hAnsi="Times New Roman"/>
                <w:bCs/>
                <w:sz w:val="20"/>
                <w:szCs w:val="20"/>
              </w:rPr>
              <w:t>Repurchase of shares</w:t>
            </w:r>
            <w:bookmarkEnd w:id="39"/>
          </w:p>
        </w:tc>
        <w:tc>
          <w:tcPr>
            <w:tcW w:w="733" w:type="dxa"/>
            <w:tcBorders>
              <w:top w:val="nil"/>
              <w:left w:val="nil"/>
              <w:bottom w:val="nil"/>
              <w:right w:val="nil"/>
            </w:tcBorders>
            <w:noWrap/>
            <w:vAlign w:val="bottom"/>
          </w:tcPr>
          <w:p w:rsidR="00C84D94" w:rsidRPr="00252FB0" w:rsidRDefault="00C84D94" w:rsidP="00637569">
            <w:pPr>
              <w:jc w:val="center"/>
              <w:rPr>
                <w:rFonts w:ascii="Times New Roman" w:hAnsi="Times New Roman"/>
                <w:sz w:val="20"/>
                <w:szCs w:val="20"/>
              </w:rPr>
            </w:pPr>
          </w:p>
        </w:tc>
        <w:tc>
          <w:tcPr>
            <w:tcW w:w="1384" w:type="dxa"/>
            <w:tcBorders>
              <w:left w:val="nil"/>
              <w:right w:val="nil"/>
            </w:tcBorders>
            <w:noWrap/>
            <w:vAlign w:val="bottom"/>
          </w:tcPr>
          <w:p w:rsidR="00C84D94" w:rsidRPr="00252FB0" w:rsidRDefault="00C84D94" w:rsidP="003B01CA">
            <w:pPr>
              <w:ind w:right="57"/>
              <w:jc w:val="right"/>
              <w:rPr>
                <w:rFonts w:ascii="Times New Roman" w:hAnsi="Times New Roman"/>
                <w:bCs/>
                <w:sz w:val="20"/>
                <w:szCs w:val="20"/>
              </w:rPr>
            </w:pPr>
            <w:r>
              <w:rPr>
                <w:rFonts w:ascii="Times New Roman" w:hAnsi="Times New Roman"/>
                <w:bCs/>
                <w:sz w:val="20"/>
                <w:szCs w:val="20"/>
              </w:rPr>
              <w:t>(470,000)</w:t>
            </w:r>
          </w:p>
        </w:tc>
        <w:tc>
          <w:tcPr>
            <w:tcW w:w="1307" w:type="dxa"/>
            <w:tcBorders>
              <w:left w:val="nil"/>
              <w:right w:val="nil"/>
            </w:tcBorders>
            <w:noWrap/>
          </w:tcPr>
          <w:p w:rsidR="00C84D94" w:rsidRPr="00252FB0" w:rsidRDefault="00C84D94" w:rsidP="003B01CA">
            <w:pPr>
              <w:tabs>
                <w:tab w:val="decimal" w:pos="1229"/>
              </w:tabs>
              <w:ind w:right="-64"/>
              <w:rPr>
                <w:rFonts w:ascii="Times New Roman" w:hAnsi="Times New Roman"/>
                <w:sz w:val="20"/>
              </w:rPr>
            </w:pPr>
            <w:r>
              <w:rPr>
                <w:rFonts w:ascii="Times New Roman" w:hAnsi="Times New Roman"/>
                <w:sz w:val="20"/>
              </w:rPr>
              <w:t>-</w:t>
            </w:r>
          </w:p>
        </w:tc>
        <w:tc>
          <w:tcPr>
            <w:tcW w:w="1305" w:type="dxa"/>
            <w:tcBorders>
              <w:left w:val="nil"/>
              <w:right w:val="nil"/>
            </w:tcBorders>
          </w:tcPr>
          <w:p w:rsidR="00C84D94" w:rsidRPr="00252FB0" w:rsidRDefault="00C84D94" w:rsidP="003B01CA">
            <w:pPr>
              <w:tabs>
                <w:tab w:val="decimal" w:pos="1198"/>
              </w:tabs>
              <w:ind w:right="57"/>
              <w:rPr>
                <w:rFonts w:ascii="Times New Roman" w:hAnsi="Times New Roman"/>
                <w:bCs/>
                <w:sz w:val="20"/>
                <w:szCs w:val="20"/>
              </w:rPr>
            </w:pPr>
            <w:r>
              <w:rPr>
                <w:rFonts w:ascii="Times New Roman" w:hAnsi="Times New Roman"/>
                <w:bCs/>
                <w:sz w:val="20"/>
                <w:szCs w:val="20"/>
              </w:rPr>
              <w:t>(470,000)</w:t>
            </w:r>
          </w:p>
        </w:tc>
      </w:tr>
      <w:tr w:rsidR="00C84D94" w:rsidRPr="00252FB0" w:rsidTr="00460791">
        <w:trPr>
          <w:cantSplit/>
        </w:trPr>
        <w:tc>
          <w:tcPr>
            <w:tcW w:w="4253" w:type="dxa"/>
            <w:tcBorders>
              <w:top w:val="nil"/>
              <w:left w:val="nil"/>
              <w:bottom w:val="nil"/>
              <w:right w:val="nil"/>
            </w:tcBorders>
            <w:noWrap/>
            <w:vAlign w:val="bottom"/>
          </w:tcPr>
          <w:p w:rsidR="00C84D94" w:rsidRPr="00252FB0" w:rsidRDefault="00C84D94" w:rsidP="00C41D63">
            <w:pPr>
              <w:rPr>
                <w:rFonts w:ascii="Times New Roman" w:hAnsi="Times New Roman"/>
                <w:bCs/>
                <w:sz w:val="20"/>
                <w:szCs w:val="20"/>
              </w:rPr>
            </w:pPr>
            <w:r w:rsidRPr="00252FB0">
              <w:rPr>
                <w:rFonts w:ascii="Times New Roman" w:hAnsi="Times New Roman"/>
                <w:bCs/>
                <w:sz w:val="20"/>
                <w:szCs w:val="20"/>
              </w:rPr>
              <w:t>Dividends</w:t>
            </w:r>
          </w:p>
        </w:tc>
        <w:tc>
          <w:tcPr>
            <w:tcW w:w="733" w:type="dxa"/>
            <w:tcBorders>
              <w:top w:val="nil"/>
              <w:left w:val="nil"/>
              <w:bottom w:val="nil"/>
              <w:right w:val="nil"/>
            </w:tcBorders>
            <w:noWrap/>
            <w:vAlign w:val="bottom"/>
          </w:tcPr>
          <w:p w:rsidR="00C84D94" w:rsidRPr="00252FB0" w:rsidRDefault="00C84D94" w:rsidP="0075234A">
            <w:pPr>
              <w:jc w:val="center"/>
              <w:rPr>
                <w:rFonts w:ascii="Times New Roman" w:hAnsi="Times New Roman"/>
                <w:sz w:val="20"/>
                <w:szCs w:val="20"/>
              </w:rPr>
            </w:pPr>
            <w:r w:rsidRPr="00252FB0">
              <w:rPr>
                <w:rFonts w:ascii="Times New Roman" w:hAnsi="Times New Roman"/>
                <w:sz w:val="20"/>
                <w:szCs w:val="20"/>
              </w:rPr>
              <w:t>11</w:t>
            </w:r>
          </w:p>
        </w:tc>
        <w:tc>
          <w:tcPr>
            <w:tcW w:w="1384" w:type="dxa"/>
            <w:tcBorders>
              <w:left w:val="nil"/>
              <w:right w:val="nil"/>
            </w:tcBorders>
            <w:noWrap/>
            <w:vAlign w:val="bottom"/>
          </w:tcPr>
          <w:p w:rsidR="00C84D94" w:rsidRPr="00252FB0" w:rsidRDefault="00C84D94" w:rsidP="003B01CA">
            <w:pPr>
              <w:ind w:right="57"/>
              <w:jc w:val="right"/>
              <w:rPr>
                <w:rFonts w:ascii="Times New Roman" w:hAnsi="Times New Roman"/>
                <w:bCs/>
                <w:sz w:val="20"/>
                <w:szCs w:val="20"/>
              </w:rPr>
            </w:pPr>
            <w:r w:rsidRPr="00252FB0">
              <w:rPr>
                <w:rFonts w:ascii="Times New Roman" w:hAnsi="Times New Roman"/>
                <w:bCs/>
                <w:sz w:val="20"/>
                <w:szCs w:val="20"/>
              </w:rPr>
              <w:t>-</w:t>
            </w:r>
          </w:p>
        </w:tc>
        <w:tc>
          <w:tcPr>
            <w:tcW w:w="1307" w:type="dxa"/>
            <w:tcBorders>
              <w:left w:val="nil"/>
              <w:right w:val="nil"/>
            </w:tcBorders>
            <w:noWrap/>
            <w:vAlign w:val="bottom"/>
          </w:tcPr>
          <w:p w:rsidR="00C84D94" w:rsidRPr="00252FB0" w:rsidRDefault="00C84D94" w:rsidP="003B01CA">
            <w:pPr>
              <w:tabs>
                <w:tab w:val="decimal" w:pos="1229"/>
              </w:tabs>
              <w:ind w:right="-64"/>
              <w:rPr>
                <w:rFonts w:ascii="Times New Roman" w:hAnsi="Times New Roman"/>
                <w:sz w:val="20"/>
              </w:rPr>
            </w:pPr>
            <w:r>
              <w:rPr>
                <w:rFonts w:ascii="Times New Roman" w:hAnsi="Times New Roman"/>
                <w:sz w:val="20"/>
              </w:rPr>
              <w:t>(5,381,981)</w:t>
            </w:r>
          </w:p>
        </w:tc>
        <w:tc>
          <w:tcPr>
            <w:tcW w:w="1305" w:type="dxa"/>
            <w:tcBorders>
              <w:left w:val="nil"/>
              <w:right w:val="nil"/>
            </w:tcBorders>
            <w:vAlign w:val="bottom"/>
          </w:tcPr>
          <w:p w:rsidR="00C84D94" w:rsidRPr="00252FB0" w:rsidRDefault="00C84D94" w:rsidP="00E54387">
            <w:pPr>
              <w:tabs>
                <w:tab w:val="decimal" w:pos="1198"/>
              </w:tabs>
              <w:ind w:right="57"/>
              <w:rPr>
                <w:rFonts w:ascii="Times New Roman" w:hAnsi="Times New Roman"/>
                <w:sz w:val="20"/>
              </w:rPr>
            </w:pPr>
            <w:r w:rsidRPr="00476BB8">
              <w:rPr>
                <w:rFonts w:ascii="Times New Roman" w:hAnsi="Times New Roman"/>
                <w:bCs/>
                <w:sz w:val="20"/>
                <w:szCs w:val="20"/>
              </w:rPr>
              <w:t>(5,381,981)</w:t>
            </w:r>
          </w:p>
        </w:tc>
      </w:tr>
      <w:tr w:rsidR="0034498D" w:rsidRPr="00252FB0" w:rsidTr="00B74D7C">
        <w:trPr>
          <w:cantSplit/>
        </w:trPr>
        <w:tc>
          <w:tcPr>
            <w:tcW w:w="4253" w:type="dxa"/>
            <w:tcBorders>
              <w:top w:val="nil"/>
              <w:left w:val="nil"/>
              <w:bottom w:val="nil"/>
              <w:right w:val="nil"/>
            </w:tcBorders>
            <w:noWrap/>
            <w:vAlign w:val="bottom"/>
          </w:tcPr>
          <w:p w:rsidR="0034498D" w:rsidRPr="00252FB0" w:rsidRDefault="0034498D" w:rsidP="00637569">
            <w:pPr>
              <w:rPr>
                <w:rFonts w:ascii="Times New Roman" w:hAnsi="Times New Roman"/>
                <w:b/>
                <w:bCs/>
                <w:sz w:val="20"/>
                <w:szCs w:val="20"/>
              </w:rPr>
            </w:pPr>
          </w:p>
        </w:tc>
        <w:tc>
          <w:tcPr>
            <w:tcW w:w="733" w:type="dxa"/>
            <w:tcBorders>
              <w:top w:val="nil"/>
              <w:left w:val="nil"/>
              <w:bottom w:val="nil"/>
              <w:right w:val="nil"/>
            </w:tcBorders>
            <w:noWrap/>
            <w:vAlign w:val="bottom"/>
          </w:tcPr>
          <w:p w:rsidR="0034498D" w:rsidRPr="00252FB0" w:rsidRDefault="0034498D" w:rsidP="00637569">
            <w:pPr>
              <w:jc w:val="center"/>
              <w:rPr>
                <w:rFonts w:ascii="Times New Roman" w:hAnsi="Times New Roman"/>
                <w:sz w:val="20"/>
                <w:szCs w:val="20"/>
              </w:rPr>
            </w:pPr>
          </w:p>
        </w:tc>
        <w:tc>
          <w:tcPr>
            <w:tcW w:w="1384" w:type="dxa"/>
            <w:tcBorders>
              <w:left w:val="nil"/>
              <w:bottom w:val="single" w:sz="4" w:space="0" w:color="auto"/>
              <w:right w:val="nil"/>
            </w:tcBorders>
            <w:noWrap/>
            <w:vAlign w:val="bottom"/>
          </w:tcPr>
          <w:p w:rsidR="0034498D" w:rsidRPr="00252FB0" w:rsidRDefault="0034498D" w:rsidP="003B01CA">
            <w:pPr>
              <w:ind w:right="57"/>
              <w:jc w:val="right"/>
              <w:rPr>
                <w:rFonts w:ascii="Times New Roman" w:hAnsi="Times New Roman"/>
                <w:b/>
                <w:bCs/>
                <w:sz w:val="20"/>
                <w:szCs w:val="20"/>
              </w:rPr>
            </w:pPr>
          </w:p>
        </w:tc>
        <w:tc>
          <w:tcPr>
            <w:tcW w:w="1307" w:type="dxa"/>
            <w:tcBorders>
              <w:left w:val="nil"/>
              <w:bottom w:val="single" w:sz="4" w:space="0" w:color="auto"/>
              <w:right w:val="nil"/>
            </w:tcBorders>
            <w:noWrap/>
            <w:vAlign w:val="bottom"/>
          </w:tcPr>
          <w:p w:rsidR="0034498D" w:rsidRPr="00252FB0" w:rsidRDefault="0034498D" w:rsidP="003B01CA">
            <w:pPr>
              <w:tabs>
                <w:tab w:val="decimal" w:pos="1229"/>
              </w:tabs>
              <w:ind w:right="-64"/>
              <w:rPr>
                <w:rFonts w:ascii="Times New Roman" w:hAnsi="Times New Roman"/>
                <w:b/>
                <w:bCs/>
                <w:sz w:val="20"/>
                <w:szCs w:val="20"/>
              </w:rPr>
            </w:pPr>
          </w:p>
        </w:tc>
        <w:tc>
          <w:tcPr>
            <w:tcW w:w="1305" w:type="dxa"/>
            <w:tcBorders>
              <w:left w:val="nil"/>
              <w:bottom w:val="single" w:sz="4" w:space="0" w:color="auto"/>
              <w:right w:val="nil"/>
            </w:tcBorders>
          </w:tcPr>
          <w:p w:rsidR="0034498D" w:rsidRPr="00252FB0" w:rsidRDefault="0034498D" w:rsidP="003B01CA">
            <w:pPr>
              <w:tabs>
                <w:tab w:val="decimal" w:pos="1198"/>
              </w:tabs>
              <w:rPr>
                <w:rFonts w:ascii="Times New Roman" w:hAnsi="Times New Roman"/>
                <w:b/>
                <w:bCs/>
                <w:sz w:val="20"/>
                <w:szCs w:val="20"/>
              </w:rPr>
            </w:pPr>
          </w:p>
        </w:tc>
      </w:tr>
      <w:tr w:rsidR="00C84D94" w:rsidRPr="00252FB0" w:rsidTr="00460791">
        <w:trPr>
          <w:cantSplit/>
        </w:trPr>
        <w:tc>
          <w:tcPr>
            <w:tcW w:w="4253" w:type="dxa"/>
            <w:tcBorders>
              <w:top w:val="nil"/>
              <w:left w:val="nil"/>
              <w:bottom w:val="nil"/>
              <w:right w:val="nil"/>
            </w:tcBorders>
            <w:noWrap/>
            <w:vAlign w:val="bottom"/>
          </w:tcPr>
          <w:p w:rsidR="00C84D94" w:rsidRPr="00252FB0" w:rsidRDefault="00C84D94">
            <w:pPr>
              <w:pStyle w:val="Heading1"/>
              <w:jc w:val="left"/>
              <w:rPr>
                <w:rFonts w:ascii="Times New Roman" w:hAnsi="Times New Roman"/>
                <w:sz w:val="20"/>
                <w:szCs w:val="20"/>
              </w:rPr>
            </w:pPr>
            <w:r w:rsidRPr="00252FB0">
              <w:rPr>
                <w:rFonts w:ascii="Times New Roman" w:hAnsi="Times New Roman"/>
                <w:sz w:val="20"/>
                <w:szCs w:val="20"/>
              </w:rPr>
              <w:t>At 31 December 201</w:t>
            </w:r>
            <w:r>
              <w:rPr>
                <w:rFonts w:ascii="Times New Roman" w:hAnsi="Times New Roman"/>
                <w:sz w:val="20"/>
                <w:szCs w:val="20"/>
              </w:rPr>
              <w:t>7</w:t>
            </w:r>
          </w:p>
        </w:tc>
        <w:tc>
          <w:tcPr>
            <w:tcW w:w="733" w:type="dxa"/>
            <w:tcBorders>
              <w:top w:val="nil"/>
              <w:left w:val="nil"/>
              <w:bottom w:val="nil"/>
              <w:right w:val="nil"/>
            </w:tcBorders>
            <w:noWrap/>
            <w:vAlign w:val="bottom"/>
          </w:tcPr>
          <w:p w:rsidR="00C84D94" w:rsidRPr="00252FB0" w:rsidRDefault="00C84D94" w:rsidP="00637569">
            <w:pPr>
              <w:jc w:val="center"/>
              <w:rPr>
                <w:rFonts w:ascii="Times New Roman" w:hAnsi="Times New Roman"/>
                <w:sz w:val="20"/>
                <w:szCs w:val="20"/>
              </w:rPr>
            </w:pPr>
          </w:p>
        </w:tc>
        <w:tc>
          <w:tcPr>
            <w:tcW w:w="1384" w:type="dxa"/>
            <w:tcBorders>
              <w:top w:val="single" w:sz="4" w:space="0" w:color="auto"/>
              <w:left w:val="nil"/>
              <w:right w:val="nil"/>
            </w:tcBorders>
            <w:noWrap/>
            <w:vAlign w:val="bottom"/>
          </w:tcPr>
          <w:p w:rsidR="00C84D94" w:rsidRPr="00252FB0" w:rsidRDefault="00C84D94" w:rsidP="003B01CA">
            <w:pPr>
              <w:ind w:right="57"/>
              <w:jc w:val="right"/>
              <w:rPr>
                <w:rFonts w:ascii="Times New Roman" w:hAnsi="Times New Roman"/>
                <w:b/>
                <w:bCs/>
                <w:sz w:val="20"/>
                <w:szCs w:val="20"/>
              </w:rPr>
            </w:pPr>
            <w:r>
              <w:rPr>
                <w:rFonts w:ascii="Times New Roman" w:hAnsi="Times New Roman"/>
                <w:b/>
                <w:bCs/>
                <w:sz w:val="20"/>
                <w:szCs w:val="20"/>
              </w:rPr>
              <w:t>49,704,414</w:t>
            </w:r>
          </w:p>
        </w:tc>
        <w:tc>
          <w:tcPr>
            <w:tcW w:w="1307" w:type="dxa"/>
            <w:tcBorders>
              <w:top w:val="single" w:sz="4" w:space="0" w:color="auto"/>
              <w:left w:val="nil"/>
              <w:right w:val="nil"/>
            </w:tcBorders>
            <w:noWrap/>
            <w:vAlign w:val="bottom"/>
          </w:tcPr>
          <w:p w:rsidR="00C84D94" w:rsidRPr="00252FB0" w:rsidRDefault="00C84D94" w:rsidP="003B01CA">
            <w:pPr>
              <w:tabs>
                <w:tab w:val="decimal" w:pos="1229"/>
              </w:tabs>
              <w:ind w:right="-64"/>
              <w:rPr>
                <w:rFonts w:ascii="Times New Roman" w:hAnsi="Times New Roman"/>
                <w:b/>
                <w:bCs/>
                <w:sz w:val="20"/>
                <w:szCs w:val="20"/>
              </w:rPr>
            </w:pPr>
            <w:r>
              <w:rPr>
                <w:rFonts w:ascii="Times New Roman" w:hAnsi="Times New Roman"/>
                <w:b/>
                <w:bCs/>
                <w:sz w:val="20"/>
                <w:szCs w:val="20"/>
              </w:rPr>
              <w:t>72,527,116</w:t>
            </w:r>
          </w:p>
        </w:tc>
        <w:tc>
          <w:tcPr>
            <w:tcW w:w="1305" w:type="dxa"/>
            <w:tcBorders>
              <w:top w:val="single" w:sz="4" w:space="0" w:color="auto"/>
              <w:left w:val="nil"/>
              <w:right w:val="nil"/>
            </w:tcBorders>
            <w:vAlign w:val="bottom"/>
          </w:tcPr>
          <w:p w:rsidR="00C84D94" w:rsidRPr="00252FB0" w:rsidRDefault="00C84D94" w:rsidP="00D54AA3">
            <w:pPr>
              <w:tabs>
                <w:tab w:val="decimal" w:pos="1198"/>
              </w:tabs>
              <w:rPr>
                <w:rFonts w:ascii="Times New Roman" w:hAnsi="Times New Roman"/>
                <w:b/>
                <w:bCs/>
                <w:sz w:val="20"/>
                <w:szCs w:val="20"/>
              </w:rPr>
            </w:pPr>
            <w:r>
              <w:rPr>
                <w:rFonts w:ascii="Times New Roman" w:hAnsi="Times New Roman"/>
                <w:b/>
                <w:bCs/>
                <w:sz w:val="20"/>
                <w:szCs w:val="20"/>
              </w:rPr>
              <w:t>122,231,530</w:t>
            </w:r>
          </w:p>
        </w:tc>
      </w:tr>
      <w:tr w:rsidR="00460791" w:rsidRPr="00252FB0" w:rsidTr="00964288">
        <w:trPr>
          <w:cantSplit/>
        </w:trPr>
        <w:tc>
          <w:tcPr>
            <w:tcW w:w="4253" w:type="dxa"/>
            <w:tcBorders>
              <w:top w:val="nil"/>
              <w:left w:val="nil"/>
              <w:bottom w:val="nil"/>
              <w:right w:val="nil"/>
            </w:tcBorders>
            <w:noWrap/>
            <w:vAlign w:val="bottom"/>
          </w:tcPr>
          <w:p w:rsidR="00460791" w:rsidRPr="00252FB0" w:rsidRDefault="00460791" w:rsidP="00637569">
            <w:pPr>
              <w:pStyle w:val="Heading1"/>
              <w:jc w:val="left"/>
              <w:rPr>
                <w:rFonts w:ascii="Times New Roman" w:hAnsi="Times New Roman"/>
                <w:sz w:val="20"/>
                <w:szCs w:val="20"/>
              </w:rPr>
            </w:pPr>
          </w:p>
        </w:tc>
        <w:tc>
          <w:tcPr>
            <w:tcW w:w="733" w:type="dxa"/>
            <w:tcBorders>
              <w:top w:val="nil"/>
              <w:left w:val="nil"/>
              <w:bottom w:val="nil"/>
              <w:right w:val="nil"/>
            </w:tcBorders>
            <w:noWrap/>
            <w:vAlign w:val="bottom"/>
          </w:tcPr>
          <w:p w:rsidR="00460791" w:rsidRPr="00252FB0" w:rsidRDefault="00460791" w:rsidP="00637569">
            <w:pPr>
              <w:jc w:val="center"/>
              <w:rPr>
                <w:rFonts w:ascii="Times New Roman" w:hAnsi="Times New Roman"/>
                <w:sz w:val="20"/>
                <w:szCs w:val="20"/>
              </w:rPr>
            </w:pPr>
          </w:p>
        </w:tc>
        <w:tc>
          <w:tcPr>
            <w:tcW w:w="1384" w:type="dxa"/>
            <w:tcBorders>
              <w:left w:val="nil"/>
              <w:right w:val="nil"/>
            </w:tcBorders>
            <w:noWrap/>
            <w:vAlign w:val="bottom"/>
          </w:tcPr>
          <w:p w:rsidR="00460791" w:rsidRPr="00252FB0" w:rsidRDefault="00460791" w:rsidP="00637569">
            <w:pPr>
              <w:ind w:right="57"/>
              <w:jc w:val="right"/>
              <w:rPr>
                <w:rFonts w:ascii="Times New Roman" w:hAnsi="Times New Roman"/>
                <w:b/>
                <w:bCs/>
                <w:sz w:val="20"/>
                <w:szCs w:val="20"/>
              </w:rPr>
            </w:pPr>
          </w:p>
        </w:tc>
        <w:tc>
          <w:tcPr>
            <w:tcW w:w="1307" w:type="dxa"/>
            <w:tcBorders>
              <w:left w:val="nil"/>
              <w:right w:val="nil"/>
            </w:tcBorders>
            <w:noWrap/>
            <w:vAlign w:val="bottom"/>
          </w:tcPr>
          <w:p w:rsidR="00460791" w:rsidRPr="00252FB0" w:rsidRDefault="00460791" w:rsidP="004307BF">
            <w:pPr>
              <w:tabs>
                <w:tab w:val="decimal" w:pos="1229"/>
              </w:tabs>
              <w:ind w:right="-64"/>
              <w:rPr>
                <w:rFonts w:ascii="Times New Roman" w:hAnsi="Times New Roman"/>
                <w:b/>
                <w:bCs/>
                <w:sz w:val="20"/>
                <w:szCs w:val="20"/>
              </w:rPr>
            </w:pPr>
          </w:p>
        </w:tc>
        <w:tc>
          <w:tcPr>
            <w:tcW w:w="1305" w:type="dxa"/>
            <w:tcBorders>
              <w:left w:val="nil"/>
              <w:right w:val="nil"/>
            </w:tcBorders>
          </w:tcPr>
          <w:p w:rsidR="00460791" w:rsidRPr="00252FB0" w:rsidRDefault="00460791" w:rsidP="00F01D4B">
            <w:pPr>
              <w:tabs>
                <w:tab w:val="decimal" w:pos="1198"/>
              </w:tabs>
              <w:ind w:right="57"/>
              <w:rPr>
                <w:rFonts w:ascii="Times New Roman" w:hAnsi="Times New Roman"/>
                <w:b/>
                <w:bCs/>
                <w:sz w:val="20"/>
                <w:szCs w:val="20"/>
              </w:rPr>
            </w:pPr>
          </w:p>
        </w:tc>
      </w:tr>
      <w:tr w:rsidR="00D54AA3" w:rsidRPr="00252FB0" w:rsidTr="00964288">
        <w:trPr>
          <w:cantSplit/>
        </w:trPr>
        <w:tc>
          <w:tcPr>
            <w:tcW w:w="4253" w:type="dxa"/>
            <w:tcBorders>
              <w:top w:val="nil"/>
              <w:left w:val="nil"/>
              <w:bottom w:val="nil"/>
              <w:right w:val="nil"/>
            </w:tcBorders>
            <w:noWrap/>
            <w:vAlign w:val="bottom"/>
          </w:tcPr>
          <w:p w:rsidR="00D54AA3" w:rsidRPr="00252FB0" w:rsidRDefault="00963D05">
            <w:pPr>
              <w:rPr>
                <w:rFonts w:ascii="Times New Roman" w:hAnsi="Times New Roman"/>
                <w:bCs/>
                <w:sz w:val="20"/>
                <w:szCs w:val="20"/>
              </w:rPr>
            </w:pPr>
            <w:r>
              <w:rPr>
                <w:rFonts w:ascii="Times New Roman" w:hAnsi="Times New Roman"/>
                <w:bCs/>
                <w:sz w:val="20"/>
                <w:szCs w:val="20"/>
              </w:rPr>
              <w:t>Loss</w:t>
            </w:r>
            <w:r w:rsidR="00D54AA3" w:rsidRPr="00252FB0">
              <w:rPr>
                <w:rFonts w:ascii="Times New Roman" w:hAnsi="Times New Roman"/>
                <w:bCs/>
                <w:sz w:val="20"/>
                <w:szCs w:val="20"/>
              </w:rPr>
              <w:t xml:space="preserve"> for the year</w:t>
            </w:r>
          </w:p>
        </w:tc>
        <w:tc>
          <w:tcPr>
            <w:tcW w:w="733" w:type="dxa"/>
            <w:tcBorders>
              <w:top w:val="nil"/>
              <w:left w:val="nil"/>
              <w:bottom w:val="nil"/>
              <w:right w:val="nil"/>
            </w:tcBorders>
            <w:noWrap/>
            <w:vAlign w:val="bottom"/>
          </w:tcPr>
          <w:p w:rsidR="00D54AA3" w:rsidRPr="00252FB0" w:rsidRDefault="00D54AA3" w:rsidP="00637569">
            <w:pPr>
              <w:jc w:val="center"/>
              <w:rPr>
                <w:rFonts w:ascii="Times New Roman" w:hAnsi="Times New Roman"/>
                <w:sz w:val="20"/>
                <w:szCs w:val="20"/>
              </w:rPr>
            </w:pPr>
          </w:p>
        </w:tc>
        <w:tc>
          <w:tcPr>
            <w:tcW w:w="1384" w:type="dxa"/>
            <w:tcBorders>
              <w:left w:val="nil"/>
              <w:right w:val="nil"/>
            </w:tcBorders>
            <w:noWrap/>
            <w:vAlign w:val="bottom"/>
          </w:tcPr>
          <w:p w:rsidR="00D54AA3" w:rsidRPr="00252FB0" w:rsidRDefault="00D54AA3" w:rsidP="0049556F">
            <w:pPr>
              <w:ind w:right="57"/>
              <w:jc w:val="right"/>
              <w:rPr>
                <w:rFonts w:ascii="Times New Roman" w:hAnsi="Times New Roman"/>
                <w:bCs/>
                <w:sz w:val="20"/>
                <w:szCs w:val="20"/>
              </w:rPr>
            </w:pPr>
            <w:r>
              <w:rPr>
                <w:rFonts w:ascii="Times New Roman" w:hAnsi="Times New Roman"/>
                <w:bCs/>
                <w:sz w:val="20"/>
                <w:szCs w:val="20"/>
              </w:rPr>
              <w:t>-</w:t>
            </w:r>
          </w:p>
        </w:tc>
        <w:tc>
          <w:tcPr>
            <w:tcW w:w="1307" w:type="dxa"/>
            <w:tcBorders>
              <w:left w:val="nil"/>
              <w:right w:val="nil"/>
            </w:tcBorders>
            <w:noWrap/>
          </w:tcPr>
          <w:p w:rsidR="00D54AA3" w:rsidRPr="00252FB0" w:rsidRDefault="00C02E54">
            <w:pPr>
              <w:tabs>
                <w:tab w:val="decimal" w:pos="1229"/>
              </w:tabs>
              <w:ind w:right="-64"/>
              <w:rPr>
                <w:rFonts w:ascii="Times New Roman" w:hAnsi="Times New Roman"/>
                <w:sz w:val="20"/>
              </w:rPr>
            </w:pPr>
            <w:r>
              <w:rPr>
                <w:rFonts w:ascii="Times New Roman" w:hAnsi="Times New Roman"/>
                <w:sz w:val="20"/>
              </w:rPr>
              <w:t>(</w:t>
            </w:r>
            <w:r w:rsidR="0034498D">
              <w:rPr>
                <w:rFonts w:ascii="Times New Roman" w:hAnsi="Times New Roman"/>
                <w:sz w:val="20"/>
              </w:rPr>
              <w:t>1</w:t>
            </w:r>
            <w:r>
              <w:rPr>
                <w:rFonts w:ascii="Times New Roman" w:hAnsi="Times New Roman"/>
                <w:sz w:val="20"/>
              </w:rPr>
              <w:t>4</w:t>
            </w:r>
            <w:r w:rsidR="00D54AA3">
              <w:rPr>
                <w:rFonts w:ascii="Times New Roman" w:hAnsi="Times New Roman"/>
                <w:sz w:val="20"/>
              </w:rPr>
              <w:t>,</w:t>
            </w:r>
            <w:r>
              <w:rPr>
                <w:rFonts w:ascii="Times New Roman" w:hAnsi="Times New Roman"/>
                <w:sz w:val="20"/>
              </w:rPr>
              <w:t>631</w:t>
            </w:r>
            <w:r w:rsidR="0034498D">
              <w:rPr>
                <w:rFonts w:ascii="Times New Roman" w:hAnsi="Times New Roman"/>
                <w:sz w:val="20"/>
              </w:rPr>
              <w:t>,</w:t>
            </w:r>
            <w:r>
              <w:rPr>
                <w:rFonts w:ascii="Times New Roman" w:hAnsi="Times New Roman"/>
                <w:sz w:val="20"/>
              </w:rPr>
              <w:t>731)</w:t>
            </w:r>
          </w:p>
        </w:tc>
        <w:tc>
          <w:tcPr>
            <w:tcW w:w="1305" w:type="dxa"/>
            <w:tcBorders>
              <w:left w:val="nil"/>
              <w:right w:val="nil"/>
            </w:tcBorders>
          </w:tcPr>
          <w:p w:rsidR="00D54AA3" w:rsidRPr="00252FB0" w:rsidRDefault="00C02E54">
            <w:pPr>
              <w:tabs>
                <w:tab w:val="decimal" w:pos="1198"/>
              </w:tabs>
              <w:ind w:right="57"/>
              <w:rPr>
                <w:rFonts w:ascii="Times New Roman" w:hAnsi="Times New Roman"/>
                <w:bCs/>
                <w:sz w:val="20"/>
                <w:szCs w:val="20"/>
              </w:rPr>
            </w:pPr>
            <w:r>
              <w:rPr>
                <w:rFonts w:ascii="Times New Roman" w:hAnsi="Times New Roman"/>
                <w:bCs/>
                <w:sz w:val="20"/>
                <w:szCs w:val="20"/>
              </w:rPr>
              <w:t>(</w:t>
            </w:r>
            <w:r w:rsidR="0034498D">
              <w:rPr>
                <w:rFonts w:ascii="Times New Roman" w:hAnsi="Times New Roman"/>
                <w:bCs/>
                <w:sz w:val="20"/>
                <w:szCs w:val="20"/>
              </w:rPr>
              <w:t>1</w:t>
            </w:r>
            <w:r>
              <w:rPr>
                <w:rFonts w:ascii="Times New Roman" w:hAnsi="Times New Roman"/>
                <w:bCs/>
                <w:sz w:val="20"/>
                <w:szCs w:val="20"/>
              </w:rPr>
              <w:t>4</w:t>
            </w:r>
            <w:r w:rsidR="00D54AA3">
              <w:rPr>
                <w:rFonts w:ascii="Times New Roman" w:hAnsi="Times New Roman"/>
                <w:bCs/>
                <w:sz w:val="20"/>
                <w:szCs w:val="20"/>
              </w:rPr>
              <w:t>,</w:t>
            </w:r>
            <w:r>
              <w:rPr>
                <w:rFonts w:ascii="Times New Roman" w:hAnsi="Times New Roman"/>
                <w:bCs/>
                <w:sz w:val="20"/>
                <w:szCs w:val="20"/>
              </w:rPr>
              <w:t>631</w:t>
            </w:r>
            <w:r w:rsidR="00D54AA3">
              <w:rPr>
                <w:rFonts w:ascii="Times New Roman" w:hAnsi="Times New Roman"/>
                <w:bCs/>
                <w:sz w:val="20"/>
                <w:szCs w:val="20"/>
              </w:rPr>
              <w:t>,</w:t>
            </w:r>
            <w:r>
              <w:rPr>
                <w:rFonts w:ascii="Times New Roman" w:hAnsi="Times New Roman"/>
                <w:bCs/>
                <w:sz w:val="20"/>
                <w:szCs w:val="20"/>
              </w:rPr>
              <w:t>731)</w:t>
            </w:r>
          </w:p>
        </w:tc>
      </w:tr>
      <w:tr w:rsidR="0080147C" w:rsidRPr="00252FB0" w:rsidTr="00964288">
        <w:trPr>
          <w:cantSplit/>
        </w:trPr>
        <w:tc>
          <w:tcPr>
            <w:tcW w:w="4253" w:type="dxa"/>
            <w:tcBorders>
              <w:top w:val="nil"/>
              <w:left w:val="nil"/>
              <w:bottom w:val="nil"/>
              <w:right w:val="nil"/>
            </w:tcBorders>
            <w:noWrap/>
            <w:vAlign w:val="bottom"/>
          </w:tcPr>
          <w:p w:rsidR="0080147C" w:rsidRPr="00252FB0" w:rsidRDefault="0080147C" w:rsidP="00C41D63">
            <w:pPr>
              <w:rPr>
                <w:rFonts w:ascii="Times New Roman" w:hAnsi="Times New Roman"/>
                <w:bCs/>
                <w:sz w:val="20"/>
                <w:szCs w:val="20"/>
              </w:rPr>
            </w:pPr>
            <w:r w:rsidRPr="00252FB0">
              <w:rPr>
                <w:rFonts w:ascii="Times New Roman" w:hAnsi="Times New Roman"/>
                <w:bCs/>
                <w:sz w:val="20"/>
                <w:szCs w:val="20"/>
              </w:rPr>
              <w:t>Dividends</w:t>
            </w:r>
          </w:p>
        </w:tc>
        <w:tc>
          <w:tcPr>
            <w:tcW w:w="733" w:type="dxa"/>
            <w:tcBorders>
              <w:top w:val="nil"/>
              <w:left w:val="nil"/>
              <w:bottom w:val="nil"/>
              <w:right w:val="nil"/>
            </w:tcBorders>
            <w:noWrap/>
            <w:vAlign w:val="bottom"/>
          </w:tcPr>
          <w:p w:rsidR="0080147C" w:rsidRPr="00252FB0" w:rsidRDefault="005C3FC9" w:rsidP="0075234A">
            <w:pPr>
              <w:jc w:val="center"/>
              <w:rPr>
                <w:rFonts w:ascii="Times New Roman" w:hAnsi="Times New Roman"/>
                <w:sz w:val="20"/>
                <w:szCs w:val="20"/>
              </w:rPr>
            </w:pPr>
            <w:r w:rsidRPr="00252FB0">
              <w:rPr>
                <w:rFonts w:ascii="Times New Roman" w:hAnsi="Times New Roman"/>
                <w:sz w:val="20"/>
                <w:szCs w:val="20"/>
              </w:rPr>
              <w:t>11</w:t>
            </w:r>
          </w:p>
        </w:tc>
        <w:tc>
          <w:tcPr>
            <w:tcW w:w="1384" w:type="dxa"/>
            <w:tcBorders>
              <w:left w:val="nil"/>
              <w:right w:val="nil"/>
            </w:tcBorders>
            <w:noWrap/>
            <w:vAlign w:val="bottom"/>
          </w:tcPr>
          <w:p w:rsidR="0080147C" w:rsidRPr="00252FB0" w:rsidRDefault="0080147C" w:rsidP="005A4E3F">
            <w:pPr>
              <w:ind w:right="57"/>
              <w:jc w:val="right"/>
              <w:rPr>
                <w:rFonts w:ascii="Times New Roman" w:hAnsi="Times New Roman"/>
                <w:bCs/>
                <w:sz w:val="20"/>
                <w:szCs w:val="20"/>
              </w:rPr>
            </w:pPr>
            <w:r w:rsidRPr="00252FB0">
              <w:rPr>
                <w:rFonts w:ascii="Times New Roman" w:hAnsi="Times New Roman"/>
                <w:bCs/>
                <w:sz w:val="20"/>
                <w:szCs w:val="20"/>
              </w:rPr>
              <w:t>-</w:t>
            </w:r>
          </w:p>
        </w:tc>
        <w:tc>
          <w:tcPr>
            <w:tcW w:w="1307" w:type="dxa"/>
            <w:tcBorders>
              <w:left w:val="nil"/>
              <w:right w:val="nil"/>
            </w:tcBorders>
            <w:noWrap/>
            <w:vAlign w:val="bottom"/>
          </w:tcPr>
          <w:p w:rsidR="0080147C" w:rsidRPr="00252FB0" w:rsidRDefault="0049556F">
            <w:pPr>
              <w:tabs>
                <w:tab w:val="decimal" w:pos="1229"/>
              </w:tabs>
              <w:ind w:right="-64"/>
              <w:rPr>
                <w:rFonts w:ascii="Times New Roman" w:hAnsi="Times New Roman"/>
                <w:sz w:val="20"/>
              </w:rPr>
            </w:pPr>
            <w:r>
              <w:rPr>
                <w:rFonts w:ascii="Times New Roman" w:hAnsi="Times New Roman"/>
                <w:sz w:val="20"/>
              </w:rPr>
              <w:t>(5,</w:t>
            </w:r>
            <w:r w:rsidR="00C02E54">
              <w:rPr>
                <w:rFonts w:ascii="Times New Roman" w:hAnsi="Times New Roman"/>
                <w:sz w:val="20"/>
              </w:rPr>
              <w:t>430</w:t>
            </w:r>
            <w:r>
              <w:rPr>
                <w:rFonts w:ascii="Times New Roman" w:hAnsi="Times New Roman"/>
                <w:sz w:val="20"/>
              </w:rPr>
              <w:t>,</w:t>
            </w:r>
            <w:r w:rsidR="00C02E54">
              <w:rPr>
                <w:rFonts w:ascii="Times New Roman" w:hAnsi="Times New Roman"/>
                <w:sz w:val="20"/>
              </w:rPr>
              <w:t>850</w:t>
            </w:r>
            <w:r>
              <w:rPr>
                <w:rFonts w:ascii="Times New Roman" w:hAnsi="Times New Roman"/>
                <w:sz w:val="20"/>
              </w:rPr>
              <w:t>)</w:t>
            </w:r>
          </w:p>
        </w:tc>
        <w:tc>
          <w:tcPr>
            <w:tcW w:w="1305" w:type="dxa"/>
            <w:tcBorders>
              <w:left w:val="nil"/>
              <w:right w:val="nil"/>
            </w:tcBorders>
            <w:vAlign w:val="bottom"/>
          </w:tcPr>
          <w:p w:rsidR="0080147C" w:rsidRPr="00252FB0" w:rsidRDefault="0049556F" w:rsidP="00E54387">
            <w:pPr>
              <w:tabs>
                <w:tab w:val="decimal" w:pos="1198"/>
              </w:tabs>
              <w:ind w:right="57"/>
              <w:rPr>
                <w:rFonts w:ascii="Times New Roman" w:hAnsi="Times New Roman"/>
                <w:sz w:val="20"/>
              </w:rPr>
            </w:pPr>
            <w:r w:rsidRPr="00476BB8">
              <w:rPr>
                <w:rFonts w:ascii="Times New Roman" w:hAnsi="Times New Roman"/>
                <w:bCs/>
                <w:sz w:val="20"/>
                <w:szCs w:val="20"/>
              </w:rPr>
              <w:t>(</w:t>
            </w:r>
            <w:r w:rsidR="00C02E54" w:rsidRPr="00AD47CC">
              <w:rPr>
                <w:rFonts w:ascii="Times New Roman" w:hAnsi="Times New Roman"/>
                <w:bCs/>
                <w:sz w:val="20"/>
                <w:szCs w:val="20"/>
              </w:rPr>
              <w:t>5,430,850</w:t>
            </w:r>
            <w:r w:rsidRPr="00E54387">
              <w:rPr>
                <w:rFonts w:ascii="Times New Roman" w:hAnsi="Times New Roman"/>
                <w:bCs/>
                <w:sz w:val="20"/>
                <w:szCs w:val="20"/>
              </w:rPr>
              <w:t>)</w:t>
            </w:r>
          </w:p>
        </w:tc>
      </w:tr>
      <w:tr w:rsidR="0080147C" w:rsidRPr="00252FB0" w:rsidTr="00964288">
        <w:trPr>
          <w:cantSplit/>
        </w:trPr>
        <w:tc>
          <w:tcPr>
            <w:tcW w:w="4253" w:type="dxa"/>
            <w:tcBorders>
              <w:top w:val="nil"/>
              <w:left w:val="nil"/>
              <w:bottom w:val="nil"/>
              <w:right w:val="nil"/>
            </w:tcBorders>
            <w:noWrap/>
            <w:vAlign w:val="bottom"/>
          </w:tcPr>
          <w:p w:rsidR="0080147C" w:rsidRPr="00252FB0" w:rsidRDefault="0080147C" w:rsidP="00637569">
            <w:pPr>
              <w:pStyle w:val="Heading1"/>
              <w:jc w:val="left"/>
              <w:rPr>
                <w:rFonts w:ascii="Times New Roman" w:hAnsi="Times New Roman"/>
                <w:sz w:val="20"/>
                <w:szCs w:val="20"/>
              </w:rPr>
            </w:pPr>
          </w:p>
        </w:tc>
        <w:tc>
          <w:tcPr>
            <w:tcW w:w="733" w:type="dxa"/>
            <w:tcBorders>
              <w:top w:val="nil"/>
              <w:left w:val="nil"/>
              <w:bottom w:val="nil"/>
              <w:right w:val="nil"/>
            </w:tcBorders>
            <w:noWrap/>
            <w:vAlign w:val="bottom"/>
          </w:tcPr>
          <w:p w:rsidR="0080147C" w:rsidRPr="00252FB0" w:rsidRDefault="0080147C" w:rsidP="00637569">
            <w:pPr>
              <w:jc w:val="center"/>
              <w:rPr>
                <w:rFonts w:ascii="Times New Roman" w:hAnsi="Times New Roman"/>
                <w:sz w:val="20"/>
                <w:szCs w:val="20"/>
              </w:rPr>
            </w:pPr>
          </w:p>
        </w:tc>
        <w:tc>
          <w:tcPr>
            <w:tcW w:w="1384" w:type="dxa"/>
            <w:tcBorders>
              <w:left w:val="nil"/>
              <w:bottom w:val="single" w:sz="4" w:space="0" w:color="auto"/>
              <w:right w:val="nil"/>
            </w:tcBorders>
            <w:noWrap/>
            <w:vAlign w:val="bottom"/>
          </w:tcPr>
          <w:p w:rsidR="0080147C" w:rsidRPr="00252FB0" w:rsidRDefault="0080147C" w:rsidP="00637569">
            <w:pPr>
              <w:ind w:right="57"/>
              <w:jc w:val="right"/>
              <w:rPr>
                <w:rFonts w:ascii="Times New Roman" w:hAnsi="Times New Roman"/>
                <w:b/>
                <w:bCs/>
                <w:sz w:val="20"/>
                <w:szCs w:val="20"/>
              </w:rPr>
            </w:pPr>
          </w:p>
        </w:tc>
        <w:tc>
          <w:tcPr>
            <w:tcW w:w="1307" w:type="dxa"/>
            <w:tcBorders>
              <w:left w:val="nil"/>
              <w:bottom w:val="single" w:sz="4" w:space="0" w:color="auto"/>
              <w:right w:val="nil"/>
            </w:tcBorders>
            <w:noWrap/>
            <w:vAlign w:val="bottom"/>
          </w:tcPr>
          <w:p w:rsidR="0080147C" w:rsidRPr="00252FB0" w:rsidRDefault="0080147C" w:rsidP="004307BF">
            <w:pPr>
              <w:tabs>
                <w:tab w:val="decimal" w:pos="1229"/>
              </w:tabs>
              <w:ind w:right="-64"/>
              <w:rPr>
                <w:rFonts w:ascii="Times New Roman" w:hAnsi="Times New Roman"/>
                <w:b/>
                <w:bCs/>
                <w:sz w:val="20"/>
                <w:szCs w:val="20"/>
              </w:rPr>
            </w:pPr>
          </w:p>
        </w:tc>
        <w:tc>
          <w:tcPr>
            <w:tcW w:w="1305" w:type="dxa"/>
            <w:tcBorders>
              <w:left w:val="nil"/>
              <w:bottom w:val="single" w:sz="4" w:space="0" w:color="auto"/>
              <w:right w:val="nil"/>
            </w:tcBorders>
          </w:tcPr>
          <w:p w:rsidR="0080147C" w:rsidRPr="00252FB0" w:rsidRDefault="0080147C" w:rsidP="00F01D4B">
            <w:pPr>
              <w:tabs>
                <w:tab w:val="decimal" w:pos="1198"/>
              </w:tabs>
              <w:ind w:right="57"/>
              <w:rPr>
                <w:rFonts w:ascii="Times New Roman" w:hAnsi="Times New Roman"/>
                <w:b/>
                <w:bCs/>
                <w:sz w:val="20"/>
                <w:szCs w:val="20"/>
              </w:rPr>
            </w:pPr>
          </w:p>
        </w:tc>
      </w:tr>
      <w:tr w:rsidR="0080147C" w:rsidRPr="00FB1A8E" w:rsidTr="00964288">
        <w:trPr>
          <w:cantSplit/>
        </w:trPr>
        <w:tc>
          <w:tcPr>
            <w:tcW w:w="4253" w:type="dxa"/>
            <w:tcBorders>
              <w:top w:val="nil"/>
              <w:left w:val="nil"/>
              <w:bottom w:val="nil"/>
              <w:right w:val="nil"/>
            </w:tcBorders>
            <w:noWrap/>
            <w:vAlign w:val="bottom"/>
          </w:tcPr>
          <w:p w:rsidR="0080147C" w:rsidRPr="00252FB0" w:rsidRDefault="0080147C">
            <w:pPr>
              <w:pStyle w:val="Heading1"/>
              <w:jc w:val="left"/>
              <w:rPr>
                <w:rFonts w:ascii="Times New Roman" w:hAnsi="Times New Roman"/>
                <w:sz w:val="20"/>
                <w:szCs w:val="20"/>
              </w:rPr>
            </w:pPr>
            <w:r w:rsidRPr="00252FB0">
              <w:rPr>
                <w:rFonts w:ascii="Times New Roman" w:hAnsi="Times New Roman"/>
                <w:sz w:val="20"/>
                <w:szCs w:val="20"/>
              </w:rPr>
              <w:t>At 31 December 201</w:t>
            </w:r>
            <w:r w:rsidR="00C84D94">
              <w:rPr>
                <w:rFonts w:ascii="Times New Roman" w:hAnsi="Times New Roman"/>
                <w:sz w:val="20"/>
                <w:szCs w:val="20"/>
              </w:rPr>
              <w:t>8</w:t>
            </w:r>
          </w:p>
        </w:tc>
        <w:tc>
          <w:tcPr>
            <w:tcW w:w="733" w:type="dxa"/>
            <w:tcBorders>
              <w:top w:val="nil"/>
              <w:left w:val="nil"/>
              <w:bottom w:val="nil"/>
              <w:right w:val="nil"/>
            </w:tcBorders>
            <w:noWrap/>
            <w:vAlign w:val="bottom"/>
          </w:tcPr>
          <w:p w:rsidR="0080147C" w:rsidRPr="00252FB0" w:rsidRDefault="0080147C" w:rsidP="00637569">
            <w:pPr>
              <w:jc w:val="center"/>
              <w:rPr>
                <w:rFonts w:ascii="Times New Roman" w:hAnsi="Times New Roman"/>
                <w:sz w:val="20"/>
                <w:szCs w:val="20"/>
              </w:rPr>
            </w:pPr>
          </w:p>
        </w:tc>
        <w:tc>
          <w:tcPr>
            <w:tcW w:w="1384" w:type="dxa"/>
            <w:tcBorders>
              <w:top w:val="single" w:sz="4" w:space="0" w:color="auto"/>
              <w:left w:val="nil"/>
              <w:bottom w:val="double" w:sz="6" w:space="0" w:color="auto"/>
              <w:right w:val="nil"/>
            </w:tcBorders>
            <w:noWrap/>
            <w:vAlign w:val="bottom"/>
          </w:tcPr>
          <w:p w:rsidR="0080147C" w:rsidRPr="00252FB0" w:rsidRDefault="0034498D">
            <w:pPr>
              <w:ind w:right="57"/>
              <w:jc w:val="right"/>
              <w:rPr>
                <w:rFonts w:ascii="Times New Roman" w:hAnsi="Times New Roman"/>
                <w:b/>
                <w:bCs/>
                <w:sz w:val="20"/>
                <w:szCs w:val="20"/>
              </w:rPr>
            </w:pPr>
            <w:r>
              <w:rPr>
                <w:rFonts w:ascii="Times New Roman" w:hAnsi="Times New Roman"/>
                <w:b/>
                <w:bCs/>
                <w:sz w:val="20"/>
                <w:szCs w:val="20"/>
              </w:rPr>
              <w:t>49</w:t>
            </w:r>
            <w:r w:rsidR="0049556F">
              <w:rPr>
                <w:rFonts w:ascii="Times New Roman" w:hAnsi="Times New Roman"/>
                <w:b/>
                <w:bCs/>
                <w:sz w:val="20"/>
                <w:szCs w:val="20"/>
              </w:rPr>
              <w:t>,</w:t>
            </w:r>
            <w:r>
              <w:rPr>
                <w:rFonts w:ascii="Times New Roman" w:hAnsi="Times New Roman"/>
                <w:b/>
                <w:bCs/>
                <w:sz w:val="20"/>
                <w:szCs w:val="20"/>
              </w:rPr>
              <w:t>704</w:t>
            </w:r>
            <w:r w:rsidR="0049556F">
              <w:rPr>
                <w:rFonts w:ascii="Times New Roman" w:hAnsi="Times New Roman"/>
                <w:b/>
                <w:bCs/>
                <w:sz w:val="20"/>
                <w:szCs w:val="20"/>
              </w:rPr>
              <w:t>,414</w:t>
            </w:r>
          </w:p>
        </w:tc>
        <w:tc>
          <w:tcPr>
            <w:tcW w:w="1307" w:type="dxa"/>
            <w:tcBorders>
              <w:top w:val="single" w:sz="4" w:space="0" w:color="auto"/>
              <w:left w:val="nil"/>
              <w:bottom w:val="double" w:sz="6" w:space="0" w:color="auto"/>
              <w:right w:val="nil"/>
            </w:tcBorders>
            <w:noWrap/>
            <w:vAlign w:val="bottom"/>
          </w:tcPr>
          <w:p w:rsidR="0080147C" w:rsidRPr="00252FB0" w:rsidRDefault="00C02E54">
            <w:pPr>
              <w:tabs>
                <w:tab w:val="decimal" w:pos="1229"/>
              </w:tabs>
              <w:ind w:right="-64"/>
              <w:rPr>
                <w:rFonts w:ascii="Times New Roman" w:hAnsi="Times New Roman"/>
                <w:b/>
                <w:bCs/>
                <w:sz w:val="20"/>
                <w:szCs w:val="20"/>
              </w:rPr>
            </w:pPr>
            <w:r>
              <w:rPr>
                <w:rFonts w:ascii="Times New Roman" w:hAnsi="Times New Roman"/>
                <w:b/>
                <w:bCs/>
                <w:sz w:val="20"/>
                <w:szCs w:val="20"/>
              </w:rPr>
              <w:t>5</w:t>
            </w:r>
            <w:r w:rsidR="0034498D">
              <w:rPr>
                <w:rFonts w:ascii="Times New Roman" w:hAnsi="Times New Roman"/>
                <w:b/>
                <w:bCs/>
                <w:sz w:val="20"/>
                <w:szCs w:val="20"/>
              </w:rPr>
              <w:t>2</w:t>
            </w:r>
            <w:r w:rsidR="0049556F">
              <w:rPr>
                <w:rFonts w:ascii="Times New Roman" w:hAnsi="Times New Roman"/>
                <w:b/>
                <w:bCs/>
                <w:sz w:val="20"/>
                <w:szCs w:val="20"/>
              </w:rPr>
              <w:t>,</w:t>
            </w:r>
            <w:r>
              <w:rPr>
                <w:rFonts w:ascii="Times New Roman" w:hAnsi="Times New Roman"/>
                <w:b/>
                <w:bCs/>
                <w:sz w:val="20"/>
                <w:szCs w:val="20"/>
              </w:rPr>
              <w:t>464</w:t>
            </w:r>
            <w:r w:rsidR="0049556F">
              <w:rPr>
                <w:rFonts w:ascii="Times New Roman" w:hAnsi="Times New Roman"/>
                <w:b/>
                <w:bCs/>
                <w:sz w:val="20"/>
                <w:szCs w:val="20"/>
              </w:rPr>
              <w:t>,</w:t>
            </w:r>
            <w:r>
              <w:rPr>
                <w:rFonts w:ascii="Times New Roman" w:hAnsi="Times New Roman"/>
                <w:b/>
                <w:bCs/>
                <w:sz w:val="20"/>
                <w:szCs w:val="20"/>
              </w:rPr>
              <w:t>53</w:t>
            </w:r>
            <w:r w:rsidR="00256B19">
              <w:rPr>
                <w:rFonts w:ascii="Times New Roman" w:hAnsi="Times New Roman"/>
                <w:b/>
                <w:bCs/>
                <w:sz w:val="20"/>
                <w:szCs w:val="20"/>
              </w:rPr>
              <w:t>5</w:t>
            </w:r>
          </w:p>
        </w:tc>
        <w:tc>
          <w:tcPr>
            <w:tcW w:w="1305" w:type="dxa"/>
            <w:tcBorders>
              <w:top w:val="single" w:sz="4" w:space="0" w:color="auto"/>
              <w:left w:val="nil"/>
              <w:bottom w:val="double" w:sz="6" w:space="0" w:color="auto"/>
              <w:right w:val="nil"/>
            </w:tcBorders>
            <w:vAlign w:val="bottom"/>
          </w:tcPr>
          <w:p w:rsidR="0080147C" w:rsidRPr="00252FB0" w:rsidRDefault="0049556F">
            <w:pPr>
              <w:tabs>
                <w:tab w:val="decimal" w:pos="1198"/>
              </w:tabs>
              <w:rPr>
                <w:rFonts w:ascii="Times New Roman" w:hAnsi="Times New Roman"/>
                <w:b/>
                <w:bCs/>
                <w:sz w:val="20"/>
                <w:szCs w:val="20"/>
              </w:rPr>
            </w:pPr>
            <w:r>
              <w:rPr>
                <w:rFonts w:ascii="Times New Roman" w:hAnsi="Times New Roman"/>
                <w:b/>
                <w:bCs/>
                <w:sz w:val="20"/>
                <w:szCs w:val="20"/>
              </w:rPr>
              <w:t>1</w:t>
            </w:r>
            <w:r w:rsidR="00C02E54">
              <w:rPr>
                <w:rFonts w:ascii="Times New Roman" w:hAnsi="Times New Roman"/>
                <w:b/>
                <w:bCs/>
                <w:sz w:val="20"/>
                <w:szCs w:val="20"/>
              </w:rPr>
              <w:t>02</w:t>
            </w:r>
            <w:r>
              <w:rPr>
                <w:rFonts w:ascii="Times New Roman" w:hAnsi="Times New Roman"/>
                <w:b/>
                <w:bCs/>
                <w:sz w:val="20"/>
                <w:szCs w:val="20"/>
              </w:rPr>
              <w:t>,</w:t>
            </w:r>
            <w:r w:rsidR="00C02E54">
              <w:rPr>
                <w:rFonts w:ascii="Times New Roman" w:hAnsi="Times New Roman"/>
                <w:b/>
                <w:bCs/>
                <w:sz w:val="20"/>
                <w:szCs w:val="20"/>
              </w:rPr>
              <w:t>168</w:t>
            </w:r>
            <w:r>
              <w:rPr>
                <w:rFonts w:ascii="Times New Roman" w:hAnsi="Times New Roman"/>
                <w:b/>
                <w:bCs/>
                <w:sz w:val="20"/>
                <w:szCs w:val="20"/>
              </w:rPr>
              <w:t>,</w:t>
            </w:r>
            <w:r w:rsidR="00C02E54">
              <w:rPr>
                <w:rFonts w:ascii="Times New Roman" w:hAnsi="Times New Roman"/>
                <w:b/>
                <w:bCs/>
                <w:sz w:val="20"/>
                <w:szCs w:val="20"/>
              </w:rPr>
              <w:t>949</w:t>
            </w:r>
          </w:p>
        </w:tc>
      </w:tr>
    </w:tbl>
    <w:p w:rsidR="00B37CD5" w:rsidRPr="009170B8" w:rsidRDefault="00B37CD5">
      <w:pPr>
        <w:pStyle w:val="BodyText"/>
        <w:tabs>
          <w:tab w:val="clear" w:pos="3402"/>
          <w:tab w:val="clear" w:pos="8222"/>
          <w:tab w:val="left" w:pos="6237"/>
        </w:tabs>
        <w:rPr>
          <w:rFonts w:ascii="Times New Roman" w:hAnsi="Times New Roman"/>
        </w:rPr>
      </w:pPr>
    </w:p>
    <w:p w:rsidR="0008270C" w:rsidRPr="009170B8" w:rsidRDefault="001F5383">
      <w:pPr>
        <w:pStyle w:val="BodyText"/>
        <w:tabs>
          <w:tab w:val="clear" w:pos="3402"/>
          <w:tab w:val="clear" w:pos="8222"/>
          <w:tab w:val="left" w:pos="6237"/>
        </w:tabs>
        <w:rPr>
          <w:rFonts w:ascii="Times New Roman" w:hAnsi="Times New Roman"/>
        </w:rPr>
      </w:pPr>
      <w:r w:rsidRPr="009170B8">
        <w:rPr>
          <w:rFonts w:ascii="Times New Roman" w:hAnsi="Times New Roman"/>
        </w:rPr>
        <w:t>Th</w:t>
      </w:r>
      <w:r w:rsidR="00916D00">
        <w:rPr>
          <w:rFonts w:ascii="Times New Roman" w:hAnsi="Times New Roman"/>
        </w:rPr>
        <w:t xml:space="preserve">e accompanying notes on </w:t>
      </w:r>
      <w:r w:rsidR="00916D00" w:rsidRPr="00D0380B">
        <w:rPr>
          <w:rFonts w:ascii="Times New Roman" w:hAnsi="Times New Roman"/>
        </w:rPr>
        <w:t xml:space="preserve">pages </w:t>
      </w:r>
      <w:r w:rsidR="00602C0B" w:rsidRPr="00E5676A">
        <w:rPr>
          <w:rFonts w:ascii="Times New Roman" w:hAnsi="Times New Roman"/>
        </w:rPr>
        <w:t>3</w:t>
      </w:r>
      <w:r w:rsidR="00A66792">
        <w:rPr>
          <w:rFonts w:ascii="Times New Roman" w:hAnsi="Times New Roman"/>
        </w:rPr>
        <w:t>9</w:t>
      </w:r>
      <w:r w:rsidR="00602C0B" w:rsidRPr="00E5676A">
        <w:rPr>
          <w:rFonts w:ascii="Times New Roman" w:hAnsi="Times New Roman"/>
        </w:rPr>
        <w:t xml:space="preserve"> to </w:t>
      </w:r>
      <w:r w:rsidR="00E24A68">
        <w:rPr>
          <w:rFonts w:ascii="Times New Roman" w:hAnsi="Times New Roman"/>
        </w:rPr>
        <w:t>5</w:t>
      </w:r>
      <w:r w:rsidR="00000F1B">
        <w:rPr>
          <w:rFonts w:ascii="Times New Roman" w:hAnsi="Times New Roman"/>
        </w:rPr>
        <w:t>4</w:t>
      </w:r>
      <w:r w:rsidRPr="00D0380B">
        <w:rPr>
          <w:rFonts w:ascii="Times New Roman" w:hAnsi="Times New Roman"/>
        </w:rPr>
        <w:t xml:space="preserve"> form an</w:t>
      </w:r>
      <w:r w:rsidRPr="009170B8">
        <w:rPr>
          <w:rFonts w:ascii="Times New Roman" w:hAnsi="Times New Roman"/>
        </w:rPr>
        <w:t xml:space="preserve"> integral part of these financial statements</w:t>
      </w:r>
      <w:r w:rsidR="0008270C" w:rsidRPr="009170B8">
        <w:rPr>
          <w:rFonts w:ascii="Times New Roman" w:hAnsi="Times New Roman"/>
        </w:rPr>
        <w:t>.</w:t>
      </w:r>
    </w:p>
    <w:p w:rsidR="00E434B6" w:rsidRPr="009170B8" w:rsidRDefault="00E434B6">
      <w:pPr>
        <w:pStyle w:val="BodyText"/>
        <w:tabs>
          <w:tab w:val="clear" w:pos="3402"/>
          <w:tab w:val="clear" w:pos="8222"/>
          <w:tab w:val="left" w:pos="6237"/>
        </w:tabs>
        <w:rPr>
          <w:rFonts w:ascii="Times New Roman" w:hAnsi="Times New Roman"/>
        </w:rPr>
      </w:pPr>
    </w:p>
    <w:p w:rsidR="00E434B6" w:rsidRPr="009170B8" w:rsidRDefault="00E434B6">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rsidP="004307BF">
      <w:pPr>
        <w:pStyle w:val="BodyText"/>
        <w:tabs>
          <w:tab w:val="clear" w:pos="3402"/>
          <w:tab w:val="clear" w:pos="8222"/>
        </w:tabs>
        <w:rPr>
          <w:rFonts w:ascii="Times New Roman" w:hAnsi="Times New Roman"/>
        </w:rPr>
      </w:pPr>
    </w:p>
    <w:p w:rsidR="00705AD2" w:rsidRPr="009170B8" w:rsidRDefault="00705AD2" w:rsidP="004307BF">
      <w:pPr>
        <w:pStyle w:val="BodyText"/>
        <w:tabs>
          <w:tab w:val="clear" w:pos="3402"/>
          <w:tab w:val="clear" w:pos="8222"/>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705AD2" w:rsidRPr="009170B8" w:rsidRDefault="00705AD2">
      <w:pPr>
        <w:pStyle w:val="BodyText"/>
        <w:tabs>
          <w:tab w:val="clear" w:pos="3402"/>
          <w:tab w:val="clear" w:pos="8222"/>
          <w:tab w:val="left" w:pos="6237"/>
        </w:tabs>
        <w:rPr>
          <w:rFonts w:ascii="Times New Roman" w:hAnsi="Times New Roman"/>
        </w:rPr>
      </w:pPr>
    </w:p>
    <w:p w:rsidR="0008270C" w:rsidRPr="00252FB0" w:rsidRDefault="0008270C">
      <w:pPr>
        <w:pStyle w:val="Heading2"/>
        <w:tabs>
          <w:tab w:val="right" w:pos="8222"/>
        </w:tabs>
        <w:rPr>
          <w:rFonts w:ascii="Times New Roman" w:hAnsi="Times New Roman"/>
        </w:rPr>
      </w:pPr>
      <w:bookmarkStart w:id="40" w:name="OLE_LINK46"/>
      <w:bookmarkStart w:id="41" w:name="OLE_LINK47"/>
      <w:r w:rsidRPr="00252FB0">
        <w:rPr>
          <w:rFonts w:ascii="Times New Roman" w:hAnsi="Times New Roman"/>
        </w:rPr>
        <w:t>Statement</w:t>
      </w:r>
      <w:r w:rsidR="00CB1698" w:rsidRPr="00252FB0">
        <w:rPr>
          <w:rFonts w:ascii="Times New Roman" w:hAnsi="Times New Roman"/>
        </w:rPr>
        <w:t xml:space="preserve"> </w:t>
      </w:r>
      <w:r w:rsidR="00A60119" w:rsidRPr="00252FB0">
        <w:rPr>
          <w:rFonts w:ascii="Times New Roman" w:hAnsi="Times New Roman"/>
        </w:rPr>
        <w:t>of</w:t>
      </w:r>
      <w:r w:rsidR="00616390" w:rsidRPr="00616390">
        <w:rPr>
          <w:rFonts w:ascii="Times New Roman" w:hAnsi="Times New Roman"/>
        </w:rPr>
        <w:t xml:space="preserve"> </w:t>
      </w:r>
      <w:r w:rsidR="00616390" w:rsidRPr="00252FB0">
        <w:rPr>
          <w:rFonts w:ascii="Times New Roman" w:hAnsi="Times New Roman"/>
        </w:rPr>
        <w:t>Cash Flow</w:t>
      </w:r>
      <w:r w:rsidR="00180734">
        <w:rPr>
          <w:rFonts w:ascii="Times New Roman" w:hAnsi="Times New Roman"/>
        </w:rPr>
        <w:t>s</w:t>
      </w:r>
      <w:r w:rsidR="00616390">
        <w:rPr>
          <w:rFonts w:ascii="Times New Roman" w:hAnsi="Times New Roman"/>
        </w:rPr>
        <w:t xml:space="preserve"> of</w:t>
      </w:r>
      <w:r w:rsidR="00DE60AD" w:rsidRPr="00252FB0">
        <w:rPr>
          <w:rFonts w:ascii="Times New Roman" w:hAnsi="Times New Roman"/>
        </w:rPr>
        <w:t xml:space="preserve"> </w:t>
      </w:r>
      <w:r w:rsidR="00A60119" w:rsidRPr="00252FB0">
        <w:rPr>
          <w:rFonts w:ascii="Times New Roman" w:hAnsi="Times New Roman"/>
        </w:rPr>
        <w:t>the Fund</w:t>
      </w:r>
    </w:p>
    <w:bookmarkEnd w:id="40"/>
    <w:bookmarkEnd w:id="41"/>
    <w:p w:rsidR="0008270C" w:rsidRPr="00252FB0" w:rsidRDefault="0008270C">
      <w:pPr>
        <w:rPr>
          <w:rFonts w:ascii="Times New Roman" w:hAnsi="Times New Roman"/>
          <w:b/>
        </w:rPr>
      </w:pPr>
      <w:r w:rsidRPr="00252FB0">
        <w:rPr>
          <w:rFonts w:ascii="Times New Roman" w:hAnsi="Times New Roman"/>
          <w:b/>
          <w:bCs/>
        </w:rPr>
        <w:t xml:space="preserve">For the year ended 31 December </w:t>
      </w:r>
      <w:r w:rsidR="00A01A8F" w:rsidRPr="00252FB0">
        <w:rPr>
          <w:rFonts w:ascii="Times New Roman" w:hAnsi="Times New Roman"/>
          <w:b/>
          <w:bCs/>
        </w:rPr>
        <w:t>201</w:t>
      </w:r>
      <w:r w:rsidR="00C84D94">
        <w:rPr>
          <w:rFonts w:ascii="Times New Roman" w:hAnsi="Times New Roman"/>
          <w:b/>
          <w:bCs/>
        </w:rPr>
        <w:t>8</w:t>
      </w:r>
    </w:p>
    <w:p w:rsidR="009A1074" w:rsidRPr="00252FB0" w:rsidRDefault="009A1074">
      <w:pPr>
        <w:rPr>
          <w:rFonts w:ascii="Times New Roman" w:hAnsi="Times New Roman"/>
          <w:b/>
          <w:sz w:val="20"/>
        </w:rPr>
      </w:pPr>
    </w:p>
    <w:tbl>
      <w:tblPr>
        <w:tblW w:w="0" w:type="auto"/>
        <w:tblLayout w:type="fixed"/>
        <w:tblLook w:val="0000" w:firstRow="0" w:lastRow="0" w:firstColumn="0" w:lastColumn="0" w:noHBand="0" w:noVBand="0"/>
      </w:tblPr>
      <w:tblGrid>
        <w:gridCol w:w="5495"/>
        <w:gridCol w:w="709"/>
        <w:gridCol w:w="1984"/>
        <w:gridCol w:w="284"/>
        <w:gridCol w:w="1948"/>
      </w:tblGrid>
      <w:tr w:rsidR="005903CF" w:rsidRPr="00252FB0" w:rsidTr="00B74D7C">
        <w:trPr>
          <w:cantSplit/>
        </w:trPr>
        <w:tc>
          <w:tcPr>
            <w:tcW w:w="5495" w:type="dxa"/>
            <w:vAlign w:val="bottom"/>
          </w:tcPr>
          <w:p w:rsidR="005903CF" w:rsidRPr="00252FB0" w:rsidRDefault="005903CF" w:rsidP="00E434B6">
            <w:pPr>
              <w:rPr>
                <w:rFonts w:ascii="Times New Roman" w:hAnsi="Times New Roman"/>
                <w:sz w:val="20"/>
              </w:rPr>
            </w:pPr>
          </w:p>
        </w:tc>
        <w:tc>
          <w:tcPr>
            <w:tcW w:w="709" w:type="dxa"/>
            <w:vAlign w:val="bottom"/>
          </w:tcPr>
          <w:p w:rsidR="005903CF" w:rsidRPr="00252FB0" w:rsidRDefault="005903CF" w:rsidP="00E434B6">
            <w:pPr>
              <w:rPr>
                <w:rFonts w:ascii="Times New Roman" w:hAnsi="Times New Roman"/>
                <w:b/>
                <w:sz w:val="20"/>
              </w:rPr>
            </w:pPr>
            <w:r w:rsidRPr="00252FB0">
              <w:rPr>
                <w:rFonts w:ascii="Times New Roman" w:hAnsi="Times New Roman"/>
                <w:b/>
                <w:sz w:val="20"/>
              </w:rPr>
              <w:t>Notes</w:t>
            </w:r>
          </w:p>
        </w:tc>
        <w:tc>
          <w:tcPr>
            <w:tcW w:w="1984" w:type="dxa"/>
          </w:tcPr>
          <w:p w:rsidR="005903CF" w:rsidRPr="00252FB0" w:rsidRDefault="009A5D33">
            <w:pPr>
              <w:jc w:val="right"/>
              <w:rPr>
                <w:rFonts w:ascii="Times New Roman" w:hAnsi="Times New Roman"/>
                <w:b/>
                <w:bCs/>
                <w:sz w:val="20"/>
              </w:rPr>
            </w:pPr>
            <w:r w:rsidRPr="00252FB0">
              <w:rPr>
                <w:rFonts w:ascii="Times New Roman" w:hAnsi="Times New Roman"/>
                <w:b/>
                <w:bCs/>
                <w:sz w:val="20"/>
              </w:rPr>
              <w:t>201</w:t>
            </w:r>
            <w:r w:rsidR="00C84D94">
              <w:rPr>
                <w:rFonts w:ascii="Times New Roman" w:hAnsi="Times New Roman"/>
                <w:b/>
                <w:bCs/>
                <w:sz w:val="20"/>
              </w:rPr>
              <w:t>8</w:t>
            </w:r>
          </w:p>
        </w:tc>
        <w:tc>
          <w:tcPr>
            <w:tcW w:w="284" w:type="dxa"/>
          </w:tcPr>
          <w:p w:rsidR="005903CF" w:rsidRPr="00252FB0" w:rsidRDefault="005903CF" w:rsidP="00637569">
            <w:pPr>
              <w:jc w:val="right"/>
              <w:rPr>
                <w:rFonts w:ascii="Times New Roman" w:hAnsi="Times New Roman"/>
                <w:b/>
                <w:bCs/>
                <w:sz w:val="20"/>
              </w:rPr>
            </w:pPr>
          </w:p>
        </w:tc>
        <w:tc>
          <w:tcPr>
            <w:tcW w:w="1948" w:type="dxa"/>
          </w:tcPr>
          <w:p w:rsidR="005903CF" w:rsidRPr="00252FB0" w:rsidRDefault="009A5D33">
            <w:pPr>
              <w:jc w:val="right"/>
              <w:rPr>
                <w:rFonts w:ascii="Times New Roman" w:hAnsi="Times New Roman"/>
                <w:b/>
                <w:bCs/>
                <w:sz w:val="20"/>
              </w:rPr>
            </w:pPr>
            <w:r w:rsidRPr="00252FB0">
              <w:rPr>
                <w:rFonts w:ascii="Times New Roman" w:hAnsi="Times New Roman"/>
                <w:b/>
                <w:bCs/>
                <w:sz w:val="20"/>
              </w:rPr>
              <w:t>201</w:t>
            </w:r>
            <w:r w:rsidR="00C84D94">
              <w:rPr>
                <w:rFonts w:ascii="Times New Roman" w:hAnsi="Times New Roman"/>
                <w:b/>
                <w:bCs/>
                <w:sz w:val="20"/>
              </w:rPr>
              <w:t>7</w:t>
            </w:r>
          </w:p>
        </w:tc>
      </w:tr>
      <w:tr w:rsidR="005903CF" w:rsidRPr="00252FB0" w:rsidTr="00B74D7C">
        <w:trPr>
          <w:cantSplit/>
        </w:trPr>
        <w:tc>
          <w:tcPr>
            <w:tcW w:w="5495" w:type="dxa"/>
            <w:vAlign w:val="bottom"/>
          </w:tcPr>
          <w:p w:rsidR="005903CF" w:rsidRPr="00252FB0" w:rsidRDefault="005903CF" w:rsidP="00E434B6">
            <w:pPr>
              <w:rPr>
                <w:rFonts w:ascii="Times New Roman" w:hAnsi="Times New Roman"/>
                <w:sz w:val="20"/>
              </w:rPr>
            </w:pPr>
          </w:p>
        </w:tc>
        <w:tc>
          <w:tcPr>
            <w:tcW w:w="709" w:type="dxa"/>
            <w:vAlign w:val="bottom"/>
          </w:tcPr>
          <w:p w:rsidR="005903CF" w:rsidRPr="00252FB0" w:rsidRDefault="005903CF" w:rsidP="00081793">
            <w:pPr>
              <w:jc w:val="center"/>
              <w:rPr>
                <w:rFonts w:ascii="Times New Roman" w:hAnsi="Times New Roman"/>
                <w:sz w:val="20"/>
              </w:rPr>
            </w:pPr>
          </w:p>
        </w:tc>
        <w:tc>
          <w:tcPr>
            <w:tcW w:w="1984" w:type="dxa"/>
          </w:tcPr>
          <w:p w:rsidR="005903CF" w:rsidRPr="00252FB0" w:rsidRDefault="005903CF" w:rsidP="00637569">
            <w:pPr>
              <w:jc w:val="right"/>
              <w:rPr>
                <w:rFonts w:ascii="Times New Roman" w:hAnsi="Times New Roman"/>
                <w:b/>
                <w:bCs/>
                <w:sz w:val="20"/>
              </w:rPr>
            </w:pPr>
            <w:r w:rsidRPr="00252FB0">
              <w:rPr>
                <w:rFonts w:ascii="Times New Roman" w:hAnsi="Times New Roman"/>
                <w:b/>
                <w:bCs/>
                <w:sz w:val="20"/>
              </w:rPr>
              <w:t>GBP</w:t>
            </w:r>
          </w:p>
        </w:tc>
        <w:tc>
          <w:tcPr>
            <w:tcW w:w="284" w:type="dxa"/>
          </w:tcPr>
          <w:p w:rsidR="005903CF" w:rsidRPr="00252FB0" w:rsidRDefault="005903CF" w:rsidP="00637569">
            <w:pPr>
              <w:jc w:val="right"/>
              <w:rPr>
                <w:rFonts w:ascii="Times New Roman" w:hAnsi="Times New Roman"/>
                <w:b/>
                <w:bCs/>
                <w:sz w:val="20"/>
              </w:rPr>
            </w:pPr>
          </w:p>
        </w:tc>
        <w:tc>
          <w:tcPr>
            <w:tcW w:w="1948" w:type="dxa"/>
          </w:tcPr>
          <w:p w:rsidR="005903CF" w:rsidRPr="00252FB0" w:rsidRDefault="005903CF" w:rsidP="00475643">
            <w:pPr>
              <w:jc w:val="right"/>
              <w:rPr>
                <w:rFonts w:ascii="Times New Roman" w:hAnsi="Times New Roman"/>
                <w:b/>
                <w:bCs/>
                <w:sz w:val="20"/>
              </w:rPr>
            </w:pPr>
            <w:r w:rsidRPr="00252FB0">
              <w:rPr>
                <w:rFonts w:ascii="Times New Roman" w:hAnsi="Times New Roman"/>
                <w:b/>
                <w:bCs/>
                <w:sz w:val="20"/>
              </w:rPr>
              <w:t>GBP</w:t>
            </w:r>
          </w:p>
        </w:tc>
      </w:tr>
      <w:tr w:rsidR="005903CF" w:rsidRPr="00252FB0" w:rsidTr="00B74D7C">
        <w:trPr>
          <w:cantSplit/>
        </w:trPr>
        <w:tc>
          <w:tcPr>
            <w:tcW w:w="5495" w:type="dxa"/>
            <w:vAlign w:val="bottom"/>
          </w:tcPr>
          <w:p w:rsidR="005903CF" w:rsidRPr="00252FB0" w:rsidRDefault="005903CF">
            <w:pPr>
              <w:pStyle w:val="Heading3"/>
              <w:tabs>
                <w:tab w:val="clear" w:pos="3402"/>
                <w:tab w:val="clear" w:pos="8222"/>
              </w:tabs>
              <w:rPr>
                <w:rFonts w:ascii="Times New Roman" w:hAnsi="Times New Roman"/>
              </w:rPr>
            </w:pPr>
            <w:r w:rsidRPr="00252FB0">
              <w:rPr>
                <w:rFonts w:ascii="Times New Roman" w:hAnsi="Times New Roman"/>
              </w:rPr>
              <w:t xml:space="preserve">Cash flows </w:t>
            </w:r>
            <w:r w:rsidR="00735183">
              <w:rPr>
                <w:rFonts w:ascii="Times New Roman" w:hAnsi="Times New Roman"/>
              </w:rPr>
              <w:t>from</w:t>
            </w:r>
            <w:r w:rsidR="00180734">
              <w:rPr>
                <w:rFonts w:ascii="Times New Roman" w:hAnsi="Times New Roman"/>
              </w:rPr>
              <w:t>/(used in)</w:t>
            </w:r>
            <w:r w:rsidRPr="00252FB0">
              <w:rPr>
                <w:rFonts w:ascii="Times New Roman" w:hAnsi="Times New Roman"/>
              </w:rPr>
              <w:t xml:space="preserve"> operating activities</w:t>
            </w:r>
          </w:p>
        </w:tc>
        <w:tc>
          <w:tcPr>
            <w:tcW w:w="709" w:type="dxa"/>
            <w:vAlign w:val="bottom"/>
          </w:tcPr>
          <w:p w:rsidR="005903CF" w:rsidRPr="00252FB0" w:rsidRDefault="005903CF" w:rsidP="00081793">
            <w:pPr>
              <w:pStyle w:val="Heading3"/>
              <w:tabs>
                <w:tab w:val="clear" w:pos="3402"/>
                <w:tab w:val="clear" w:pos="8222"/>
              </w:tabs>
              <w:jc w:val="center"/>
              <w:rPr>
                <w:rFonts w:ascii="Times New Roman" w:hAnsi="Times New Roman"/>
              </w:rPr>
            </w:pPr>
          </w:p>
        </w:tc>
        <w:tc>
          <w:tcPr>
            <w:tcW w:w="1984" w:type="dxa"/>
          </w:tcPr>
          <w:p w:rsidR="005903CF" w:rsidRPr="00252FB0" w:rsidRDefault="005903CF" w:rsidP="00460791">
            <w:pPr>
              <w:pStyle w:val="Heading3"/>
              <w:rPr>
                <w:rFonts w:ascii="Times New Roman" w:hAnsi="Times New Roman"/>
                <w:b w:val="0"/>
                <w:bCs w:val="0"/>
              </w:rPr>
            </w:pPr>
          </w:p>
        </w:tc>
        <w:tc>
          <w:tcPr>
            <w:tcW w:w="284" w:type="dxa"/>
          </w:tcPr>
          <w:p w:rsidR="005903CF" w:rsidRPr="00252FB0" w:rsidRDefault="005903CF" w:rsidP="00637569">
            <w:pPr>
              <w:jc w:val="right"/>
              <w:rPr>
                <w:rFonts w:ascii="Times New Roman" w:hAnsi="Times New Roman"/>
                <w:b/>
                <w:bCs/>
                <w:sz w:val="20"/>
              </w:rPr>
            </w:pPr>
          </w:p>
        </w:tc>
        <w:tc>
          <w:tcPr>
            <w:tcW w:w="1948" w:type="dxa"/>
          </w:tcPr>
          <w:p w:rsidR="005903CF" w:rsidRPr="00252FB0" w:rsidRDefault="005903CF" w:rsidP="00475643">
            <w:pPr>
              <w:jc w:val="right"/>
              <w:rPr>
                <w:rFonts w:ascii="Times New Roman" w:hAnsi="Times New Roman"/>
                <w:b/>
                <w:bCs/>
                <w:sz w:val="20"/>
              </w:rPr>
            </w:pPr>
          </w:p>
        </w:tc>
      </w:tr>
      <w:tr w:rsidR="00053155" w:rsidRPr="00252FB0" w:rsidTr="00B74D7C">
        <w:trPr>
          <w:cantSplit/>
        </w:trPr>
        <w:tc>
          <w:tcPr>
            <w:tcW w:w="5495" w:type="dxa"/>
            <w:vAlign w:val="bottom"/>
          </w:tcPr>
          <w:p w:rsidR="00053155" w:rsidRPr="00252FB0" w:rsidRDefault="00053155">
            <w:pPr>
              <w:pStyle w:val="Heading3"/>
              <w:tabs>
                <w:tab w:val="clear" w:pos="3402"/>
                <w:tab w:val="clear" w:pos="8222"/>
              </w:tabs>
              <w:rPr>
                <w:rFonts w:ascii="Times New Roman" w:hAnsi="Times New Roman"/>
                <w:b w:val="0"/>
                <w:bCs w:val="0"/>
              </w:rPr>
            </w:pPr>
            <w:r w:rsidRPr="00252FB0">
              <w:rPr>
                <w:rFonts w:ascii="Times New Roman" w:hAnsi="Times New Roman"/>
                <w:b w:val="0"/>
                <w:bCs w:val="0"/>
              </w:rPr>
              <w:t xml:space="preserve">Net </w:t>
            </w:r>
            <w:r w:rsidR="00963D05">
              <w:rPr>
                <w:rFonts w:ascii="Times New Roman" w:hAnsi="Times New Roman"/>
                <w:b w:val="0"/>
                <w:bCs w:val="0"/>
              </w:rPr>
              <w:t>(loss)/</w:t>
            </w:r>
            <w:r w:rsidRPr="00252FB0">
              <w:rPr>
                <w:rFonts w:ascii="Times New Roman" w:hAnsi="Times New Roman"/>
                <w:b w:val="0"/>
                <w:bCs w:val="0"/>
              </w:rPr>
              <w:t>profit</w:t>
            </w:r>
            <w:r>
              <w:rPr>
                <w:rFonts w:ascii="Times New Roman" w:hAnsi="Times New Roman"/>
                <w:b w:val="0"/>
                <w:bCs w:val="0"/>
              </w:rPr>
              <w:t xml:space="preserve"> after taxation</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vAlign w:val="bottom"/>
          </w:tcPr>
          <w:p w:rsidR="00053155" w:rsidRPr="00252FB0" w:rsidRDefault="00053155">
            <w:pPr>
              <w:jc w:val="right"/>
              <w:rPr>
                <w:rFonts w:ascii="Times New Roman" w:hAnsi="Times New Roman"/>
                <w:sz w:val="20"/>
              </w:rPr>
            </w:pPr>
            <w:r>
              <w:rPr>
                <w:rFonts w:ascii="Times New Roman" w:hAnsi="Times New Roman"/>
                <w:sz w:val="20"/>
              </w:rPr>
              <w:t>(14,631,731)</w:t>
            </w:r>
          </w:p>
        </w:tc>
        <w:tc>
          <w:tcPr>
            <w:tcW w:w="284" w:type="dxa"/>
            <w:vAlign w:val="bottom"/>
          </w:tcPr>
          <w:p w:rsidR="00053155" w:rsidRPr="00252FB0" w:rsidRDefault="00053155" w:rsidP="00E434B6">
            <w:pPr>
              <w:jc w:val="right"/>
              <w:rPr>
                <w:rFonts w:ascii="Times New Roman" w:hAnsi="Times New Roman"/>
                <w:sz w:val="20"/>
              </w:rPr>
            </w:pPr>
          </w:p>
        </w:tc>
        <w:tc>
          <w:tcPr>
            <w:tcW w:w="1948" w:type="dxa"/>
            <w:vAlign w:val="bottom"/>
          </w:tcPr>
          <w:p w:rsidR="00053155" w:rsidRPr="00252FB0" w:rsidRDefault="00053155" w:rsidP="003B01CA">
            <w:pPr>
              <w:jc w:val="right"/>
              <w:rPr>
                <w:rFonts w:ascii="Times New Roman" w:hAnsi="Times New Roman"/>
                <w:sz w:val="20"/>
              </w:rPr>
            </w:pPr>
            <w:r>
              <w:rPr>
                <w:rFonts w:ascii="Times New Roman" w:hAnsi="Times New Roman"/>
                <w:sz w:val="20"/>
              </w:rPr>
              <w:t>1,378,538</w:t>
            </w:r>
          </w:p>
        </w:tc>
      </w:tr>
      <w:tr w:rsidR="00053155" w:rsidRPr="00252FB0" w:rsidTr="00B74D7C">
        <w:trPr>
          <w:cantSplit/>
        </w:trPr>
        <w:tc>
          <w:tcPr>
            <w:tcW w:w="5495" w:type="dxa"/>
            <w:vAlign w:val="bottom"/>
          </w:tcPr>
          <w:p w:rsidR="00053155" w:rsidRPr="00252FB0" w:rsidRDefault="00053155" w:rsidP="00E434B6">
            <w:pPr>
              <w:rPr>
                <w:rFonts w:ascii="Times New Roman" w:hAnsi="Times New Roman"/>
                <w:sz w:val="20"/>
              </w:rPr>
            </w:pPr>
            <w:r w:rsidRPr="00252FB0">
              <w:rPr>
                <w:rFonts w:ascii="Times New Roman" w:hAnsi="Times New Roman"/>
                <w:sz w:val="20"/>
              </w:rPr>
              <w:t>Adjustments for:</w:t>
            </w:r>
          </w:p>
        </w:tc>
        <w:tc>
          <w:tcPr>
            <w:tcW w:w="709" w:type="dxa"/>
            <w:vAlign w:val="bottom"/>
          </w:tcPr>
          <w:p w:rsidR="00053155" w:rsidRPr="00252FB0" w:rsidRDefault="00053155" w:rsidP="00081793">
            <w:pPr>
              <w:jc w:val="center"/>
              <w:rPr>
                <w:rFonts w:ascii="Times New Roman" w:hAnsi="Times New Roman"/>
                <w:sz w:val="20"/>
              </w:rPr>
            </w:pPr>
          </w:p>
        </w:tc>
        <w:tc>
          <w:tcPr>
            <w:tcW w:w="1984" w:type="dxa"/>
            <w:vAlign w:val="bottom"/>
          </w:tcPr>
          <w:p w:rsidR="00053155" w:rsidRPr="00252FB0" w:rsidRDefault="00053155" w:rsidP="00E434B6">
            <w:pPr>
              <w:jc w:val="right"/>
              <w:rPr>
                <w:rFonts w:ascii="Times New Roman" w:hAnsi="Times New Roman"/>
                <w:sz w:val="20"/>
              </w:rPr>
            </w:pPr>
          </w:p>
        </w:tc>
        <w:tc>
          <w:tcPr>
            <w:tcW w:w="284" w:type="dxa"/>
            <w:vAlign w:val="bottom"/>
          </w:tcPr>
          <w:p w:rsidR="00053155" w:rsidRPr="00252FB0" w:rsidRDefault="00053155" w:rsidP="00E434B6">
            <w:pPr>
              <w:jc w:val="right"/>
              <w:rPr>
                <w:rFonts w:ascii="Times New Roman" w:hAnsi="Times New Roman"/>
                <w:sz w:val="20"/>
              </w:rPr>
            </w:pPr>
          </w:p>
        </w:tc>
        <w:tc>
          <w:tcPr>
            <w:tcW w:w="1948" w:type="dxa"/>
            <w:vAlign w:val="bottom"/>
          </w:tcPr>
          <w:p w:rsidR="00053155" w:rsidRPr="00252FB0" w:rsidRDefault="00053155" w:rsidP="003B01CA">
            <w:pPr>
              <w:jc w:val="right"/>
              <w:rPr>
                <w:rFonts w:ascii="Times New Roman" w:hAnsi="Times New Roman"/>
                <w:sz w:val="20"/>
              </w:rPr>
            </w:pPr>
          </w:p>
        </w:tc>
      </w:tr>
      <w:tr w:rsidR="00053155" w:rsidRPr="00252FB0" w:rsidTr="00B74D7C">
        <w:trPr>
          <w:cantSplit/>
        </w:trPr>
        <w:tc>
          <w:tcPr>
            <w:tcW w:w="5495" w:type="dxa"/>
            <w:vAlign w:val="bottom"/>
          </w:tcPr>
          <w:p w:rsidR="00053155" w:rsidRPr="00252FB0" w:rsidRDefault="00053155" w:rsidP="00E434B6">
            <w:pPr>
              <w:rPr>
                <w:rFonts w:ascii="Times New Roman" w:hAnsi="Times New Roman"/>
                <w:sz w:val="20"/>
              </w:rPr>
            </w:pPr>
            <w:r w:rsidRPr="00252FB0">
              <w:rPr>
                <w:rFonts w:ascii="Times New Roman" w:hAnsi="Times New Roman"/>
                <w:sz w:val="20"/>
              </w:rPr>
              <w:t>Net movement in the fair value of securities (at fair value through profit or loss)</w:t>
            </w:r>
          </w:p>
        </w:tc>
        <w:tc>
          <w:tcPr>
            <w:tcW w:w="709" w:type="dxa"/>
            <w:vAlign w:val="bottom"/>
          </w:tcPr>
          <w:p w:rsidR="00053155" w:rsidRPr="00252FB0" w:rsidRDefault="00053155" w:rsidP="007362D0">
            <w:pPr>
              <w:jc w:val="center"/>
              <w:rPr>
                <w:rFonts w:ascii="Times New Roman" w:hAnsi="Times New Roman"/>
                <w:sz w:val="20"/>
              </w:rPr>
            </w:pPr>
            <w:r w:rsidRPr="00252FB0">
              <w:rPr>
                <w:rFonts w:ascii="Times New Roman" w:hAnsi="Times New Roman"/>
                <w:sz w:val="20"/>
              </w:rPr>
              <w:t>9</w:t>
            </w:r>
          </w:p>
        </w:tc>
        <w:tc>
          <w:tcPr>
            <w:tcW w:w="1984" w:type="dxa"/>
            <w:vAlign w:val="bottom"/>
          </w:tcPr>
          <w:p w:rsidR="00053155" w:rsidRPr="00252FB0" w:rsidRDefault="00053155">
            <w:pPr>
              <w:jc w:val="right"/>
              <w:rPr>
                <w:rFonts w:ascii="Times New Roman" w:hAnsi="Times New Roman"/>
                <w:sz w:val="20"/>
              </w:rPr>
            </w:pPr>
            <w:r>
              <w:rPr>
                <w:rFonts w:ascii="Times New Roman" w:hAnsi="Times New Roman"/>
                <w:sz w:val="20"/>
              </w:rPr>
              <w:t>19,1</w:t>
            </w:r>
            <w:r w:rsidR="00D83D2E">
              <w:rPr>
                <w:rFonts w:ascii="Times New Roman" w:hAnsi="Times New Roman"/>
                <w:sz w:val="20"/>
              </w:rPr>
              <w:t>71</w:t>
            </w:r>
            <w:r>
              <w:rPr>
                <w:rFonts w:ascii="Times New Roman" w:hAnsi="Times New Roman"/>
                <w:sz w:val="20"/>
              </w:rPr>
              <w:t>,</w:t>
            </w:r>
            <w:r w:rsidR="00D83D2E">
              <w:rPr>
                <w:rFonts w:ascii="Times New Roman" w:hAnsi="Times New Roman"/>
                <w:sz w:val="20"/>
              </w:rPr>
              <w:t>856</w:t>
            </w:r>
          </w:p>
        </w:tc>
        <w:tc>
          <w:tcPr>
            <w:tcW w:w="284" w:type="dxa"/>
            <w:vAlign w:val="bottom"/>
          </w:tcPr>
          <w:p w:rsidR="00053155" w:rsidRPr="00252FB0" w:rsidRDefault="00053155" w:rsidP="00E434B6">
            <w:pPr>
              <w:jc w:val="right"/>
              <w:rPr>
                <w:rFonts w:ascii="Times New Roman" w:hAnsi="Times New Roman"/>
                <w:sz w:val="20"/>
              </w:rPr>
            </w:pPr>
          </w:p>
        </w:tc>
        <w:tc>
          <w:tcPr>
            <w:tcW w:w="1948" w:type="dxa"/>
            <w:vAlign w:val="bottom"/>
          </w:tcPr>
          <w:p w:rsidR="00053155" w:rsidRPr="00252FB0" w:rsidRDefault="00053155" w:rsidP="003B01CA">
            <w:pPr>
              <w:jc w:val="right"/>
              <w:rPr>
                <w:rFonts w:ascii="Times New Roman" w:hAnsi="Times New Roman"/>
                <w:sz w:val="20"/>
              </w:rPr>
            </w:pPr>
            <w:r>
              <w:rPr>
                <w:rFonts w:ascii="Times New Roman" w:hAnsi="Times New Roman"/>
                <w:sz w:val="20"/>
              </w:rPr>
              <w:t>3,842,301</w:t>
            </w:r>
          </w:p>
        </w:tc>
      </w:tr>
      <w:tr w:rsidR="00053155" w:rsidRPr="00252FB0" w:rsidTr="00B74D7C">
        <w:trPr>
          <w:cantSplit/>
        </w:trPr>
        <w:tc>
          <w:tcPr>
            <w:tcW w:w="5495" w:type="dxa"/>
            <w:vAlign w:val="bottom"/>
          </w:tcPr>
          <w:p w:rsidR="00053155" w:rsidRPr="00252FB0" w:rsidRDefault="00053155">
            <w:pPr>
              <w:rPr>
                <w:rFonts w:ascii="Times New Roman" w:hAnsi="Times New Roman"/>
                <w:sz w:val="20"/>
              </w:rPr>
            </w:pPr>
            <w:r w:rsidRPr="00252FB0">
              <w:rPr>
                <w:rFonts w:ascii="Times New Roman" w:hAnsi="Times New Roman"/>
                <w:sz w:val="20"/>
              </w:rPr>
              <w:t xml:space="preserve">Realised </w:t>
            </w:r>
            <w:r>
              <w:rPr>
                <w:rFonts w:ascii="Times New Roman" w:hAnsi="Times New Roman"/>
                <w:sz w:val="20"/>
              </w:rPr>
              <w:t>loss</w:t>
            </w:r>
            <w:r w:rsidR="0069096F">
              <w:rPr>
                <w:rFonts w:ascii="Times New Roman" w:hAnsi="Times New Roman"/>
                <w:sz w:val="20"/>
              </w:rPr>
              <w:t>/(gain)</w:t>
            </w:r>
            <w:r w:rsidRPr="00252FB0">
              <w:rPr>
                <w:rFonts w:ascii="Times New Roman" w:hAnsi="Times New Roman"/>
                <w:sz w:val="20"/>
              </w:rPr>
              <w:t xml:space="preserve"> on foreign exchange</w:t>
            </w:r>
          </w:p>
        </w:tc>
        <w:tc>
          <w:tcPr>
            <w:tcW w:w="709" w:type="dxa"/>
            <w:vAlign w:val="bottom"/>
          </w:tcPr>
          <w:p w:rsidR="00053155" w:rsidRPr="00252FB0" w:rsidRDefault="00053155" w:rsidP="00081793">
            <w:pPr>
              <w:jc w:val="center"/>
              <w:rPr>
                <w:rFonts w:ascii="Times New Roman" w:hAnsi="Times New Roman"/>
                <w:sz w:val="20"/>
              </w:rPr>
            </w:pPr>
          </w:p>
        </w:tc>
        <w:tc>
          <w:tcPr>
            <w:tcW w:w="1984" w:type="dxa"/>
            <w:vAlign w:val="bottom"/>
          </w:tcPr>
          <w:p w:rsidR="00053155" w:rsidRPr="00252FB0" w:rsidRDefault="00053155">
            <w:pPr>
              <w:jc w:val="right"/>
              <w:rPr>
                <w:rFonts w:ascii="Times New Roman" w:hAnsi="Times New Roman"/>
                <w:sz w:val="20"/>
                <w:szCs w:val="20"/>
              </w:rPr>
            </w:pPr>
            <w:r>
              <w:rPr>
                <w:rFonts w:ascii="Times New Roman" w:hAnsi="Times New Roman"/>
                <w:sz w:val="20"/>
                <w:szCs w:val="20"/>
              </w:rPr>
              <w:t>340,347</w:t>
            </w:r>
          </w:p>
        </w:tc>
        <w:tc>
          <w:tcPr>
            <w:tcW w:w="284" w:type="dxa"/>
            <w:vAlign w:val="bottom"/>
          </w:tcPr>
          <w:p w:rsidR="00053155" w:rsidRPr="00252FB0" w:rsidRDefault="00053155" w:rsidP="00E434B6">
            <w:pPr>
              <w:jc w:val="right"/>
              <w:rPr>
                <w:rFonts w:ascii="Times New Roman" w:hAnsi="Times New Roman"/>
                <w:sz w:val="20"/>
              </w:rPr>
            </w:pPr>
          </w:p>
        </w:tc>
        <w:tc>
          <w:tcPr>
            <w:tcW w:w="1948" w:type="dxa"/>
            <w:vAlign w:val="bottom"/>
          </w:tcPr>
          <w:p w:rsidR="00053155" w:rsidRPr="00252FB0" w:rsidRDefault="00053155" w:rsidP="003B01CA">
            <w:pPr>
              <w:jc w:val="right"/>
              <w:rPr>
                <w:rFonts w:ascii="Times New Roman" w:hAnsi="Times New Roman"/>
                <w:sz w:val="20"/>
                <w:szCs w:val="20"/>
              </w:rPr>
            </w:pPr>
            <w:r>
              <w:rPr>
                <w:rFonts w:ascii="Times New Roman" w:hAnsi="Times New Roman"/>
                <w:sz w:val="20"/>
                <w:szCs w:val="20"/>
              </w:rPr>
              <w:t>(543,033)</w:t>
            </w:r>
          </w:p>
        </w:tc>
      </w:tr>
      <w:tr w:rsidR="00053155" w:rsidRPr="00252FB0" w:rsidTr="00B74D7C">
        <w:trPr>
          <w:cantSplit/>
        </w:trPr>
        <w:tc>
          <w:tcPr>
            <w:tcW w:w="5495" w:type="dxa"/>
            <w:vAlign w:val="bottom"/>
          </w:tcPr>
          <w:p w:rsidR="00053155" w:rsidRPr="00252FB0" w:rsidRDefault="00053155">
            <w:pPr>
              <w:rPr>
                <w:rFonts w:ascii="Times New Roman" w:hAnsi="Times New Roman"/>
                <w:sz w:val="20"/>
              </w:rPr>
            </w:pPr>
            <w:r w:rsidRPr="00252FB0">
              <w:rPr>
                <w:rFonts w:ascii="Times New Roman" w:hAnsi="Times New Roman"/>
                <w:sz w:val="20"/>
              </w:rPr>
              <w:t xml:space="preserve">Unrealised </w:t>
            </w:r>
            <w:r>
              <w:rPr>
                <w:rFonts w:ascii="Times New Roman" w:hAnsi="Times New Roman"/>
                <w:sz w:val="20"/>
              </w:rPr>
              <w:t>(gain)</w:t>
            </w:r>
            <w:r w:rsidR="0069096F">
              <w:rPr>
                <w:rFonts w:ascii="Times New Roman" w:hAnsi="Times New Roman"/>
                <w:sz w:val="20"/>
              </w:rPr>
              <w:t>/loss</w:t>
            </w:r>
            <w:r w:rsidRPr="00252FB0">
              <w:rPr>
                <w:rFonts w:ascii="Times New Roman" w:hAnsi="Times New Roman"/>
                <w:sz w:val="20"/>
              </w:rPr>
              <w:t xml:space="preserve"> on foreign exchange</w:t>
            </w:r>
          </w:p>
        </w:tc>
        <w:tc>
          <w:tcPr>
            <w:tcW w:w="709" w:type="dxa"/>
            <w:vAlign w:val="bottom"/>
          </w:tcPr>
          <w:p w:rsidR="00053155" w:rsidRPr="00252FB0" w:rsidRDefault="00053155" w:rsidP="00081793">
            <w:pPr>
              <w:jc w:val="center"/>
              <w:rPr>
                <w:rFonts w:ascii="Times New Roman" w:hAnsi="Times New Roman"/>
                <w:sz w:val="20"/>
              </w:rPr>
            </w:pPr>
            <w:r>
              <w:rPr>
                <w:rFonts w:ascii="Times New Roman" w:hAnsi="Times New Roman"/>
                <w:sz w:val="20"/>
              </w:rPr>
              <w:t>2p</w:t>
            </w:r>
          </w:p>
        </w:tc>
        <w:tc>
          <w:tcPr>
            <w:tcW w:w="1984" w:type="dxa"/>
            <w:vAlign w:val="bottom"/>
          </w:tcPr>
          <w:p w:rsidR="00053155" w:rsidRPr="00252FB0" w:rsidRDefault="00053155">
            <w:pPr>
              <w:jc w:val="right"/>
              <w:rPr>
                <w:rFonts w:ascii="Times New Roman" w:hAnsi="Times New Roman"/>
                <w:sz w:val="20"/>
                <w:szCs w:val="20"/>
              </w:rPr>
            </w:pPr>
            <w:r>
              <w:rPr>
                <w:rFonts w:ascii="Times New Roman" w:hAnsi="Times New Roman"/>
                <w:sz w:val="20"/>
                <w:szCs w:val="20"/>
              </w:rPr>
              <w:t>(527,351)</w:t>
            </w:r>
          </w:p>
        </w:tc>
        <w:tc>
          <w:tcPr>
            <w:tcW w:w="284" w:type="dxa"/>
            <w:vAlign w:val="bottom"/>
          </w:tcPr>
          <w:p w:rsidR="00053155" w:rsidRPr="00252FB0" w:rsidRDefault="00053155" w:rsidP="00E434B6">
            <w:pPr>
              <w:jc w:val="right"/>
              <w:rPr>
                <w:rFonts w:ascii="Times New Roman" w:hAnsi="Times New Roman"/>
                <w:sz w:val="20"/>
              </w:rPr>
            </w:pPr>
          </w:p>
        </w:tc>
        <w:tc>
          <w:tcPr>
            <w:tcW w:w="1948" w:type="dxa"/>
            <w:vAlign w:val="bottom"/>
          </w:tcPr>
          <w:p w:rsidR="00053155" w:rsidRPr="00252FB0" w:rsidRDefault="00053155" w:rsidP="003B01CA">
            <w:pPr>
              <w:jc w:val="right"/>
              <w:rPr>
                <w:rFonts w:ascii="Times New Roman" w:hAnsi="Times New Roman"/>
                <w:sz w:val="20"/>
                <w:szCs w:val="20"/>
              </w:rPr>
            </w:pPr>
            <w:r>
              <w:rPr>
                <w:rFonts w:ascii="Times New Roman" w:hAnsi="Times New Roman"/>
                <w:sz w:val="20"/>
                <w:szCs w:val="20"/>
              </w:rPr>
              <w:t>199,453</w:t>
            </w:r>
          </w:p>
        </w:tc>
      </w:tr>
      <w:tr w:rsidR="00053155" w:rsidRPr="00252FB0" w:rsidTr="00B74D7C">
        <w:trPr>
          <w:cantSplit/>
        </w:trPr>
        <w:tc>
          <w:tcPr>
            <w:tcW w:w="5495" w:type="dxa"/>
            <w:vAlign w:val="bottom"/>
          </w:tcPr>
          <w:p w:rsidR="00053155" w:rsidRPr="00252FB0" w:rsidRDefault="00053155" w:rsidP="009664E0">
            <w:pPr>
              <w:rPr>
                <w:rFonts w:ascii="Times New Roman" w:hAnsi="Times New Roman"/>
                <w:sz w:val="20"/>
                <w:szCs w:val="20"/>
              </w:rPr>
            </w:pPr>
            <w:r w:rsidRPr="009D6139">
              <w:rPr>
                <w:rFonts w:ascii="Times New Roman" w:hAnsi="Times New Roman"/>
                <w:sz w:val="20"/>
                <w:szCs w:val="20"/>
              </w:rPr>
              <w:t>Payment for purchases of securities</w:t>
            </w:r>
          </w:p>
        </w:tc>
        <w:tc>
          <w:tcPr>
            <w:tcW w:w="709" w:type="dxa"/>
            <w:vAlign w:val="bottom"/>
          </w:tcPr>
          <w:p w:rsidR="00053155" w:rsidRPr="00252FB0" w:rsidRDefault="00053155" w:rsidP="00081793">
            <w:pPr>
              <w:jc w:val="center"/>
              <w:rPr>
                <w:rFonts w:ascii="Times New Roman" w:hAnsi="Times New Roman"/>
                <w:sz w:val="20"/>
                <w:szCs w:val="20"/>
              </w:rPr>
            </w:pPr>
          </w:p>
        </w:tc>
        <w:tc>
          <w:tcPr>
            <w:tcW w:w="1984" w:type="dxa"/>
            <w:vAlign w:val="bottom"/>
          </w:tcPr>
          <w:p w:rsidR="00053155" w:rsidRPr="00252FB0" w:rsidRDefault="00053155">
            <w:pPr>
              <w:jc w:val="right"/>
              <w:rPr>
                <w:rFonts w:ascii="Times New Roman" w:hAnsi="Times New Roman"/>
                <w:sz w:val="20"/>
                <w:szCs w:val="20"/>
              </w:rPr>
            </w:pPr>
            <w:r>
              <w:rPr>
                <w:rFonts w:ascii="Times New Roman" w:hAnsi="Times New Roman"/>
                <w:sz w:val="20"/>
                <w:szCs w:val="20"/>
              </w:rPr>
              <w:t>(71,588,657)</w:t>
            </w:r>
          </w:p>
        </w:tc>
        <w:tc>
          <w:tcPr>
            <w:tcW w:w="284" w:type="dxa"/>
          </w:tcPr>
          <w:p w:rsidR="00053155" w:rsidRPr="00252FB0" w:rsidRDefault="00053155" w:rsidP="00E434B6">
            <w:pPr>
              <w:jc w:val="right"/>
              <w:rPr>
                <w:rFonts w:ascii="Times New Roman" w:hAnsi="Times New Roman"/>
                <w:sz w:val="20"/>
                <w:szCs w:val="20"/>
              </w:rPr>
            </w:pPr>
          </w:p>
        </w:tc>
        <w:tc>
          <w:tcPr>
            <w:tcW w:w="1948" w:type="dxa"/>
            <w:vAlign w:val="bottom"/>
          </w:tcPr>
          <w:p w:rsidR="00053155" w:rsidRPr="00252FB0" w:rsidRDefault="00053155" w:rsidP="003B01CA">
            <w:pPr>
              <w:jc w:val="right"/>
              <w:rPr>
                <w:rFonts w:ascii="Times New Roman" w:hAnsi="Times New Roman"/>
                <w:sz w:val="20"/>
                <w:szCs w:val="20"/>
              </w:rPr>
            </w:pPr>
            <w:r>
              <w:rPr>
                <w:rFonts w:ascii="Times New Roman" w:hAnsi="Times New Roman"/>
                <w:sz w:val="20"/>
                <w:szCs w:val="20"/>
              </w:rPr>
              <w:t>(115,915,107)</w:t>
            </w:r>
          </w:p>
        </w:tc>
      </w:tr>
      <w:tr w:rsidR="00053155" w:rsidRPr="00252FB0" w:rsidTr="00B74D7C">
        <w:trPr>
          <w:cantSplit/>
        </w:trPr>
        <w:tc>
          <w:tcPr>
            <w:tcW w:w="5495" w:type="dxa"/>
            <w:vAlign w:val="bottom"/>
          </w:tcPr>
          <w:p w:rsidR="00053155" w:rsidRPr="00252FB0" w:rsidRDefault="00053155" w:rsidP="009664E0">
            <w:pPr>
              <w:rPr>
                <w:rFonts w:ascii="Times New Roman" w:hAnsi="Times New Roman"/>
                <w:sz w:val="20"/>
                <w:szCs w:val="20"/>
              </w:rPr>
            </w:pPr>
            <w:r w:rsidRPr="009D6139">
              <w:rPr>
                <w:rFonts w:ascii="Times New Roman" w:hAnsi="Times New Roman"/>
                <w:sz w:val="20"/>
                <w:szCs w:val="20"/>
              </w:rPr>
              <w:t>Proceeds from sale of securities</w:t>
            </w:r>
          </w:p>
        </w:tc>
        <w:tc>
          <w:tcPr>
            <w:tcW w:w="709" w:type="dxa"/>
            <w:vAlign w:val="bottom"/>
          </w:tcPr>
          <w:p w:rsidR="00053155" w:rsidRPr="00252FB0" w:rsidRDefault="00053155" w:rsidP="00081793">
            <w:pPr>
              <w:jc w:val="center"/>
              <w:rPr>
                <w:rFonts w:ascii="Times New Roman" w:hAnsi="Times New Roman"/>
                <w:sz w:val="20"/>
                <w:szCs w:val="20"/>
              </w:rPr>
            </w:pPr>
          </w:p>
        </w:tc>
        <w:tc>
          <w:tcPr>
            <w:tcW w:w="1984" w:type="dxa"/>
            <w:vAlign w:val="bottom"/>
          </w:tcPr>
          <w:p w:rsidR="00053155" w:rsidRPr="00252FB0" w:rsidRDefault="00053155">
            <w:pPr>
              <w:jc w:val="right"/>
              <w:rPr>
                <w:rFonts w:ascii="Times New Roman" w:hAnsi="Times New Roman"/>
                <w:sz w:val="20"/>
                <w:szCs w:val="20"/>
              </w:rPr>
            </w:pPr>
            <w:r>
              <w:rPr>
                <w:rFonts w:ascii="Times New Roman" w:hAnsi="Times New Roman"/>
                <w:sz w:val="20"/>
                <w:szCs w:val="20"/>
              </w:rPr>
              <w:t>86,7</w:t>
            </w:r>
            <w:r w:rsidR="00D83D2E">
              <w:rPr>
                <w:rFonts w:ascii="Times New Roman" w:hAnsi="Times New Roman"/>
                <w:sz w:val="20"/>
                <w:szCs w:val="20"/>
              </w:rPr>
              <w:t>86</w:t>
            </w:r>
            <w:r>
              <w:rPr>
                <w:rFonts w:ascii="Times New Roman" w:hAnsi="Times New Roman"/>
                <w:sz w:val="20"/>
                <w:szCs w:val="20"/>
              </w:rPr>
              <w:t>,</w:t>
            </w:r>
            <w:r w:rsidR="00D83D2E">
              <w:rPr>
                <w:rFonts w:ascii="Times New Roman" w:hAnsi="Times New Roman"/>
                <w:sz w:val="20"/>
                <w:szCs w:val="20"/>
              </w:rPr>
              <w:t>429</w:t>
            </w:r>
          </w:p>
        </w:tc>
        <w:tc>
          <w:tcPr>
            <w:tcW w:w="284" w:type="dxa"/>
          </w:tcPr>
          <w:p w:rsidR="00053155" w:rsidRPr="00252FB0" w:rsidRDefault="00053155" w:rsidP="00E434B6">
            <w:pPr>
              <w:jc w:val="right"/>
              <w:rPr>
                <w:rFonts w:ascii="Times New Roman" w:hAnsi="Times New Roman"/>
                <w:sz w:val="20"/>
                <w:szCs w:val="20"/>
              </w:rPr>
            </w:pPr>
          </w:p>
        </w:tc>
        <w:tc>
          <w:tcPr>
            <w:tcW w:w="1948" w:type="dxa"/>
            <w:vAlign w:val="bottom"/>
          </w:tcPr>
          <w:p w:rsidR="00053155" w:rsidRPr="00252FB0" w:rsidRDefault="00053155" w:rsidP="003B01CA">
            <w:pPr>
              <w:jc w:val="right"/>
              <w:rPr>
                <w:rFonts w:ascii="Times New Roman" w:hAnsi="Times New Roman"/>
                <w:sz w:val="20"/>
                <w:szCs w:val="20"/>
              </w:rPr>
            </w:pPr>
            <w:r>
              <w:rPr>
                <w:rFonts w:ascii="Times New Roman" w:hAnsi="Times New Roman"/>
                <w:sz w:val="20"/>
                <w:szCs w:val="20"/>
              </w:rPr>
              <w:t>109,939,967</w:t>
            </w:r>
          </w:p>
        </w:tc>
      </w:tr>
      <w:tr w:rsidR="00053155" w:rsidRPr="00252FB0" w:rsidTr="00B74D7C">
        <w:trPr>
          <w:cantSplit/>
        </w:trPr>
        <w:tc>
          <w:tcPr>
            <w:tcW w:w="5495" w:type="dxa"/>
            <w:vAlign w:val="bottom"/>
          </w:tcPr>
          <w:p w:rsidR="00053155" w:rsidRPr="00252FB0" w:rsidRDefault="00053155" w:rsidP="00E434B6">
            <w:pPr>
              <w:rPr>
                <w:rFonts w:ascii="Times New Roman" w:hAnsi="Times New Roman"/>
                <w:sz w:val="20"/>
              </w:rPr>
            </w:pPr>
          </w:p>
        </w:tc>
        <w:tc>
          <w:tcPr>
            <w:tcW w:w="709" w:type="dxa"/>
            <w:vAlign w:val="bottom"/>
          </w:tcPr>
          <w:p w:rsidR="00053155" w:rsidRPr="00252FB0" w:rsidRDefault="00053155" w:rsidP="00081793">
            <w:pPr>
              <w:jc w:val="center"/>
              <w:rPr>
                <w:rFonts w:ascii="Times New Roman" w:hAnsi="Times New Roman"/>
                <w:sz w:val="20"/>
              </w:rPr>
            </w:pPr>
          </w:p>
        </w:tc>
        <w:tc>
          <w:tcPr>
            <w:tcW w:w="1984" w:type="dxa"/>
            <w:tcBorders>
              <w:bottom w:val="single" w:sz="4" w:space="0" w:color="auto"/>
            </w:tcBorders>
          </w:tcPr>
          <w:p w:rsidR="00053155" w:rsidRPr="00252FB0" w:rsidRDefault="00053155" w:rsidP="00637569">
            <w:pPr>
              <w:jc w:val="right"/>
              <w:rPr>
                <w:rFonts w:ascii="Times New Roman" w:hAnsi="Times New Roman"/>
                <w:sz w:val="20"/>
              </w:rPr>
            </w:pPr>
          </w:p>
        </w:tc>
        <w:tc>
          <w:tcPr>
            <w:tcW w:w="284" w:type="dxa"/>
          </w:tcPr>
          <w:p w:rsidR="00053155" w:rsidRPr="00252FB0" w:rsidRDefault="00053155" w:rsidP="00637569">
            <w:pPr>
              <w:jc w:val="right"/>
              <w:rPr>
                <w:rFonts w:ascii="Times New Roman" w:hAnsi="Times New Roman"/>
                <w:sz w:val="20"/>
              </w:rPr>
            </w:pPr>
          </w:p>
        </w:tc>
        <w:tc>
          <w:tcPr>
            <w:tcW w:w="1948" w:type="dxa"/>
            <w:tcBorders>
              <w:bottom w:val="single" w:sz="4" w:space="0" w:color="auto"/>
            </w:tcBorders>
          </w:tcPr>
          <w:p w:rsidR="00053155" w:rsidRPr="00252FB0" w:rsidRDefault="00053155" w:rsidP="003B01CA">
            <w:pPr>
              <w:jc w:val="right"/>
              <w:rPr>
                <w:rFonts w:ascii="Times New Roman" w:hAnsi="Times New Roman"/>
                <w:sz w:val="20"/>
              </w:rPr>
            </w:pPr>
          </w:p>
        </w:tc>
      </w:tr>
      <w:tr w:rsidR="00053155" w:rsidRPr="00252FB0" w:rsidTr="00B74D7C">
        <w:trPr>
          <w:cantSplit/>
        </w:trPr>
        <w:tc>
          <w:tcPr>
            <w:tcW w:w="5495" w:type="dxa"/>
            <w:vAlign w:val="bottom"/>
          </w:tcPr>
          <w:p w:rsidR="00053155" w:rsidRPr="00252FB0" w:rsidRDefault="00053155" w:rsidP="00E434B6">
            <w:pPr>
              <w:rPr>
                <w:rFonts w:ascii="Times New Roman" w:hAnsi="Times New Roman"/>
                <w:b/>
                <w:sz w:val="20"/>
              </w:rPr>
            </w:pPr>
            <w:r w:rsidRPr="00252FB0">
              <w:rPr>
                <w:rFonts w:ascii="Times New Roman" w:hAnsi="Times New Roman"/>
                <w:b/>
                <w:sz w:val="20"/>
              </w:rPr>
              <w:t>Operating cash flows before movements in working capital</w:t>
            </w:r>
          </w:p>
        </w:tc>
        <w:tc>
          <w:tcPr>
            <w:tcW w:w="709" w:type="dxa"/>
            <w:vAlign w:val="bottom"/>
          </w:tcPr>
          <w:p w:rsidR="00053155" w:rsidRPr="00252FB0" w:rsidRDefault="00053155" w:rsidP="00081793">
            <w:pPr>
              <w:jc w:val="center"/>
              <w:rPr>
                <w:rFonts w:ascii="Times New Roman" w:hAnsi="Times New Roman"/>
                <w:b/>
                <w:sz w:val="20"/>
              </w:rPr>
            </w:pPr>
          </w:p>
        </w:tc>
        <w:tc>
          <w:tcPr>
            <w:tcW w:w="1984" w:type="dxa"/>
            <w:tcBorders>
              <w:top w:val="single" w:sz="4" w:space="0" w:color="auto"/>
            </w:tcBorders>
          </w:tcPr>
          <w:p w:rsidR="00053155" w:rsidRPr="00252FB0" w:rsidRDefault="00053155" w:rsidP="00BB783A">
            <w:pPr>
              <w:jc w:val="right"/>
              <w:rPr>
                <w:rFonts w:ascii="Times New Roman" w:hAnsi="Times New Roman"/>
                <w:sz w:val="20"/>
              </w:rPr>
            </w:pPr>
            <w:r>
              <w:rPr>
                <w:rFonts w:ascii="Times New Roman" w:hAnsi="Times New Roman"/>
                <w:sz w:val="20"/>
              </w:rPr>
              <w:t>19,550,893</w:t>
            </w:r>
          </w:p>
        </w:tc>
        <w:tc>
          <w:tcPr>
            <w:tcW w:w="284" w:type="dxa"/>
          </w:tcPr>
          <w:p w:rsidR="00053155" w:rsidRPr="00252FB0" w:rsidRDefault="00053155" w:rsidP="00637569">
            <w:pPr>
              <w:jc w:val="right"/>
              <w:rPr>
                <w:rFonts w:ascii="Times New Roman" w:hAnsi="Times New Roman"/>
                <w:sz w:val="20"/>
              </w:rPr>
            </w:pPr>
          </w:p>
        </w:tc>
        <w:tc>
          <w:tcPr>
            <w:tcW w:w="1948" w:type="dxa"/>
            <w:tcBorders>
              <w:top w:val="single" w:sz="4" w:space="0" w:color="auto"/>
            </w:tcBorders>
          </w:tcPr>
          <w:p w:rsidR="00053155" w:rsidRPr="00252FB0" w:rsidRDefault="00053155" w:rsidP="003B01CA">
            <w:pPr>
              <w:jc w:val="right"/>
              <w:rPr>
                <w:rFonts w:ascii="Times New Roman" w:hAnsi="Times New Roman"/>
                <w:sz w:val="20"/>
              </w:rPr>
            </w:pPr>
            <w:r>
              <w:rPr>
                <w:rFonts w:ascii="Times New Roman" w:hAnsi="Times New Roman"/>
                <w:sz w:val="20"/>
              </w:rPr>
              <w:t>(1,097,881)</w:t>
            </w:r>
          </w:p>
        </w:tc>
      </w:tr>
      <w:tr w:rsidR="00053155" w:rsidRPr="00252FB0" w:rsidTr="00B74D7C">
        <w:trPr>
          <w:cantSplit/>
        </w:trPr>
        <w:tc>
          <w:tcPr>
            <w:tcW w:w="5495" w:type="dxa"/>
            <w:vAlign w:val="bottom"/>
          </w:tcPr>
          <w:p w:rsidR="00053155" w:rsidRPr="00252FB0" w:rsidRDefault="00053155" w:rsidP="00E434B6">
            <w:pPr>
              <w:rPr>
                <w:rFonts w:ascii="Times New Roman" w:hAnsi="Times New Roman"/>
                <w:sz w:val="20"/>
              </w:rPr>
            </w:pPr>
          </w:p>
        </w:tc>
        <w:tc>
          <w:tcPr>
            <w:tcW w:w="709" w:type="dxa"/>
            <w:vAlign w:val="bottom"/>
          </w:tcPr>
          <w:p w:rsidR="00053155" w:rsidRPr="00252FB0" w:rsidRDefault="00053155" w:rsidP="00081793">
            <w:pPr>
              <w:jc w:val="center"/>
              <w:rPr>
                <w:rFonts w:ascii="Times New Roman" w:hAnsi="Times New Roman"/>
                <w:sz w:val="20"/>
              </w:rPr>
            </w:pPr>
          </w:p>
        </w:tc>
        <w:tc>
          <w:tcPr>
            <w:tcW w:w="1984" w:type="dxa"/>
          </w:tcPr>
          <w:p w:rsidR="00053155" w:rsidRPr="00252FB0" w:rsidRDefault="00053155" w:rsidP="00637569">
            <w:pPr>
              <w:jc w:val="right"/>
              <w:rPr>
                <w:rFonts w:ascii="Times New Roman" w:hAnsi="Times New Roman"/>
                <w:sz w:val="20"/>
              </w:rPr>
            </w:pP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p>
        </w:tc>
      </w:tr>
      <w:tr w:rsidR="00053155" w:rsidRPr="00252FB0" w:rsidTr="00B74D7C">
        <w:trPr>
          <w:cantSplit/>
        </w:trPr>
        <w:tc>
          <w:tcPr>
            <w:tcW w:w="5495" w:type="dxa"/>
            <w:vAlign w:val="bottom"/>
          </w:tcPr>
          <w:p w:rsidR="00053155" w:rsidRPr="00252FB0" w:rsidRDefault="0069096F">
            <w:pPr>
              <w:rPr>
                <w:rFonts w:ascii="Times New Roman" w:hAnsi="Times New Roman"/>
                <w:sz w:val="20"/>
              </w:rPr>
            </w:pPr>
            <w:r>
              <w:rPr>
                <w:rFonts w:ascii="Times New Roman" w:hAnsi="Times New Roman"/>
                <w:sz w:val="20"/>
              </w:rPr>
              <w:t>Decrease</w:t>
            </w:r>
            <w:r w:rsidR="00963D05">
              <w:rPr>
                <w:rFonts w:ascii="Times New Roman" w:hAnsi="Times New Roman"/>
                <w:sz w:val="20"/>
              </w:rPr>
              <w:t>/(increase)</w:t>
            </w:r>
            <w:r w:rsidR="00053155" w:rsidRPr="00252FB0">
              <w:rPr>
                <w:rFonts w:ascii="Times New Roman" w:hAnsi="Times New Roman"/>
                <w:sz w:val="20"/>
              </w:rPr>
              <w:t xml:space="preserve"> in receivables</w:t>
            </w:r>
          </w:p>
        </w:tc>
        <w:tc>
          <w:tcPr>
            <w:tcW w:w="709" w:type="dxa"/>
            <w:vAlign w:val="bottom"/>
          </w:tcPr>
          <w:p w:rsidR="00053155" w:rsidRPr="00252FB0" w:rsidRDefault="00053155" w:rsidP="00081793">
            <w:pPr>
              <w:jc w:val="center"/>
              <w:rPr>
                <w:rFonts w:ascii="Times New Roman" w:hAnsi="Times New Roman"/>
                <w:sz w:val="20"/>
              </w:rPr>
            </w:pPr>
          </w:p>
        </w:tc>
        <w:tc>
          <w:tcPr>
            <w:tcW w:w="1984" w:type="dxa"/>
          </w:tcPr>
          <w:p w:rsidR="00053155" w:rsidRPr="00252FB0" w:rsidRDefault="00053155">
            <w:pPr>
              <w:jc w:val="right"/>
              <w:rPr>
                <w:rFonts w:ascii="Times New Roman" w:hAnsi="Times New Roman"/>
                <w:sz w:val="20"/>
              </w:rPr>
            </w:pPr>
            <w:r>
              <w:rPr>
                <w:rFonts w:ascii="Times New Roman" w:hAnsi="Times New Roman"/>
                <w:sz w:val="20"/>
              </w:rPr>
              <w:t>89,462</w:t>
            </w: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(197,865)</w:t>
            </w:r>
          </w:p>
        </w:tc>
      </w:tr>
      <w:tr w:rsidR="00053155" w:rsidRPr="00252FB0" w:rsidTr="00B74D7C">
        <w:trPr>
          <w:cantSplit/>
        </w:trPr>
        <w:tc>
          <w:tcPr>
            <w:tcW w:w="5495" w:type="dxa"/>
            <w:vAlign w:val="bottom"/>
          </w:tcPr>
          <w:p w:rsidR="00053155" w:rsidRPr="00252FB0" w:rsidRDefault="00963D05">
            <w:pPr>
              <w:rPr>
                <w:rFonts w:ascii="Times New Roman" w:hAnsi="Times New Roman"/>
                <w:sz w:val="20"/>
              </w:rPr>
            </w:pPr>
            <w:r>
              <w:rPr>
                <w:rFonts w:ascii="Times New Roman" w:hAnsi="Times New Roman"/>
                <w:sz w:val="20"/>
              </w:rPr>
              <w:t>(</w:t>
            </w:r>
            <w:r w:rsidR="0069096F">
              <w:rPr>
                <w:rFonts w:ascii="Times New Roman" w:hAnsi="Times New Roman"/>
                <w:sz w:val="20"/>
              </w:rPr>
              <w:t>Decrease</w:t>
            </w:r>
            <w:r>
              <w:rPr>
                <w:rFonts w:ascii="Times New Roman" w:hAnsi="Times New Roman"/>
                <w:sz w:val="20"/>
              </w:rPr>
              <w:t>)/increase</w:t>
            </w:r>
            <w:r w:rsidR="00053155" w:rsidRPr="00252FB0">
              <w:rPr>
                <w:rFonts w:ascii="Times New Roman" w:hAnsi="Times New Roman"/>
                <w:sz w:val="20"/>
              </w:rPr>
              <w:t xml:space="preserve"> in payables and accruals</w:t>
            </w:r>
          </w:p>
        </w:tc>
        <w:tc>
          <w:tcPr>
            <w:tcW w:w="709" w:type="dxa"/>
            <w:vAlign w:val="bottom"/>
          </w:tcPr>
          <w:p w:rsidR="00053155" w:rsidRPr="00252FB0" w:rsidRDefault="00053155" w:rsidP="00081793">
            <w:pPr>
              <w:jc w:val="center"/>
              <w:rPr>
                <w:rFonts w:ascii="Times New Roman" w:hAnsi="Times New Roman"/>
                <w:sz w:val="20"/>
              </w:rPr>
            </w:pPr>
          </w:p>
        </w:tc>
        <w:tc>
          <w:tcPr>
            <w:tcW w:w="1984" w:type="dxa"/>
          </w:tcPr>
          <w:p w:rsidR="00053155" w:rsidRPr="00252FB0" w:rsidRDefault="0069096F">
            <w:pPr>
              <w:jc w:val="right"/>
              <w:rPr>
                <w:rFonts w:ascii="Times New Roman" w:hAnsi="Times New Roman"/>
                <w:sz w:val="20"/>
              </w:rPr>
            </w:pPr>
            <w:r>
              <w:rPr>
                <w:rFonts w:ascii="Times New Roman" w:hAnsi="Times New Roman"/>
                <w:sz w:val="20"/>
              </w:rPr>
              <w:t>(</w:t>
            </w:r>
            <w:r w:rsidR="00053155">
              <w:rPr>
                <w:rFonts w:ascii="Times New Roman" w:hAnsi="Times New Roman"/>
                <w:sz w:val="20"/>
              </w:rPr>
              <w:t>46,150</w:t>
            </w:r>
            <w:r>
              <w:rPr>
                <w:rFonts w:ascii="Times New Roman" w:hAnsi="Times New Roman"/>
                <w:sz w:val="20"/>
              </w:rPr>
              <w:t>)</w:t>
            </w: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41,016</w:t>
            </w:r>
          </w:p>
        </w:tc>
      </w:tr>
      <w:tr w:rsidR="00053155" w:rsidRPr="00252FB0" w:rsidTr="00B74D7C">
        <w:trPr>
          <w:cantSplit/>
        </w:trPr>
        <w:tc>
          <w:tcPr>
            <w:tcW w:w="5495" w:type="dxa"/>
            <w:vAlign w:val="bottom"/>
          </w:tcPr>
          <w:p w:rsidR="00053155" w:rsidRPr="00252FB0" w:rsidRDefault="00053155" w:rsidP="00E434B6">
            <w:pPr>
              <w:rPr>
                <w:rFonts w:ascii="Times New Roman" w:hAnsi="Times New Roman"/>
                <w:sz w:val="20"/>
              </w:rPr>
            </w:pPr>
          </w:p>
        </w:tc>
        <w:tc>
          <w:tcPr>
            <w:tcW w:w="709" w:type="dxa"/>
            <w:vAlign w:val="bottom"/>
          </w:tcPr>
          <w:p w:rsidR="00053155" w:rsidRPr="00252FB0" w:rsidRDefault="00053155" w:rsidP="00081793">
            <w:pPr>
              <w:jc w:val="center"/>
              <w:rPr>
                <w:rFonts w:ascii="Times New Roman" w:hAnsi="Times New Roman"/>
                <w:sz w:val="20"/>
              </w:rPr>
            </w:pPr>
          </w:p>
        </w:tc>
        <w:tc>
          <w:tcPr>
            <w:tcW w:w="1984" w:type="dxa"/>
            <w:tcBorders>
              <w:bottom w:val="single" w:sz="4" w:space="0" w:color="auto"/>
            </w:tcBorders>
          </w:tcPr>
          <w:p w:rsidR="00053155" w:rsidRPr="00252FB0" w:rsidRDefault="00053155" w:rsidP="00637569">
            <w:pPr>
              <w:jc w:val="right"/>
              <w:rPr>
                <w:rFonts w:ascii="Times New Roman" w:hAnsi="Times New Roman"/>
                <w:sz w:val="20"/>
              </w:rPr>
            </w:pPr>
          </w:p>
        </w:tc>
        <w:tc>
          <w:tcPr>
            <w:tcW w:w="284" w:type="dxa"/>
          </w:tcPr>
          <w:p w:rsidR="00053155" w:rsidRPr="00252FB0" w:rsidRDefault="00053155" w:rsidP="00637569">
            <w:pPr>
              <w:jc w:val="right"/>
              <w:rPr>
                <w:rFonts w:ascii="Times New Roman" w:hAnsi="Times New Roman"/>
                <w:sz w:val="20"/>
              </w:rPr>
            </w:pPr>
          </w:p>
        </w:tc>
        <w:tc>
          <w:tcPr>
            <w:tcW w:w="1948" w:type="dxa"/>
            <w:tcBorders>
              <w:bottom w:val="single" w:sz="4" w:space="0" w:color="auto"/>
            </w:tcBorders>
          </w:tcPr>
          <w:p w:rsidR="00053155" w:rsidRPr="00252FB0" w:rsidRDefault="00053155" w:rsidP="003B01CA">
            <w:pPr>
              <w:jc w:val="right"/>
              <w:rPr>
                <w:rFonts w:ascii="Times New Roman" w:hAnsi="Times New Roman"/>
                <w:sz w:val="20"/>
              </w:rPr>
            </w:pPr>
          </w:p>
        </w:tc>
      </w:tr>
      <w:tr w:rsidR="00053155" w:rsidRPr="00252FB0" w:rsidTr="00B74D7C">
        <w:trPr>
          <w:cantSplit/>
        </w:trPr>
        <w:tc>
          <w:tcPr>
            <w:tcW w:w="5495" w:type="dxa"/>
            <w:vAlign w:val="bottom"/>
          </w:tcPr>
          <w:p w:rsidR="00053155" w:rsidRPr="00252FB0" w:rsidRDefault="00053155">
            <w:pPr>
              <w:pStyle w:val="Heading3"/>
              <w:tabs>
                <w:tab w:val="clear" w:pos="3402"/>
                <w:tab w:val="clear" w:pos="8222"/>
              </w:tabs>
              <w:rPr>
                <w:rFonts w:ascii="Times New Roman" w:hAnsi="Times New Roman"/>
              </w:rPr>
            </w:pPr>
            <w:r w:rsidRPr="00252FB0">
              <w:rPr>
                <w:rFonts w:ascii="Times New Roman" w:hAnsi="Times New Roman"/>
              </w:rPr>
              <w:t>Net cash</w:t>
            </w:r>
            <w:r w:rsidR="00AA6147">
              <w:rPr>
                <w:rFonts w:ascii="Times New Roman" w:hAnsi="Times New Roman"/>
              </w:rPr>
              <w:t xml:space="preserve"> from/</w:t>
            </w:r>
            <w:r>
              <w:rPr>
                <w:rFonts w:ascii="Times New Roman" w:hAnsi="Times New Roman"/>
              </w:rPr>
              <w:t>(used in)</w:t>
            </w:r>
            <w:r w:rsidRPr="00252FB0">
              <w:rPr>
                <w:rFonts w:ascii="Times New Roman" w:hAnsi="Times New Roman"/>
              </w:rPr>
              <w:t xml:space="preserve"> operating activities</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rPr>
            </w:pPr>
          </w:p>
        </w:tc>
        <w:tc>
          <w:tcPr>
            <w:tcW w:w="1984" w:type="dxa"/>
            <w:tcBorders>
              <w:top w:val="single" w:sz="4" w:space="0" w:color="auto"/>
              <w:bottom w:val="single" w:sz="4" w:space="0" w:color="auto"/>
            </w:tcBorders>
          </w:tcPr>
          <w:p w:rsidR="00053155" w:rsidRPr="00252FB0" w:rsidRDefault="00053155">
            <w:pPr>
              <w:jc w:val="right"/>
              <w:rPr>
                <w:rFonts w:ascii="Times New Roman" w:hAnsi="Times New Roman"/>
                <w:b/>
                <w:sz w:val="20"/>
              </w:rPr>
            </w:pPr>
            <w:r>
              <w:rPr>
                <w:rFonts w:ascii="Times New Roman" w:hAnsi="Times New Roman"/>
                <w:b/>
                <w:sz w:val="20"/>
              </w:rPr>
              <w:t>19,594,205</w:t>
            </w:r>
          </w:p>
        </w:tc>
        <w:tc>
          <w:tcPr>
            <w:tcW w:w="284" w:type="dxa"/>
          </w:tcPr>
          <w:p w:rsidR="00053155" w:rsidRPr="00252FB0" w:rsidRDefault="00053155" w:rsidP="00637569">
            <w:pPr>
              <w:jc w:val="right"/>
              <w:rPr>
                <w:rFonts w:ascii="Times New Roman" w:hAnsi="Times New Roman"/>
                <w:sz w:val="20"/>
              </w:rPr>
            </w:pPr>
          </w:p>
        </w:tc>
        <w:tc>
          <w:tcPr>
            <w:tcW w:w="1948" w:type="dxa"/>
            <w:tcBorders>
              <w:top w:val="single" w:sz="4" w:space="0" w:color="auto"/>
            </w:tcBorders>
          </w:tcPr>
          <w:p w:rsidR="00053155" w:rsidRPr="00252FB0" w:rsidRDefault="00053155" w:rsidP="003B01CA">
            <w:pPr>
              <w:jc w:val="right"/>
              <w:rPr>
                <w:rFonts w:ascii="Times New Roman" w:hAnsi="Times New Roman"/>
                <w:b/>
                <w:sz w:val="20"/>
              </w:rPr>
            </w:pPr>
            <w:r>
              <w:rPr>
                <w:rFonts w:ascii="Times New Roman" w:hAnsi="Times New Roman"/>
                <w:b/>
                <w:sz w:val="20"/>
              </w:rPr>
              <w:t>(1,254,730)</w:t>
            </w:r>
          </w:p>
        </w:tc>
      </w:tr>
      <w:tr w:rsidR="00053155" w:rsidRPr="00252FB0" w:rsidTr="00B74D7C">
        <w:trPr>
          <w:cantSplit/>
        </w:trPr>
        <w:tc>
          <w:tcPr>
            <w:tcW w:w="5495" w:type="dxa"/>
            <w:vAlign w:val="bottom"/>
          </w:tcPr>
          <w:p w:rsidR="00053155" w:rsidRPr="00252FB0" w:rsidRDefault="00053155" w:rsidP="00E434B6">
            <w:pPr>
              <w:rPr>
                <w:rFonts w:ascii="Times New Roman" w:hAnsi="Times New Roman"/>
                <w:sz w:val="20"/>
              </w:rPr>
            </w:pPr>
          </w:p>
        </w:tc>
        <w:tc>
          <w:tcPr>
            <w:tcW w:w="709" w:type="dxa"/>
            <w:vAlign w:val="bottom"/>
          </w:tcPr>
          <w:p w:rsidR="00053155" w:rsidRPr="00252FB0" w:rsidRDefault="00053155" w:rsidP="00081793">
            <w:pPr>
              <w:jc w:val="center"/>
              <w:rPr>
                <w:rFonts w:ascii="Times New Roman" w:hAnsi="Times New Roman"/>
                <w:sz w:val="20"/>
              </w:rPr>
            </w:pPr>
          </w:p>
        </w:tc>
        <w:tc>
          <w:tcPr>
            <w:tcW w:w="1984" w:type="dxa"/>
            <w:tcBorders>
              <w:top w:val="single" w:sz="4" w:space="0" w:color="auto"/>
            </w:tcBorders>
          </w:tcPr>
          <w:p w:rsidR="00053155" w:rsidRPr="00252FB0" w:rsidRDefault="00053155" w:rsidP="00637569">
            <w:pPr>
              <w:jc w:val="right"/>
              <w:rPr>
                <w:rFonts w:ascii="Times New Roman" w:hAnsi="Times New Roman"/>
                <w:sz w:val="20"/>
              </w:rPr>
            </w:pPr>
          </w:p>
        </w:tc>
        <w:tc>
          <w:tcPr>
            <w:tcW w:w="284" w:type="dxa"/>
          </w:tcPr>
          <w:p w:rsidR="00053155" w:rsidRPr="00252FB0" w:rsidRDefault="00053155" w:rsidP="00637569">
            <w:pPr>
              <w:jc w:val="right"/>
              <w:rPr>
                <w:rFonts w:ascii="Times New Roman" w:hAnsi="Times New Roman"/>
                <w:sz w:val="20"/>
              </w:rPr>
            </w:pPr>
          </w:p>
        </w:tc>
        <w:tc>
          <w:tcPr>
            <w:tcW w:w="1948" w:type="dxa"/>
            <w:tcBorders>
              <w:top w:val="single" w:sz="4" w:space="0" w:color="auto"/>
            </w:tcBorders>
          </w:tcPr>
          <w:p w:rsidR="00053155" w:rsidRPr="00252FB0" w:rsidRDefault="00053155" w:rsidP="003B01CA">
            <w:pPr>
              <w:jc w:val="right"/>
              <w:rPr>
                <w:rFonts w:ascii="Times New Roman" w:hAnsi="Times New Roman"/>
                <w:sz w:val="20"/>
              </w:rPr>
            </w:pPr>
          </w:p>
        </w:tc>
      </w:tr>
      <w:tr w:rsidR="00053155" w:rsidRPr="00252FB0" w:rsidTr="00B74D7C">
        <w:trPr>
          <w:cantSplit/>
        </w:trPr>
        <w:tc>
          <w:tcPr>
            <w:tcW w:w="5495" w:type="dxa"/>
            <w:vAlign w:val="bottom"/>
          </w:tcPr>
          <w:p w:rsidR="00053155" w:rsidRPr="00252FB0" w:rsidRDefault="00053155">
            <w:pPr>
              <w:pStyle w:val="Heading3"/>
              <w:tabs>
                <w:tab w:val="clear" w:pos="3402"/>
                <w:tab w:val="clear" w:pos="8222"/>
              </w:tabs>
              <w:rPr>
                <w:rFonts w:ascii="Times New Roman" w:hAnsi="Times New Roman"/>
                <w:b w:val="0"/>
                <w:bCs w:val="0"/>
              </w:rPr>
            </w:pPr>
            <w:r w:rsidRPr="00252FB0">
              <w:rPr>
                <w:rFonts w:ascii="Times New Roman" w:hAnsi="Times New Roman"/>
              </w:rPr>
              <w:t xml:space="preserve">Cash flows </w:t>
            </w:r>
            <w:r>
              <w:rPr>
                <w:rFonts w:ascii="Times New Roman" w:hAnsi="Times New Roman"/>
              </w:rPr>
              <w:t>from/(used in</w:t>
            </w:r>
            <w:r w:rsidR="00342E27">
              <w:rPr>
                <w:rFonts w:ascii="Times New Roman" w:hAnsi="Times New Roman"/>
              </w:rPr>
              <w:t>)</w:t>
            </w:r>
            <w:r w:rsidRPr="00252FB0">
              <w:rPr>
                <w:rFonts w:ascii="Times New Roman" w:hAnsi="Times New Roman"/>
              </w:rPr>
              <w:t xml:space="preserve"> financing activities</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Pr>
          <w:p w:rsidR="00053155" w:rsidRPr="00252FB0" w:rsidRDefault="00053155" w:rsidP="00460791">
            <w:pPr>
              <w:pStyle w:val="Heading3"/>
              <w:rPr>
                <w:rFonts w:ascii="Times New Roman" w:hAnsi="Times New Roman"/>
              </w:rPr>
            </w:pP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pStyle w:val="Heading3"/>
              <w:rPr>
                <w:rFonts w:ascii="Times New Roman" w:hAnsi="Times New Roman"/>
              </w:rPr>
            </w:pP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r w:rsidRPr="00252FB0">
              <w:rPr>
                <w:rFonts w:ascii="Times New Roman" w:hAnsi="Times New Roman"/>
                <w:b w:val="0"/>
                <w:bCs w:val="0"/>
              </w:rPr>
              <w:t>Repayments of borrowings</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Pr>
          <w:p w:rsidR="00053155" w:rsidRPr="00252FB0" w:rsidRDefault="00053155">
            <w:pPr>
              <w:jc w:val="right"/>
              <w:rPr>
                <w:rFonts w:ascii="Times New Roman" w:hAnsi="Times New Roman"/>
                <w:sz w:val="20"/>
              </w:rPr>
            </w:pPr>
            <w:r>
              <w:rPr>
                <w:rFonts w:ascii="Times New Roman" w:hAnsi="Times New Roman"/>
                <w:sz w:val="20"/>
              </w:rPr>
              <w:t>(196,112,292)</w:t>
            </w: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(175,509,910)</w:t>
            </w: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r w:rsidRPr="00252FB0">
              <w:rPr>
                <w:rFonts w:ascii="Times New Roman" w:hAnsi="Times New Roman"/>
                <w:b w:val="0"/>
                <w:bCs w:val="0"/>
              </w:rPr>
              <w:t>New bank loans raised</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Pr>
          <w:p w:rsidR="00053155" w:rsidRPr="00252FB0" w:rsidRDefault="00053155">
            <w:pPr>
              <w:jc w:val="right"/>
              <w:rPr>
                <w:rFonts w:ascii="Times New Roman" w:hAnsi="Times New Roman"/>
                <w:sz w:val="20"/>
              </w:rPr>
            </w:pPr>
            <w:r>
              <w:rPr>
                <w:rFonts w:ascii="Times New Roman" w:hAnsi="Times New Roman"/>
                <w:sz w:val="20"/>
              </w:rPr>
              <w:t>180,322,903</w:t>
            </w: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181,262,983</w:t>
            </w:r>
          </w:p>
        </w:tc>
      </w:tr>
      <w:tr w:rsidR="00053155" w:rsidRPr="00252FB0" w:rsidTr="00B74D7C">
        <w:trPr>
          <w:cantSplit/>
        </w:trPr>
        <w:tc>
          <w:tcPr>
            <w:tcW w:w="5495" w:type="dxa"/>
            <w:vAlign w:val="bottom"/>
          </w:tcPr>
          <w:p w:rsidR="00053155" w:rsidRPr="00252FB0" w:rsidRDefault="00053155" w:rsidP="00F353C4">
            <w:pPr>
              <w:pStyle w:val="Heading3"/>
              <w:tabs>
                <w:tab w:val="clear" w:pos="3402"/>
                <w:tab w:val="clear" w:pos="8222"/>
              </w:tabs>
              <w:rPr>
                <w:rFonts w:ascii="Times New Roman" w:hAnsi="Times New Roman"/>
                <w:b w:val="0"/>
                <w:bCs w:val="0"/>
              </w:rPr>
            </w:pPr>
            <w:r>
              <w:rPr>
                <w:rFonts w:ascii="Times New Roman" w:hAnsi="Times New Roman"/>
                <w:b w:val="0"/>
                <w:bCs w:val="0"/>
              </w:rPr>
              <w:t>Payments for</w:t>
            </w:r>
            <w:r w:rsidRPr="00252FB0">
              <w:rPr>
                <w:rFonts w:ascii="Times New Roman" w:hAnsi="Times New Roman"/>
                <w:b w:val="0"/>
                <w:bCs w:val="0"/>
              </w:rPr>
              <w:t xml:space="preserve"> </w:t>
            </w:r>
            <w:r>
              <w:rPr>
                <w:rFonts w:ascii="Times New Roman" w:hAnsi="Times New Roman"/>
                <w:b w:val="0"/>
                <w:bCs w:val="0"/>
              </w:rPr>
              <w:t>repurchase</w:t>
            </w:r>
            <w:r w:rsidRPr="00252FB0">
              <w:rPr>
                <w:rFonts w:ascii="Times New Roman" w:hAnsi="Times New Roman"/>
                <w:b w:val="0"/>
                <w:bCs w:val="0"/>
              </w:rPr>
              <w:t xml:space="preserve"> of shares</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r>
              <w:rPr>
                <w:rFonts w:ascii="Times New Roman" w:hAnsi="Times New Roman"/>
                <w:b w:val="0"/>
                <w:bCs w:val="0"/>
              </w:rPr>
              <w:t>6</w:t>
            </w:r>
          </w:p>
        </w:tc>
        <w:tc>
          <w:tcPr>
            <w:tcW w:w="1984" w:type="dxa"/>
          </w:tcPr>
          <w:p w:rsidR="00053155" w:rsidRPr="00252FB0" w:rsidRDefault="00053155">
            <w:pPr>
              <w:jc w:val="right"/>
              <w:rPr>
                <w:rFonts w:ascii="Times New Roman" w:hAnsi="Times New Roman"/>
                <w:sz w:val="20"/>
              </w:rPr>
            </w:pPr>
            <w:r>
              <w:rPr>
                <w:rFonts w:ascii="Times New Roman" w:hAnsi="Times New Roman"/>
                <w:sz w:val="20"/>
              </w:rPr>
              <w:t>-</w:t>
            </w: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(470,000)</w:t>
            </w: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r w:rsidRPr="00252FB0">
              <w:rPr>
                <w:rFonts w:ascii="Times New Roman" w:hAnsi="Times New Roman"/>
                <w:b w:val="0"/>
                <w:bCs w:val="0"/>
              </w:rPr>
              <w:t>Dividends paid</w:t>
            </w:r>
          </w:p>
        </w:tc>
        <w:tc>
          <w:tcPr>
            <w:tcW w:w="709" w:type="dxa"/>
            <w:vAlign w:val="bottom"/>
          </w:tcPr>
          <w:p w:rsidR="00053155" w:rsidRPr="00252FB0" w:rsidRDefault="00053155" w:rsidP="0075234A">
            <w:pPr>
              <w:pStyle w:val="Heading3"/>
              <w:tabs>
                <w:tab w:val="clear" w:pos="3402"/>
                <w:tab w:val="clear" w:pos="8222"/>
              </w:tabs>
              <w:jc w:val="center"/>
              <w:rPr>
                <w:rFonts w:ascii="Times New Roman" w:hAnsi="Times New Roman"/>
                <w:b w:val="0"/>
                <w:bCs w:val="0"/>
              </w:rPr>
            </w:pPr>
            <w:r w:rsidRPr="00252FB0">
              <w:rPr>
                <w:rFonts w:ascii="Times New Roman" w:hAnsi="Times New Roman"/>
                <w:b w:val="0"/>
                <w:bCs w:val="0"/>
              </w:rPr>
              <w:t>11</w:t>
            </w:r>
          </w:p>
        </w:tc>
        <w:tc>
          <w:tcPr>
            <w:tcW w:w="1984" w:type="dxa"/>
          </w:tcPr>
          <w:p w:rsidR="00053155" w:rsidRPr="00252FB0" w:rsidRDefault="00053155">
            <w:pPr>
              <w:jc w:val="right"/>
              <w:rPr>
                <w:rFonts w:ascii="Times New Roman" w:hAnsi="Times New Roman"/>
                <w:sz w:val="20"/>
              </w:rPr>
            </w:pPr>
            <w:r>
              <w:rPr>
                <w:rFonts w:ascii="Times New Roman" w:hAnsi="Times New Roman"/>
                <w:sz w:val="20"/>
              </w:rPr>
              <w:t>(5,430,850)</w:t>
            </w: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(5,381,981)</w:t>
            </w: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Borders>
              <w:bottom w:val="single" w:sz="4" w:space="0" w:color="auto"/>
            </w:tcBorders>
          </w:tcPr>
          <w:p w:rsidR="00053155" w:rsidRPr="00252FB0" w:rsidRDefault="00053155" w:rsidP="00460791">
            <w:pPr>
              <w:pStyle w:val="Heading3"/>
              <w:rPr>
                <w:rFonts w:ascii="Times New Roman" w:hAnsi="Times New Roman"/>
              </w:rPr>
            </w:pPr>
          </w:p>
        </w:tc>
        <w:tc>
          <w:tcPr>
            <w:tcW w:w="284" w:type="dxa"/>
          </w:tcPr>
          <w:p w:rsidR="00053155" w:rsidRPr="00252FB0" w:rsidRDefault="00053155" w:rsidP="00637569">
            <w:pPr>
              <w:jc w:val="right"/>
              <w:rPr>
                <w:rFonts w:ascii="Times New Roman" w:hAnsi="Times New Roman"/>
                <w:sz w:val="20"/>
              </w:rPr>
            </w:pPr>
          </w:p>
        </w:tc>
        <w:tc>
          <w:tcPr>
            <w:tcW w:w="1948" w:type="dxa"/>
            <w:tcBorders>
              <w:bottom w:val="single" w:sz="4" w:space="0" w:color="auto"/>
            </w:tcBorders>
          </w:tcPr>
          <w:p w:rsidR="00053155" w:rsidRPr="00252FB0" w:rsidRDefault="00053155" w:rsidP="003B01CA">
            <w:pPr>
              <w:pStyle w:val="Heading3"/>
              <w:rPr>
                <w:rFonts w:ascii="Times New Roman" w:hAnsi="Times New Roman"/>
              </w:rPr>
            </w:pPr>
          </w:p>
        </w:tc>
      </w:tr>
      <w:tr w:rsidR="00053155" w:rsidRPr="00252FB0" w:rsidTr="00B74D7C">
        <w:trPr>
          <w:cantSplit/>
        </w:trPr>
        <w:tc>
          <w:tcPr>
            <w:tcW w:w="5495" w:type="dxa"/>
            <w:vAlign w:val="bottom"/>
          </w:tcPr>
          <w:p w:rsidR="00053155" w:rsidRPr="00252FB0" w:rsidRDefault="00053155">
            <w:pPr>
              <w:pStyle w:val="Heading3"/>
              <w:tabs>
                <w:tab w:val="clear" w:pos="3402"/>
                <w:tab w:val="clear" w:pos="8222"/>
              </w:tabs>
              <w:rPr>
                <w:rFonts w:ascii="Times New Roman" w:hAnsi="Times New Roman"/>
                <w:bCs w:val="0"/>
              </w:rPr>
            </w:pPr>
            <w:r w:rsidRPr="00252FB0">
              <w:rPr>
                <w:rFonts w:ascii="Times New Roman" w:hAnsi="Times New Roman"/>
                <w:bCs w:val="0"/>
              </w:rPr>
              <w:t xml:space="preserve">Net cash </w:t>
            </w:r>
            <w:r>
              <w:rPr>
                <w:rFonts w:ascii="Times New Roman" w:hAnsi="Times New Roman"/>
                <w:bCs w:val="0"/>
              </w:rPr>
              <w:t>used in</w:t>
            </w:r>
            <w:r w:rsidRPr="00252FB0">
              <w:rPr>
                <w:rFonts w:ascii="Times New Roman" w:hAnsi="Times New Roman"/>
                <w:bCs w:val="0"/>
              </w:rPr>
              <w:t xml:space="preserve"> financing activities</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Cs w:val="0"/>
              </w:rPr>
            </w:pPr>
          </w:p>
        </w:tc>
        <w:tc>
          <w:tcPr>
            <w:tcW w:w="1984" w:type="dxa"/>
            <w:tcBorders>
              <w:top w:val="single" w:sz="4" w:space="0" w:color="auto"/>
              <w:bottom w:val="single" w:sz="4" w:space="0" w:color="auto"/>
            </w:tcBorders>
          </w:tcPr>
          <w:p w:rsidR="00053155" w:rsidRPr="00252FB0" w:rsidRDefault="00053155">
            <w:pPr>
              <w:jc w:val="right"/>
              <w:rPr>
                <w:rFonts w:ascii="Times New Roman" w:hAnsi="Times New Roman"/>
                <w:b/>
                <w:sz w:val="20"/>
              </w:rPr>
            </w:pPr>
            <w:r>
              <w:rPr>
                <w:rFonts w:ascii="Times New Roman" w:hAnsi="Times New Roman"/>
                <w:b/>
                <w:sz w:val="20"/>
              </w:rPr>
              <w:t>(21,220,239)</w:t>
            </w:r>
          </w:p>
        </w:tc>
        <w:tc>
          <w:tcPr>
            <w:tcW w:w="284" w:type="dxa"/>
          </w:tcPr>
          <w:p w:rsidR="00053155" w:rsidRPr="00252FB0" w:rsidRDefault="00053155" w:rsidP="00637569">
            <w:pPr>
              <w:jc w:val="right"/>
              <w:rPr>
                <w:rFonts w:ascii="Times New Roman" w:hAnsi="Times New Roman"/>
                <w:sz w:val="20"/>
              </w:rPr>
            </w:pPr>
          </w:p>
        </w:tc>
        <w:tc>
          <w:tcPr>
            <w:tcW w:w="1948" w:type="dxa"/>
            <w:tcBorders>
              <w:top w:val="single" w:sz="4" w:space="0" w:color="auto"/>
              <w:bottom w:val="single" w:sz="4" w:space="0" w:color="auto"/>
            </w:tcBorders>
          </w:tcPr>
          <w:p w:rsidR="00053155" w:rsidRPr="00252FB0" w:rsidRDefault="00053155" w:rsidP="003B01CA">
            <w:pPr>
              <w:jc w:val="right"/>
              <w:rPr>
                <w:rFonts w:ascii="Times New Roman" w:hAnsi="Times New Roman"/>
                <w:b/>
                <w:sz w:val="20"/>
              </w:rPr>
            </w:pPr>
            <w:r>
              <w:rPr>
                <w:rFonts w:ascii="Times New Roman" w:hAnsi="Times New Roman"/>
                <w:b/>
                <w:sz w:val="20"/>
              </w:rPr>
              <w:t>(98,908)</w:t>
            </w: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Borders>
              <w:top w:val="single" w:sz="4" w:space="0" w:color="auto"/>
            </w:tcBorders>
          </w:tcPr>
          <w:p w:rsidR="00053155" w:rsidRPr="00252FB0" w:rsidRDefault="00053155" w:rsidP="00460791">
            <w:pPr>
              <w:pStyle w:val="Heading3"/>
              <w:rPr>
                <w:rFonts w:ascii="Times New Roman" w:hAnsi="Times New Roman"/>
              </w:rPr>
            </w:pPr>
          </w:p>
        </w:tc>
        <w:tc>
          <w:tcPr>
            <w:tcW w:w="284" w:type="dxa"/>
          </w:tcPr>
          <w:p w:rsidR="00053155" w:rsidRPr="00252FB0" w:rsidRDefault="00053155" w:rsidP="00637569">
            <w:pPr>
              <w:jc w:val="right"/>
              <w:rPr>
                <w:rFonts w:ascii="Times New Roman" w:hAnsi="Times New Roman"/>
                <w:sz w:val="20"/>
              </w:rPr>
            </w:pPr>
          </w:p>
        </w:tc>
        <w:tc>
          <w:tcPr>
            <w:tcW w:w="1948" w:type="dxa"/>
            <w:tcBorders>
              <w:top w:val="single" w:sz="4" w:space="0" w:color="auto"/>
            </w:tcBorders>
          </w:tcPr>
          <w:p w:rsidR="00053155" w:rsidRPr="00252FB0" w:rsidRDefault="00053155" w:rsidP="003B01CA">
            <w:pPr>
              <w:pStyle w:val="Heading3"/>
              <w:rPr>
                <w:rFonts w:ascii="Times New Roman" w:hAnsi="Times New Roman"/>
              </w:rPr>
            </w:pPr>
          </w:p>
        </w:tc>
      </w:tr>
      <w:tr w:rsidR="00053155" w:rsidRPr="00252FB0" w:rsidTr="00B74D7C">
        <w:trPr>
          <w:cantSplit/>
        </w:trPr>
        <w:tc>
          <w:tcPr>
            <w:tcW w:w="5495" w:type="dxa"/>
            <w:vAlign w:val="bottom"/>
          </w:tcPr>
          <w:p w:rsidR="00053155" w:rsidRPr="00252FB0" w:rsidRDefault="00053155">
            <w:pPr>
              <w:pStyle w:val="Heading3"/>
              <w:tabs>
                <w:tab w:val="clear" w:pos="3402"/>
                <w:tab w:val="clear" w:pos="8222"/>
              </w:tabs>
              <w:rPr>
                <w:rFonts w:ascii="Times New Roman" w:hAnsi="Times New Roman"/>
                <w:b w:val="0"/>
                <w:bCs w:val="0"/>
              </w:rPr>
            </w:pPr>
            <w:r w:rsidRPr="00252FB0">
              <w:rPr>
                <w:rFonts w:ascii="Times New Roman" w:hAnsi="Times New Roman"/>
                <w:b w:val="0"/>
                <w:bCs w:val="0"/>
              </w:rPr>
              <w:t xml:space="preserve">Net </w:t>
            </w:r>
            <w:r>
              <w:rPr>
                <w:rFonts w:ascii="Times New Roman" w:hAnsi="Times New Roman"/>
                <w:b w:val="0"/>
                <w:bCs w:val="0"/>
              </w:rPr>
              <w:t xml:space="preserve">decrease </w:t>
            </w:r>
            <w:r w:rsidRPr="00252FB0">
              <w:rPr>
                <w:rFonts w:ascii="Times New Roman" w:hAnsi="Times New Roman"/>
                <w:b w:val="0"/>
                <w:bCs w:val="0"/>
              </w:rPr>
              <w:t>in cash and cash equivalents</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Pr>
          <w:p w:rsidR="00053155" w:rsidRPr="00252FB0" w:rsidRDefault="00053155">
            <w:pPr>
              <w:jc w:val="right"/>
              <w:rPr>
                <w:rFonts w:ascii="Times New Roman" w:hAnsi="Times New Roman"/>
                <w:sz w:val="20"/>
              </w:rPr>
            </w:pPr>
            <w:r>
              <w:rPr>
                <w:rFonts w:ascii="Times New Roman" w:hAnsi="Times New Roman"/>
                <w:sz w:val="20"/>
              </w:rPr>
              <w:t>(1,626,034)</w:t>
            </w: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(1,353,638)</w:t>
            </w: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r w:rsidRPr="00252FB0">
              <w:rPr>
                <w:rFonts w:ascii="Times New Roman" w:hAnsi="Times New Roman"/>
                <w:b w:val="0"/>
                <w:bCs w:val="0"/>
              </w:rPr>
              <w:t>Cash and cash equivalents at the beginning of the year</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Pr>
          <w:p w:rsidR="00053155" w:rsidRPr="00252FB0" w:rsidRDefault="00053155">
            <w:pPr>
              <w:jc w:val="right"/>
              <w:rPr>
                <w:rFonts w:ascii="Times New Roman" w:hAnsi="Times New Roman"/>
                <w:sz w:val="20"/>
              </w:rPr>
            </w:pPr>
            <w:r>
              <w:rPr>
                <w:rFonts w:ascii="Times New Roman" w:hAnsi="Times New Roman"/>
                <w:sz w:val="20"/>
              </w:rPr>
              <w:t>9,328,518</w:t>
            </w: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10,338,576</w:t>
            </w: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szCs w:val="20"/>
              </w:rPr>
            </w:pPr>
            <w:r w:rsidRPr="00252FB0">
              <w:rPr>
                <w:rFonts w:ascii="Times New Roman" w:hAnsi="Times New Roman"/>
                <w:b w:val="0"/>
                <w:szCs w:val="20"/>
              </w:rPr>
              <w:t>Effect of foreign exchange rate changes</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szCs w:val="20"/>
              </w:rPr>
            </w:pPr>
          </w:p>
        </w:tc>
        <w:tc>
          <w:tcPr>
            <w:tcW w:w="1984" w:type="dxa"/>
          </w:tcPr>
          <w:p w:rsidR="00053155" w:rsidRPr="00252FB0" w:rsidRDefault="00053155">
            <w:pPr>
              <w:jc w:val="right"/>
              <w:rPr>
                <w:rFonts w:ascii="Times New Roman" w:hAnsi="Times New Roman"/>
                <w:sz w:val="20"/>
              </w:rPr>
            </w:pPr>
            <w:r>
              <w:rPr>
                <w:rFonts w:ascii="Times New Roman" w:hAnsi="Times New Roman"/>
                <w:sz w:val="20"/>
              </w:rPr>
              <w:t>187,004</w:t>
            </w:r>
          </w:p>
        </w:tc>
        <w:tc>
          <w:tcPr>
            <w:tcW w:w="284" w:type="dxa"/>
          </w:tcPr>
          <w:p w:rsidR="00053155" w:rsidRPr="00252FB0" w:rsidRDefault="00053155" w:rsidP="00BD41DE">
            <w:pPr>
              <w:jc w:val="right"/>
              <w:rPr>
                <w:rFonts w:ascii="Times New Roman" w:hAnsi="Times New Roman"/>
                <w:sz w:val="20"/>
              </w:rPr>
            </w:pPr>
          </w:p>
        </w:tc>
        <w:tc>
          <w:tcPr>
            <w:tcW w:w="1948" w:type="dxa"/>
          </w:tcPr>
          <w:p w:rsidR="00053155" w:rsidRPr="00252FB0" w:rsidRDefault="00053155" w:rsidP="003B01CA">
            <w:pPr>
              <w:jc w:val="right"/>
              <w:rPr>
                <w:rFonts w:ascii="Times New Roman" w:hAnsi="Times New Roman"/>
                <w:sz w:val="20"/>
              </w:rPr>
            </w:pPr>
            <w:r>
              <w:rPr>
                <w:rFonts w:ascii="Times New Roman" w:hAnsi="Times New Roman"/>
                <w:sz w:val="20"/>
              </w:rPr>
              <w:t>343,580</w:t>
            </w: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Borders>
              <w:bottom w:val="single" w:sz="4" w:space="0" w:color="auto"/>
            </w:tcBorders>
          </w:tcPr>
          <w:p w:rsidR="00053155" w:rsidRPr="00252FB0" w:rsidRDefault="00053155" w:rsidP="00460791">
            <w:pPr>
              <w:pStyle w:val="Heading3"/>
              <w:rPr>
                <w:rFonts w:ascii="Times New Roman" w:hAnsi="Times New Roman"/>
              </w:rPr>
            </w:pPr>
          </w:p>
        </w:tc>
        <w:tc>
          <w:tcPr>
            <w:tcW w:w="284" w:type="dxa"/>
          </w:tcPr>
          <w:p w:rsidR="00053155" w:rsidRPr="00252FB0" w:rsidRDefault="00053155" w:rsidP="00637569">
            <w:pPr>
              <w:jc w:val="right"/>
              <w:rPr>
                <w:rFonts w:ascii="Times New Roman" w:hAnsi="Times New Roman"/>
                <w:sz w:val="20"/>
              </w:rPr>
            </w:pPr>
          </w:p>
        </w:tc>
        <w:tc>
          <w:tcPr>
            <w:tcW w:w="1948" w:type="dxa"/>
            <w:tcBorders>
              <w:bottom w:val="single" w:sz="4" w:space="0" w:color="auto"/>
            </w:tcBorders>
          </w:tcPr>
          <w:p w:rsidR="00053155" w:rsidRPr="00252FB0" w:rsidRDefault="00053155" w:rsidP="003B01CA">
            <w:pPr>
              <w:pStyle w:val="Heading3"/>
              <w:rPr>
                <w:rFonts w:ascii="Times New Roman" w:hAnsi="Times New Roman"/>
              </w:rPr>
            </w:pP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rPr>
            </w:pP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rPr>
            </w:pPr>
          </w:p>
        </w:tc>
        <w:tc>
          <w:tcPr>
            <w:tcW w:w="1984" w:type="dxa"/>
            <w:tcBorders>
              <w:top w:val="single" w:sz="4" w:space="0" w:color="auto"/>
            </w:tcBorders>
          </w:tcPr>
          <w:p w:rsidR="00053155" w:rsidRPr="00252FB0" w:rsidRDefault="00053155" w:rsidP="00460791">
            <w:pPr>
              <w:pStyle w:val="Heading3"/>
              <w:rPr>
                <w:rFonts w:ascii="Times New Roman" w:hAnsi="Times New Roman"/>
              </w:rPr>
            </w:pPr>
          </w:p>
        </w:tc>
        <w:tc>
          <w:tcPr>
            <w:tcW w:w="284" w:type="dxa"/>
          </w:tcPr>
          <w:p w:rsidR="00053155" w:rsidRPr="00252FB0" w:rsidRDefault="00053155" w:rsidP="00637569">
            <w:pPr>
              <w:jc w:val="right"/>
              <w:rPr>
                <w:rFonts w:ascii="Times New Roman" w:hAnsi="Times New Roman"/>
                <w:sz w:val="20"/>
              </w:rPr>
            </w:pPr>
          </w:p>
        </w:tc>
        <w:tc>
          <w:tcPr>
            <w:tcW w:w="1948" w:type="dxa"/>
            <w:tcBorders>
              <w:top w:val="single" w:sz="4" w:space="0" w:color="auto"/>
            </w:tcBorders>
          </w:tcPr>
          <w:p w:rsidR="00053155" w:rsidRPr="00252FB0" w:rsidRDefault="00053155" w:rsidP="003B01CA">
            <w:pPr>
              <w:pStyle w:val="Heading3"/>
              <w:rPr>
                <w:rFonts w:ascii="Times New Roman" w:hAnsi="Times New Roman"/>
              </w:rPr>
            </w:pP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rPr>
            </w:pPr>
            <w:r w:rsidRPr="00252FB0">
              <w:rPr>
                <w:rFonts w:ascii="Times New Roman" w:hAnsi="Times New Roman"/>
              </w:rPr>
              <w:t>Cash and cash equivalents at the end of the year</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rPr>
            </w:pPr>
          </w:p>
        </w:tc>
        <w:tc>
          <w:tcPr>
            <w:tcW w:w="1984" w:type="dxa"/>
            <w:tcBorders>
              <w:bottom w:val="double" w:sz="4" w:space="0" w:color="auto"/>
            </w:tcBorders>
          </w:tcPr>
          <w:p w:rsidR="00053155" w:rsidRPr="00252FB0" w:rsidRDefault="00053155">
            <w:pPr>
              <w:jc w:val="right"/>
              <w:rPr>
                <w:rFonts w:ascii="Times New Roman" w:hAnsi="Times New Roman"/>
                <w:b/>
                <w:sz w:val="20"/>
              </w:rPr>
            </w:pPr>
            <w:r>
              <w:rPr>
                <w:rFonts w:ascii="Times New Roman" w:hAnsi="Times New Roman"/>
                <w:b/>
                <w:sz w:val="20"/>
              </w:rPr>
              <w:t>7,889,488</w:t>
            </w:r>
          </w:p>
        </w:tc>
        <w:tc>
          <w:tcPr>
            <w:tcW w:w="284" w:type="dxa"/>
          </w:tcPr>
          <w:p w:rsidR="00053155" w:rsidRPr="00252FB0" w:rsidRDefault="00053155" w:rsidP="00637569">
            <w:pPr>
              <w:jc w:val="right"/>
              <w:rPr>
                <w:rFonts w:ascii="Times New Roman" w:hAnsi="Times New Roman"/>
                <w:b/>
                <w:sz w:val="20"/>
              </w:rPr>
            </w:pPr>
          </w:p>
        </w:tc>
        <w:tc>
          <w:tcPr>
            <w:tcW w:w="1948" w:type="dxa"/>
            <w:tcBorders>
              <w:bottom w:val="double" w:sz="4" w:space="0" w:color="auto"/>
            </w:tcBorders>
          </w:tcPr>
          <w:p w:rsidR="00053155" w:rsidRPr="00252FB0" w:rsidRDefault="00053155" w:rsidP="003B01CA">
            <w:pPr>
              <w:jc w:val="right"/>
              <w:rPr>
                <w:rFonts w:ascii="Times New Roman" w:hAnsi="Times New Roman"/>
                <w:b/>
                <w:sz w:val="20"/>
              </w:rPr>
            </w:pPr>
            <w:r>
              <w:rPr>
                <w:rFonts w:ascii="Times New Roman" w:hAnsi="Times New Roman"/>
                <w:b/>
                <w:sz w:val="20"/>
              </w:rPr>
              <w:t>9,328,518</w:t>
            </w: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p>
        </w:tc>
        <w:tc>
          <w:tcPr>
            <w:tcW w:w="1984" w:type="dxa"/>
            <w:tcBorders>
              <w:top w:val="double" w:sz="4" w:space="0" w:color="auto"/>
            </w:tcBorders>
          </w:tcPr>
          <w:p w:rsidR="00053155" w:rsidRPr="00252FB0" w:rsidRDefault="00053155" w:rsidP="00460791">
            <w:pPr>
              <w:pStyle w:val="Heading3"/>
              <w:rPr>
                <w:rFonts w:ascii="Times New Roman" w:hAnsi="Times New Roman"/>
              </w:rPr>
            </w:pPr>
          </w:p>
        </w:tc>
        <w:tc>
          <w:tcPr>
            <w:tcW w:w="284" w:type="dxa"/>
          </w:tcPr>
          <w:p w:rsidR="00053155" w:rsidRPr="00252FB0" w:rsidRDefault="00053155" w:rsidP="00637569">
            <w:pPr>
              <w:jc w:val="right"/>
              <w:rPr>
                <w:rFonts w:ascii="Times New Roman" w:hAnsi="Times New Roman"/>
                <w:sz w:val="20"/>
              </w:rPr>
            </w:pPr>
          </w:p>
        </w:tc>
        <w:tc>
          <w:tcPr>
            <w:tcW w:w="1948" w:type="dxa"/>
            <w:tcBorders>
              <w:top w:val="double" w:sz="4" w:space="0" w:color="auto"/>
            </w:tcBorders>
          </w:tcPr>
          <w:p w:rsidR="00053155" w:rsidRPr="00252FB0" w:rsidRDefault="00053155" w:rsidP="003B01CA">
            <w:pPr>
              <w:pStyle w:val="Heading3"/>
              <w:rPr>
                <w:rFonts w:ascii="Times New Roman" w:hAnsi="Times New Roman"/>
              </w:rPr>
            </w:pP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rPr>
            </w:pPr>
            <w:r w:rsidRPr="00252FB0">
              <w:rPr>
                <w:rFonts w:ascii="Times New Roman" w:hAnsi="Times New Roman"/>
              </w:rPr>
              <w:t>Cash and cash equivalents made up of:</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rPr>
            </w:pPr>
          </w:p>
        </w:tc>
        <w:tc>
          <w:tcPr>
            <w:tcW w:w="1984" w:type="dxa"/>
          </w:tcPr>
          <w:p w:rsidR="00053155" w:rsidRPr="00252FB0" w:rsidRDefault="00053155" w:rsidP="00460791">
            <w:pPr>
              <w:pStyle w:val="Heading3"/>
              <w:rPr>
                <w:rFonts w:ascii="Times New Roman" w:hAnsi="Times New Roman"/>
              </w:rPr>
            </w:pPr>
          </w:p>
        </w:tc>
        <w:tc>
          <w:tcPr>
            <w:tcW w:w="284" w:type="dxa"/>
          </w:tcPr>
          <w:p w:rsidR="00053155" w:rsidRPr="00252FB0" w:rsidRDefault="00053155" w:rsidP="00637569">
            <w:pPr>
              <w:jc w:val="right"/>
              <w:rPr>
                <w:rFonts w:ascii="Times New Roman" w:hAnsi="Times New Roman"/>
                <w:sz w:val="20"/>
              </w:rPr>
            </w:pPr>
          </w:p>
        </w:tc>
        <w:tc>
          <w:tcPr>
            <w:tcW w:w="1948" w:type="dxa"/>
          </w:tcPr>
          <w:p w:rsidR="00053155" w:rsidRPr="00252FB0" w:rsidRDefault="00053155" w:rsidP="003B01CA">
            <w:pPr>
              <w:pStyle w:val="Heading3"/>
              <w:rPr>
                <w:rFonts w:ascii="Times New Roman" w:hAnsi="Times New Roman"/>
              </w:rPr>
            </w:pPr>
          </w:p>
        </w:tc>
      </w:tr>
      <w:tr w:rsidR="00053155" w:rsidRPr="00252FB0" w:rsidTr="00B74D7C">
        <w:trPr>
          <w:cantSplit/>
        </w:trPr>
        <w:tc>
          <w:tcPr>
            <w:tcW w:w="5495" w:type="dxa"/>
            <w:vAlign w:val="bottom"/>
          </w:tcPr>
          <w:p w:rsidR="00053155" w:rsidRPr="00252FB0" w:rsidRDefault="00053155" w:rsidP="00E434B6">
            <w:pPr>
              <w:pStyle w:val="Heading3"/>
              <w:tabs>
                <w:tab w:val="clear" w:pos="3402"/>
                <w:tab w:val="clear" w:pos="8222"/>
              </w:tabs>
              <w:rPr>
                <w:rFonts w:ascii="Times New Roman" w:hAnsi="Times New Roman"/>
                <w:b w:val="0"/>
                <w:bCs w:val="0"/>
              </w:rPr>
            </w:pPr>
            <w:r w:rsidRPr="00252FB0">
              <w:rPr>
                <w:rFonts w:ascii="Times New Roman" w:hAnsi="Times New Roman"/>
                <w:b w:val="0"/>
                <w:bCs w:val="0"/>
              </w:rPr>
              <w:t>Cash at bank</w:t>
            </w:r>
          </w:p>
        </w:tc>
        <w:tc>
          <w:tcPr>
            <w:tcW w:w="709" w:type="dxa"/>
            <w:vAlign w:val="bottom"/>
          </w:tcPr>
          <w:p w:rsidR="00053155" w:rsidRPr="00252FB0" w:rsidRDefault="00053155" w:rsidP="00081793">
            <w:pPr>
              <w:pStyle w:val="Heading3"/>
              <w:tabs>
                <w:tab w:val="clear" w:pos="3402"/>
                <w:tab w:val="clear" w:pos="8222"/>
              </w:tabs>
              <w:jc w:val="center"/>
              <w:rPr>
                <w:rFonts w:ascii="Times New Roman" w:hAnsi="Times New Roman"/>
                <w:b w:val="0"/>
                <w:bCs w:val="0"/>
              </w:rPr>
            </w:pPr>
            <w:r w:rsidRPr="00252FB0">
              <w:rPr>
                <w:rFonts w:ascii="Times New Roman" w:hAnsi="Times New Roman"/>
                <w:b w:val="0"/>
                <w:bCs w:val="0"/>
              </w:rPr>
              <w:t>4</w:t>
            </w:r>
          </w:p>
        </w:tc>
        <w:tc>
          <w:tcPr>
            <w:tcW w:w="1984" w:type="dxa"/>
            <w:tcBorders>
              <w:bottom w:val="double" w:sz="4" w:space="0" w:color="auto"/>
            </w:tcBorders>
          </w:tcPr>
          <w:p w:rsidR="00053155" w:rsidRPr="00252FB0" w:rsidRDefault="00053155">
            <w:pPr>
              <w:jc w:val="right"/>
              <w:rPr>
                <w:rFonts w:ascii="Times New Roman" w:hAnsi="Times New Roman"/>
                <w:sz w:val="20"/>
              </w:rPr>
            </w:pPr>
            <w:r>
              <w:rPr>
                <w:rFonts w:ascii="Times New Roman" w:hAnsi="Times New Roman"/>
                <w:sz w:val="20"/>
              </w:rPr>
              <w:t>7,889,488</w:t>
            </w:r>
          </w:p>
        </w:tc>
        <w:tc>
          <w:tcPr>
            <w:tcW w:w="284" w:type="dxa"/>
          </w:tcPr>
          <w:p w:rsidR="00053155" w:rsidRPr="00252FB0" w:rsidRDefault="00053155" w:rsidP="00637569">
            <w:pPr>
              <w:jc w:val="right"/>
              <w:rPr>
                <w:rFonts w:ascii="Times New Roman" w:hAnsi="Times New Roman"/>
                <w:sz w:val="20"/>
              </w:rPr>
            </w:pPr>
          </w:p>
        </w:tc>
        <w:tc>
          <w:tcPr>
            <w:tcW w:w="1948" w:type="dxa"/>
            <w:tcBorders>
              <w:bottom w:val="double" w:sz="4" w:space="0" w:color="auto"/>
            </w:tcBorders>
          </w:tcPr>
          <w:p w:rsidR="00053155" w:rsidRPr="00252FB0" w:rsidRDefault="00053155" w:rsidP="003B01CA">
            <w:pPr>
              <w:jc w:val="right"/>
              <w:rPr>
                <w:rFonts w:ascii="Times New Roman" w:hAnsi="Times New Roman"/>
                <w:sz w:val="20"/>
              </w:rPr>
            </w:pPr>
            <w:r>
              <w:rPr>
                <w:rFonts w:ascii="Times New Roman" w:hAnsi="Times New Roman"/>
                <w:sz w:val="20"/>
              </w:rPr>
              <w:t>9,328,518</w:t>
            </w:r>
          </w:p>
        </w:tc>
      </w:tr>
      <w:tr w:rsidR="004B6572" w:rsidRPr="00252FB0" w:rsidTr="00B74D7C">
        <w:trPr>
          <w:cantSplit/>
        </w:trPr>
        <w:tc>
          <w:tcPr>
            <w:tcW w:w="5495" w:type="dxa"/>
            <w:vAlign w:val="bottom"/>
          </w:tcPr>
          <w:p w:rsidR="004B6572" w:rsidRPr="00252FB0" w:rsidRDefault="004B6572" w:rsidP="00E434B6">
            <w:pPr>
              <w:pStyle w:val="Heading3"/>
              <w:tabs>
                <w:tab w:val="clear" w:pos="3402"/>
                <w:tab w:val="clear" w:pos="8222"/>
              </w:tabs>
              <w:rPr>
                <w:rFonts w:ascii="Times New Roman" w:hAnsi="Times New Roman"/>
                <w:b w:val="0"/>
                <w:bCs w:val="0"/>
              </w:rPr>
            </w:pPr>
          </w:p>
        </w:tc>
        <w:tc>
          <w:tcPr>
            <w:tcW w:w="709" w:type="dxa"/>
            <w:vAlign w:val="bottom"/>
          </w:tcPr>
          <w:p w:rsidR="004B6572" w:rsidRPr="00252FB0" w:rsidRDefault="004B6572" w:rsidP="00081793">
            <w:pPr>
              <w:pStyle w:val="Heading3"/>
              <w:tabs>
                <w:tab w:val="clear" w:pos="3402"/>
                <w:tab w:val="clear" w:pos="8222"/>
              </w:tabs>
              <w:jc w:val="center"/>
              <w:rPr>
                <w:rFonts w:ascii="Times New Roman" w:hAnsi="Times New Roman"/>
                <w:b w:val="0"/>
                <w:bCs w:val="0"/>
              </w:rPr>
            </w:pPr>
          </w:p>
        </w:tc>
        <w:tc>
          <w:tcPr>
            <w:tcW w:w="1984" w:type="dxa"/>
            <w:tcBorders>
              <w:top w:val="double" w:sz="4" w:space="0" w:color="auto"/>
            </w:tcBorders>
          </w:tcPr>
          <w:p w:rsidR="004B6572" w:rsidRPr="00252FB0" w:rsidRDefault="004B6572" w:rsidP="00460791">
            <w:pPr>
              <w:pStyle w:val="Heading3"/>
              <w:rPr>
                <w:rFonts w:ascii="Times New Roman" w:hAnsi="Times New Roman"/>
              </w:rPr>
            </w:pPr>
          </w:p>
        </w:tc>
        <w:tc>
          <w:tcPr>
            <w:tcW w:w="284" w:type="dxa"/>
          </w:tcPr>
          <w:p w:rsidR="004B6572" w:rsidRPr="00252FB0" w:rsidRDefault="004B6572" w:rsidP="00637569">
            <w:pPr>
              <w:jc w:val="right"/>
              <w:rPr>
                <w:rFonts w:ascii="Times New Roman" w:hAnsi="Times New Roman"/>
                <w:sz w:val="20"/>
              </w:rPr>
            </w:pPr>
          </w:p>
        </w:tc>
        <w:tc>
          <w:tcPr>
            <w:tcW w:w="1948" w:type="dxa"/>
            <w:tcBorders>
              <w:top w:val="double" w:sz="4" w:space="0" w:color="auto"/>
            </w:tcBorders>
          </w:tcPr>
          <w:p w:rsidR="004B6572" w:rsidRPr="00252FB0" w:rsidRDefault="004B6572" w:rsidP="00637569">
            <w:pPr>
              <w:jc w:val="right"/>
              <w:rPr>
                <w:rFonts w:ascii="Times New Roman" w:hAnsi="Times New Roman"/>
                <w:sz w:val="20"/>
              </w:rPr>
            </w:pPr>
          </w:p>
        </w:tc>
      </w:tr>
    </w:tbl>
    <w:p w:rsidR="0016191E" w:rsidRPr="00252FB0" w:rsidRDefault="0016191E" w:rsidP="00375730">
      <w:pPr>
        <w:rPr>
          <w:rFonts w:ascii="Times New Roman" w:hAnsi="Times New Roman"/>
        </w:rPr>
      </w:pPr>
    </w:p>
    <w:p w:rsidR="0008270C" w:rsidRPr="00602C0B" w:rsidRDefault="001F5383" w:rsidP="007C7150">
      <w:pPr>
        <w:rPr>
          <w:rFonts w:ascii="Times New Roman" w:hAnsi="Times New Roman"/>
          <w:sz w:val="20"/>
          <w:szCs w:val="20"/>
        </w:rPr>
      </w:pPr>
      <w:r w:rsidRPr="00602C0B">
        <w:rPr>
          <w:rFonts w:ascii="Times New Roman" w:hAnsi="Times New Roman"/>
          <w:sz w:val="20"/>
          <w:szCs w:val="20"/>
        </w:rPr>
        <w:t>Th</w:t>
      </w:r>
      <w:r w:rsidR="00916D00" w:rsidRPr="00602C0B">
        <w:rPr>
          <w:rFonts w:ascii="Times New Roman" w:hAnsi="Times New Roman"/>
          <w:sz w:val="20"/>
          <w:szCs w:val="20"/>
        </w:rPr>
        <w:t xml:space="preserve">e accompanying notes on pages </w:t>
      </w:r>
      <w:r w:rsidR="00602C0B" w:rsidRPr="00E5676A">
        <w:rPr>
          <w:rFonts w:ascii="Times New Roman" w:hAnsi="Times New Roman"/>
          <w:sz w:val="20"/>
          <w:szCs w:val="20"/>
        </w:rPr>
        <w:t>3</w:t>
      </w:r>
      <w:r w:rsidR="00A66792">
        <w:rPr>
          <w:rFonts w:ascii="Times New Roman" w:hAnsi="Times New Roman"/>
          <w:sz w:val="20"/>
          <w:szCs w:val="20"/>
        </w:rPr>
        <w:t>9</w:t>
      </w:r>
      <w:r w:rsidR="00602C0B" w:rsidRPr="00E5676A">
        <w:rPr>
          <w:rFonts w:ascii="Times New Roman" w:hAnsi="Times New Roman"/>
          <w:sz w:val="20"/>
          <w:szCs w:val="20"/>
        </w:rPr>
        <w:t xml:space="preserve"> to </w:t>
      </w:r>
      <w:r w:rsidR="00D54AA3">
        <w:rPr>
          <w:rFonts w:ascii="Times New Roman" w:hAnsi="Times New Roman"/>
          <w:sz w:val="20"/>
          <w:szCs w:val="20"/>
        </w:rPr>
        <w:t>5</w:t>
      </w:r>
      <w:r w:rsidR="00000F1B">
        <w:rPr>
          <w:rFonts w:ascii="Times New Roman" w:hAnsi="Times New Roman"/>
          <w:sz w:val="20"/>
          <w:szCs w:val="20"/>
        </w:rPr>
        <w:t>4</w:t>
      </w:r>
      <w:r w:rsidRPr="00D0380B">
        <w:rPr>
          <w:rFonts w:ascii="Times New Roman" w:hAnsi="Times New Roman"/>
          <w:sz w:val="20"/>
          <w:szCs w:val="20"/>
        </w:rPr>
        <w:t xml:space="preserve"> form</w:t>
      </w:r>
      <w:r w:rsidRPr="00602C0B">
        <w:rPr>
          <w:rFonts w:ascii="Times New Roman" w:hAnsi="Times New Roman"/>
          <w:sz w:val="20"/>
          <w:szCs w:val="20"/>
        </w:rPr>
        <w:t xml:space="preserve"> an integral part of these financial statements</w:t>
      </w:r>
      <w:r w:rsidR="0008270C" w:rsidRPr="00602C0B">
        <w:rPr>
          <w:rFonts w:ascii="Times New Roman" w:hAnsi="Times New Roman"/>
          <w:sz w:val="20"/>
          <w:szCs w:val="20"/>
        </w:rPr>
        <w:t>.</w:t>
      </w:r>
    </w:p>
    <w:p w:rsidR="0008270C" w:rsidRPr="009170B8" w:rsidRDefault="0008270C">
      <w:pPr>
        <w:pStyle w:val="Heading1"/>
        <w:jc w:val="left"/>
        <w:rPr>
          <w:rFonts w:ascii="Times New Roman" w:hAnsi="Times New Roman"/>
          <w:sz w:val="28"/>
        </w:rPr>
      </w:pPr>
    </w:p>
    <w:p w:rsidR="0008270C" w:rsidRPr="009170B8" w:rsidRDefault="0008270C" w:rsidP="00F302E3">
      <w:pPr>
        <w:pStyle w:val="Heading1"/>
        <w:jc w:val="left"/>
        <w:rPr>
          <w:rFonts w:ascii="Times New Roman" w:hAnsi="Times New Roman"/>
        </w:rPr>
      </w:pPr>
    </w:p>
    <w:p w:rsidR="00705AD2" w:rsidRPr="009170B8" w:rsidRDefault="00705AD2" w:rsidP="00705AD2">
      <w:pPr>
        <w:rPr>
          <w:rFonts w:ascii="Times New Roman" w:hAnsi="Times New Roman"/>
        </w:rPr>
      </w:pPr>
    </w:p>
    <w:p w:rsidR="00705AD2" w:rsidRPr="009170B8" w:rsidRDefault="00705AD2" w:rsidP="00705AD2">
      <w:pPr>
        <w:rPr>
          <w:rFonts w:ascii="Times New Roman" w:hAnsi="Times New Roman"/>
        </w:rPr>
      </w:pPr>
    </w:p>
    <w:p w:rsidR="00705AD2" w:rsidRPr="009170B8" w:rsidRDefault="00705AD2" w:rsidP="00705AD2">
      <w:pPr>
        <w:rPr>
          <w:rFonts w:ascii="Times New Roman" w:hAnsi="Times New Roman"/>
        </w:rPr>
      </w:pPr>
    </w:p>
    <w:p w:rsidR="00705AD2" w:rsidRPr="009170B8" w:rsidRDefault="00705AD2" w:rsidP="00705AD2">
      <w:pPr>
        <w:rPr>
          <w:rFonts w:ascii="Times New Roman" w:hAnsi="Times New Roman"/>
        </w:rPr>
      </w:pPr>
    </w:p>
    <w:p w:rsidR="00705AD2" w:rsidRPr="009170B8" w:rsidRDefault="00705AD2" w:rsidP="00705AD2">
      <w:pPr>
        <w:rPr>
          <w:rFonts w:ascii="Times New Roman" w:hAnsi="Times New Roman"/>
        </w:rPr>
      </w:pPr>
    </w:p>
    <w:p w:rsidR="00705AD2" w:rsidRPr="009170B8" w:rsidRDefault="00705AD2" w:rsidP="00705AD2">
      <w:pPr>
        <w:rPr>
          <w:rFonts w:ascii="Times New Roman" w:hAnsi="Times New Roman"/>
        </w:rPr>
      </w:pPr>
    </w:p>
    <w:p w:rsidR="00705AD2" w:rsidRPr="009170B8" w:rsidRDefault="00705AD2" w:rsidP="00705AD2">
      <w:pPr>
        <w:rPr>
          <w:rFonts w:ascii="Times New Roman" w:hAnsi="Times New Roman"/>
        </w:rPr>
      </w:pPr>
    </w:p>
    <w:p w:rsidR="00705AD2" w:rsidRPr="009170B8" w:rsidRDefault="00705AD2" w:rsidP="00705AD2">
      <w:pPr>
        <w:rPr>
          <w:rFonts w:ascii="Times New Roman" w:hAnsi="Times New Roman"/>
        </w:rPr>
      </w:pPr>
    </w:p>
    <w:p w:rsidR="00705AD2" w:rsidRPr="009170B8" w:rsidRDefault="00705AD2" w:rsidP="00705AD2">
      <w:pPr>
        <w:rPr>
          <w:rFonts w:ascii="Times New Roman" w:hAnsi="Times New Roman"/>
        </w:rPr>
      </w:pPr>
    </w:p>
    <w:p w:rsidR="0061684B" w:rsidRPr="009170B8" w:rsidRDefault="0061684B">
      <w:pPr>
        <w:rPr>
          <w:rFonts w:ascii="Times New Roman" w:hAnsi="Times New Roman"/>
          <w:b/>
          <w:bCs/>
        </w:rPr>
      </w:pPr>
      <w:r w:rsidRPr="009170B8">
        <w:rPr>
          <w:rFonts w:ascii="Times New Roman" w:hAnsi="Times New Roman"/>
        </w:rPr>
        <w:br w:type="page"/>
      </w:r>
    </w:p>
    <w:p w:rsidR="0008270C" w:rsidRPr="00252FB0" w:rsidRDefault="0008270C">
      <w:pPr>
        <w:pStyle w:val="Heading2"/>
        <w:tabs>
          <w:tab w:val="right" w:pos="8222"/>
        </w:tabs>
        <w:rPr>
          <w:rFonts w:ascii="Times New Roman" w:hAnsi="Times New Roman"/>
        </w:rPr>
      </w:pPr>
      <w:r w:rsidRPr="009170B8">
        <w:rPr>
          <w:rFonts w:ascii="Times New Roman" w:hAnsi="Times New Roman"/>
        </w:rPr>
        <w:t xml:space="preserve">Notes to the Financial </w:t>
      </w:r>
      <w:r w:rsidRPr="00252FB0">
        <w:rPr>
          <w:rFonts w:ascii="Times New Roman" w:hAnsi="Times New Roman"/>
        </w:rPr>
        <w:t>Statements</w:t>
      </w:r>
      <w:r w:rsidR="00515455" w:rsidRPr="00252FB0">
        <w:rPr>
          <w:rFonts w:ascii="Times New Roman" w:hAnsi="Times New Roman"/>
        </w:rPr>
        <w:t xml:space="preserve"> of the Fund</w:t>
      </w:r>
    </w:p>
    <w:p w:rsidR="0008270C" w:rsidRPr="00252FB0" w:rsidRDefault="0008270C" w:rsidP="009A1074">
      <w:pPr>
        <w:pStyle w:val="Heading3"/>
        <w:rPr>
          <w:rFonts w:ascii="Times New Roman" w:hAnsi="Times New Roman"/>
          <w:b w:val="0"/>
        </w:rPr>
      </w:pPr>
      <w:r w:rsidRPr="00252FB0">
        <w:rPr>
          <w:rFonts w:ascii="Times New Roman" w:hAnsi="Times New Roman"/>
        </w:rPr>
        <w:t>For</w:t>
      </w:r>
      <w:r w:rsidR="009A1074" w:rsidRPr="00252FB0">
        <w:rPr>
          <w:rFonts w:ascii="Times New Roman" w:hAnsi="Times New Roman"/>
        </w:rPr>
        <w:t xml:space="preserve"> the year ended 31 December </w:t>
      </w:r>
      <w:r w:rsidR="000328AD" w:rsidRPr="00252FB0">
        <w:rPr>
          <w:rFonts w:ascii="Times New Roman" w:hAnsi="Times New Roman"/>
        </w:rPr>
        <w:t>201</w:t>
      </w:r>
      <w:r w:rsidR="00C84D94">
        <w:rPr>
          <w:rFonts w:ascii="Times New Roman" w:hAnsi="Times New Roman"/>
        </w:rPr>
        <w:t>8</w:t>
      </w:r>
    </w:p>
    <w:p w:rsidR="009A1074" w:rsidRPr="00252FB0" w:rsidRDefault="009A1074" w:rsidP="009A1074">
      <w:pPr>
        <w:rPr>
          <w:rFonts w:ascii="Times New Roman" w:hAnsi="Times New Roman"/>
        </w:rPr>
      </w:pPr>
    </w:p>
    <w:p w:rsidR="0008270C" w:rsidRPr="00252FB0" w:rsidRDefault="0008270C" w:rsidP="00584A42">
      <w:pPr>
        <w:ind w:left="284" w:hanging="284"/>
        <w:rPr>
          <w:rFonts w:ascii="Times New Roman" w:hAnsi="Times New Roman"/>
          <w:sz w:val="20"/>
        </w:rPr>
      </w:pPr>
      <w:r w:rsidRPr="00252FB0">
        <w:rPr>
          <w:rFonts w:ascii="Times New Roman" w:hAnsi="Times New Roman"/>
          <w:b/>
          <w:bCs/>
          <w:sz w:val="20"/>
        </w:rPr>
        <w:t>1.</w:t>
      </w:r>
      <w:r w:rsidRPr="00252FB0">
        <w:rPr>
          <w:rFonts w:ascii="Times New Roman" w:hAnsi="Times New Roman"/>
          <w:b/>
          <w:bCs/>
          <w:sz w:val="20"/>
        </w:rPr>
        <w:tab/>
        <w:t>General Information</w:t>
      </w:r>
      <w:r w:rsidR="00225DD1">
        <w:rPr>
          <w:rFonts w:ascii="Times New Roman" w:hAnsi="Times New Roman"/>
          <w:b/>
          <w:bCs/>
          <w:sz w:val="20"/>
        </w:rPr>
        <w:t xml:space="preserve"> </w:t>
      </w:r>
    </w:p>
    <w:p w:rsidR="0008270C" w:rsidRPr="009170B8" w:rsidRDefault="0008270C" w:rsidP="00CB5E4B">
      <w:pPr>
        <w:ind w:left="284"/>
        <w:jc w:val="both"/>
        <w:rPr>
          <w:rFonts w:ascii="Times New Roman" w:hAnsi="Times New Roman"/>
          <w:sz w:val="20"/>
          <w:szCs w:val="20"/>
        </w:rPr>
      </w:pPr>
      <w:r w:rsidRPr="00252FB0">
        <w:rPr>
          <w:rFonts w:ascii="Times New Roman" w:hAnsi="Times New Roman"/>
          <w:sz w:val="20"/>
        </w:rPr>
        <w:t xml:space="preserve">The Company is a closed-ended investment company incorporated in Jersey on 24 May 2006.  The Company has one closed-ended </w:t>
      </w:r>
      <w:r w:rsidR="00602C0B">
        <w:rPr>
          <w:rFonts w:ascii="Times New Roman" w:hAnsi="Times New Roman"/>
          <w:sz w:val="20"/>
        </w:rPr>
        <w:t>c</w:t>
      </w:r>
      <w:r w:rsidR="00602C0B" w:rsidRPr="00252FB0">
        <w:rPr>
          <w:rFonts w:ascii="Times New Roman" w:hAnsi="Times New Roman"/>
          <w:sz w:val="20"/>
        </w:rPr>
        <w:t>ell</w:t>
      </w:r>
      <w:r w:rsidR="00602C0B">
        <w:rPr>
          <w:rFonts w:ascii="Times New Roman" w:hAnsi="Times New Roman"/>
          <w:sz w:val="20"/>
        </w:rPr>
        <w:t>,</w:t>
      </w:r>
      <w:r w:rsidR="00602C0B" w:rsidRPr="00252FB0">
        <w:rPr>
          <w:rFonts w:ascii="Times New Roman" w:hAnsi="Times New Roman"/>
          <w:sz w:val="20"/>
        </w:rPr>
        <w:t xml:space="preserve"> </w:t>
      </w:r>
      <w:r w:rsidR="00CB5E4B" w:rsidRPr="00252FB0">
        <w:rPr>
          <w:rFonts w:ascii="Times New Roman" w:hAnsi="Times New Roman"/>
          <w:sz w:val="20"/>
        </w:rPr>
        <w:t xml:space="preserve">Middlefield Canadian Income </w:t>
      </w:r>
      <w:r w:rsidRPr="00252FB0">
        <w:rPr>
          <w:rFonts w:ascii="Times New Roman" w:hAnsi="Times New Roman"/>
          <w:sz w:val="20"/>
        </w:rPr>
        <w:t>- G</w:t>
      </w:r>
      <w:r w:rsidR="00181057" w:rsidRPr="00252FB0">
        <w:rPr>
          <w:rFonts w:ascii="Times New Roman" w:hAnsi="Times New Roman"/>
          <w:sz w:val="20"/>
        </w:rPr>
        <w:t>BP PC, also referred to as the “</w:t>
      </w:r>
      <w:r w:rsidRPr="00252FB0">
        <w:rPr>
          <w:rFonts w:ascii="Times New Roman" w:hAnsi="Times New Roman"/>
          <w:sz w:val="20"/>
        </w:rPr>
        <w:t>Fund</w:t>
      </w:r>
      <w:r w:rsidR="00181057" w:rsidRPr="00252FB0">
        <w:rPr>
          <w:rFonts w:ascii="Times New Roman" w:hAnsi="Times New Roman"/>
          <w:sz w:val="20"/>
        </w:rPr>
        <w:t>”</w:t>
      </w:r>
      <w:r w:rsidRPr="00252FB0">
        <w:rPr>
          <w:rFonts w:ascii="Times New Roman" w:hAnsi="Times New Roman"/>
        </w:rPr>
        <w:t xml:space="preserve">. </w:t>
      </w:r>
      <w:r w:rsidR="00CB5E4B" w:rsidRPr="00252FB0">
        <w:rPr>
          <w:rFonts w:ascii="Times New Roman" w:hAnsi="Times New Roman"/>
          <w:sz w:val="20"/>
          <w:szCs w:val="20"/>
        </w:rPr>
        <w:t xml:space="preserve">The Fund seeks to provide </w:t>
      </w:r>
      <w:r w:rsidR="00585D7A">
        <w:rPr>
          <w:rFonts w:ascii="Times New Roman" w:hAnsi="Times New Roman"/>
          <w:sz w:val="20"/>
          <w:szCs w:val="20"/>
        </w:rPr>
        <w:t>s</w:t>
      </w:r>
      <w:r w:rsidR="00CB5E4B" w:rsidRPr="00252FB0">
        <w:rPr>
          <w:rFonts w:ascii="Times New Roman" w:hAnsi="Times New Roman"/>
          <w:sz w:val="20"/>
          <w:szCs w:val="20"/>
        </w:rPr>
        <w:t>hareholders with a high level of dividends as well as capital growth over the longer term. The Fund intends to pay dividends on a quarterly basis each year.  The Fund seeks to achieve its investment objective by investing predominantly in the securities of companies and REITs domiciled in Canada and</w:t>
      </w:r>
      <w:r w:rsidR="00CB55F4">
        <w:rPr>
          <w:rFonts w:ascii="Times New Roman" w:hAnsi="Times New Roman"/>
          <w:sz w:val="20"/>
          <w:szCs w:val="20"/>
        </w:rPr>
        <w:t xml:space="preserve"> the U.S.</w:t>
      </w:r>
      <w:r w:rsidR="00CB5E4B" w:rsidRPr="00252FB0">
        <w:rPr>
          <w:rFonts w:ascii="Times New Roman" w:hAnsi="Times New Roman"/>
          <w:sz w:val="20"/>
          <w:szCs w:val="20"/>
        </w:rPr>
        <w:t xml:space="preserve"> that the Investment Manager believes will provide an attractive level of distributions, together with the prospect for capital growth.</w:t>
      </w:r>
      <w:r w:rsidR="00AA2CBC" w:rsidRPr="00AA2CBC">
        <w:rPr>
          <w:color w:val="1F497D"/>
          <w:lang w:val="en-CA"/>
        </w:rPr>
        <w:t xml:space="preserve"> </w:t>
      </w:r>
      <w:r w:rsidR="00AA2CBC">
        <w:rPr>
          <w:color w:val="1F497D"/>
          <w:lang w:val="en-CA"/>
        </w:rPr>
        <w:t xml:space="preserve"> </w:t>
      </w:r>
      <w:r w:rsidR="00AA2CBC" w:rsidRPr="00E5676A">
        <w:rPr>
          <w:rFonts w:ascii="Times New Roman" w:hAnsi="Times New Roman"/>
          <w:sz w:val="20"/>
          <w:szCs w:val="20"/>
        </w:rPr>
        <w:t>In 2015, shareholders also approved an amendment to the investment policy to increase the percentage of the value of portfolio assets which may be invested in securities listed in recognized stock exchange outside Canada to up to 40 per cent.</w:t>
      </w:r>
    </w:p>
    <w:p w:rsidR="00CB5E4B" w:rsidRPr="009170B8" w:rsidRDefault="00CB5E4B" w:rsidP="00584A42">
      <w:pPr>
        <w:pStyle w:val="BodyText"/>
        <w:tabs>
          <w:tab w:val="clear" w:pos="3402"/>
          <w:tab w:val="clear" w:pos="8222"/>
        </w:tabs>
        <w:ind w:left="284"/>
        <w:rPr>
          <w:rFonts w:ascii="Times New Roman" w:hAnsi="Times New Roman"/>
        </w:rPr>
      </w:pPr>
    </w:p>
    <w:p w:rsidR="00272B6F" w:rsidRPr="00272B6F" w:rsidRDefault="0008270C" w:rsidP="00272B6F">
      <w:pPr>
        <w:ind w:left="284"/>
        <w:jc w:val="both"/>
        <w:rPr>
          <w:rFonts w:ascii="Times New Roman" w:hAnsi="Times New Roman"/>
          <w:sz w:val="20"/>
          <w:szCs w:val="20"/>
        </w:rPr>
      </w:pPr>
      <w:r w:rsidRPr="00272B6F">
        <w:rPr>
          <w:rFonts w:ascii="Times New Roman" w:hAnsi="Times New Roman"/>
          <w:sz w:val="20"/>
          <w:szCs w:val="20"/>
        </w:rPr>
        <w:t xml:space="preserve">The address of the </w:t>
      </w:r>
      <w:r w:rsidR="004802E3" w:rsidRPr="00272B6F">
        <w:rPr>
          <w:rFonts w:ascii="Times New Roman" w:hAnsi="Times New Roman"/>
          <w:sz w:val="20"/>
          <w:szCs w:val="20"/>
        </w:rPr>
        <w:t>Company’s</w:t>
      </w:r>
      <w:r w:rsidRPr="00272B6F">
        <w:rPr>
          <w:rFonts w:ascii="Times New Roman" w:hAnsi="Times New Roman"/>
          <w:sz w:val="20"/>
          <w:szCs w:val="20"/>
        </w:rPr>
        <w:t xml:space="preserve"> registered office is</w:t>
      </w:r>
      <w:r w:rsidR="006C5CFD" w:rsidRPr="00272B6F">
        <w:rPr>
          <w:rFonts w:ascii="Times New Roman" w:hAnsi="Times New Roman"/>
          <w:sz w:val="20"/>
          <w:szCs w:val="20"/>
        </w:rPr>
        <w:t xml:space="preserve"> </w:t>
      </w:r>
      <w:r w:rsidR="00C41A3C" w:rsidRPr="005E6BA0">
        <w:rPr>
          <w:rFonts w:ascii="Times New Roman" w:hAnsi="Times New Roman"/>
          <w:sz w:val="20"/>
          <w:szCs w:val="20"/>
        </w:rPr>
        <w:t>28 Esplanade</w:t>
      </w:r>
      <w:r w:rsidR="00272B6F" w:rsidRPr="00272B6F">
        <w:rPr>
          <w:rFonts w:ascii="Times New Roman" w:hAnsi="Times New Roman"/>
          <w:bCs/>
          <w:sz w:val="20"/>
          <w:szCs w:val="20"/>
        </w:rPr>
        <w:t xml:space="preserve">, St. Helier, Jersey </w:t>
      </w:r>
      <w:r w:rsidR="00C41A3C" w:rsidRPr="005E6BA0">
        <w:rPr>
          <w:rFonts w:ascii="Times New Roman" w:hAnsi="Times New Roman"/>
          <w:sz w:val="20"/>
          <w:szCs w:val="20"/>
        </w:rPr>
        <w:t>JE2 3QA</w:t>
      </w:r>
      <w:r w:rsidR="00272B6F" w:rsidRPr="00272B6F">
        <w:rPr>
          <w:rFonts w:ascii="Times New Roman" w:hAnsi="Times New Roman"/>
          <w:bCs/>
          <w:sz w:val="20"/>
          <w:szCs w:val="20"/>
        </w:rPr>
        <w:t>, Channel Islands</w:t>
      </w:r>
      <w:r w:rsidR="00272B6F">
        <w:rPr>
          <w:rFonts w:ascii="Times New Roman" w:hAnsi="Times New Roman"/>
          <w:bCs/>
          <w:sz w:val="20"/>
          <w:szCs w:val="20"/>
        </w:rPr>
        <w:t>.</w:t>
      </w:r>
    </w:p>
    <w:p w:rsidR="0008270C" w:rsidRPr="009170B8" w:rsidRDefault="0008270C" w:rsidP="00584A42">
      <w:pPr>
        <w:pStyle w:val="BodyText"/>
        <w:tabs>
          <w:tab w:val="clear" w:pos="3402"/>
          <w:tab w:val="clear" w:pos="8222"/>
        </w:tabs>
        <w:ind w:left="284"/>
        <w:rPr>
          <w:rFonts w:ascii="Times New Roman" w:hAnsi="Times New Roman"/>
        </w:rPr>
      </w:pPr>
    </w:p>
    <w:p w:rsidR="0008270C" w:rsidRPr="009170B8" w:rsidRDefault="0008270C" w:rsidP="00584A42">
      <w:pPr>
        <w:ind w:left="284"/>
        <w:jc w:val="both"/>
        <w:rPr>
          <w:rFonts w:ascii="Times New Roman" w:hAnsi="Times New Roman"/>
          <w:sz w:val="20"/>
        </w:rPr>
      </w:pPr>
      <w:r w:rsidRPr="009170B8">
        <w:rPr>
          <w:rFonts w:ascii="Times New Roman" w:hAnsi="Times New Roman"/>
          <w:sz w:val="20"/>
        </w:rPr>
        <w:t xml:space="preserve">The Fund’s shares </w:t>
      </w:r>
      <w:r w:rsidR="00272B6F">
        <w:rPr>
          <w:rFonts w:ascii="Times New Roman" w:hAnsi="Times New Roman"/>
          <w:sz w:val="20"/>
        </w:rPr>
        <w:t xml:space="preserve">have been admitted to the Official List of the FCA and to trading on </w:t>
      </w:r>
      <w:r w:rsidRPr="009170B8">
        <w:rPr>
          <w:rFonts w:ascii="Times New Roman" w:hAnsi="Times New Roman"/>
          <w:sz w:val="20"/>
        </w:rPr>
        <w:t>the London Stock Exchange</w:t>
      </w:r>
      <w:r w:rsidR="00272B6F">
        <w:rPr>
          <w:rFonts w:ascii="Times New Roman" w:hAnsi="Times New Roman"/>
          <w:sz w:val="20"/>
        </w:rPr>
        <w:t>’s Main Market for listed securities</w:t>
      </w:r>
      <w:r w:rsidRPr="009170B8">
        <w:rPr>
          <w:rFonts w:ascii="Times New Roman" w:hAnsi="Times New Roman"/>
          <w:sz w:val="20"/>
        </w:rPr>
        <w:t>.</w:t>
      </w:r>
    </w:p>
    <w:p w:rsidR="0008270C" w:rsidRPr="009170B8" w:rsidRDefault="0008270C" w:rsidP="00584A42">
      <w:pPr>
        <w:ind w:left="284"/>
        <w:jc w:val="both"/>
        <w:rPr>
          <w:rFonts w:ascii="Times New Roman" w:hAnsi="Times New Roman"/>
          <w:sz w:val="20"/>
        </w:rPr>
      </w:pPr>
      <w:r w:rsidRPr="009170B8">
        <w:rPr>
          <w:rFonts w:ascii="Times New Roman" w:hAnsi="Times New Roman"/>
          <w:sz w:val="20"/>
        </w:rPr>
        <w:tab/>
      </w:r>
    </w:p>
    <w:p w:rsidR="0008270C" w:rsidRPr="009170B8" w:rsidRDefault="0008270C" w:rsidP="00584A42">
      <w:pPr>
        <w:ind w:left="284"/>
        <w:jc w:val="both"/>
        <w:rPr>
          <w:rFonts w:ascii="Times New Roman" w:hAnsi="Times New Roman"/>
          <w:sz w:val="20"/>
        </w:rPr>
      </w:pPr>
      <w:r w:rsidRPr="009170B8">
        <w:rPr>
          <w:rFonts w:ascii="Times New Roman" w:hAnsi="Times New Roman"/>
          <w:sz w:val="20"/>
        </w:rPr>
        <w:t xml:space="preserve">The </w:t>
      </w:r>
      <w:r w:rsidR="00D419A5" w:rsidRPr="009170B8">
        <w:rPr>
          <w:rFonts w:ascii="Times New Roman" w:hAnsi="Times New Roman"/>
          <w:sz w:val="20"/>
        </w:rPr>
        <w:t>Company</w:t>
      </w:r>
      <w:r w:rsidR="006C5CFD" w:rsidRPr="009170B8">
        <w:rPr>
          <w:rFonts w:ascii="Times New Roman" w:hAnsi="Times New Roman"/>
          <w:sz w:val="20"/>
        </w:rPr>
        <w:t xml:space="preserve"> and </w:t>
      </w:r>
      <w:r w:rsidR="004A6B7B" w:rsidRPr="009170B8">
        <w:rPr>
          <w:rFonts w:ascii="Times New Roman" w:hAnsi="Times New Roman"/>
          <w:sz w:val="20"/>
        </w:rPr>
        <w:t>Fund have</w:t>
      </w:r>
      <w:r w:rsidRPr="009170B8">
        <w:rPr>
          <w:rFonts w:ascii="Times New Roman" w:hAnsi="Times New Roman"/>
          <w:sz w:val="20"/>
        </w:rPr>
        <w:t xml:space="preserve"> no employees.</w:t>
      </w:r>
    </w:p>
    <w:p w:rsidR="0008270C" w:rsidRPr="009170B8" w:rsidRDefault="0008270C" w:rsidP="00584A42">
      <w:pPr>
        <w:ind w:left="284"/>
        <w:jc w:val="both"/>
        <w:rPr>
          <w:rFonts w:ascii="Times New Roman" w:hAnsi="Times New Roman"/>
          <w:sz w:val="20"/>
        </w:rPr>
      </w:pPr>
    </w:p>
    <w:p w:rsidR="0008270C" w:rsidRPr="009170B8" w:rsidRDefault="00F52E49" w:rsidP="00584A42">
      <w:pPr>
        <w:ind w:left="284"/>
        <w:rPr>
          <w:rFonts w:ascii="Times New Roman" w:hAnsi="Times New Roman"/>
          <w:sz w:val="20"/>
        </w:rPr>
      </w:pPr>
      <w:r w:rsidRPr="009170B8">
        <w:rPr>
          <w:rFonts w:ascii="Times New Roman" w:hAnsi="Times New Roman"/>
          <w:sz w:val="20"/>
        </w:rPr>
        <w:t xml:space="preserve">The functional </w:t>
      </w:r>
      <w:r w:rsidR="0008270C" w:rsidRPr="009170B8">
        <w:rPr>
          <w:rFonts w:ascii="Times New Roman" w:hAnsi="Times New Roman"/>
          <w:sz w:val="20"/>
        </w:rPr>
        <w:t>and presentation</w:t>
      </w:r>
      <w:r w:rsidR="000055B3" w:rsidRPr="009170B8">
        <w:rPr>
          <w:rFonts w:ascii="Times New Roman" w:hAnsi="Times New Roman"/>
          <w:sz w:val="20"/>
        </w:rPr>
        <w:t>al</w:t>
      </w:r>
      <w:r w:rsidR="0008270C" w:rsidRPr="009170B8">
        <w:rPr>
          <w:rFonts w:ascii="Times New Roman" w:hAnsi="Times New Roman"/>
          <w:sz w:val="20"/>
        </w:rPr>
        <w:t xml:space="preserve"> currency of the </w:t>
      </w:r>
      <w:r w:rsidR="006C5CFD" w:rsidRPr="009170B8">
        <w:rPr>
          <w:rFonts w:ascii="Times New Roman" w:hAnsi="Times New Roman"/>
          <w:sz w:val="20"/>
        </w:rPr>
        <w:t xml:space="preserve">Company and the </w:t>
      </w:r>
      <w:r w:rsidR="0008270C" w:rsidRPr="009170B8">
        <w:rPr>
          <w:rFonts w:ascii="Times New Roman" w:hAnsi="Times New Roman"/>
          <w:sz w:val="20"/>
        </w:rPr>
        <w:t xml:space="preserve">Fund is </w:t>
      </w:r>
      <w:r w:rsidR="00180734">
        <w:rPr>
          <w:rFonts w:ascii="Times New Roman" w:hAnsi="Times New Roman"/>
          <w:sz w:val="20"/>
        </w:rPr>
        <w:t xml:space="preserve">Pound </w:t>
      </w:r>
      <w:r w:rsidR="0008270C" w:rsidRPr="009170B8">
        <w:rPr>
          <w:rFonts w:ascii="Times New Roman" w:hAnsi="Times New Roman"/>
          <w:sz w:val="20"/>
        </w:rPr>
        <w:t>Sterling (“GBP”).</w:t>
      </w:r>
    </w:p>
    <w:p w:rsidR="0008270C" w:rsidRPr="009170B8" w:rsidRDefault="0008270C">
      <w:pPr>
        <w:ind w:left="720" w:hanging="720"/>
        <w:jc w:val="both"/>
        <w:rPr>
          <w:rFonts w:ascii="Times New Roman" w:hAnsi="Times New Roman"/>
          <w:sz w:val="20"/>
        </w:rPr>
      </w:pPr>
    </w:p>
    <w:p w:rsidR="0008270C" w:rsidRPr="009170B8" w:rsidRDefault="0008270C" w:rsidP="00584A42">
      <w:pPr>
        <w:ind w:left="284" w:hanging="284"/>
        <w:jc w:val="both"/>
        <w:rPr>
          <w:rFonts w:ascii="Times New Roman" w:hAnsi="Times New Roman"/>
          <w:sz w:val="20"/>
        </w:rPr>
      </w:pPr>
      <w:r w:rsidRPr="009170B8">
        <w:rPr>
          <w:rFonts w:ascii="Times New Roman" w:hAnsi="Times New Roman"/>
          <w:b/>
          <w:bCs/>
          <w:sz w:val="20"/>
        </w:rPr>
        <w:t>2.</w:t>
      </w:r>
      <w:r w:rsidRPr="009170B8">
        <w:rPr>
          <w:rFonts w:ascii="Times New Roman" w:hAnsi="Times New Roman"/>
          <w:b/>
          <w:bCs/>
          <w:sz w:val="20"/>
        </w:rPr>
        <w:tab/>
      </w:r>
      <w:r w:rsidR="00225DD1">
        <w:rPr>
          <w:rFonts w:ascii="Times New Roman" w:hAnsi="Times New Roman"/>
          <w:b/>
          <w:bCs/>
          <w:sz w:val="20"/>
        </w:rPr>
        <w:t xml:space="preserve">Principal </w:t>
      </w:r>
      <w:r w:rsidRPr="009170B8">
        <w:rPr>
          <w:rFonts w:ascii="Times New Roman" w:hAnsi="Times New Roman"/>
          <w:b/>
          <w:bCs/>
          <w:sz w:val="20"/>
        </w:rPr>
        <w:t>Accounting Policies</w:t>
      </w:r>
    </w:p>
    <w:p w:rsidR="0008270C" w:rsidRPr="009170B8" w:rsidRDefault="0008270C">
      <w:pPr>
        <w:ind w:left="720" w:hanging="720"/>
        <w:jc w:val="both"/>
        <w:rPr>
          <w:rFonts w:ascii="Times New Roman" w:hAnsi="Times New Roman"/>
          <w:sz w:val="20"/>
        </w:rPr>
      </w:pPr>
    </w:p>
    <w:p w:rsidR="0012480E" w:rsidRPr="00585D7A" w:rsidRDefault="0008270C" w:rsidP="00585D7A">
      <w:pPr>
        <w:ind w:left="284" w:hanging="284"/>
        <w:jc w:val="both"/>
        <w:rPr>
          <w:rFonts w:ascii="Times New Roman" w:hAnsi="Times New Roman"/>
          <w:b/>
          <w:bCs/>
          <w:sz w:val="20"/>
        </w:rPr>
      </w:pPr>
      <w:r w:rsidRPr="009170B8">
        <w:rPr>
          <w:rFonts w:ascii="Times New Roman" w:hAnsi="Times New Roman"/>
          <w:b/>
          <w:bCs/>
          <w:sz w:val="20"/>
        </w:rPr>
        <w:t>a.</w:t>
      </w:r>
      <w:r w:rsidRPr="009170B8">
        <w:rPr>
          <w:rFonts w:ascii="Times New Roman" w:hAnsi="Times New Roman"/>
          <w:b/>
          <w:bCs/>
          <w:sz w:val="20"/>
        </w:rPr>
        <w:tab/>
        <w:t>Basis of pr</w:t>
      </w:r>
      <w:r w:rsidR="005D492D">
        <w:rPr>
          <w:rFonts w:ascii="Times New Roman" w:hAnsi="Times New Roman"/>
          <w:b/>
          <w:bCs/>
          <w:sz w:val="20"/>
        </w:rPr>
        <w:t>eparation</w:t>
      </w:r>
    </w:p>
    <w:p w:rsidR="00543032" w:rsidRPr="00E5676A" w:rsidRDefault="00543032" w:rsidP="00E5676A">
      <w:pPr>
        <w:pStyle w:val="BodyTextIndent"/>
        <w:ind w:left="284"/>
        <w:rPr>
          <w:rFonts w:ascii="Times New Roman" w:hAnsi="Times New Roman"/>
        </w:rPr>
      </w:pPr>
      <w:r w:rsidRPr="00E5676A">
        <w:rPr>
          <w:rFonts w:ascii="Times New Roman" w:hAnsi="Times New Roman"/>
        </w:rPr>
        <w:t>The financial statements of the Fund (the “Financial Statements”) have been prepared on the historical cost basis, except for the measurement at fair value of investments and derivatives, and in accordance with the applicable International Financial Reporting Standards (IFRS) as adopted by the European Union (the “EU”) and interpretations issued by the International Financial Reporting Interpretation Committee (IFRIC). The preparation of the Financial Statements in conformity with IFRS requires the directors to make estimates and assumptions that affect the reported amounts of assets and liabilities and disclosures of contingent assets and liabilities at the date of the Financial Statements and the reported amounts of revenues and expenses during the reporting year. Although these estimates are based on management’s best knowledge of current events and actions, actual results may ultimately differ from those estimates.</w:t>
      </w:r>
    </w:p>
    <w:p w:rsidR="00543032" w:rsidRDefault="00543032" w:rsidP="00E5676A">
      <w:pPr>
        <w:pStyle w:val="BodyTextIndent"/>
        <w:ind w:left="284"/>
        <w:rPr>
          <w:rFonts w:ascii="Times New Roman" w:hAnsi="Times New Roman"/>
        </w:rPr>
      </w:pPr>
    </w:p>
    <w:p w:rsidR="00543032" w:rsidRPr="00E5676A" w:rsidRDefault="00543032" w:rsidP="00E5676A">
      <w:pPr>
        <w:pStyle w:val="BodyTextIndent"/>
        <w:ind w:left="284"/>
        <w:rPr>
          <w:rFonts w:ascii="Times New Roman" w:hAnsi="Times New Roman"/>
        </w:rPr>
      </w:pPr>
      <w:r w:rsidRPr="00E5676A">
        <w:rPr>
          <w:rFonts w:ascii="Times New Roman" w:hAnsi="Times New Roman"/>
        </w:rPr>
        <w:t xml:space="preserve">Where presentational guidance set out in the Statement of Recommended Practice (SORP) ‘Financial Statements of Investment Trust Companies and Venture Capital Trusts’, issued by the Association of Investment Companies is consistent with the requirements of IFRS, the Directors have prepared the </w:t>
      </w:r>
      <w:r w:rsidR="00585D7A">
        <w:rPr>
          <w:rFonts w:ascii="Times New Roman" w:hAnsi="Times New Roman"/>
        </w:rPr>
        <w:t>F</w:t>
      </w:r>
      <w:r w:rsidRPr="00E5676A">
        <w:rPr>
          <w:rFonts w:ascii="Times New Roman" w:hAnsi="Times New Roman"/>
        </w:rPr>
        <w:t xml:space="preserve">inancial </w:t>
      </w:r>
      <w:r w:rsidR="00585D7A">
        <w:rPr>
          <w:rFonts w:ascii="Times New Roman" w:hAnsi="Times New Roman"/>
        </w:rPr>
        <w:t>S</w:t>
      </w:r>
      <w:r w:rsidRPr="00E5676A">
        <w:rPr>
          <w:rFonts w:ascii="Times New Roman" w:hAnsi="Times New Roman"/>
        </w:rPr>
        <w:t>tatements on a basis compliant with the recommendations of the SORP. The supplementary information which analyses the statement of comprehensive income between items of a revenue and a capital nature is presented in accordance with the SORP.</w:t>
      </w:r>
    </w:p>
    <w:p w:rsidR="0008270C" w:rsidRPr="009170B8" w:rsidRDefault="0008270C" w:rsidP="00584A42">
      <w:pPr>
        <w:ind w:left="284"/>
        <w:jc w:val="both"/>
        <w:rPr>
          <w:rFonts w:ascii="Times New Roman" w:hAnsi="Times New Roman"/>
          <w:sz w:val="20"/>
        </w:rPr>
      </w:pPr>
    </w:p>
    <w:p w:rsidR="0008270C" w:rsidRPr="009170B8" w:rsidRDefault="0008270C" w:rsidP="00584A42">
      <w:pPr>
        <w:ind w:left="284"/>
        <w:jc w:val="both"/>
        <w:rPr>
          <w:rFonts w:ascii="Times New Roman" w:hAnsi="Times New Roman"/>
          <w:sz w:val="20"/>
        </w:rPr>
      </w:pPr>
      <w:r w:rsidRPr="009170B8">
        <w:rPr>
          <w:rFonts w:ascii="Times New Roman" w:hAnsi="Times New Roman"/>
          <w:i/>
          <w:iCs/>
          <w:sz w:val="20"/>
        </w:rPr>
        <w:t>Critical accounting estimates and judgements</w:t>
      </w:r>
    </w:p>
    <w:p w:rsidR="0008270C" w:rsidRPr="009170B8" w:rsidRDefault="0008270C" w:rsidP="00584A42">
      <w:pPr>
        <w:pStyle w:val="BodyTextIndent"/>
        <w:ind w:left="284"/>
        <w:rPr>
          <w:rFonts w:ascii="Times New Roman" w:hAnsi="Times New Roman"/>
        </w:rPr>
      </w:pPr>
      <w:r w:rsidRPr="009170B8">
        <w:rPr>
          <w:rFonts w:ascii="Times New Roman" w:hAnsi="Times New Roman"/>
        </w:rPr>
        <w:t xml:space="preserve">The preparation of </w:t>
      </w:r>
      <w:r w:rsidR="000954BE">
        <w:rPr>
          <w:rFonts w:ascii="Times New Roman" w:hAnsi="Times New Roman"/>
        </w:rPr>
        <w:t>the F</w:t>
      </w:r>
      <w:r w:rsidRPr="009170B8">
        <w:rPr>
          <w:rFonts w:ascii="Times New Roman" w:hAnsi="Times New Roman"/>
        </w:rPr>
        <w:t xml:space="preserve">inancial </w:t>
      </w:r>
      <w:r w:rsidR="000954BE">
        <w:rPr>
          <w:rFonts w:ascii="Times New Roman" w:hAnsi="Times New Roman"/>
        </w:rPr>
        <w:t>S</w:t>
      </w:r>
      <w:r w:rsidR="000954BE" w:rsidRPr="009170B8">
        <w:rPr>
          <w:rFonts w:ascii="Times New Roman" w:hAnsi="Times New Roman"/>
        </w:rPr>
        <w:t xml:space="preserve">tatements </w:t>
      </w:r>
      <w:r w:rsidRPr="009170B8">
        <w:rPr>
          <w:rFonts w:ascii="Times New Roman" w:hAnsi="Times New Roman"/>
        </w:rPr>
        <w:t xml:space="preserve">in conformity with IFRS requires the use of certain critical accounting estimates.  It also requires management to exercise its judgement in the process of applying the accounting policies.  </w:t>
      </w:r>
    </w:p>
    <w:p w:rsidR="00C41D63" w:rsidRDefault="00C41D63" w:rsidP="00584A42">
      <w:pPr>
        <w:pStyle w:val="BodyTextIndent"/>
        <w:ind w:left="284"/>
        <w:rPr>
          <w:rFonts w:ascii="Times New Roman" w:hAnsi="Times New Roman"/>
        </w:rPr>
      </w:pPr>
    </w:p>
    <w:p w:rsidR="00FE09C7" w:rsidRDefault="00FE09C7" w:rsidP="00584A42">
      <w:pPr>
        <w:pStyle w:val="BodyTextIndent"/>
        <w:ind w:left="284"/>
        <w:rPr>
          <w:rFonts w:ascii="Times New Roman" w:hAnsi="Times New Roman"/>
        </w:rPr>
      </w:pPr>
      <w:r>
        <w:rPr>
          <w:rFonts w:ascii="Times New Roman" w:hAnsi="Times New Roman"/>
        </w:rPr>
        <w:t xml:space="preserve">The following are the critical judgements that the directors have made in the process of applying the accounting policies that have the most significant effect on the amounts recognised in the financial statements. </w:t>
      </w:r>
    </w:p>
    <w:p w:rsidR="00FE09C7" w:rsidRPr="009170B8" w:rsidRDefault="00FE09C7" w:rsidP="00584A42">
      <w:pPr>
        <w:pStyle w:val="BodyTextIndent"/>
        <w:ind w:left="284"/>
        <w:rPr>
          <w:rFonts w:ascii="Times New Roman" w:hAnsi="Times New Roman"/>
        </w:rPr>
      </w:pPr>
    </w:p>
    <w:p w:rsidR="00CB55F4" w:rsidRDefault="00C41D63" w:rsidP="00584A42">
      <w:pPr>
        <w:pStyle w:val="BodyTextIndent"/>
        <w:ind w:left="284"/>
        <w:rPr>
          <w:rFonts w:ascii="Times New Roman" w:hAnsi="Times New Roman"/>
        </w:rPr>
      </w:pPr>
      <w:r w:rsidRPr="009170B8">
        <w:rPr>
          <w:rFonts w:ascii="Times New Roman" w:hAnsi="Times New Roman"/>
        </w:rPr>
        <w:t>Expenses have been charged to the Statement of Comprehensive Income and shown in the revenue column</w:t>
      </w:r>
      <w:r w:rsidR="000954BE">
        <w:rPr>
          <w:rFonts w:ascii="Times New Roman" w:hAnsi="Times New Roman"/>
        </w:rPr>
        <w:t>.</w:t>
      </w:r>
      <w:r w:rsidR="000954BE" w:rsidRPr="009170B8">
        <w:rPr>
          <w:rFonts w:ascii="Times New Roman" w:hAnsi="Times New Roman"/>
        </w:rPr>
        <w:t xml:space="preserve"> </w:t>
      </w:r>
      <w:r w:rsidR="000954BE">
        <w:rPr>
          <w:rFonts w:ascii="Times New Roman" w:hAnsi="Times New Roman"/>
        </w:rPr>
        <w:t xml:space="preserve"> M</w:t>
      </w:r>
      <w:r w:rsidR="000954BE" w:rsidRPr="009170B8">
        <w:rPr>
          <w:rFonts w:ascii="Times New Roman" w:hAnsi="Times New Roman"/>
        </w:rPr>
        <w:t xml:space="preserve">anagement </w:t>
      </w:r>
      <w:r w:rsidRPr="0012480E">
        <w:rPr>
          <w:rFonts w:ascii="Times New Roman" w:hAnsi="Times New Roman"/>
        </w:rPr>
        <w:t>fees and finance costs have been allocated 60% to capital and 40% to revenue.</w:t>
      </w:r>
      <w:r w:rsidR="00FE09C7" w:rsidRPr="0012480E">
        <w:rPr>
          <w:rFonts w:ascii="Times New Roman" w:hAnsi="Times New Roman"/>
        </w:rPr>
        <w:t xml:space="preserve"> </w:t>
      </w:r>
      <w:r w:rsidR="00E17C74" w:rsidRPr="0012480E">
        <w:rPr>
          <w:rFonts w:ascii="Times New Roman" w:hAnsi="Times New Roman"/>
        </w:rPr>
        <w:t xml:space="preserve"> This is in accordance with the Board’s expected long-term split of returns, in the form of capital gains and income respectively, from the investment portfolio.</w:t>
      </w:r>
    </w:p>
    <w:p w:rsidR="00CB55F4" w:rsidRDefault="00CB55F4" w:rsidP="00584A42">
      <w:pPr>
        <w:pStyle w:val="BodyTextIndent"/>
        <w:ind w:left="284"/>
        <w:rPr>
          <w:rFonts w:ascii="Times New Roman" w:hAnsi="Times New Roman"/>
        </w:rPr>
      </w:pPr>
    </w:p>
    <w:p w:rsidR="00C41D63" w:rsidRPr="009170B8" w:rsidRDefault="00FE09C7" w:rsidP="00584A42">
      <w:pPr>
        <w:pStyle w:val="BodyTextIndent"/>
        <w:ind w:left="284"/>
        <w:rPr>
          <w:rFonts w:ascii="Times New Roman" w:hAnsi="Times New Roman"/>
        </w:rPr>
      </w:pPr>
      <w:r>
        <w:rPr>
          <w:rFonts w:ascii="Times New Roman" w:hAnsi="Times New Roman"/>
        </w:rPr>
        <w:t>Fair value of investments require judg</w:t>
      </w:r>
      <w:r w:rsidR="00CB55F4">
        <w:rPr>
          <w:rFonts w:ascii="Times New Roman" w:hAnsi="Times New Roman"/>
        </w:rPr>
        <w:t>e</w:t>
      </w:r>
      <w:r>
        <w:rPr>
          <w:rFonts w:ascii="Times New Roman" w:hAnsi="Times New Roman"/>
        </w:rPr>
        <w:t>ment to apply, however all investments are quoted. Therefore no judgement is involved.</w:t>
      </w:r>
    </w:p>
    <w:p w:rsidR="00D22C00" w:rsidRDefault="00D22C00" w:rsidP="00BA75C4">
      <w:pPr>
        <w:jc w:val="both"/>
        <w:rPr>
          <w:rFonts w:ascii="Times New Roman" w:hAnsi="Times New Roman"/>
          <w:i/>
          <w:iCs/>
          <w:sz w:val="20"/>
        </w:rPr>
      </w:pPr>
    </w:p>
    <w:p w:rsidR="009B6870" w:rsidRDefault="009B6870" w:rsidP="009B6870">
      <w:pPr>
        <w:ind w:firstLine="284"/>
        <w:jc w:val="both"/>
        <w:rPr>
          <w:rFonts w:ascii="Times New Roman" w:hAnsi="Times New Roman"/>
          <w:i/>
          <w:iCs/>
          <w:sz w:val="20"/>
        </w:rPr>
      </w:pPr>
      <w:r w:rsidRPr="00E5676A">
        <w:rPr>
          <w:rFonts w:ascii="Times New Roman" w:hAnsi="Times New Roman"/>
          <w:i/>
          <w:iCs/>
          <w:sz w:val="20"/>
        </w:rPr>
        <w:t>Adoption of new and revised Standards</w:t>
      </w:r>
    </w:p>
    <w:p w:rsidR="009B6870" w:rsidRPr="00FF3AB4" w:rsidRDefault="009B6870" w:rsidP="00BA75C4">
      <w:pPr>
        <w:autoSpaceDE w:val="0"/>
        <w:autoSpaceDN w:val="0"/>
        <w:adjustRightInd w:val="0"/>
        <w:ind w:left="284"/>
        <w:rPr>
          <w:rFonts w:ascii="Times New Roman" w:hAnsi="Times New Roman"/>
          <w:color w:val="000000"/>
          <w:sz w:val="20"/>
          <w:szCs w:val="20"/>
        </w:rPr>
      </w:pPr>
      <w:r w:rsidRPr="00FF3AB4">
        <w:rPr>
          <w:rFonts w:ascii="Times New Roman" w:hAnsi="Times New Roman"/>
          <w:color w:val="000000"/>
          <w:sz w:val="20"/>
          <w:szCs w:val="20"/>
        </w:rPr>
        <w:t>The following standards, amendments and interpretations which are effective for the financial year</w:t>
      </w:r>
      <w:r>
        <w:rPr>
          <w:rFonts w:ascii="Times New Roman" w:hAnsi="Times New Roman"/>
          <w:color w:val="000000"/>
          <w:sz w:val="20"/>
          <w:szCs w:val="20"/>
        </w:rPr>
        <w:t xml:space="preserve"> </w:t>
      </w:r>
      <w:r w:rsidRPr="00FF3AB4">
        <w:rPr>
          <w:rFonts w:ascii="Times New Roman" w:hAnsi="Times New Roman"/>
          <w:color w:val="000000"/>
          <w:sz w:val="20"/>
          <w:szCs w:val="20"/>
        </w:rPr>
        <w:t>beginning 1 January 201</w:t>
      </w:r>
      <w:r w:rsidR="00053155">
        <w:rPr>
          <w:rFonts w:ascii="Times New Roman" w:hAnsi="Times New Roman"/>
          <w:color w:val="000000"/>
          <w:sz w:val="20"/>
          <w:szCs w:val="20"/>
        </w:rPr>
        <w:t>8</w:t>
      </w:r>
      <w:r w:rsidRPr="00FF3AB4">
        <w:rPr>
          <w:rFonts w:ascii="Times New Roman" w:hAnsi="Times New Roman"/>
          <w:color w:val="000000"/>
          <w:sz w:val="20"/>
          <w:szCs w:val="20"/>
        </w:rPr>
        <w:t xml:space="preserve"> are material to the Company</w:t>
      </w:r>
      <w:r>
        <w:rPr>
          <w:rFonts w:ascii="Calibri" w:hAnsi="Calibri" w:cs="Calibri"/>
          <w:color w:val="000000"/>
          <w:sz w:val="19"/>
          <w:szCs w:val="19"/>
          <w:lang w:eastAsia="en-GB"/>
        </w:rPr>
        <w:t>:</w:t>
      </w:r>
    </w:p>
    <w:p w:rsidR="009B6870" w:rsidRDefault="009B6870" w:rsidP="009B6870">
      <w:pPr>
        <w:autoSpaceDE w:val="0"/>
        <w:autoSpaceDN w:val="0"/>
        <w:adjustRightInd w:val="0"/>
        <w:jc w:val="right"/>
        <w:rPr>
          <w:rFonts w:ascii="Calibri" w:hAnsi="Calibri" w:cs="Calibri"/>
          <w:color w:val="000000"/>
          <w:sz w:val="19"/>
          <w:szCs w:val="19"/>
          <w:lang w:eastAsia="en-GB"/>
        </w:rPr>
      </w:pPr>
    </w:p>
    <w:p w:rsidR="00053155" w:rsidRPr="00585D7A" w:rsidRDefault="00053155" w:rsidP="00E54387">
      <w:pPr>
        <w:pStyle w:val="ListParagraph"/>
        <w:numPr>
          <w:ilvl w:val="0"/>
          <w:numId w:val="29"/>
        </w:numPr>
        <w:autoSpaceDE w:val="0"/>
        <w:autoSpaceDN w:val="0"/>
        <w:adjustRightInd w:val="0"/>
        <w:ind w:hanging="77"/>
        <w:jc w:val="both"/>
        <w:rPr>
          <w:rFonts w:ascii="Times New Roman" w:hAnsi="Times New Roman"/>
          <w:sz w:val="20"/>
        </w:rPr>
      </w:pPr>
      <w:r w:rsidRPr="00585D7A">
        <w:rPr>
          <w:rFonts w:ascii="Times New Roman" w:hAnsi="Times New Roman"/>
          <w:sz w:val="20"/>
        </w:rPr>
        <w:t>IFRS 9 Financial Instruments (Effective date for periods beginning on or after 1 January 2018)</w:t>
      </w:r>
    </w:p>
    <w:p w:rsidR="00053155" w:rsidRDefault="00053155">
      <w:pPr>
        <w:autoSpaceDE w:val="0"/>
        <w:autoSpaceDN w:val="0"/>
        <w:adjustRightInd w:val="0"/>
        <w:ind w:left="644"/>
        <w:jc w:val="both"/>
        <w:rPr>
          <w:rFonts w:ascii="Times New Roman" w:hAnsi="Times New Roman"/>
          <w:sz w:val="20"/>
        </w:rPr>
      </w:pPr>
      <w:r w:rsidRPr="00CB55F4">
        <w:rPr>
          <w:rFonts w:ascii="Times New Roman" w:hAnsi="Times New Roman"/>
          <w:sz w:val="20"/>
        </w:rPr>
        <w:t xml:space="preserve">IFRS 9 deals with classification and measurement of financial assets and its requirements represent a significant change from the existing requirements in IAS 39 in respect of financial assets: amortised cost and fair value. Financial assets are measured at amortised cost when the business model is to hold assets in order to collect contractual cash </w:t>
      </w:r>
    </w:p>
    <w:p w:rsidR="00053155" w:rsidRPr="00252FB0" w:rsidRDefault="00053155" w:rsidP="00053155">
      <w:pPr>
        <w:pStyle w:val="Heading2"/>
        <w:tabs>
          <w:tab w:val="right" w:pos="8222"/>
        </w:tabs>
        <w:rPr>
          <w:rFonts w:ascii="Times New Roman" w:hAnsi="Times New Roman"/>
        </w:rPr>
      </w:pPr>
      <w:r w:rsidRPr="009170B8">
        <w:rPr>
          <w:rFonts w:ascii="Times New Roman" w:hAnsi="Times New Roman"/>
        </w:rPr>
        <w:t xml:space="preserve">Notes to the </w:t>
      </w:r>
      <w:r w:rsidRPr="00252FB0">
        <w:rPr>
          <w:rFonts w:ascii="Times New Roman" w:hAnsi="Times New Roman"/>
        </w:rPr>
        <w:t xml:space="preserve">Financial Statements </w:t>
      </w:r>
      <w:r>
        <w:rPr>
          <w:rFonts w:ascii="Times New Roman" w:hAnsi="Times New Roman"/>
        </w:rPr>
        <w:t>of the Fund (continued)</w:t>
      </w:r>
    </w:p>
    <w:p w:rsidR="00053155" w:rsidRDefault="00053155" w:rsidP="00053155">
      <w:pPr>
        <w:pStyle w:val="Heading3"/>
        <w:rPr>
          <w:rFonts w:ascii="Times New Roman" w:hAnsi="Times New Roman"/>
        </w:rPr>
      </w:pPr>
      <w:r w:rsidRPr="00252FB0">
        <w:rPr>
          <w:rFonts w:ascii="Times New Roman" w:hAnsi="Times New Roman"/>
        </w:rPr>
        <w:t>For the year ended 31 December 201</w:t>
      </w:r>
      <w:r>
        <w:rPr>
          <w:rFonts w:ascii="Times New Roman" w:hAnsi="Times New Roman"/>
        </w:rPr>
        <w:t>8</w:t>
      </w:r>
    </w:p>
    <w:p w:rsidR="00053155" w:rsidRPr="00D22C00" w:rsidRDefault="00053155" w:rsidP="00053155"/>
    <w:p w:rsidR="00053155" w:rsidRPr="00D22C00" w:rsidRDefault="00053155" w:rsidP="00053155">
      <w:pPr>
        <w:ind w:left="284" w:hanging="284"/>
        <w:jc w:val="both"/>
        <w:rPr>
          <w:rFonts w:ascii="Times New Roman" w:hAnsi="Times New Roman"/>
          <w:sz w:val="20"/>
        </w:rPr>
      </w:pPr>
      <w:r w:rsidRPr="009170B8">
        <w:rPr>
          <w:rFonts w:ascii="Times New Roman" w:hAnsi="Times New Roman"/>
          <w:b/>
          <w:bCs/>
          <w:sz w:val="20"/>
        </w:rPr>
        <w:t>2.</w:t>
      </w:r>
      <w:r w:rsidRPr="009170B8">
        <w:rPr>
          <w:rFonts w:ascii="Times New Roman" w:hAnsi="Times New Roman"/>
          <w:b/>
          <w:bCs/>
          <w:sz w:val="20"/>
        </w:rPr>
        <w:tab/>
      </w:r>
      <w:r>
        <w:rPr>
          <w:rFonts w:ascii="Times New Roman" w:hAnsi="Times New Roman"/>
          <w:b/>
          <w:bCs/>
          <w:sz w:val="20"/>
        </w:rPr>
        <w:t xml:space="preserve">Principal </w:t>
      </w:r>
      <w:r w:rsidRPr="009170B8">
        <w:rPr>
          <w:rFonts w:ascii="Times New Roman" w:hAnsi="Times New Roman"/>
          <w:b/>
          <w:bCs/>
          <w:sz w:val="20"/>
        </w:rPr>
        <w:t>Accounting Policies</w:t>
      </w:r>
      <w:r>
        <w:rPr>
          <w:rFonts w:ascii="Times New Roman" w:hAnsi="Times New Roman"/>
          <w:sz w:val="20"/>
        </w:rPr>
        <w:t xml:space="preserve"> </w:t>
      </w:r>
      <w:r w:rsidRPr="00D22C00">
        <w:rPr>
          <w:rFonts w:ascii="Times New Roman" w:hAnsi="Times New Roman"/>
          <w:b/>
          <w:sz w:val="20"/>
        </w:rPr>
        <w:t>(continued)</w:t>
      </w:r>
    </w:p>
    <w:p w:rsidR="00053155" w:rsidRPr="00D22C00" w:rsidRDefault="00053155" w:rsidP="00053155">
      <w:pPr>
        <w:pStyle w:val="ListParagraph"/>
        <w:jc w:val="both"/>
        <w:rPr>
          <w:rFonts w:ascii="Times New Roman" w:hAnsi="Times New Roman"/>
          <w:sz w:val="20"/>
        </w:rPr>
      </w:pPr>
    </w:p>
    <w:p w:rsidR="00053155" w:rsidRPr="00E5676A" w:rsidRDefault="00053155" w:rsidP="00053155">
      <w:pPr>
        <w:ind w:left="284" w:hanging="284"/>
        <w:jc w:val="both"/>
        <w:rPr>
          <w:rFonts w:ascii="Times New Roman" w:hAnsi="Times New Roman"/>
          <w:b/>
          <w:sz w:val="20"/>
          <w:szCs w:val="20"/>
        </w:rPr>
      </w:pPr>
      <w:r>
        <w:rPr>
          <w:rFonts w:ascii="Times New Roman" w:hAnsi="Times New Roman"/>
          <w:b/>
          <w:sz w:val="20"/>
          <w:szCs w:val="20"/>
        </w:rPr>
        <w:t xml:space="preserve">a. </w:t>
      </w:r>
      <w:r>
        <w:rPr>
          <w:rFonts w:ascii="Times New Roman" w:hAnsi="Times New Roman"/>
          <w:b/>
          <w:sz w:val="20"/>
          <w:szCs w:val="20"/>
        </w:rPr>
        <w:tab/>
      </w:r>
      <w:r w:rsidRPr="00173383">
        <w:rPr>
          <w:rFonts w:ascii="Times New Roman" w:hAnsi="Times New Roman"/>
          <w:b/>
          <w:sz w:val="20"/>
          <w:szCs w:val="20"/>
        </w:rPr>
        <w:t>Basis of preparation (continued)</w:t>
      </w:r>
    </w:p>
    <w:p w:rsidR="00053155" w:rsidRDefault="00053155" w:rsidP="00053155">
      <w:pPr>
        <w:autoSpaceDE w:val="0"/>
        <w:autoSpaceDN w:val="0"/>
        <w:adjustRightInd w:val="0"/>
        <w:ind w:left="644"/>
        <w:jc w:val="both"/>
        <w:rPr>
          <w:rFonts w:ascii="Times New Roman" w:hAnsi="Times New Roman"/>
          <w:sz w:val="20"/>
        </w:rPr>
      </w:pPr>
    </w:p>
    <w:p w:rsidR="00053155" w:rsidRDefault="00053155" w:rsidP="00053155">
      <w:pPr>
        <w:autoSpaceDE w:val="0"/>
        <w:autoSpaceDN w:val="0"/>
        <w:adjustRightInd w:val="0"/>
        <w:ind w:firstLine="284"/>
        <w:jc w:val="both"/>
        <w:rPr>
          <w:rFonts w:ascii="Times New Roman" w:hAnsi="Times New Roman"/>
          <w:sz w:val="20"/>
        </w:rPr>
      </w:pPr>
      <w:r w:rsidRPr="00123166">
        <w:rPr>
          <w:rFonts w:ascii="Times New Roman" w:hAnsi="Times New Roman"/>
          <w:i/>
          <w:iCs/>
          <w:sz w:val="20"/>
        </w:rPr>
        <w:t>Adoption of new and revised Standards</w:t>
      </w:r>
      <w:r>
        <w:rPr>
          <w:rFonts w:ascii="Times New Roman" w:hAnsi="Times New Roman"/>
          <w:i/>
          <w:iCs/>
          <w:sz w:val="20"/>
        </w:rPr>
        <w:t xml:space="preserve"> (continued)</w:t>
      </w:r>
    </w:p>
    <w:p w:rsidR="00053155" w:rsidRDefault="00053155" w:rsidP="00053155">
      <w:pPr>
        <w:autoSpaceDE w:val="0"/>
        <w:autoSpaceDN w:val="0"/>
        <w:adjustRightInd w:val="0"/>
        <w:ind w:left="644"/>
        <w:jc w:val="both"/>
        <w:rPr>
          <w:rFonts w:ascii="Times New Roman" w:hAnsi="Times New Roman"/>
          <w:sz w:val="20"/>
        </w:rPr>
      </w:pPr>
    </w:p>
    <w:p w:rsidR="00053155" w:rsidRDefault="00053155" w:rsidP="00053155">
      <w:pPr>
        <w:autoSpaceDE w:val="0"/>
        <w:autoSpaceDN w:val="0"/>
        <w:adjustRightInd w:val="0"/>
        <w:ind w:left="644"/>
        <w:jc w:val="both"/>
        <w:rPr>
          <w:rFonts w:ascii="Times New Roman" w:hAnsi="Times New Roman"/>
          <w:sz w:val="20"/>
        </w:rPr>
      </w:pPr>
      <w:r w:rsidRPr="00CB55F4">
        <w:rPr>
          <w:rFonts w:ascii="Times New Roman" w:hAnsi="Times New Roman"/>
          <w:sz w:val="20"/>
        </w:rPr>
        <w:t>flows. All other</w:t>
      </w:r>
      <w:r>
        <w:rPr>
          <w:rFonts w:ascii="Times New Roman" w:hAnsi="Times New Roman"/>
          <w:sz w:val="20"/>
        </w:rPr>
        <w:t xml:space="preserve"> </w:t>
      </w:r>
      <w:r w:rsidRPr="00CB55F4">
        <w:rPr>
          <w:rFonts w:ascii="Times New Roman" w:hAnsi="Times New Roman"/>
          <w:sz w:val="20"/>
        </w:rPr>
        <w:t xml:space="preserve">financial assets are measured at fair value with changes recognised in profit or loss. For an investment in an equity instrument that is not held for trading, an entity may on initial recognition elect to present all fair value changes from the investment in other comprehensive income. IFRS 9 </w:t>
      </w:r>
      <w:r w:rsidR="00BB783A">
        <w:rPr>
          <w:rFonts w:ascii="Times New Roman" w:hAnsi="Times New Roman"/>
          <w:sz w:val="20"/>
        </w:rPr>
        <w:t>has been</w:t>
      </w:r>
      <w:r w:rsidRPr="00CB55F4">
        <w:rPr>
          <w:rFonts w:ascii="Times New Roman" w:hAnsi="Times New Roman"/>
          <w:sz w:val="20"/>
        </w:rPr>
        <w:t xml:space="preserve"> applied retrospectively, subject to certain </w:t>
      </w:r>
      <w:r w:rsidRPr="00961DC0">
        <w:rPr>
          <w:rFonts w:ascii="Times New Roman" w:hAnsi="Times New Roman"/>
          <w:sz w:val="20"/>
        </w:rPr>
        <w:t xml:space="preserve">transitional provisions. The standard </w:t>
      </w:r>
      <w:r>
        <w:rPr>
          <w:rFonts w:ascii="Times New Roman" w:hAnsi="Times New Roman"/>
          <w:sz w:val="20"/>
        </w:rPr>
        <w:t>d</w:t>
      </w:r>
      <w:r w:rsidR="00B9048C">
        <w:rPr>
          <w:rFonts w:ascii="Times New Roman" w:hAnsi="Times New Roman"/>
          <w:sz w:val="20"/>
        </w:rPr>
        <w:t>id</w:t>
      </w:r>
      <w:r>
        <w:rPr>
          <w:rFonts w:ascii="Times New Roman" w:hAnsi="Times New Roman"/>
          <w:sz w:val="20"/>
        </w:rPr>
        <w:t xml:space="preserve"> not</w:t>
      </w:r>
      <w:r w:rsidRPr="00961DC0">
        <w:rPr>
          <w:rFonts w:ascii="Times New Roman" w:hAnsi="Times New Roman"/>
          <w:sz w:val="20"/>
        </w:rPr>
        <w:t xml:space="preserve"> have a significant impact on the </w:t>
      </w:r>
      <w:r>
        <w:rPr>
          <w:rFonts w:ascii="Times New Roman" w:hAnsi="Times New Roman"/>
          <w:sz w:val="20"/>
        </w:rPr>
        <w:t>F</w:t>
      </w:r>
      <w:r w:rsidRPr="00961DC0">
        <w:rPr>
          <w:rFonts w:ascii="Times New Roman" w:hAnsi="Times New Roman"/>
          <w:sz w:val="20"/>
        </w:rPr>
        <w:t xml:space="preserve">inancial </w:t>
      </w:r>
      <w:r>
        <w:rPr>
          <w:rFonts w:ascii="Times New Roman" w:hAnsi="Times New Roman"/>
          <w:sz w:val="20"/>
        </w:rPr>
        <w:t>S</w:t>
      </w:r>
      <w:r w:rsidRPr="00961DC0">
        <w:rPr>
          <w:rFonts w:ascii="Times New Roman" w:hAnsi="Times New Roman"/>
          <w:sz w:val="20"/>
        </w:rPr>
        <w:t>tatements since</w:t>
      </w:r>
      <w:r w:rsidR="0069096F">
        <w:rPr>
          <w:rFonts w:ascii="Times New Roman" w:hAnsi="Times New Roman"/>
          <w:sz w:val="20"/>
        </w:rPr>
        <w:t>:</w:t>
      </w:r>
    </w:p>
    <w:p w:rsidR="0069096F" w:rsidRDefault="0069096F" w:rsidP="00053155">
      <w:pPr>
        <w:autoSpaceDE w:val="0"/>
        <w:autoSpaceDN w:val="0"/>
        <w:adjustRightInd w:val="0"/>
        <w:ind w:left="644"/>
        <w:jc w:val="both"/>
        <w:rPr>
          <w:rFonts w:ascii="Times New Roman" w:hAnsi="Times New Roman"/>
          <w:sz w:val="20"/>
        </w:rPr>
      </w:pPr>
    </w:p>
    <w:p w:rsidR="0069096F" w:rsidRPr="00AC5183" w:rsidRDefault="0069096F" w:rsidP="00E54387">
      <w:pPr>
        <w:pStyle w:val="ListParagraph"/>
        <w:numPr>
          <w:ilvl w:val="0"/>
          <w:numId w:val="57"/>
        </w:numPr>
        <w:autoSpaceDE w:val="0"/>
        <w:autoSpaceDN w:val="0"/>
        <w:adjustRightInd w:val="0"/>
        <w:ind w:left="993"/>
        <w:jc w:val="both"/>
        <w:rPr>
          <w:rFonts w:ascii="Times New Roman" w:hAnsi="Times New Roman"/>
          <w:sz w:val="20"/>
          <w:szCs w:val="20"/>
        </w:rPr>
      </w:pPr>
      <w:r w:rsidRPr="00AC5183">
        <w:rPr>
          <w:rFonts w:ascii="Times New Roman" w:hAnsi="Times New Roman"/>
          <w:sz w:val="20"/>
          <w:szCs w:val="20"/>
        </w:rPr>
        <w:t>Investments and derivative contracts continue to be classified as fair value through profit or loss, consistent with</w:t>
      </w:r>
    </w:p>
    <w:p w:rsidR="0069096F" w:rsidRPr="00AC5183" w:rsidRDefault="0069096F" w:rsidP="00E54387">
      <w:pPr>
        <w:autoSpaceDE w:val="0"/>
        <w:autoSpaceDN w:val="0"/>
        <w:adjustRightInd w:val="0"/>
        <w:ind w:left="993"/>
        <w:jc w:val="both"/>
        <w:rPr>
          <w:rFonts w:ascii="Times New Roman" w:hAnsi="Times New Roman"/>
          <w:sz w:val="20"/>
          <w:szCs w:val="20"/>
          <w:lang w:eastAsia="en-GB"/>
        </w:rPr>
      </w:pPr>
      <w:r w:rsidRPr="00AC5183">
        <w:rPr>
          <w:rFonts w:ascii="Times New Roman" w:hAnsi="Times New Roman"/>
          <w:sz w:val="20"/>
          <w:szCs w:val="20"/>
          <w:lang w:eastAsia="en-GB"/>
        </w:rPr>
        <w:t>IAS 39;</w:t>
      </w:r>
    </w:p>
    <w:p w:rsidR="0069096F" w:rsidRPr="00AC5183" w:rsidRDefault="0069096F" w:rsidP="00E54387">
      <w:pPr>
        <w:pStyle w:val="ListParagraph"/>
        <w:numPr>
          <w:ilvl w:val="0"/>
          <w:numId w:val="57"/>
        </w:numPr>
        <w:autoSpaceDE w:val="0"/>
        <w:autoSpaceDN w:val="0"/>
        <w:adjustRightInd w:val="0"/>
        <w:ind w:left="993"/>
        <w:jc w:val="both"/>
        <w:rPr>
          <w:rFonts w:ascii="Times New Roman" w:hAnsi="Times New Roman"/>
          <w:sz w:val="20"/>
          <w:szCs w:val="20"/>
        </w:rPr>
      </w:pPr>
      <w:r w:rsidRPr="00AC5183">
        <w:rPr>
          <w:rFonts w:ascii="Times New Roman" w:hAnsi="Times New Roman"/>
          <w:sz w:val="20"/>
          <w:szCs w:val="20"/>
        </w:rPr>
        <w:t>Due to and from brokers, loans payable, accrued income, receivables and payables continue to be classified at</w:t>
      </w:r>
    </w:p>
    <w:p w:rsidR="0069096F" w:rsidRPr="00AC5183" w:rsidRDefault="0069096F" w:rsidP="00E54387">
      <w:pPr>
        <w:autoSpaceDE w:val="0"/>
        <w:autoSpaceDN w:val="0"/>
        <w:adjustRightInd w:val="0"/>
        <w:ind w:left="993"/>
        <w:jc w:val="both"/>
        <w:rPr>
          <w:rFonts w:ascii="Times New Roman" w:hAnsi="Times New Roman"/>
          <w:sz w:val="20"/>
          <w:szCs w:val="20"/>
          <w:lang w:eastAsia="en-GB"/>
        </w:rPr>
      </w:pPr>
      <w:r w:rsidRPr="00AC5183">
        <w:rPr>
          <w:rFonts w:ascii="Times New Roman" w:hAnsi="Times New Roman"/>
          <w:sz w:val="20"/>
          <w:szCs w:val="20"/>
          <w:lang w:eastAsia="en-GB"/>
        </w:rPr>
        <w:t>amortised cost, consistent with IAS 39;</w:t>
      </w:r>
    </w:p>
    <w:p w:rsidR="0069096F" w:rsidRPr="00AC5183" w:rsidRDefault="0069096F" w:rsidP="00E54387">
      <w:pPr>
        <w:pStyle w:val="ListParagraph"/>
        <w:numPr>
          <w:ilvl w:val="0"/>
          <w:numId w:val="57"/>
        </w:numPr>
        <w:autoSpaceDE w:val="0"/>
        <w:autoSpaceDN w:val="0"/>
        <w:adjustRightInd w:val="0"/>
        <w:ind w:left="993"/>
        <w:jc w:val="both"/>
        <w:rPr>
          <w:rFonts w:ascii="Times New Roman" w:hAnsi="Times New Roman"/>
          <w:sz w:val="20"/>
          <w:szCs w:val="20"/>
        </w:rPr>
      </w:pPr>
      <w:r w:rsidRPr="00AC5183">
        <w:rPr>
          <w:rFonts w:ascii="Times New Roman" w:hAnsi="Times New Roman"/>
          <w:sz w:val="20"/>
          <w:szCs w:val="20"/>
        </w:rPr>
        <w:t>No impairment losses resulted from applying the “Expected Credit Losses” (“ECLs”) model of IFRS 9 compared</w:t>
      </w:r>
    </w:p>
    <w:p w:rsidR="0069096F" w:rsidRPr="00AC5183" w:rsidRDefault="0069096F" w:rsidP="00E54387">
      <w:pPr>
        <w:autoSpaceDE w:val="0"/>
        <w:autoSpaceDN w:val="0"/>
        <w:adjustRightInd w:val="0"/>
        <w:ind w:left="993"/>
        <w:jc w:val="both"/>
        <w:rPr>
          <w:rFonts w:ascii="Times New Roman" w:hAnsi="Times New Roman"/>
          <w:sz w:val="20"/>
          <w:szCs w:val="20"/>
          <w:lang w:eastAsia="en-GB"/>
        </w:rPr>
      </w:pPr>
      <w:r w:rsidRPr="00AC5183">
        <w:rPr>
          <w:rFonts w:ascii="Times New Roman" w:hAnsi="Times New Roman"/>
          <w:sz w:val="20"/>
          <w:szCs w:val="20"/>
          <w:lang w:eastAsia="en-GB"/>
        </w:rPr>
        <w:t>to the IAS 39 “Impaired Loss” model; and</w:t>
      </w:r>
    </w:p>
    <w:p w:rsidR="0069096F" w:rsidRPr="00AC5183" w:rsidRDefault="0069096F">
      <w:pPr>
        <w:pStyle w:val="ListParagraph"/>
        <w:numPr>
          <w:ilvl w:val="0"/>
          <w:numId w:val="57"/>
        </w:numPr>
        <w:autoSpaceDE w:val="0"/>
        <w:autoSpaceDN w:val="0"/>
        <w:adjustRightInd w:val="0"/>
        <w:ind w:left="993"/>
        <w:jc w:val="both"/>
        <w:rPr>
          <w:rFonts w:ascii="Times New Roman" w:hAnsi="Times New Roman"/>
          <w:sz w:val="20"/>
          <w:szCs w:val="20"/>
        </w:rPr>
      </w:pPr>
      <w:r w:rsidRPr="00AC5183">
        <w:rPr>
          <w:rFonts w:ascii="Times New Roman" w:hAnsi="Times New Roman"/>
          <w:sz w:val="20"/>
          <w:szCs w:val="20"/>
        </w:rPr>
        <w:t>hedge accounting is not applied.</w:t>
      </w:r>
    </w:p>
    <w:p w:rsidR="00053155" w:rsidRDefault="00053155" w:rsidP="009B6870">
      <w:pPr>
        <w:pStyle w:val="Heading2"/>
        <w:tabs>
          <w:tab w:val="right" w:pos="8222"/>
        </w:tabs>
        <w:rPr>
          <w:rFonts w:ascii="Times New Roman" w:hAnsi="Times New Roman"/>
          <w:strike/>
          <w:sz w:val="20"/>
        </w:rPr>
      </w:pPr>
    </w:p>
    <w:p w:rsidR="00DA5E13" w:rsidRDefault="00DA5E13" w:rsidP="00180734">
      <w:pPr>
        <w:autoSpaceDE w:val="0"/>
        <w:autoSpaceDN w:val="0"/>
        <w:adjustRightInd w:val="0"/>
        <w:ind w:left="709"/>
        <w:jc w:val="both"/>
        <w:rPr>
          <w:rFonts w:ascii="Times New Roman" w:hAnsi="Times New Roman"/>
          <w:color w:val="000000"/>
          <w:sz w:val="20"/>
          <w:szCs w:val="20"/>
        </w:rPr>
      </w:pPr>
      <w:r w:rsidRPr="00AC5183">
        <w:rPr>
          <w:rFonts w:ascii="Times New Roman" w:hAnsi="Times New Roman"/>
          <w:color w:val="000000"/>
          <w:sz w:val="20"/>
          <w:szCs w:val="20"/>
        </w:rPr>
        <w:t>The Fund applies the simplified approach to measuring expected credit losses, as permitted by IFRS 9, which uses a 12</w:t>
      </w:r>
      <w:r w:rsidR="00342E27">
        <w:rPr>
          <w:rFonts w:ascii="Times New Roman" w:hAnsi="Times New Roman"/>
          <w:color w:val="000000"/>
          <w:sz w:val="20"/>
          <w:szCs w:val="20"/>
        </w:rPr>
        <w:t xml:space="preserve"> </w:t>
      </w:r>
      <w:r w:rsidRPr="00AC5183">
        <w:rPr>
          <w:rFonts w:ascii="Times New Roman" w:hAnsi="Times New Roman"/>
          <w:color w:val="000000"/>
          <w:sz w:val="20"/>
          <w:szCs w:val="20"/>
        </w:rPr>
        <w:t xml:space="preserve">month expected loss allowance for all trade receivables. The </w:t>
      </w:r>
      <w:r w:rsidR="00AA6147">
        <w:rPr>
          <w:rFonts w:ascii="Times New Roman" w:hAnsi="Times New Roman"/>
          <w:color w:val="000000"/>
          <w:sz w:val="20"/>
          <w:szCs w:val="20"/>
        </w:rPr>
        <w:t>C</w:t>
      </w:r>
      <w:r w:rsidRPr="00AC5183">
        <w:rPr>
          <w:rFonts w:ascii="Times New Roman" w:hAnsi="Times New Roman"/>
          <w:color w:val="000000"/>
          <w:sz w:val="20"/>
          <w:szCs w:val="20"/>
        </w:rPr>
        <w:t xml:space="preserve">ompany has completed a high-level analysis </w:t>
      </w:r>
      <w:r w:rsidR="00180734">
        <w:rPr>
          <w:rFonts w:ascii="Times New Roman" w:hAnsi="Times New Roman"/>
          <w:color w:val="000000"/>
          <w:sz w:val="20"/>
          <w:szCs w:val="20"/>
        </w:rPr>
        <w:t xml:space="preserve">as </w:t>
      </w:r>
      <w:r w:rsidRPr="00AC5183">
        <w:rPr>
          <w:rFonts w:ascii="Times New Roman" w:hAnsi="Times New Roman"/>
          <w:color w:val="000000"/>
          <w:sz w:val="20"/>
          <w:szCs w:val="20"/>
        </w:rPr>
        <w:t>and as credit risk</w:t>
      </w:r>
      <w:r w:rsidR="0062275C">
        <w:rPr>
          <w:rFonts w:ascii="Times New Roman" w:hAnsi="Times New Roman"/>
          <w:color w:val="000000"/>
          <w:sz w:val="20"/>
          <w:szCs w:val="20"/>
        </w:rPr>
        <w:t xml:space="preserve"> </w:t>
      </w:r>
      <w:r w:rsidRPr="00AC5183">
        <w:rPr>
          <w:rFonts w:ascii="Times New Roman" w:hAnsi="Times New Roman"/>
          <w:color w:val="000000"/>
          <w:sz w:val="20"/>
          <w:szCs w:val="20"/>
        </w:rPr>
        <w:t>is limited, the expected credit loss on trade receivables will not be material</w:t>
      </w:r>
      <w:r>
        <w:rPr>
          <w:rFonts w:ascii="Times New Roman" w:hAnsi="Times New Roman"/>
          <w:color w:val="000000"/>
          <w:sz w:val="20"/>
          <w:szCs w:val="20"/>
        </w:rPr>
        <w:t xml:space="preserve"> </w:t>
      </w:r>
      <w:r w:rsidRPr="00AC5183">
        <w:rPr>
          <w:rFonts w:ascii="Times New Roman" w:hAnsi="Times New Roman"/>
          <w:color w:val="000000"/>
          <w:sz w:val="20"/>
          <w:szCs w:val="20"/>
        </w:rPr>
        <w:t>and therefore no impairment adjustments were accounted for</w:t>
      </w:r>
      <w:r w:rsidR="00180734">
        <w:rPr>
          <w:rFonts w:ascii="Times New Roman" w:hAnsi="Times New Roman"/>
          <w:color w:val="000000"/>
          <w:sz w:val="20"/>
          <w:szCs w:val="20"/>
        </w:rPr>
        <w:t xml:space="preserve"> the year ended 31 December 2017 and 31 December 2018.</w:t>
      </w:r>
    </w:p>
    <w:p w:rsidR="00DA5E13" w:rsidRDefault="00DA5E13" w:rsidP="00180734">
      <w:pPr>
        <w:autoSpaceDE w:val="0"/>
        <w:autoSpaceDN w:val="0"/>
        <w:adjustRightInd w:val="0"/>
        <w:ind w:left="709"/>
        <w:jc w:val="both"/>
        <w:rPr>
          <w:rFonts w:ascii="Times New Roman" w:hAnsi="Times New Roman"/>
          <w:color w:val="000000"/>
          <w:sz w:val="20"/>
          <w:szCs w:val="20"/>
        </w:rPr>
      </w:pPr>
    </w:p>
    <w:p w:rsidR="00DA5E13" w:rsidRPr="00585D7A" w:rsidRDefault="007A0336" w:rsidP="00E54387">
      <w:pPr>
        <w:pStyle w:val="ListParagraph"/>
        <w:autoSpaceDE w:val="0"/>
        <w:autoSpaceDN w:val="0"/>
        <w:adjustRightInd w:val="0"/>
        <w:ind w:left="851"/>
        <w:jc w:val="both"/>
        <w:rPr>
          <w:rFonts w:ascii="Times New Roman" w:hAnsi="Times New Roman"/>
          <w:sz w:val="20"/>
        </w:rPr>
      </w:pPr>
      <w:r>
        <w:rPr>
          <w:rFonts w:ascii="Times New Roman" w:hAnsi="Times New Roman"/>
          <w:sz w:val="20"/>
        </w:rPr>
        <w:t xml:space="preserve">- </w:t>
      </w:r>
      <w:r w:rsidR="00DA5E13" w:rsidRPr="00585D7A">
        <w:rPr>
          <w:rFonts w:ascii="Times New Roman" w:hAnsi="Times New Roman"/>
          <w:sz w:val="20"/>
        </w:rPr>
        <w:t xml:space="preserve">IFRS </w:t>
      </w:r>
      <w:r w:rsidR="00DA5E13" w:rsidRPr="00AC5183">
        <w:rPr>
          <w:rFonts w:ascii="Times New Roman" w:eastAsia="Times New Roman" w:hAnsi="Times New Roman"/>
          <w:color w:val="000000"/>
          <w:sz w:val="20"/>
          <w:szCs w:val="20"/>
          <w:lang w:eastAsia="en-US"/>
        </w:rPr>
        <w:t>15 Revenue from Contracts with Customers</w:t>
      </w:r>
      <w:r w:rsidR="00DA5E13" w:rsidRPr="00585D7A">
        <w:rPr>
          <w:rFonts w:ascii="Times New Roman" w:hAnsi="Times New Roman"/>
          <w:sz w:val="20"/>
        </w:rPr>
        <w:t xml:space="preserve"> (Effective date for periods beginning on or after 1 January 2018)</w:t>
      </w:r>
    </w:p>
    <w:p w:rsidR="00DA5E13" w:rsidRDefault="00DA5E13" w:rsidP="007A0336">
      <w:pPr>
        <w:autoSpaceDE w:val="0"/>
        <w:autoSpaceDN w:val="0"/>
        <w:adjustRightInd w:val="0"/>
        <w:ind w:left="851"/>
        <w:jc w:val="both"/>
        <w:rPr>
          <w:rFonts w:ascii="Times New Roman" w:hAnsi="Times New Roman"/>
          <w:color w:val="000000"/>
          <w:sz w:val="20"/>
          <w:szCs w:val="20"/>
        </w:rPr>
      </w:pPr>
      <w:r w:rsidRPr="00AC5183">
        <w:rPr>
          <w:rFonts w:ascii="Times New Roman" w:hAnsi="Times New Roman"/>
          <w:color w:val="000000"/>
          <w:sz w:val="20"/>
          <w:szCs w:val="20"/>
        </w:rPr>
        <w:t>IFRS 15 was endorsed on 22 September 2016 and is effective for accounting periods beginning on or after 1 January 2018. The objective of IFRS 15 is to establish the principles that an entity shall apply to report useful information to users of financial statements about the nature, amount, timing and uncertainty of revenue and cash flows arising from a contract with a customer. A five-step model framework is adopted to recognise revenue based on the amount of consideration to which the entity expects to be entitled to in exchange for goods or services promised to customers.</w:t>
      </w:r>
    </w:p>
    <w:p w:rsidR="00DA5E13" w:rsidRDefault="00DA5E13" w:rsidP="007A0336">
      <w:pPr>
        <w:autoSpaceDE w:val="0"/>
        <w:autoSpaceDN w:val="0"/>
        <w:adjustRightInd w:val="0"/>
        <w:ind w:left="851"/>
        <w:jc w:val="both"/>
        <w:rPr>
          <w:rFonts w:ascii="Times New Roman" w:hAnsi="Times New Roman"/>
          <w:color w:val="000000"/>
          <w:sz w:val="20"/>
          <w:szCs w:val="20"/>
        </w:rPr>
      </w:pPr>
    </w:p>
    <w:p w:rsidR="00DA5E13" w:rsidRDefault="00DA5E13" w:rsidP="007A0336">
      <w:pPr>
        <w:autoSpaceDE w:val="0"/>
        <w:autoSpaceDN w:val="0"/>
        <w:adjustRightInd w:val="0"/>
        <w:ind w:left="851"/>
        <w:jc w:val="both"/>
        <w:rPr>
          <w:rFonts w:ascii="Times New Roman" w:hAnsi="Times New Roman"/>
          <w:color w:val="000000"/>
          <w:sz w:val="20"/>
          <w:szCs w:val="20"/>
        </w:rPr>
      </w:pPr>
      <w:r w:rsidRPr="00AC5183">
        <w:rPr>
          <w:rFonts w:ascii="Times New Roman" w:hAnsi="Times New Roman"/>
          <w:color w:val="000000"/>
          <w:sz w:val="20"/>
          <w:szCs w:val="20"/>
        </w:rPr>
        <w:t xml:space="preserve">IFRS 15 applies to all contracts with customers except those within the scope of IAS 17 ‘Leases’, IFRS 9 ‘Financial Instruments’, IFRS 10 ‘Consolidated Financial Statements’, IFRS 11 ‘Joint Arrangements’, IAS 27 ‘Separate Financial Statements’, IAS 28 ‘Investments in Associates and Joint Ventures’, IFRS 4 ‘Insurance Contracts’ and non-monetary exchanges between entities in the same line of business to facilitate sales to customers.  </w:t>
      </w:r>
    </w:p>
    <w:p w:rsidR="00DA5E13" w:rsidRPr="00AC5183" w:rsidRDefault="00DA5E13" w:rsidP="007A0336">
      <w:pPr>
        <w:autoSpaceDE w:val="0"/>
        <w:autoSpaceDN w:val="0"/>
        <w:adjustRightInd w:val="0"/>
        <w:ind w:left="851"/>
        <w:jc w:val="both"/>
        <w:rPr>
          <w:rFonts w:ascii="Times New Roman" w:hAnsi="Times New Roman"/>
          <w:color w:val="000000"/>
          <w:sz w:val="20"/>
          <w:szCs w:val="20"/>
        </w:rPr>
      </w:pPr>
    </w:p>
    <w:p w:rsidR="00180734" w:rsidRDefault="00DA5E13" w:rsidP="00E54387">
      <w:pPr>
        <w:autoSpaceDE w:val="0"/>
        <w:autoSpaceDN w:val="0"/>
        <w:adjustRightInd w:val="0"/>
        <w:ind w:left="851"/>
        <w:jc w:val="both"/>
        <w:rPr>
          <w:rFonts w:ascii="Times New Roman" w:hAnsi="Times New Roman"/>
          <w:color w:val="000000"/>
          <w:sz w:val="20"/>
          <w:szCs w:val="20"/>
        </w:rPr>
      </w:pPr>
      <w:r>
        <w:rPr>
          <w:rFonts w:ascii="Times New Roman" w:hAnsi="Times New Roman"/>
          <w:color w:val="000000"/>
          <w:sz w:val="20"/>
          <w:szCs w:val="20"/>
        </w:rPr>
        <w:t>Due to the nature of the revenue earned t</w:t>
      </w:r>
      <w:r w:rsidRPr="00AC5183">
        <w:rPr>
          <w:rFonts w:ascii="Times New Roman" w:hAnsi="Times New Roman"/>
          <w:color w:val="000000"/>
          <w:sz w:val="20"/>
          <w:szCs w:val="20"/>
        </w:rPr>
        <w:t xml:space="preserve">he adoption of IFRS 15 did not have an impact on the </w:t>
      </w:r>
      <w:r>
        <w:rPr>
          <w:rFonts w:ascii="Times New Roman" w:hAnsi="Times New Roman"/>
          <w:color w:val="000000"/>
          <w:sz w:val="20"/>
          <w:szCs w:val="20"/>
        </w:rPr>
        <w:t>Fund</w:t>
      </w:r>
      <w:r w:rsidRPr="00AC5183">
        <w:rPr>
          <w:rFonts w:ascii="Times New Roman" w:hAnsi="Times New Roman"/>
          <w:color w:val="000000"/>
          <w:sz w:val="20"/>
          <w:szCs w:val="20"/>
        </w:rPr>
        <w:t>’</w:t>
      </w:r>
      <w:r>
        <w:rPr>
          <w:rFonts w:ascii="Times New Roman" w:hAnsi="Times New Roman"/>
          <w:color w:val="000000"/>
          <w:sz w:val="20"/>
          <w:szCs w:val="20"/>
        </w:rPr>
        <w:t>s</w:t>
      </w:r>
      <w:r w:rsidRPr="00AC5183">
        <w:rPr>
          <w:rFonts w:ascii="Times New Roman" w:hAnsi="Times New Roman"/>
          <w:color w:val="000000"/>
          <w:sz w:val="20"/>
          <w:szCs w:val="20"/>
        </w:rPr>
        <w:t xml:space="preserve"> financial results and did not result in any changes to accounting policies.</w:t>
      </w:r>
    </w:p>
    <w:p w:rsidR="00DA5E13" w:rsidRPr="00AC5183" w:rsidRDefault="00DA5E13" w:rsidP="00E54387">
      <w:pPr>
        <w:autoSpaceDE w:val="0"/>
        <w:autoSpaceDN w:val="0"/>
        <w:adjustRightInd w:val="0"/>
        <w:ind w:left="709"/>
        <w:jc w:val="both"/>
        <w:rPr>
          <w:rFonts w:ascii="Times New Roman" w:hAnsi="Times New Roman"/>
          <w:color w:val="000000"/>
          <w:sz w:val="20"/>
          <w:szCs w:val="20"/>
        </w:rPr>
      </w:pPr>
    </w:p>
    <w:p w:rsidR="00024908" w:rsidRDefault="00180734" w:rsidP="00180734">
      <w:pPr>
        <w:autoSpaceDE w:val="0"/>
        <w:autoSpaceDN w:val="0"/>
        <w:adjustRightInd w:val="0"/>
        <w:ind w:left="709"/>
        <w:jc w:val="both"/>
        <w:rPr>
          <w:rFonts w:ascii="Times New Roman" w:hAnsi="Times New Roman"/>
          <w:color w:val="000000"/>
          <w:sz w:val="20"/>
          <w:szCs w:val="20"/>
        </w:rPr>
      </w:pPr>
      <w:r w:rsidRPr="00E54387">
        <w:rPr>
          <w:rFonts w:ascii="Times New Roman" w:hAnsi="Times New Roman"/>
          <w:color w:val="000000"/>
          <w:sz w:val="20"/>
          <w:szCs w:val="20"/>
        </w:rPr>
        <w:t>At the date of authorisation of these financial statements, there were no standards and interpretations in issue but not yet effective which are relevant to the Company and the Fund that have been applied to these financial statements</w:t>
      </w:r>
      <w:r w:rsidR="0069096F">
        <w:rPr>
          <w:rFonts w:ascii="Times New Roman" w:hAnsi="Times New Roman"/>
          <w:color w:val="000000"/>
          <w:sz w:val="20"/>
          <w:szCs w:val="20"/>
        </w:rPr>
        <w:t>.</w:t>
      </w:r>
    </w:p>
    <w:p w:rsidR="00053155" w:rsidRDefault="00053155" w:rsidP="00180734">
      <w:pPr>
        <w:autoSpaceDE w:val="0"/>
        <w:autoSpaceDN w:val="0"/>
        <w:adjustRightInd w:val="0"/>
        <w:ind w:left="709"/>
        <w:jc w:val="both"/>
        <w:rPr>
          <w:rFonts w:ascii="Times New Roman" w:hAnsi="Times New Roman"/>
          <w:sz w:val="20"/>
        </w:rPr>
      </w:pPr>
    </w:p>
    <w:p w:rsidR="00D22C00" w:rsidRDefault="00B455CF" w:rsidP="00180734">
      <w:pPr>
        <w:autoSpaceDE w:val="0"/>
        <w:autoSpaceDN w:val="0"/>
        <w:adjustRightInd w:val="0"/>
        <w:ind w:left="709"/>
        <w:jc w:val="both"/>
        <w:rPr>
          <w:rFonts w:ascii="Times New Roman" w:hAnsi="Times New Roman"/>
          <w:sz w:val="20"/>
        </w:rPr>
      </w:pPr>
      <w:r w:rsidRPr="00252FB0">
        <w:rPr>
          <w:rFonts w:ascii="Times New Roman" w:hAnsi="Times New Roman"/>
          <w:sz w:val="20"/>
        </w:rPr>
        <w:t xml:space="preserve">The </w:t>
      </w:r>
      <w:r w:rsidR="006C5CFD" w:rsidRPr="00252FB0">
        <w:rPr>
          <w:rFonts w:ascii="Times New Roman" w:hAnsi="Times New Roman"/>
          <w:sz w:val="20"/>
        </w:rPr>
        <w:t>Statement of Financial Position</w:t>
      </w:r>
      <w:r w:rsidR="00B412DB" w:rsidRPr="00252FB0">
        <w:rPr>
          <w:rFonts w:ascii="Times New Roman" w:hAnsi="Times New Roman"/>
          <w:sz w:val="20"/>
        </w:rPr>
        <w:t xml:space="preserve">, </w:t>
      </w:r>
      <w:r w:rsidR="006C5CFD" w:rsidRPr="00252FB0">
        <w:rPr>
          <w:rFonts w:ascii="Times New Roman" w:hAnsi="Times New Roman"/>
          <w:sz w:val="20"/>
        </w:rPr>
        <w:t>S</w:t>
      </w:r>
      <w:r w:rsidRPr="00252FB0">
        <w:rPr>
          <w:rFonts w:ascii="Times New Roman" w:hAnsi="Times New Roman"/>
          <w:sz w:val="20"/>
        </w:rPr>
        <w:t>tatement of</w:t>
      </w:r>
      <w:r w:rsidR="006C5CFD" w:rsidRPr="00252FB0">
        <w:rPr>
          <w:rFonts w:ascii="Times New Roman" w:hAnsi="Times New Roman"/>
          <w:sz w:val="20"/>
        </w:rPr>
        <w:t xml:space="preserve"> </w:t>
      </w:r>
      <w:r w:rsidR="004A2DCC" w:rsidRPr="00252FB0">
        <w:rPr>
          <w:rFonts w:ascii="Times New Roman" w:hAnsi="Times New Roman"/>
          <w:sz w:val="20"/>
        </w:rPr>
        <w:t xml:space="preserve">Comprehensive </w:t>
      </w:r>
      <w:r w:rsidR="006C5CFD" w:rsidRPr="00252FB0">
        <w:rPr>
          <w:rFonts w:ascii="Times New Roman" w:hAnsi="Times New Roman"/>
          <w:sz w:val="20"/>
        </w:rPr>
        <w:t>Income, Statement of Changes in R</w:t>
      </w:r>
      <w:r w:rsidR="00B412DB" w:rsidRPr="00252FB0">
        <w:rPr>
          <w:rFonts w:ascii="Times New Roman" w:hAnsi="Times New Roman"/>
          <w:sz w:val="20"/>
        </w:rPr>
        <w:t xml:space="preserve">edeemable </w:t>
      </w:r>
      <w:r w:rsidR="006C5CFD" w:rsidRPr="00252FB0">
        <w:rPr>
          <w:rFonts w:ascii="Times New Roman" w:hAnsi="Times New Roman"/>
          <w:sz w:val="20"/>
        </w:rPr>
        <w:t>P</w:t>
      </w:r>
      <w:r w:rsidR="00B412DB" w:rsidRPr="00252FB0">
        <w:rPr>
          <w:rFonts w:ascii="Times New Roman" w:hAnsi="Times New Roman"/>
          <w:sz w:val="20"/>
        </w:rPr>
        <w:t xml:space="preserve">articipating </w:t>
      </w:r>
      <w:r w:rsidR="006C5CFD" w:rsidRPr="00252FB0">
        <w:rPr>
          <w:rFonts w:ascii="Times New Roman" w:hAnsi="Times New Roman"/>
          <w:sz w:val="20"/>
        </w:rPr>
        <w:t>Preference S</w:t>
      </w:r>
      <w:r w:rsidR="00B412DB" w:rsidRPr="00252FB0">
        <w:rPr>
          <w:rFonts w:ascii="Times New Roman" w:hAnsi="Times New Roman"/>
          <w:sz w:val="20"/>
        </w:rPr>
        <w:t xml:space="preserve">hareholders’ </w:t>
      </w:r>
      <w:r w:rsidR="006C5CFD" w:rsidRPr="00252FB0">
        <w:rPr>
          <w:rFonts w:ascii="Times New Roman" w:hAnsi="Times New Roman"/>
          <w:sz w:val="20"/>
        </w:rPr>
        <w:t>E</w:t>
      </w:r>
      <w:r w:rsidR="00B412DB" w:rsidRPr="00252FB0">
        <w:rPr>
          <w:rFonts w:ascii="Times New Roman" w:hAnsi="Times New Roman"/>
          <w:sz w:val="20"/>
        </w:rPr>
        <w:t>quity and</w:t>
      </w:r>
      <w:r w:rsidR="006C5CFD" w:rsidRPr="00252FB0">
        <w:rPr>
          <w:rFonts w:ascii="Times New Roman" w:hAnsi="Times New Roman"/>
          <w:sz w:val="20"/>
        </w:rPr>
        <w:t xml:space="preserve"> C</w:t>
      </w:r>
      <w:r w:rsidR="00B412DB" w:rsidRPr="00252FB0">
        <w:rPr>
          <w:rFonts w:ascii="Times New Roman" w:hAnsi="Times New Roman"/>
          <w:sz w:val="20"/>
        </w:rPr>
        <w:t xml:space="preserve">ash </w:t>
      </w:r>
      <w:r w:rsidR="006C5CFD" w:rsidRPr="00252FB0">
        <w:rPr>
          <w:rFonts w:ascii="Times New Roman" w:hAnsi="Times New Roman"/>
          <w:sz w:val="20"/>
        </w:rPr>
        <w:t>Flow S</w:t>
      </w:r>
      <w:r w:rsidR="00B412DB" w:rsidRPr="00252FB0">
        <w:rPr>
          <w:rFonts w:ascii="Times New Roman" w:hAnsi="Times New Roman"/>
          <w:sz w:val="20"/>
        </w:rPr>
        <w:t xml:space="preserve">tatement refer solely to the Fund. The non-cellular assets comprise two </w:t>
      </w:r>
      <w:r w:rsidR="00CA1FC3" w:rsidRPr="00252FB0">
        <w:rPr>
          <w:rFonts w:ascii="Times New Roman" w:hAnsi="Times New Roman"/>
          <w:sz w:val="20"/>
        </w:rPr>
        <w:t>m</w:t>
      </w:r>
      <w:r w:rsidR="00B412DB" w:rsidRPr="00252FB0">
        <w:rPr>
          <w:rFonts w:ascii="Times New Roman" w:hAnsi="Times New Roman"/>
          <w:sz w:val="20"/>
        </w:rPr>
        <w:t xml:space="preserve">anagement </w:t>
      </w:r>
      <w:r w:rsidR="00CA1FC3" w:rsidRPr="00252FB0">
        <w:rPr>
          <w:rFonts w:ascii="Times New Roman" w:hAnsi="Times New Roman"/>
          <w:sz w:val="20"/>
        </w:rPr>
        <w:t>s</w:t>
      </w:r>
      <w:r w:rsidR="00B412DB" w:rsidRPr="00252FB0">
        <w:rPr>
          <w:rFonts w:ascii="Times New Roman" w:hAnsi="Times New Roman"/>
          <w:sz w:val="20"/>
        </w:rPr>
        <w:t>hares. However, there has been no trading activity with regards to the non-cellular assets.</w:t>
      </w:r>
      <w:r w:rsidR="00B412DB" w:rsidRPr="009170B8">
        <w:rPr>
          <w:rFonts w:ascii="Times New Roman" w:hAnsi="Times New Roman"/>
          <w:sz w:val="20"/>
        </w:rPr>
        <w:t xml:space="preserve"> </w:t>
      </w:r>
    </w:p>
    <w:p w:rsidR="00D22C00" w:rsidRPr="009170B8" w:rsidRDefault="00D22C00" w:rsidP="00961DC0">
      <w:pPr>
        <w:autoSpaceDE w:val="0"/>
        <w:autoSpaceDN w:val="0"/>
        <w:adjustRightInd w:val="0"/>
        <w:jc w:val="both"/>
        <w:rPr>
          <w:rFonts w:ascii="Times New Roman" w:hAnsi="Times New Roman"/>
          <w:sz w:val="20"/>
        </w:rPr>
      </w:pPr>
    </w:p>
    <w:p w:rsidR="0008270C" w:rsidRPr="009170B8" w:rsidRDefault="0008270C" w:rsidP="00584A42">
      <w:pPr>
        <w:ind w:left="284" w:hanging="284"/>
        <w:jc w:val="both"/>
        <w:rPr>
          <w:rFonts w:ascii="Times New Roman" w:hAnsi="Times New Roman"/>
          <w:b/>
          <w:sz w:val="20"/>
          <w:szCs w:val="20"/>
        </w:rPr>
      </w:pPr>
      <w:r w:rsidRPr="009170B8">
        <w:rPr>
          <w:rFonts w:ascii="Times New Roman" w:hAnsi="Times New Roman"/>
          <w:b/>
          <w:sz w:val="20"/>
          <w:szCs w:val="20"/>
        </w:rPr>
        <w:t>b.</w:t>
      </w:r>
      <w:r w:rsidRPr="009170B8">
        <w:rPr>
          <w:rFonts w:ascii="Times New Roman" w:hAnsi="Times New Roman"/>
          <w:b/>
          <w:sz w:val="20"/>
          <w:szCs w:val="20"/>
        </w:rPr>
        <w:tab/>
        <w:t xml:space="preserve">Financial </w:t>
      </w:r>
      <w:r w:rsidR="00442123">
        <w:rPr>
          <w:rFonts w:ascii="Times New Roman" w:hAnsi="Times New Roman"/>
          <w:b/>
          <w:sz w:val="20"/>
          <w:szCs w:val="20"/>
        </w:rPr>
        <w:t>i</w:t>
      </w:r>
      <w:r w:rsidRPr="009170B8">
        <w:rPr>
          <w:rFonts w:ascii="Times New Roman" w:hAnsi="Times New Roman"/>
          <w:b/>
          <w:sz w:val="20"/>
          <w:szCs w:val="20"/>
        </w:rPr>
        <w:t>nstruments</w:t>
      </w:r>
    </w:p>
    <w:p w:rsidR="0008270C" w:rsidRPr="009170B8" w:rsidRDefault="0008270C" w:rsidP="00584A42">
      <w:pPr>
        <w:ind w:left="284"/>
        <w:jc w:val="both"/>
        <w:rPr>
          <w:rFonts w:ascii="Times New Roman" w:hAnsi="Times New Roman"/>
          <w:sz w:val="20"/>
          <w:szCs w:val="20"/>
        </w:rPr>
      </w:pPr>
      <w:r w:rsidRPr="009170B8">
        <w:rPr>
          <w:rFonts w:ascii="Times New Roman" w:hAnsi="Times New Roman"/>
          <w:sz w:val="20"/>
          <w:szCs w:val="20"/>
        </w:rPr>
        <w:t xml:space="preserve">Financial instruments carried on the </w:t>
      </w:r>
      <w:r w:rsidR="006C5CFD" w:rsidRPr="009170B8">
        <w:rPr>
          <w:rFonts w:ascii="Times New Roman" w:hAnsi="Times New Roman"/>
          <w:sz w:val="20"/>
          <w:szCs w:val="20"/>
        </w:rPr>
        <w:t>Statement of Financial Position</w:t>
      </w:r>
      <w:r w:rsidRPr="009170B8">
        <w:rPr>
          <w:rFonts w:ascii="Times New Roman" w:hAnsi="Times New Roman"/>
          <w:sz w:val="20"/>
          <w:szCs w:val="20"/>
        </w:rPr>
        <w:t xml:space="preserve"> include securities, trade and other receivables, cash at bank</w:t>
      </w:r>
      <w:r w:rsidR="00963D05">
        <w:rPr>
          <w:rFonts w:ascii="Times New Roman" w:hAnsi="Times New Roman"/>
          <w:sz w:val="20"/>
          <w:szCs w:val="20"/>
        </w:rPr>
        <w:t xml:space="preserve">, loan payable and </w:t>
      </w:r>
      <w:r w:rsidR="00F55350" w:rsidRPr="009170B8">
        <w:rPr>
          <w:rFonts w:ascii="Times New Roman" w:hAnsi="Times New Roman"/>
          <w:sz w:val="20"/>
          <w:szCs w:val="20"/>
        </w:rPr>
        <w:t>trade and other payables</w:t>
      </w:r>
      <w:r w:rsidRPr="009170B8">
        <w:rPr>
          <w:rFonts w:ascii="Times New Roman" w:hAnsi="Times New Roman"/>
          <w:sz w:val="20"/>
          <w:szCs w:val="20"/>
        </w:rPr>
        <w:t>.  The particular recognition methods adopted are disclosed in the individual policy statements associated with each item.</w:t>
      </w:r>
    </w:p>
    <w:p w:rsidR="0008270C" w:rsidRPr="009170B8" w:rsidRDefault="0008270C" w:rsidP="00584A42">
      <w:pPr>
        <w:ind w:left="284"/>
        <w:jc w:val="both"/>
        <w:rPr>
          <w:rFonts w:ascii="Times New Roman" w:hAnsi="Times New Roman"/>
          <w:sz w:val="20"/>
          <w:szCs w:val="20"/>
        </w:rPr>
      </w:pPr>
    </w:p>
    <w:p w:rsidR="001002FF" w:rsidRPr="009170B8" w:rsidRDefault="009B7E1B">
      <w:pPr>
        <w:ind w:left="284"/>
        <w:jc w:val="both"/>
        <w:rPr>
          <w:rFonts w:ascii="Times New Roman" w:hAnsi="Times New Roman"/>
          <w:sz w:val="20"/>
          <w:szCs w:val="20"/>
        </w:rPr>
      </w:pPr>
      <w:r w:rsidRPr="009170B8">
        <w:rPr>
          <w:rFonts w:ascii="Times New Roman" w:hAnsi="Times New Roman"/>
          <w:sz w:val="20"/>
          <w:szCs w:val="20"/>
        </w:rPr>
        <w:t>Derivatives are initially recognised at fair value at the date the derivative contracts are entered into and are subsequently</w:t>
      </w:r>
      <w:r w:rsidR="00CA1FC3" w:rsidRPr="009170B8">
        <w:rPr>
          <w:rFonts w:ascii="Times New Roman" w:hAnsi="Times New Roman"/>
          <w:sz w:val="20"/>
          <w:szCs w:val="20"/>
        </w:rPr>
        <w:t xml:space="preserve"> </w:t>
      </w:r>
      <w:proofErr w:type="spellStart"/>
      <w:r w:rsidRPr="009170B8">
        <w:rPr>
          <w:rFonts w:ascii="Times New Roman" w:hAnsi="Times New Roman"/>
          <w:sz w:val="20"/>
          <w:szCs w:val="20"/>
        </w:rPr>
        <w:t>remeasured</w:t>
      </w:r>
      <w:proofErr w:type="spellEnd"/>
      <w:r w:rsidRPr="009170B8">
        <w:rPr>
          <w:rFonts w:ascii="Times New Roman" w:hAnsi="Times New Roman"/>
          <w:sz w:val="20"/>
          <w:szCs w:val="20"/>
        </w:rPr>
        <w:t xml:space="preserve"> to their fair value </w:t>
      </w:r>
      <w:r w:rsidR="00225DD1" w:rsidRPr="009170B8">
        <w:rPr>
          <w:rFonts w:ascii="Times New Roman" w:hAnsi="Times New Roman"/>
          <w:sz w:val="20"/>
          <w:szCs w:val="20"/>
        </w:rPr>
        <w:t>based on</w:t>
      </w:r>
      <w:r w:rsidR="00225DD1">
        <w:rPr>
          <w:rFonts w:ascii="Times New Roman" w:hAnsi="Times New Roman"/>
          <w:sz w:val="20"/>
          <w:szCs w:val="20"/>
        </w:rPr>
        <w:t xml:space="preserve"> stock exchange quoted</w:t>
      </w:r>
      <w:r w:rsidR="00225DD1" w:rsidRPr="009170B8">
        <w:rPr>
          <w:rFonts w:ascii="Times New Roman" w:hAnsi="Times New Roman"/>
          <w:sz w:val="20"/>
          <w:szCs w:val="20"/>
        </w:rPr>
        <w:t xml:space="preserve"> bid prices quoted at the Statement of Financial Position date</w:t>
      </w:r>
      <w:r w:rsidRPr="009170B8">
        <w:rPr>
          <w:rFonts w:ascii="Times New Roman" w:hAnsi="Times New Roman"/>
          <w:sz w:val="20"/>
          <w:szCs w:val="20"/>
        </w:rPr>
        <w:t xml:space="preserve">. The resulting gain or loss is recognised in </w:t>
      </w:r>
      <w:r w:rsidR="00225DD1">
        <w:rPr>
          <w:rFonts w:ascii="Times New Roman" w:hAnsi="Times New Roman"/>
          <w:sz w:val="20"/>
          <w:szCs w:val="20"/>
        </w:rPr>
        <w:t xml:space="preserve">the </w:t>
      </w:r>
      <w:r w:rsidR="00E24A68">
        <w:rPr>
          <w:rFonts w:ascii="Times New Roman" w:hAnsi="Times New Roman"/>
          <w:sz w:val="20"/>
          <w:szCs w:val="20"/>
        </w:rPr>
        <w:t>S</w:t>
      </w:r>
      <w:r w:rsidR="00225DD1">
        <w:rPr>
          <w:rFonts w:ascii="Times New Roman" w:hAnsi="Times New Roman"/>
          <w:sz w:val="20"/>
          <w:szCs w:val="20"/>
        </w:rPr>
        <w:t xml:space="preserve">tatement of </w:t>
      </w:r>
      <w:r w:rsidR="00E24A68">
        <w:rPr>
          <w:rFonts w:ascii="Times New Roman" w:hAnsi="Times New Roman"/>
          <w:sz w:val="20"/>
          <w:szCs w:val="20"/>
        </w:rPr>
        <w:t>C</w:t>
      </w:r>
      <w:r w:rsidR="00225DD1">
        <w:rPr>
          <w:rFonts w:ascii="Times New Roman" w:hAnsi="Times New Roman"/>
          <w:sz w:val="20"/>
          <w:szCs w:val="20"/>
        </w:rPr>
        <w:t xml:space="preserve">omprehensive </w:t>
      </w:r>
      <w:r w:rsidR="00E24A68">
        <w:rPr>
          <w:rFonts w:ascii="Times New Roman" w:hAnsi="Times New Roman"/>
          <w:sz w:val="20"/>
          <w:szCs w:val="20"/>
        </w:rPr>
        <w:t>I</w:t>
      </w:r>
      <w:r w:rsidR="00225DD1">
        <w:rPr>
          <w:rFonts w:ascii="Times New Roman" w:hAnsi="Times New Roman"/>
          <w:sz w:val="20"/>
          <w:szCs w:val="20"/>
        </w:rPr>
        <w:t xml:space="preserve">ncome as a capital gain </w:t>
      </w:r>
      <w:r w:rsidR="00E24A68">
        <w:rPr>
          <w:rFonts w:ascii="Times New Roman" w:hAnsi="Times New Roman"/>
          <w:sz w:val="20"/>
          <w:szCs w:val="20"/>
        </w:rPr>
        <w:t xml:space="preserve">or loss </w:t>
      </w:r>
      <w:r w:rsidRPr="009170B8">
        <w:rPr>
          <w:rFonts w:ascii="Times New Roman" w:hAnsi="Times New Roman"/>
          <w:sz w:val="20"/>
          <w:szCs w:val="20"/>
        </w:rPr>
        <w:t>immediately unless the derivative is designated and effective as a hedging instrument, in which event the timing of the</w:t>
      </w:r>
      <w:r w:rsidR="00CA1FC3" w:rsidRPr="009170B8">
        <w:rPr>
          <w:rFonts w:ascii="Times New Roman" w:hAnsi="Times New Roman"/>
          <w:sz w:val="20"/>
          <w:szCs w:val="20"/>
        </w:rPr>
        <w:t xml:space="preserve"> </w:t>
      </w:r>
      <w:r w:rsidRPr="009170B8">
        <w:rPr>
          <w:rFonts w:ascii="Times New Roman" w:hAnsi="Times New Roman"/>
          <w:sz w:val="20"/>
          <w:szCs w:val="20"/>
        </w:rPr>
        <w:t xml:space="preserve">recognition in </w:t>
      </w:r>
      <w:r w:rsidR="00225DD1">
        <w:rPr>
          <w:rFonts w:ascii="Times New Roman" w:hAnsi="Times New Roman"/>
          <w:sz w:val="20"/>
          <w:szCs w:val="20"/>
        </w:rPr>
        <w:t xml:space="preserve">the </w:t>
      </w:r>
      <w:r w:rsidR="00E24A68">
        <w:rPr>
          <w:rFonts w:ascii="Times New Roman" w:hAnsi="Times New Roman"/>
          <w:sz w:val="20"/>
          <w:szCs w:val="20"/>
        </w:rPr>
        <w:t>S</w:t>
      </w:r>
      <w:r w:rsidR="00225DD1">
        <w:rPr>
          <w:rFonts w:ascii="Times New Roman" w:hAnsi="Times New Roman"/>
          <w:sz w:val="20"/>
          <w:szCs w:val="20"/>
        </w:rPr>
        <w:t xml:space="preserve">tatement of </w:t>
      </w:r>
      <w:r w:rsidR="00E24A68">
        <w:rPr>
          <w:rFonts w:ascii="Times New Roman" w:hAnsi="Times New Roman"/>
          <w:sz w:val="20"/>
          <w:szCs w:val="20"/>
        </w:rPr>
        <w:t>C</w:t>
      </w:r>
      <w:r w:rsidR="00225DD1">
        <w:rPr>
          <w:rFonts w:ascii="Times New Roman" w:hAnsi="Times New Roman"/>
          <w:sz w:val="20"/>
          <w:szCs w:val="20"/>
        </w:rPr>
        <w:t xml:space="preserve">omprehensive </w:t>
      </w:r>
      <w:r w:rsidR="00E24A68">
        <w:rPr>
          <w:rFonts w:ascii="Times New Roman" w:hAnsi="Times New Roman"/>
          <w:sz w:val="20"/>
          <w:szCs w:val="20"/>
        </w:rPr>
        <w:t>I</w:t>
      </w:r>
      <w:r w:rsidR="00225DD1">
        <w:rPr>
          <w:rFonts w:ascii="Times New Roman" w:hAnsi="Times New Roman"/>
          <w:sz w:val="20"/>
          <w:szCs w:val="20"/>
        </w:rPr>
        <w:t xml:space="preserve">ncome </w:t>
      </w:r>
      <w:r w:rsidRPr="009170B8">
        <w:rPr>
          <w:rFonts w:ascii="Times New Roman" w:hAnsi="Times New Roman"/>
          <w:sz w:val="20"/>
          <w:szCs w:val="20"/>
        </w:rPr>
        <w:t>depends on the nature of the hedge relationship</w:t>
      </w:r>
      <w:r w:rsidR="001002FF" w:rsidRPr="009170B8">
        <w:rPr>
          <w:rFonts w:ascii="Times New Roman" w:hAnsi="Times New Roman"/>
          <w:sz w:val="20"/>
          <w:szCs w:val="20"/>
        </w:rPr>
        <w:t xml:space="preserve">. </w:t>
      </w:r>
      <w:r w:rsidR="00CA1FC3" w:rsidRPr="009170B8">
        <w:rPr>
          <w:rFonts w:ascii="Times New Roman" w:hAnsi="Times New Roman"/>
          <w:sz w:val="20"/>
          <w:szCs w:val="20"/>
        </w:rPr>
        <w:t xml:space="preserve">The Fund had no derivatives outstanding at 31 December </w:t>
      </w:r>
      <w:r w:rsidR="004915C0">
        <w:rPr>
          <w:rFonts w:ascii="Times New Roman" w:hAnsi="Times New Roman"/>
          <w:sz w:val="20"/>
          <w:szCs w:val="20"/>
        </w:rPr>
        <w:t>201</w:t>
      </w:r>
      <w:r w:rsidR="00C84D94">
        <w:rPr>
          <w:rFonts w:ascii="Times New Roman" w:hAnsi="Times New Roman"/>
          <w:sz w:val="20"/>
          <w:szCs w:val="20"/>
        </w:rPr>
        <w:t>8</w:t>
      </w:r>
      <w:r w:rsidR="00CA1FC3" w:rsidRPr="009170B8">
        <w:rPr>
          <w:rFonts w:ascii="Times New Roman" w:hAnsi="Times New Roman"/>
          <w:sz w:val="20"/>
          <w:szCs w:val="20"/>
        </w:rPr>
        <w:t xml:space="preserve"> and </w:t>
      </w:r>
      <w:r w:rsidR="004915C0">
        <w:rPr>
          <w:rFonts w:ascii="Times New Roman" w:hAnsi="Times New Roman"/>
          <w:sz w:val="20"/>
          <w:szCs w:val="20"/>
        </w:rPr>
        <w:t>201</w:t>
      </w:r>
      <w:r w:rsidR="00C84D94">
        <w:rPr>
          <w:rFonts w:ascii="Times New Roman" w:hAnsi="Times New Roman"/>
          <w:sz w:val="20"/>
          <w:szCs w:val="20"/>
        </w:rPr>
        <w:t>7</w:t>
      </w:r>
      <w:r w:rsidR="00CA1FC3" w:rsidRPr="009170B8">
        <w:rPr>
          <w:rFonts w:ascii="Times New Roman" w:hAnsi="Times New Roman"/>
          <w:sz w:val="20"/>
          <w:szCs w:val="20"/>
        </w:rPr>
        <w:t>.</w:t>
      </w:r>
    </w:p>
    <w:p w:rsidR="00C96F7B" w:rsidRPr="006A26C7" w:rsidRDefault="00C96F7B" w:rsidP="00C96F7B">
      <w:pPr>
        <w:rPr>
          <w:rFonts w:ascii="Times New Roman" w:hAnsi="Times New Roman"/>
          <w:b/>
        </w:rPr>
      </w:pPr>
      <w:r w:rsidRPr="009170B8">
        <w:rPr>
          <w:rFonts w:ascii="Times New Roman" w:hAnsi="Times New Roman"/>
          <w:b/>
        </w:rPr>
        <w:t xml:space="preserve">Notes to the Financial </w:t>
      </w:r>
      <w:r w:rsidRPr="006A26C7">
        <w:rPr>
          <w:rFonts w:ascii="Times New Roman" w:hAnsi="Times New Roman"/>
          <w:b/>
        </w:rPr>
        <w:t>Statements</w:t>
      </w:r>
      <w:r>
        <w:rPr>
          <w:rFonts w:ascii="Times New Roman" w:hAnsi="Times New Roman"/>
          <w:b/>
        </w:rPr>
        <w:t xml:space="preserve"> of the Fund</w:t>
      </w:r>
      <w:r w:rsidRPr="006A26C7">
        <w:rPr>
          <w:rFonts w:ascii="Times New Roman" w:hAnsi="Times New Roman"/>
          <w:b/>
        </w:rPr>
        <w:t xml:space="preserve"> (continued)</w:t>
      </w:r>
    </w:p>
    <w:p w:rsidR="00C96F7B" w:rsidRPr="000D7F18" w:rsidRDefault="00C96F7B" w:rsidP="00C96F7B">
      <w:pPr>
        <w:rPr>
          <w:rFonts w:ascii="Times New Roman" w:hAnsi="Times New Roman"/>
          <w:b/>
          <w:sz w:val="20"/>
          <w:szCs w:val="20"/>
        </w:rPr>
      </w:pPr>
      <w:r w:rsidRPr="006A26C7">
        <w:rPr>
          <w:rFonts w:ascii="Times New Roman" w:hAnsi="Times New Roman"/>
          <w:b/>
          <w:sz w:val="20"/>
          <w:szCs w:val="20"/>
        </w:rPr>
        <w:t>For the year ended 31 December 201</w:t>
      </w:r>
      <w:r>
        <w:rPr>
          <w:rFonts w:ascii="Times New Roman" w:hAnsi="Times New Roman"/>
          <w:b/>
          <w:sz w:val="20"/>
          <w:szCs w:val="20"/>
        </w:rPr>
        <w:t>8</w:t>
      </w:r>
    </w:p>
    <w:p w:rsidR="00C96F7B" w:rsidRDefault="00C96F7B" w:rsidP="00C96F7B">
      <w:pPr>
        <w:ind w:left="284" w:hanging="284"/>
        <w:rPr>
          <w:rFonts w:ascii="Times New Roman" w:hAnsi="Times New Roman"/>
          <w:b/>
          <w:sz w:val="20"/>
          <w:szCs w:val="20"/>
        </w:rPr>
      </w:pPr>
    </w:p>
    <w:p w:rsidR="00C96F7B" w:rsidRPr="00AC5183" w:rsidRDefault="00C96F7B" w:rsidP="00C96F7B">
      <w:pPr>
        <w:ind w:left="284" w:hanging="284"/>
        <w:rPr>
          <w:rFonts w:ascii="Times New Roman" w:hAnsi="Times New Roman"/>
          <w:b/>
          <w:sz w:val="20"/>
          <w:szCs w:val="20"/>
        </w:rPr>
      </w:pPr>
      <w:r w:rsidRPr="006A26C7">
        <w:rPr>
          <w:rFonts w:ascii="Times New Roman" w:hAnsi="Times New Roman"/>
          <w:b/>
          <w:sz w:val="20"/>
          <w:szCs w:val="20"/>
        </w:rPr>
        <w:t>2.</w:t>
      </w:r>
      <w:r w:rsidRPr="006A26C7">
        <w:rPr>
          <w:rFonts w:ascii="Times New Roman" w:hAnsi="Times New Roman"/>
          <w:b/>
          <w:sz w:val="20"/>
          <w:szCs w:val="20"/>
        </w:rPr>
        <w:tab/>
      </w:r>
      <w:r>
        <w:rPr>
          <w:rFonts w:ascii="Times New Roman" w:hAnsi="Times New Roman"/>
          <w:b/>
          <w:sz w:val="20"/>
          <w:szCs w:val="20"/>
        </w:rPr>
        <w:t xml:space="preserve">Principal </w:t>
      </w:r>
      <w:r w:rsidRPr="006A26C7">
        <w:rPr>
          <w:rFonts w:ascii="Times New Roman" w:hAnsi="Times New Roman"/>
          <w:b/>
          <w:sz w:val="20"/>
          <w:szCs w:val="20"/>
        </w:rPr>
        <w:t>Accounting Policies (continued)</w:t>
      </w:r>
    </w:p>
    <w:p w:rsidR="00C96F7B" w:rsidRDefault="00C96F7B">
      <w:pPr>
        <w:ind w:left="284"/>
        <w:jc w:val="both"/>
        <w:rPr>
          <w:rFonts w:ascii="Times New Roman" w:hAnsi="Times New Roman"/>
          <w:sz w:val="20"/>
          <w:szCs w:val="20"/>
        </w:rPr>
      </w:pPr>
    </w:p>
    <w:p w:rsidR="00C96F7B" w:rsidRPr="009170B8" w:rsidRDefault="00C96F7B" w:rsidP="00C96F7B">
      <w:pPr>
        <w:ind w:left="284" w:hanging="284"/>
        <w:jc w:val="both"/>
        <w:rPr>
          <w:rFonts w:ascii="Times New Roman" w:hAnsi="Times New Roman"/>
          <w:b/>
          <w:sz w:val="20"/>
          <w:szCs w:val="20"/>
        </w:rPr>
      </w:pPr>
      <w:r w:rsidRPr="009170B8">
        <w:rPr>
          <w:rFonts w:ascii="Times New Roman" w:hAnsi="Times New Roman"/>
          <w:b/>
          <w:sz w:val="20"/>
          <w:szCs w:val="20"/>
        </w:rPr>
        <w:t>b.</w:t>
      </w:r>
      <w:r w:rsidRPr="009170B8">
        <w:rPr>
          <w:rFonts w:ascii="Times New Roman" w:hAnsi="Times New Roman"/>
          <w:b/>
          <w:sz w:val="20"/>
          <w:szCs w:val="20"/>
        </w:rPr>
        <w:tab/>
        <w:t xml:space="preserve">Financial </w:t>
      </w:r>
      <w:r>
        <w:rPr>
          <w:rFonts w:ascii="Times New Roman" w:hAnsi="Times New Roman"/>
          <w:b/>
          <w:sz w:val="20"/>
          <w:szCs w:val="20"/>
        </w:rPr>
        <w:t>i</w:t>
      </w:r>
      <w:r w:rsidRPr="009170B8">
        <w:rPr>
          <w:rFonts w:ascii="Times New Roman" w:hAnsi="Times New Roman"/>
          <w:b/>
          <w:sz w:val="20"/>
          <w:szCs w:val="20"/>
        </w:rPr>
        <w:t>nstruments</w:t>
      </w:r>
      <w:r>
        <w:rPr>
          <w:rFonts w:ascii="Times New Roman" w:hAnsi="Times New Roman"/>
          <w:b/>
          <w:sz w:val="20"/>
          <w:szCs w:val="20"/>
        </w:rPr>
        <w:t xml:space="preserve"> (continued)</w:t>
      </w:r>
    </w:p>
    <w:p w:rsidR="00DA5E13" w:rsidRDefault="0008270C">
      <w:pPr>
        <w:ind w:left="284"/>
        <w:jc w:val="both"/>
        <w:rPr>
          <w:rFonts w:ascii="Times New Roman" w:hAnsi="Times New Roman"/>
          <w:sz w:val="20"/>
          <w:szCs w:val="20"/>
        </w:rPr>
      </w:pPr>
      <w:r w:rsidRPr="009170B8">
        <w:rPr>
          <w:rFonts w:ascii="Times New Roman" w:hAnsi="Times New Roman"/>
          <w:sz w:val="20"/>
          <w:szCs w:val="20"/>
        </w:rPr>
        <w:t>Disclosures about financial instruments to which the Fund is</w:t>
      </w:r>
      <w:r w:rsidR="00074822" w:rsidRPr="009170B8">
        <w:rPr>
          <w:rFonts w:ascii="Times New Roman" w:hAnsi="Times New Roman"/>
          <w:sz w:val="20"/>
          <w:szCs w:val="20"/>
        </w:rPr>
        <w:t xml:space="preserve"> a party are provided in Note </w:t>
      </w:r>
      <w:r w:rsidR="004A0CEB" w:rsidRPr="009170B8">
        <w:rPr>
          <w:rFonts w:ascii="Times New Roman" w:hAnsi="Times New Roman"/>
          <w:sz w:val="20"/>
          <w:szCs w:val="20"/>
        </w:rPr>
        <w:t>16</w:t>
      </w:r>
      <w:r w:rsidRPr="009170B8">
        <w:rPr>
          <w:rFonts w:ascii="Times New Roman" w:hAnsi="Times New Roman"/>
          <w:sz w:val="20"/>
          <w:szCs w:val="20"/>
        </w:rPr>
        <w:t>.</w:t>
      </w:r>
    </w:p>
    <w:p w:rsidR="0008270C" w:rsidRPr="009170B8" w:rsidRDefault="0008270C" w:rsidP="00584A42">
      <w:pPr>
        <w:ind w:left="284"/>
        <w:jc w:val="both"/>
        <w:rPr>
          <w:rFonts w:ascii="Times New Roman" w:hAnsi="Times New Roman"/>
          <w:sz w:val="20"/>
          <w:szCs w:val="20"/>
        </w:rPr>
      </w:pPr>
    </w:p>
    <w:p w:rsidR="0008270C" w:rsidRPr="009170B8" w:rsidRDefault="0008270C" w:rsidP="00584A42">
      <w:pPr>
        <w:ind w:left="284" w:hanging="284"/>
        <w:jc w:val="both"/>
        <w:rPr>
          <w:rFonts w:ascii="Times New Roman" w:hAnsi="Times New Roman"/>
          <w:b/>
          <w:sz w:val="20"/>
          <w:szCs w:val="20"/>
        </w:rPr>
      </w:pPr>
      <w:bookmarkStart w:id="42" w:name="OLE_LINK26"/>
      <w:r w:rsidRPr="009170B8">
        <w:rPr>
          <w:rFonts w:ascii="Times New Roman" w:hAnsi="Times New Roman"/>
          <w:b/>
          <w:sz w:val="20"/>
          <w:szCs w:val="20"/>
        </w:rPr>
        <w:t>c.</w:t>
      </w:r>
      <w:r w:rsidRPr="009170B8">
        <w:rPr>
          <w:rFonts w:ascii="Times New Roman" w:hAnsi="Times New Roman"/>
          <w:b/>
          <w:sz w:val="20"/>
          <w:szCs w:val="20"/>
        </w:rPr>
        <w:tab/>
        <w:t>Securities</w:t>
      </w:r>
    </w:p>
    <w:bookmarkEnd w:id="42"/>
    <w:p w:rsidR="009B6870" w:rsidRDefault="0008270C" w:rsidP="00BA75C4">
      <w:pPr>
        <w:ind w:left="284"/>
        <w:jc w:val="both"/>
        <w:rPr>
          <w:rFonts w:ascii="Times New Roman" w:hAnsi="Times New Roman"/>
          <w:sz w:val="20"/>
          <w:szCs w:val="20"/>
        </w:rPr>
      </w:pPr>
      <w:r w:rsidRPr="009170B8">
        <w:rPr>
          <w:rFonts w:ascii="Times New Roman" w:hAnsi="Times New Roman"/>
          <w:sz w:val="20"/>
          <w:szCs w:val="20"/>
        </w:rPr>
        <w:t>Investments</w:t>
      </w:r>
      <w:r w:rsidR="003510CB" w:rsidRPr="009170B8">
        <w:rPr>
          <w:rFonts w:ascii="Times New Roman" w:hAnsi="Times New Roman"/>
          <w:sz w:val="20"/>
          <w:szCs w:val="20"/>
        </w:rPr>
        <w:t xml:space="preserve"> in </w:t>
      </w:r>
      <w:r w:rsidR="00F57753">
        <w:rPr>
          <w:rFonts w:ascii="Times New Roman" w:hAnsi="Times New Roman"/>
          <w:sz w:val="20"/>
          <w:szCs w:val="20"/>
        </w:rPr>
        <w:t xml:space="preserve">listed </w:t>
      </w:r>
      <w:r w:rsidR="003510CB" w:rsidRPr="009170B8">
        <w:rPr>
          <w:rFonts w:ascii="Times New Roman" w:hAnsi="Times New Roman"/>
          <w:sz w:val="20"/>
          <w:szCs w:val="20"/>
        </w:rPr>
        <w:t>securities</w:t>
      </w:r>
      <w:r w:rsidR="00863E0E" w:rsidRPr="009170B8">
        <w:rPr>
          <w:rFonts w:ascii="Times New Roman" w:hAnsi="Times New Roman"/>
          <w:sz w:val="20"/>
          <w:szCs w:val="20"/>
        </w:rPr>
        <w:t xml:space="preserve"> have been classified as</w:t>
      </w:r>
      <w:r w:rsidRPr="009170B8">
        <w:rPr>
          <w:rFonts w:ascii="Times New Roman" w:hAnsi="Times New Roman"/>
          <w:sz w:val="20"/>
          <w:szCs w:val="20"/>
        </w:rPr>
        <w:t xml:space="preserve"> fair value through profit or loss secu</w:t>
      </w:r>
      <w:r w:rsidR="003C6D11" w:rsidRPr="009170B8">
        <w:rPr>
          <w:rFonts w:ascii="Times New Roman" w:hAnsi="Times New Roman"/>
          <w:sz w:val="20"/>
          <w:szCs w:val="20"/>
        </w:rPr>
        <w:t>rities and are those securities</w:t>
      </w:r>
      <w:r w:rsidRPr="009170B8">
        <w:rPr>
          <w:rFonts w:ascii="Times New Roman" w:hAnsi="Times New Roman"/>
          <w:sz w:val="20"/>
          <w:szCs w:val="20"/>
        </w:rPr>
        <w:t xml:space="preserve"> intended to be held for a short period of time but which may be sold in response to needs for liquidity or changes in interest rates.</w:t>
      </w:r>
      <w:r w:rsidR="003C6D11" w:rsidRPr="009170B8">
        <w:rPr>
          <w:rFonts w:ascii="Times New Roman" w:hAnsi="Times New Roman"/>
          <w:sz w:val="20"/>
          <w:szCs w:val="20"/>
        </w:rPr>
        <w:t xml:space="preserve"> These are held at</w:t>
      </w:r>
      <w:r w:rsidR="00F70328" w:rsidRPr="009170B8">
        <w:rPr>
          <w:rFonts w:ascii="Times New Roman" w:hAnsi="Times New Roman"/>
          <w:sz w:val="20"/>
          <w:szCs w:val="20"/>
        </w:rPr>
        <w:t xml:space="preserve"> fair value through profit or loss, as they are managed and the performance evaluated on a fair value basis.</w:t>
      </w:r>
    </w:p>
    <w:p w:rsidR="009B6870" w:rsidRPr="009170B8" w:rsidRDefault="009B6870" w:rsidP="00BA75C4">
      <w:pPr>
        <w:jc w:val="both"/>
        <w:rPr>
          <w:rFonts w:ascii="Times New Roman" w:hAnsi="Times New Roman"/>
          <w:sz w:val="20"/>
          <w:szCs w:val="20"/>
        </w:rPr>
      </w:pPr>
    </w:p>
    <w:p w:rsidR="0008270C" w:rsidRPr="009170B8" w:rsidRDefault="0008270C">
      <w:pPr>
        <w:ind w:left="284"/>
        <w:jc w:val="both"/>
        <w:rPr>
          <w:rFonts w:ascii="Times New Roman" w:hAnsi="Times New Roman"/>
          <w:sz w:val="20"/>
          <w:szCs w:val="20"/>
        </w:rPr>
      </w:pPr>
      <w:r w:rsidRPr="009170B8">
        <w:rPr>
          <w:rFonts w:ascii="Times New Roman" w:hAnsi="Times New Roman"/>
          <w:sz w:val="20"/>
          <w:szCs w:val="20"/>
        </w:rPr>
        <w:t xml:space="preserve">Fair value through profit or loss securities are initially recognised at </w:t>
      </w:r>
      <w:r w:rsidR="00F01D70" w:rsidRPr="009170B8">
        <w:rPr>
          <w:rFonts w:ascii="Times New Roman" w:hAnsi="Times New Roman"/>
          <w:sz w:val="20"/>
          <w:szCs w:val="20"/>
        </w:rPr>
        <w:t>fair value</w:t>
      </w:r>
      <w:r w:rsidRPr="009170B8">
        <w:rPr>
          <w:rFonts w:ascii="Times New Roman" w:hAnsi="Times New Roman"/>
          <w:sz w:val="20"/>
          <w:szCs w:val="20"/>
        </w:rPr>
        <w:t xml:space="preserve">, which is </w:t>
      </w:r>
      <w:r w:rsidR="00543032">
        <w:rPr>
          <w:rFonts w:ascii="Times New Roman" w:hAnsi="Times New Roman"/>
          <w:sz w:val="20"/>
          <w:szCs w:val="20"/>
        </w:rPr>
        <w:t>taken to be the cost</w:t>
      </w:r>
      <w:r w:rsidRPr="009170B8">
        <w:rPr>
          <w:rFonts w:ascii="Times New Roman" w:hAnsi="Times New Roman"/>
          <w:sz w:val="20"/>
          <w:szCs w:val="20"/>
        </w:rPr>
        <w:t>.  The securities are subsequently re-measured at fair value based on</w:t>
      </w:r>
      <w:r w:rsidR="00543032">
        <w:rPr>
          <w:rFonts w:ascii="Times New Roman" w:hAnsi="Times New Roman"/>
          <w:sz w:val="20"/>
          <w:szCs w:val="20"/>
        </w:rPr>
        <w:t xml:space="preserve"> </w:t>
      </w:r>
      <w:r w:rsidR="00180734" w:rsidRPr="00E54387">
        <w:rPr>
          <w:rFonts w:ascii="Times New Roman" w:hAnsi="Times New Roman"/>
          <w:sz w:val="20"/>
          <w:szCs w:val="20"/>
        </w:rPr>
        <w:t>quoted bid prices on the stock exchange at the Statement of Financial Position date</w:t>
      </w:r>
      <w:r w:rsidRPr="009170B8">
        <w:rPr>
          <w:rFonts w:ascii="Times New Roman" w:hAnsi="Times New Roman"/>
          <w:sz w:val="20"/>
          <w:szCs w:val="20"/>
        </w:rPr>
        <w:t>. Gains and losses arising from changes in the fair value of these securities are recognised in the Statement</w:t>
      </w:r>
      <w:r w:rsidR="00835EC7" w:rsidRPr="009170B8">
        <w:rPr>
          <w:rFonts w:ascii="Times New Roman" w:hAnsi="Times New Roman"/>
          <w:sz w:val="20"/>
          <w:szCs w:val="20"/>
        </w:rPr>
        <w:t xml:space="preserve"> of Comprehensive Income</w:t>
      </w:r>
      <w:r w:rsidRPr="009170B8">
        <w:rPr>
          <w:rFonts w:ascii="Times New Roman" w:hAnsi="Times New Roman"/>
          <w:sz w:val="20"/>
          <w:szCs w:val="20"/>
        </w:rPr>
        <w:t xml:space="preserve"> as they arise.</w:t>
      </w:r>
    </w:p>
    <w:p w:rsidR="00D22C00" w:rsidRDefault="00D22C00" w:rsidP="00225DD1">
      <w:pPr>
        <w:jc w:val="both"/>
        <w:rPr>
          <w:rFonts w:ascii="Times New Roman" w:hAnsi="Times New Roman"/>
          <w:sz w:val="20"/>
          <w:szCs w:val="20"/>
        </w:rPr>
      </w:pPr>
    </w:p>
    <w:p w:rsidR="00DA5E13" w:rsidRDefault="0019125D">
      <w:pPr>
        <w:ind w:left="284"/>
        <w:jc w:val="both"/>
        <w:rPr>
          <w:rFonts w:ascii="Times New Roman" w:hAnsi="Times New Roman"/>
          <w:sz w:val="20"/>
          <w:szCs w:val="20"/>
        </w:rPr>
      </w:pPr>
      <w:r w:rsidRPr="009170B8">
        <w:rPr>
          <w:rFonts w:ascii="Times New Roman" w:hAnsi="Times New Roman"/>
          <w:sz w:val="20"/>
          <w:szCs w:val="20"/>
        </w:rPr>
        <w:t xml:space="preserve">All purchases and sales of investments and trading securities that require delivery within the time frame established by regulation or market convention (“regular way” purchases and sales) are recognised at </w:t>
      </w:r>
      <w:r>
        <w:rPr>
          <w:rFonts w:ascii="Times New Roman" w:hAnsi="Times New Roman"/>
          <w:sz w:val="20"/>
          <w:szCs w:val="20"/>
        </w:rPr>
        <w:t xml:space="preserve">the </w:t>
      </w:r>
      <w:r w:rsidRPr="009170B8">
        <w:rPr>
          <w:rFonts w:ascii="Times New Roman" w:hAnsi="Times New Roman"/>
          <w:sz w:val="20"/>
          <w:szCs w:val="20"/>
        </w:rPr>
        <w:t xml:space="preserve">trade date, which is the date on which the Fund commits to purchase or sell the asset. In cases which are not within the time frame established by </w:t>
      </w:r>
      <w:r w:rsidR="00DA5E13" w:rsidRPr="009170B8">
        <w:rPr>
          <w:rFonts w:ascii="Times New Roman" w:hAnsi="Times New Roman"/>
          <w:sz w:val="20"/>
          <w:szCs w:val="20"/>
        </w:rPr>
        <w:t xml:space="preserve">regulation or market convention, such transactions are recognised on </w:t>
      </w:r>
      <w:r w:rsidR="00DA5E13">
        <w:rPr>
          <w:rFonts w:ascii="Times New Roman" w:hAnsi="Times New Roman"/>
          <w:sz w:val="20"/>
          <w:szCs w:val="20"/>
        </w:rPr>
        <w:t xml:space="preserve">the </w:t>
      </w:r>
      <w:r w:rsidR="00DA5E13" w:rsidRPr="009170B8">
        <w:rPr>
          <w:rFonts w:ascii="Times New Roman" w:hAnsi="Times New Roman"/>
          <w:sz w:val="20"/>
          <w:szCs w:val="20"/>
        </w:rPr>
        <w:t xml:space="preserve">settlement date.  Any change in fair value of the asset to be received is recognised between the trade date and </w:t>
      </w:r>
      <w:r w:rsidR="00DA5E13">
        <w:rPr>
          <w:rFonts w:ascii="Times New Roman" w:hAnsi="Times New Roman"/>
          <w:sz w:val="20"/>
          <w:szCs w:val="20"/>
        </w:rPr>
        <w:t xml:space="preserve">the </w:t>
      </w:r>
      <w:r w:rsidR="00DA5E13" w:rsidRPr="009170B8">
        <w:rPr>
          <w:rFonts w:ascii="Times New Roman" w:hAnsi="Times New Roman"/>
          <w:sz w:val="20"/>
          <w:szCs w:val="20"/>
        </w:rPr>
        <w:t>settlement date.</w:t>
      </w:r>
      <w:r w:rsidR="00DA5E13">
        <w:rPr>
          <w:rFonts w:ascii="Times New Roman" w:hAnsi="Times New Roman"/>
          <w:sz w:val="20"/>
          <w:szCs w:val="20"/>
        </w:rPr>
        <w:t xml:space="preserve"> </w:t>
      </w:r>
    </w:p>
    <w:p w:rsidR="001B1F99" w:rsidRPr="00E702B2" w:rsidRDefault="001B1F99" w:rsidP="00E702B2">
      <w:pPr>
        <w:jc w:val="both"/>
        <w:rPr>
          <w:rFonts w:ascii="Times New Roman" w:hAnsi="Times New Roman"/>
          <w:sz w:val="20"/>
          <w:szCs w:val="20"/>
        </w:rPr>
      </w:pPr>
    </w:p>
    <w:p w:rsidR="00E702B2" w:rsidRPr="009170B8" w:rsidRDefault="00E702B2" w:rsidP="00E702B2">
      <w:pPr>
        <w:ind w:left="284" w:hanging="284"/>
        <w:jc w:val="both"/>
        <w:rPr>
          <w:rFonts w:ascii="Times New Roman" w:hAnsi="Times New Roman"/>
          <w:b/>
          <w:sz w:val="20"/>
          <w:szCs w:val="20"/>
        </w:rPr>
      </w:pPr>
      <w:r w:rsidRPr="009170B8">
        <w:rPr>
          <w:rFonts w:ascii="Times New Roman" w:hAnsi="Times New Roman"/>
          <w:b/>
          <w:sz w:val="20"/>
          <w:szCs w:val="20"/>
        </w:rPr>
        <w:t>d.</w:t>
      </w:r>
      <w:r w:rsidRPr="009170B8">
        <w:rPr>
          <w:rFonts w:ascii="Times New Roman" w:hAnsi="Times New Roman"/>
          <w:b/>
          <w:sz w:val="20"/>
          <w:szCs w:val="20"/>
        </w:rPr>
        <w:tab/>
        <w:t>Receivables</w:t>
      </w:r>
    </w:p>
    <w:p w:rsidR="00E702B2" w:rsidRPr="009170B8" w:rsidRDefault="00DA5E13" w:rsidP="00E54387">
      <w:pPr>
        <w:ind w:left="284"/>
        <w:jc w:val="both"/>
        <w:rPr>
          <w:rFonts w:ascii="Times New Roman" w:hAnsi="Times New Roman"/>
          <w:sz w:val="20"/>
          <w:szCs w:val="20"/>
        </w:rPr>
      </w:pPr>
      <w:r w:rsidRPr="00AC5183">
        <w:rPr>
          <w:rFonts w:ascii="Times New Roman" w:hAnsi="Times New Roman"/>
          <w:sz w:val="20"/>
          <w:szCs w:val="20"/>
        </w:rPr>
        <w:t>Trade and other receivables are recognised when the company becomes a party to the contractual provisions of the</w:t>
      </w:r>
      <w:r w:rsidR="00AA6147">
        <w:rPr>
          <w:rFonts w:ascii="Times New Roman" w:hAnsi="Times New Roman"/>
          <w:sz w:val="20"/>
          <w:szCs w:val="20"/>
        </w:rPr>
        <w:t xml:space="preserve"> </w:t>
      </w:r>
      <w:r w:rsidRPr="00AC5183">
        <w:rPr>
          <w:rFonts w:ascii="Times New Roman" w:hAnsi="Times New Roman"/>
          <w:sz w:val="20"/>
          <w:szCs w:val="20"/>
        </w:rPr>
        <w:t>receivables. They are measured, at initial recognition, at fair value plus transaction costs, if any.</w:t>
      </w:r>
      <w:r>
        <w:rPr>
          <w:rFonts w:ascii="Times New Roman" w:hAnsi="Times New Roman"/>
          <w:sz w:val="20"/>
          <w:szCs w:val="20"/>
        </w:rPr>
        <w:t xml:space="preserve"> </w:t>
      </w:r>
      <w:r w:rsidRPr="00AC5183">
        <w:rPr>
          <w:rFonts w:ascii="Times New Roman" w:hAnsi="Times New Roman"/>
          <w:sz w:val="20"/>
          <w:szCs w:val="20"/>
        </w:rPr>
        <w:t>They are subsequently measured at amortised cost.</w:t>
      </w:r>
      <w:r>
        <w:rPr>
          <w:rFonts w:ascii="Times New Roman" w:hAnsi="Times New Roman"/>
          <w:sz w:val="20"/>
          <w:szCs w:val="20"/>
        </w:rPr>
        <w:t xml:space="preserve"> </w:t>
      </w:r>
      <w:r w:rsidRPr="00AC5183">
        <w:rPr>
          <w:rFonts w:ascii="Times New Roman" w:hAnsi="Times New Roman"/>
          <w:sz w:val="20"/>
          <w:szCs w:val="20"/>
        </w:rPr>
        <w:t>The amortised cost is the amount recognised on the receivable initially, minus principal repayments, plus cumulative</w:t>
      </w:r>
      <w:r>
        <w:rPr>
          <w:rFonts w:ascii="Times New Roman" w:hAnsi="Times New Roman"/>
          <w:sz w:val="20"/>
          <w:szCs w:val="20"/>
        </w:rPr>
        <w:t xml:space="preserve"> </w:t>
      </w:r>
      <w:r w:rsidRPr="00AC5183">
        <w:rPr>
          <w:rFonts w:ascii="Times New Roman" w:hAnsi="Times New Roman"/>
          <w:sz w:val="20"/>
          <w:szCs w:val="20"/>
        </w:rPr>
        <w:t>amortisation (interest) using the effective interest method (except for short term receivables where the recognition of interest would be immaterial) of any difference between the initial amount and the maturity amount, adjusted for any loss allowance.</w:t>
      </w:r>
    </w:p>
    <w:p w:rsidR="00E702B2" w:rsidRPr="00E702B2" w:rsidRDefault="00E702B2" w:rsidP="00E702B2">
      <w:pPr>
        <w:jc w:val="both"/>
        <w:rPr>
          <w:rFonts w:ascii="Times New Roman" w:hAnsi="Times New Roman"/>
          <w:sz w:val="20"/>
          <w:szCs w:val="20"/>
        </w:rPr>
      </w:pPr>
    </w:p>
    <w:p w:rsidR="00FE09C7" w:rsidRPr="00E5676A" w:rsidRDefault="0008270C" w:rsidP="00E5676A">
      <w:pPr>
        <w:ind w:left="284" w:hanging="284"/>
        <w:jc w:val="both"/>
        <w:rPr>
          <w:rFonts w:ascii="Times New Roman" w:hAnsi="Times New Roman"/>
          <w:b/>
          <w:sz w:val="20"/>
          <w:szCs w:val="20"/>
        </w:rPr>
      </w:pPr>
      <w:r w:rsidRPr="009170B8">
        <w:rPr>
          <w:rFonts w:ascii="Times New Roman" w:hAnsi="Times New Roman"/>
          <w:b/>
          <w:sz w:val="20"/>
          <w:szCs w:val="20"/>
        </w:rPr>
        <w:t>e.</w:t>
      </w:r>
      <w:r w:rsidR="001B1F99">
        <w:rPr>
          <w:rFonts w:ascii="Times New Roman" w:hAnsi="Times New Roman"/>
          <w:b/>
          <w:sz w:val="20"/>
          <w:szCs w:val="20"/>
        </w:rPr>
        <w:t xml:space="preserve">   </w:t>
      </w:r>
      <w:r w:rsidRPr="009170B8">
        <w:rPr>
          <w:rFonts w:ascii="Times New Roman" w:hAnsi="Times New Roman"/>
          <w:b/>
          <w:sz w:val="20"/>
          <w:szCs w:val="20"/>
        </w:rPr>
        <w:t>Prepayments</w:t>
      </w:r>
    </w:p>
    <w:p w:rsidR="00781EBA" w:rsidRDefault="0008270C" w:rsidP="00781EBA">
      <w:pPr>
        <w:ind w:left="284"/>
        <w:jc w:val="both"/>
        <w:rPr>
          <w:rFonts w:ascii="Times New Roman" w:hAnsi="Times New Roman"/>
          <w:sz w:val="20"/>
          <w:szCs w:val="20"/>
        </w:rPr>
      </w:pPr>
      <w:r w:rsidRPr="009170B8">
        <w:rPr>
          <w:rFonts w:ascii="Times New Roman" w:hAnsi="Times New Roman"/>
          <w:sz w:val="20"/>
          <w:szCs w:val="20"/>
        </w:rPr>
        <w:t>Prepayments comprise amounts paid in advance</w:t>
      </w:r>
      <w:r w:rsidR="00E53C80">
        <w:rPr>
          <w:rFonts w:ascii="Times New Roman" w:hAnsi="Times New Roman"/>
          <w:sz w:val="20"/>
          <w:szCs w:val="20"/>
        </w:rPr>
        <w:t xml:space="preserve"> including, but not limited to, payments </w:t>
      </w:r>
      <w:r w:rsidRPr="009170B8">
        <w:rPr>
          <w:rFonts w:ascii="Times New Roman" w:hAnsi="Times New Roman"/>
          <w:sz w:val="20"/>
          <w:szCs w:val="20"/>
        </w:rPr>
        <w:t xml:space="preserve">for </w:t>
      </w:r>
      <w:r w:rsidR="00572843" w:rsidRPr="009170B8">
        <w:rPr>
          <w:rFonts w:ascii="Times New Roman" w:hAnsi="Times New Roman"/>
          <w:sz w:val="20"/>
          <w:szCs w:val="20"/>
        </w:rPr>
        <w:t>insurance</w:t>
      </w:r>
      <w:r w:rsidR="00995FF6" w:rsidRPr="009170B8">
        <w:rPr>
          <w:rFonts w:ascii="Times New Roman" w:hAnsi="Times New Roman"/>
          <w:sz w:val="20"/>
          <w:szCs w:val="20"/>
        </w:rPr>
        <w:t>, listing fees</w:t>
      </w:r>
      <w:r w:rsidR="00B21EC2" w:rsidRPr="009170B8">
        <w:rPr>
          <w:rFonts w:ascii="Times New Roman" w:hAnsi="Times New Roman"/>
          <w:sz w:val="20"/>
          <w:szCs w:val="20"/>
        </w:rPr>
        <w:t xml:space="preserve"> and AIC membership fees</w:t>
      </w:r>
      <w:r w:rsidRPr="009170B8">
        <w:rPr>
          <w:rFonts w:ascii="Times New Roman" w:hAnsi="Times New Roman"/>
          <w:sz w:val="20"/>
          <w:szCs w:val="20"/>
        </w:rPr>
        <w:t xml:space="preserve">.  Payments are expensed to the </w:t>
      </w:r>
      <w:r w:rsidR="00B4238D" w:rsidRPr="009170B8">
        <w:rPr>
          <w:rFonts w:ascii="Times New Roman" w:hAnsi="Times New Roman"/>
          <w:sz w:val="20"/>
          <w:szCs w:val="20"/>
        </w:rPr>
        <w:t>Statement of Comprehensive Income</w:t>
      </w:r>
      <w:r w:rsidRPr="009170B8">
        <w:rPr>
          <w:rFonts w:ascii="Times New Roman" w:hAnsi="Times New Roman"/>
          <w:sz w:val="20"/>
          <w:szCs w:val="20"/>
        </w:rPr>
        <w:t xml:space="preserve"> over the period </w:t>
      </w:r>
      <w:r w:rsidR="00781EBA">
        <w:rPr>
          <w:rFonts w:ascii="Times New Roman" w:hAnsi="Times New Roman"/>
          <w:sz w:val="20"/>
          <w:szCs w:val="20"/>
        </w:rPr>
        <w:t xml:space="preserve">for </w:t>
      </w:r>
      <w:r w:rsidRPr="009170B8">
        <w:rPr>
          <w:rFonts w:ascii="Times New Roman" w:hAnsi="Times New Roman"/>
          <w:sz w:val="20"/>
          <w:szCs w:val="20"/>
        </w:rPr>
        <w:t xml:space="preserve">which the Fund </w:t>
      </w:r>
      <w:r w:rsidR="000620E4">
        <w:rPr>
          <w:rFonts w:ascii="Times New Roman" w:hAnsi="Times New Roman"/>
          <w:sz w:val="20"/>
          <w:szCs w:val="20"/>
        </w:rPr>
        <w:t>is</w:t>
      </w:r>
      <w:r w:rsidR="002D15D2">
        <w:rPr>
          <w:rFonts w:ascii="Times New Roman" w:hAnsi="Times New Roman"/>
          <w:sz w:val="20"/>
          <w:szCs w:val="20"/>
        </w:rPr>
        <w:t xml:space="preserve"> </w:t>
      </w:r>
      <w:r w:rsidRPr="009170B8">
        <w:rPr>
          <w:rFonts w:ascii="Times New Roman" w:hAnsi="Times New Roman"/>
          <w:sz w:val="20"/>
          <w:szCs w:val="20"/>
        </w:rPr>
        <w:t xml:space="preserve">receiving the benefit of </w:t>
      </w:r>
      <w:r w:rsidR="00781EBA">
        <w:rPr>
          <w:rFonts w:ascii="Times New Roman" w:hAnsi="Times New Roman"/>
          <w:sz w:val="20"/>
          <w:szCs w:val="20"/>
        </w:rPr>
        <w:t>th</w:t>
      </w:r>
      <w:r w:rsidR="004D4660">
        <w:rPr>
          <w:rFonts w:ascii="Times New Roman" w:hAnsi="Times New Roman"/>
          <w:sz w:val="20"/>
          <w:szCs w:val="20"/>
        </w:rPr>
        <w:t>e</w:t>
      </w:r>
      <w:r w:rsidR="00781EBA">
        <w:rPr>
          <w:rFonts w:ascii="Times New Roman" w:hAnsi="Times New Roman"/>
          <w:sz w:val="20"/>
          <w:szCs w:val="20"/>
        </w:rPr>
        <w:t>s</w:t>
      </w:r>
      <w:r w:rsidR="004D4660">
        <w:rPr>
          <w:rFonts w:ascii="Times New Roman" w:hAnsi="Times New Roman"/>
          <w:sz w:val="20"/>
          <w:szCs w:val="20"/>
        </w:rPr>
        <w:t>e</w:t>
      </w:r>
      <w:r w:rsidR="00781EBA">
        <w:rPr>
          <w:rFonts w:ascii="Times New Roman" w:hAnsi="Times New Roman"/>
          <w:sz w:val="20"/>
          <w:szCs w:val="20"/>
        </w:rPr>
        <w:t xml:space="preserve"> expenditure</w:t>
      </w:r>
      <w:r w:rsidR="00D10139">
        <w:rPr>
          <w:rFonts w:ascii="Times New Roman" w:hAnsi="Times New Roman"/>
          <w:sz w:val="20"/>
          <w:szCs w:val="20"/>
        </w:rPr>
        <w:t>s</w:t>
      </w:r>
      <w:r w:rsidRPr="009170B8">
        <w:rPr>
          <w:rFonts w:ascii="Times New Roman" w:hAnsi="Times New Roman"/>
          <w:sz w:val="20"/>
          <w:szCs w:val="20"/>
        </w:rPr>
        <w:t>.</w:t>
      </w:r>
      <w:r w:rsidR="00781EBA">
        <w:rPr>
          <w:rFonts w:ascii="Times New Roman" w:hAnsi="Times New Roman"/>
          <w:sz w:val="20"/>
          <w:szCs w:val="20"/>
        </w:rPr>
        <w:t xml:space="preserve"> </w:t>
      </w:r>
    </w:p>
    <w:p w:rsidR="000620E4" w:rsidRPr="009170B8" w:rsidRDefault="000620E4" w:rsidP="00781EBA">
      <w:pPr>
        <w:ind w:left="284"/>
        <w:jc w:val="both"/>
        <w:rPr>
          <w:rFonts w:ascii="Times New Roman" w:hAnsi="Times New Roman"/>
          <w:sz w:val="20"/>
          <w:szCs w:val="20"/>
        </w:rPr>
      </w:pPr>
    </w:p>
    <w:p w:rsidR="00F83AC2" w:rsidRPr="009170B8" w:rsidRDefault="00F83AC2" w:rsidP="00584A42">
      <w:pPr>
        <w:ind w:left="284" w:hanging="284"/>
        <w:jc w:val="both"/>
        <w:rPr>
          <w:rFonts w:ascii="Times New Roman" w:hAnsi="Times New Roman"/>
          <w:b/>
          <w:sz w:val="20"/>
          <w:szCs w:val="20"/>
        </w:rPr>
      </w:pPr>
      <w:r w:rsidRPr="009170B8">
        <w:rPr>
          <w:rFonts w:ascii="Times New Roman" w:hAnsi="Times New Roman"/>
          <w:b/>
          <w:sz w:val="20"/>
          <w:szCs w:val="20"/>
        </w:rPr>
        <w:t>f.</w:t>
      </w:r>
      <w:r w:rsidRPr="009170B8">
        <w:rPr>
          <w:rFonts w:ascii="Times New Roman" w:hAnsi="Times New Roman"/>
          <w:b/>
          <w:sz w:val="20"/>
          <w:szCs w:val="20"/>
        </w:rPr>
        <w:tab/>
        <w:t>Cash and cash equivalents</w:t>
      </w:r>
    </w:p>
    <w:p w:rsidR="00C02D03" w:rsidRPr="009170B8" w:rsidRDefault="00F83AC2" w:rsidP="00584A42">
      <w:pPr>
        <w:ind w:left="284"/>
        <w:jc w:val="both"/>
        <w:rPr>
          <w:rFonts w:ascii="Times New Roman" w:hAnsi="Times New Roman"/>
          <w:sz w:val="20"/>
          <w:szCs w:val="20"/>
        </w:rPr>
      </w:pPr>
      <w:r w:rsidRPr="009170B8">
        <w:rPr>
          <w:rFonts w:ascii="Times New Roman" w:hAnsi="Times New Roman"/>
          <w:sz w:val="20"/>
          <w:szCs w:val="20"/>
        </w:rPr>
        <w:t xml:space="preserve">Cash includes amounts held in interest bearing accounts.  Cash and cash equivalents comprise bank balances and cash held by the Fund.  The carrying value of these assets approximates their fair value.  </w:t>
      </w:r>
    </w:p>
    <w:p w:rsidR="0039289A" w:rsidRPr="009170B8" w:rsidRDefault="0039289A" w:rsidP="00584A42">
      <w:pPr>
        <w:ind w:left="284"/>
        <w:jc w:val="both"/>
        <w:rPr>
          <w:rFonts w:ascii="Times New Roman" w:hAnsi="Times New Roman"/>
          <w:sz w:val="20"/>
          <w:szCs w:val="20"/>
        </w:rPr>
      </w:pPr>
    </w:p>
    <w:p w:rsidR="00584A42" w:rsidRPr="009170B8" w:rsidRDefault="00584A42" w:rsidP="00584A42">
      <w:pPr>
        <w:ind w:left="284" w:hanging="284"/>
        <w:jc w:val="both"/>
        <w:rPr>
          <w:rFonts w:ascii="Times New Roman" w:hAnsi="Times New Roman"/>
          <w:b/>
          <w:sz w:val="20"/>
          <w:szCs w:val="20"/>
        </w:rPr>
      </w:pPr>
      <w:r w:rsidRPr="009170B8">
        <w:rPr>
          <w:rFonts w:ascii="Times New Roman" w:hAnsi="Times New Roman"/>
          <w:b/>
          <w:sz w:val="20"/>
          <w:szCs w:val="20"/>
        </w:rPr>
        <w:t>g.</w:t>
      </w:r>
      <w:r w:rsidRPr="009170B8">
        <w:rPr>
          <w:rFonts w:ascii="Times New Roman" w:hAnsi="Times New Roman"/>
          <w:b/>
          <w:sz w:val="20"/>
          <w:szCs w:val="20"/>
        </w:rPr>
        <w:tab/>
        <w:t>Provisions</w:t>
      </w:r>
    </w:p>
    <w:p w:rsidR="00F77704" w:rsidRPr="009170B8" w:rsidRDefault="00584A42" w:rsidP="00584A42">
      <w:pPr>
        <w:ind w:left="284"/>
        <w:jc w:val="both"/>
        <w:rPr>
          <w:rFonts w:ascii="Times New Roman" w:hAnsi="Times New Roman"/>
          <w:b/>
          <w:sz w:val="24"/>
        </w:rPr>
      </w:pPr>
      <w:r w:rsidRPr="009170B8">
        <w:rPr>
          <w:rFonts w:ascii="Times New Roman" w:hAnsi="Times New Roman"/>
          <w:sz w:val="20"/>
          <w:szCs w:val="20"/>
        </w:rPr>
        <w:t>A provision is recognised when the Fund has a legal or constructive obligation as a result of a past event and it is probable that an outflow of economic benefits will be required to settle the obligations.</w:t>
      </w:r>
    </w:p>
    <w:p w:rsidR="000D7F18" w:rsidRPr="00E5676A" w:rsidRDefault="000D7F18" w:rsidP="00E5676A">
      <w:pPr>
        <w:ind w:left="284"/>
        <w:jc w:val="both"/>
        <w:rPr>
          <w:rFonts w:ascii="Times New Roman" w:hAnsi="Times New Roman"/>
          <w:sz w:val="20"/>
          <w:szCs w:val="20"/>
        </w:rPr>
      </w:pPr>
    </w:p>
    <w:p w:rsidR="009B7E1B" w:rsidRPr="009170B8" w:rsidRDefault="009B7E1B" w:rsidP="009B7E1B">
      <w:pPr>
        <w:ind w:left="284" w:hanging="284"/>
        <w:jc w:val="both"/>
        <w:rPr>
          <w:rFonts w:ascii="Times New Roman" w:hAnsi="Times New Roman"/>
          <w:b/>
          <w:sz w:val="20"/>
          <w:szCs w:val="20"/>
        </w:rPr>
      </w:pPr>
      <w:r w:rsidRPr="009170B8">
        <w:rPr>
          <w:rFonts w:ascii="Times New Roman" w:hAnsi="Times New Roman"/>
          <w:b/>
          <w:sz w:val="20"/>
          <w:szCs w:val="20"/>
        </w:rPr>
        <w:t>h.</w:t>
      </w:r>
      <w:r w:rsidRPr="009170B8">
        <w:rPr>
          <w:rFonts w:ascii="Times New Roman" w:hAnsi="Times New Roman"/>
          <w:b/>
          <w:sz w:val="20"/>
          <w:szCs w:val="20"/>
        </w:rPr>
        <w:tab/>
        <w:t>Share capital</w:t>
      </w:r>
    </w:p>
    <w:p w:rsidR="00961DC0" w:rsidRPr="000D7F18" w:rsidRDefault="009B7E1B" w:rsidP="000D7F18">
      <w:pPr>
        <w:ind w:left="284"/>
        <w:jc w:val="both"/>
        <w:rPr>
          <w:rFonts w:ascii="Times New Roman" w:hAnsi="Times New Roman"/>
          <w:sz w:val="20"/>
          <w:szCs w:val="20"/>
        </w:rPr>
      </w:pPr>
      <w:r w:rsidRPr="009170B8">
        <w:rPr>
          <w:rFonts w:ascii="Times New Roman" w:hAnsi="Times New Roman"/>
          <w:sz w:val="20"/>
          <w:szCs w:val="20"/>
        </w:rPr>
        <w:t>Redeemable participating preference shares are only redeem</w:t>
      </w:r>
      <w:r w:rsidR="00AB52D6" w:rsidRPr="009170B8">
        <w:rPr>
          <w:rFonts w:ascii="Times New Roman" w:hAnsi="Times New Roman"/>
          <w:sz w:val="20"/>
          <w:szCs w:val="20"/>
        </w:rPr>
        <w:t>able at the sole option of the d</w:t>
      </w:r>
      <w:r w:rsidRPr="009170B8">
        <w:rPr>
          <w:rFonts w:ascii="Times New Roman" w:hAnsi="Times New Roman"/>
          <w:sz w:val="20"/>
          <w:szCs w:val="20"/>
        </w:rPr>
        <w:t xml:space="preserve">irectors, participate in the net income of the Fund during its life and are classified as equity in line with IAS 32 (see Note </w:t>
      </w:r>
      <w:r w:rsidR="000A4A71" w:rsidRPr="009170B8">
        <w:rPr>
          <w:rFonts w:ascii="Times New Roman" w:hAnsi="Times New Roman"/>
          <w:sz w:val="20"/>
          <w:szCs w:val="20"/>
        </w:rPr>
        <w:t>6</w:t>
      </w:r>
      <w:r w:rsidRPr="009170B8">
        <w:rPr>
          <w:rFonts w:ascii="Times New Roman" w:hAnsi="Times New Roman"/>
          <w:sz w:val="20"/>
          <w:szCs w:val="20"/>
        </w:rPr>
        <w:t xml:space="preserve">). </w:t>
      </w:r>
    </w:p>
    <w:p w:rsidR="00961DC0" w:rsidRPr="009170B8" w:rsidRDefault="00961DC0" w:rsidP="00E5676A">
      <w:pPr>
        <w:ind w:left="284"/>
        <w:jc w:val="both"/>
        <w:rPr>
          <w:rFonts w:ascii="Times New Roman" w:hAnsi="Times New Roman"/>
          <w:sz w:val="20"/>
          <w:szCs w:val="20"/>
        </w:rPr>
      </w:pPr>
    </w:p>
    <w:p w:rsidR="009B7E1B" w:rsidRPr="009170B8" w:rsidRDefault="009B7E1B" w:rsidP="009B7E1B">
      <w:pPr>
        <w:ind w:left="284" w:hanging="284"/>
        <w:jc w:val="both"/>
        <w:rPr>
          <w:rFonts w:ascii="Times New Roman" w:hAnsi="Times New Roman"/>
          <w:b/>
          <w:sz w:val="20"/>
          <w:szCs w:val="20"/>
        </w:rPr>
      </w:pPr>
      <w:proofErr w:type="spellStart"/>
      <w:r w:rsidRPr="009170B8">
        <w:rPr>
          <w:rFonts w:ascii="Times New Roman" w:hAnsi="Times New Roman"/>
          <w:b/>
          <w:sz w:val="20"/>
          <w:szCs w:val="20"/>
        </w:rPr>
        <w:t>i</w:t>
      </w:r>
      <w:proofErr w:type="spellEnd"/>
      <w:r w:rsidRPr="009170B8">
        <w:rPr>
          <w:rFonts w:ascii="Times New Roman" w:hAnsi="Times New Roman"/>
          <w:b/>
          <w:sz w:val="20"/>
          <w:szCs w:val="20"/>
        </w:rPr>
        <w:t>.</w:t>
      </w:r>
      <w:r w:rsidRPr="009170B8">
        <w:rPr>
          <w:rFonts w:ascii="Times New Roman" w:hAnsi="Times New Roman"/>
          <w:b/>
          <w:sz w:val="20"/>
          <w:szCs w:val="20"/>
        </w:rPr>
        <w:tab/>
        <w:t>Net asset value per redeemable participating preference share</w:t>
      </w:r>
    </w:p>
    <w:p w:rsidR="00FA0976" w:rsidRPr="00961DC0" w:rsidRDefault="009B7E1B" w:rsidP="00961DC0">
      <w:pPr>
        <w:ind w:left="284"/>
        <w:jc w:val="both"/>
        <w:rPr>
          <w:rFonts w:ascii="Times New Roman" w:hAnsi="Times New Roman"/>
          <w:sz w:val="20"/>
          <w:szCs w:val="20"/>
        </w:rPr>
      </w:pPr>
      <w:r w:rsidRPr="009170B8">
        <w:rPr>
          <w:rFonts w:ascii="Times New Roman" w:hAnsi="Times New Roman"/>
          <w:sz w:val="20"/>
          <w:szCs w:val="20"/>
        </w:rPr>
        <w:t xml:space="preserve">The net asset value per redeemable participating preference share is calculated by dividing the net assets attributable to redeemable participating preference shareholders included in the </w:t>
      </w:r>
      <w:r w:rsidR="00515455" w:rsidRPr="009170B8">
        <w:rPr>
          <w:rFonts w:ascii="Times New Roman" w:hAnsi="Times New Roman"/>
          <w:sz w:val="20"/>
          <w:szCs w:val="20"/>
        </w:rPr>
        <w:t>Statement of Financial Position</w:t>
      </w:r>
      <w:r w:rsidRPr="009170B8">
        <w:rPr>
          <w:rFonts w:ascii="Times New Roman" w:hAnsi="Times New Roman"/>
          <w:sz w:val="20"/>
          <w:szCs w:val="20"/>
        </w:rPr>
        <w:t xml:space="preserve"> by the number of redeemable participating preference shares in issue at the year end.</w:t>
      </w:r>
    </w:p>
    <w:p w:rsidR="008D7806" w:rsidRPr="00E5676A" w:rsidRDefault="008D7806" w:rsidP="00E5676A">
      <w:pPr>
        <w:ind w:left="284"/>
        <w:jc w:val="both"/>
        <w:rPr>
          <w:rFonts w:ascii="Times New Roman" w:hAnsi="Times New Roman"/>
          <w:sz w:val="20"/>
          <w:szCs w:val="20"/>
        </w:rPr>
      </w:pPr>
    </w:p>
    <w:p w:rsidR="007822CA" w:rsidRPr="009170B8" w:rsidRDefault="007822CA" w:rsidP="007822CA">
      <w:pPr>
        <w:ind w:left="284" w:hanging="284"/>
        <w:rPr>
          <w:rFonts w:ascii="Times New Roman" w:hAnsi="Times New Roman"/>
          <w:b/>
          <w:sz w:val="20"/>
          <w:szCs w:val="20"/>
        </w:rPr>
      </w:pPr>
      <w:r w:rsidRPr="009170B8">
        <w:rPr>
          <w:rFonts w:ascii="Times New Roman" w:hAnsi="Times New Roman"/>
          <w:b/>
          <w:sz w:val="20"/>
          <w:szCs w:val="20"/>
        </w:rPr>
        <w:t xml:space="preserve">j. </w:t>
      </w:r>
      <w:r w:rsidRPr="009170B8">
        <w:rPr>
          <w:rFonts w:ascii="Times New Roman" w:hAnsi="Times New Roman"/>
          <w:b/>
          <w:sz w:val="20"/>
          <w:szCs w:val="20"/>
        </w:rPr>
        <w:tab/>
        <w:t>Issue costs</w:t>
      </w:r>
    </w:p>
    <w:p w:rsidR="007822CA" w:rsidRPr="009170B8" w:rsidRDefault="007822CA" w:rsidP="007822CA">
      <w:pPr>
        <w:pStyle w:val="BodyText"/>
        <w:tabs>
          <w:tab w:val="clear" w:pos="3402"/>
          <w:tab w:val="clear" w:pos="8222"/>
        </w:tabs>
        <w:ind w:left="284"/>
        <w:rPr>
          <w:rFonts w:ascii="Times New Roman" w:hAnsi="Times New Roman"/>
        </w:rPr>
      </w:pPr>
      <w:r w:rsidRPr="009170B8">
        <w:rPr>
          <w:rFonts w:ascii="Times New Roman" w:hAnsi="Times New Roman"/>
        </w:rPr>
        <w:t>The expenditure directly attributable to the launch of the Fund’s shares and all other costs incurred on the launch and subsequent issues of the Fund’s shares are written-off immediately against proceeds raised.</w:t>
      </w:r>
    </w:p>
    <w:p w:rsidR="00C96F7B" w:rsidRDefault="00C96F7B" w:rsidP="00E54387">
      <w:pPr>
        <w:jc w:val="both"/>
        <w:rPr>
          <w:rFonts w:ascii="Times New Roman" w:hAnsi="Times New Roman"/>
          <w:sz w:val="20"/>
          <w:szCs w:val="20"/>
        </w:rPr>
      </w:pPr>
    </w:p>
    <w:p w:rsidR="00D67909" w:rsidRDefault="00D67909" w:rsidP="00E54387">
      <w:pPr>
        <w:jc w:val="both"/>
        <w:rPr>
          <w:rFonts w:ascii="Times New Roman" w:hAnsi="Times New Roman"/>
          <w:sz w:val="20"/>
          <w:szCs w:val="20"/>
        </w:rPr>
      </w:pPr>
    </w:p>
    <w:p w:rsidR="00E54387" w:rsidRDefault="00E54387" w:rsidP="00E54387">
      <w:pPr>
        <w:jc w:val="both"/>
        <w:rPr>
          <w:rFonts w:ascii="Times New Roman" w:hAnsi="Times New Roman"/>
          <w:sz w:val="20"/>
          <w:szCs w:val="20"/>
        </w:rPr>
      </w:pPr>
    </w:p>
    <w:p w:rsidR="00E54387" w:rsidRDefault="00E54387" w:rsidP="00E54387">
      <w:pPr>
        <w:jc w:val="both"/>
        <w:rPr>
          <w:rFonts w:ascii="Times New Roman" w:hAnsi="Times New Roman"/>
          <w:sz w:val="20"/>
          <w:szCs w:val="20"/>
        </w:rPr>
      </w:pPr>
    </w:p>
    <w:p w:rsidR="00C96F7B" w:rsidRPr="009170B8" w:rsidRDefault="00C96F7B" w:rsidP="00C96F7B">
      <w:pPr>
        <w:rPr>
          <w:rFonts w:ascii="Times New Roman" w:hAnsi="Times New Roman"/>
          <w:b/>
        </w:rPr>
      </w:pPr>
      <w:r w:rsidRPr="009170B8">
        <w:rPr>
          <w:rFonts w:ascii="Times New Roman" w:hAnsi="Times New Roman"/>
          <w:b/>
        </w:rPr>
        <w:t>Notes to the Financial Statements</w:t>
      </w:r>
      <w:r>
        <w:rPr>
          <w:rFonts w:ascii="Times New Roman" w:hAnsi="Times New Roman"/>
          <w:b/>
        </w:rPr>
        <w:t xml:space="preserve"> of the Fund</w:t>
      </w:r>
      <w:r w:rsidRPr="009170B8">
        <w:rPr>
          <w:rFonts w:ascii="Times New Roman" w:hAnsi="Times New Roman"/>
          <w:b/>
        </w:rPr>
        <w:t xml:space="preserve"> (continued)</w:t>
      </w:r>
    </w:p>
    <w:p w:rsidR="00C96F7B" w:rsidRPr="00702118" w:rsidRDefault="00C96F7B" w:rsidP="00C96F7B">
      <w:pPr>
        <w:rPr>
          <w:rFonts w:ascii="Times New Roman" w:hAnsi="Times New Roman"/>
          <w:b/>
          <w:sz w:val="20"/>
          <w:szCs w:val="20"/>
        </w:rPr>
      </w:pPr>
      <w:r w:rsidRPr="009170B8">
        <w:rPr>
          <w:rFonts w:ascii="Times New Roman" w:hAnsi="Times New Roman"/>
          <w:b/>
          <w:sz w:val="20"/>
          <w:szCs w:val="20"/>
        </w:rPr>
        <w:t xml:space="preserve">For the year </w:t>
      </w:r>
      <w:r w:rsidRPr="00B46F2F">
        <w:rPr>
          <w:rFonts w:ascii="Times New Roman" w:hAnsi="Times New Roman"/>
          <w:b/>
          <w:sz w:val="20"/>
          <w:szCs w:val="20"/>
        </w:rPr>
        <w:t>ended 31 December 201</w:t>
      </w:r>
      <w:r>
        <w:rPr>
          <w:rFonts w:ascii="Times New Roman" w:hAnsi="Times New Roman"/>
          <w:b/>
          <w:sz w:val="20"/>
          <w:szCs w:val="20"/>
        </w:rPr>
        <w:t>8</w:t>
      </w:r>
    </w:p>
    <w:p w:rsidR="00C96F7B" w:rsidRPr="00E5676A" w:rsidRDefault="00C96F7B" w:rsidP="00E5676A">
      <w:pPr>
        <w:ind w:left="284"/>
        <w:jc w:val="both"/>
        <w:rPr>
          <w:rFonts w:ascii="Times New Roman" w:hAnsi="Times New Roman"/>
          <w:sz w:val="20"/>
          <w:szCs w:val="20"/>
        </w:rPr>
      </w:pPr>
    </w:p>
    <w:p w:rsidR="00320243" w:rsidRPr="009170B8" w:rsidRDefault="00320243" w:rsidP="00FA0976">
      <w:pPr>
        <w:jc w:val="both"/>
        <w:rPr>
          <w:rFonts w:ascii="Times New Roman" w:hAnsi="Times New Roman"/>
          <w:b/>
          <w:sz w:val="20"/>
          <w:szCs w:val="20"/>
        </w:rPr>
      </w:pPr>
      <w:r w:rsidRPr="009170B8">
        <w:rPr>
          <w:rFonts w:ascii="Times New Roman" w:hAnsi="Times New Roman"/>
          <w:b/>
          <w:sz w:val="20"/>
          <w:szCs w:val="20"/>
        </w:rPr>
        <w:t xml:space="preserve">k.  </w:t>
      </w:r>
      <w:r w:rsidR="004A6B7B">
        <w:rPr>
          <w:rFonts w:ascii="Times New Roman" w:hAnsi="Times New Roman"/>
          <w:b/>
          <w:sz w:val="20"/>
          <w:szCs w:val="20"/>
        </w:rPr>
        <w:t xml:space="preserve"> </w:t>
      </w:r>
      <w:r w:rsidRPr="009170B8">
        <w:rPr>
          <w:rFonts w:ascii="Times New Roman" w:hAnsi="Times New Roman"/>
          <w:b/>
          <w:sz w:val="20"/>
          <w:szCs w:val="20"/>
        </w:rPr>
        <w:t>Administration and secretarial fees</w:t>
      </w:r>
    </w:p>
    <w:p w:rsidR="00DA5E13" w:rsidRDefault="00320243" w:rsidP="00320243">
      <w:pPr>
        <w:ind w:left="284"/>
        <w:jc w:val="both"/>
        <w:rPr>
          <w:rFonts w:ascii="Times New Roman" w:hAnsi="Times New Roman"/>
          <w:sz w:val="20"/>
          <w:szCs w:val="20"/>
        </w:rPr>
      </w:pPr>
      <w:r w:rsidRPr="009170B8">
        <w:rPr>
          <w:rFonts w:ascii="Times New Roman" w:hAnsi="Times New Roman"/>
          <w:sz w:val="20"/>
          <w:szCs w:val="20"/>
        </w:rPr>
        <w:t xml:space="preserve">Under the provisions of the Administration Agreement dated 18 August 2011 between the Fund and  </w:t>
      </w:r>
      <w:r w:rsidR="00FB1052" w:rsidRPr="00FB1052">
        <w:rPr>
          <w:rFonts w:ascii="Times New Roman" w:hAnsi="Times New Roman"/>
          <w:sz w:val="20"/>
          <w:szCs w:val="20"/>
        </w:rPr>
        <w:t>JTC Fund Solutions (Jersey) Limited</w:t>
      </w:r>
      <w:r w:rsidR="00B14322">
        <w:rPr>
          <w:rFonts w:ascii="Times New Roman" w:hAnsi="Times New Roman"/>
          <w:sz w:val="20"/>
          <w:szCs w:val="20"/>
        </w:rPr>
        <w:t xml:space="preserve"> </w:t>
      </w:r>
      <w:r w:rsidR="00E24A68">
        <w:rPr>
          <w:rFonts w:ascii="Times New Roman" w:hAnsi="Times New Roman"/>
          <w:sz w:val="20"/>
          <w:szCs w:val="20"/>
        </w:rPr>
        <w:t>(</w:t>
      </w:r>
      <w:r w:rsidR="00225DD1">
        <w:rPr>
          <w:rFonts w:ascii="Times New Roman" w:hAnsi="Times New Roman"/>
          <w:sz w:val="20"/>
          <w:szCs w:val="20"/>
        </w:rPr>
        <w:t>“</w:t>
      </w:r>
      <w:r w:rsidR="00B14322">
        <w:rPr>
          <w:rFonts w:ascii="Times New Roman" w:hAnsi="Times New Roman"/>
          <w:sz w:val="20"/>
          <w:szCs w:val="20"/>
        </w:rPr>
        <w:t>JTCFSJL</w:t>
      </w:r>
      <w:r w:rsidR="00225DD1">
        <w:rPr>
          <w:rFonts w:ascii="Times New Roman" w:hAnsi="Times New Roman"/>
          <w:sz w:val="20"/>
          <w:szCs w:val="20"/>
        </w:rPr>
        <w:t>”</w:t>
      </w:r>
      <w:r w:rsidR="00E24A68">
        <w:rPr>
          <w:rFonts w:ascii="Times New Roman" w:hAnsi="Times New Roman"/>
          <w:sz w:val="20"/>
          <w:szCs w:val="20"/>
        </w:rPr>
        <w:t>)</w:t>
      </w:r>
      <w:r w:rsidR="00FB1052" w:rsidRPr="009170B8">
        <w:rPr>
          <w:rFonts w:ascii="Times New Roman" w:hAnsi="Times New Roman"/>
          <w:sz w:val="20"/>
          <w:szCs w:val="20"/>
        </w:rPr>
        <w:t xml:space="preserve"> </w:t>
      </w:r>
      <w:r w:rsidRPr="009170B8">
        <w:rPr>
          <w:rFonts w:ascii="Times New Roman" w:hAnsi="Times New Roman"/>
          <w:sz w:val="20"/>
          <w:szCs w:val="20"/>
        </w:rPr>
        <w:t>as Administrator, the Administrator</w:t>
      </w:r>
      <w:r w:rsidR="0061684B" w:rsidRPr="009170B8">
        <w:rPr>
          <w:rFonts w:ascii="Times New Roman" w:hAnsi="Times New Roman"/>
          <w:sz w:val="20"/>
          <w:szCs w:val="20"/>
        </w:rPr>
        <w:t xml:space="preserve"> is entitled to a fee for administrative and secretarial services payable by the Fund</w:t>
      </w:r>
      <w:r w:rsidRPr="009170B8">
        <w:rPr>
          <w:rFonts w:ascii="Times New Roman" w:hAnsi="Times New Roman"/>
          <w:sz w:val="20"/>
          <w:szCs w:val="20"/>
        </w:rPr>
        <w:t xml:space="preserve"> quarterly </w:t>
      </w:r>
      <w:r w:rsidR="00F3394B">
        <w:rPr>
          <w:rFonts w:ascii="Times New Roman" w:hAnsi="Times New Roman"/>
          <w:sz w:val="20"/>
          <w:szCs w:val="20"/>
        </w:rPr>
        <w:t>in arrears at a rate of</w:t>
      </w:r>
      <w:r w:rsidRPr="009170B8">
        <w:rPr>
          <w:rFonts w:ascii="Times New Roman" w:hAnsi="Times New Roman"/>
          <w:sz w:val="20"/>
          <w:szCs w:val="20"/>
        </w:rPr>
        <w:t xml:space="preserve"> 0.10 </w:t>
      </w:r>
      <w:r w:rsidR="00601C95" w:rsidRPr="009170B8">
        <w:rPr>
          <w:rFonts w:ascii="Times New Roman" w:hAnsi="Times New Roman"/>
          <w:sz w:val="20"/>
          <w:szCs w:val="20"/>
        </w:rPr>
        <w:t>per cent.</w:t>
      </w:r>
      <w:r w:rsidRPr="009170B8">
        <w:rPr>
          <w:rFonts w:ascii="Times New Roman" w:hAnsi="Times New Roman"/>
          <w:sz w:val="20"/>
          <w:szCs w:val="20"/>
        </w:rPr>
        <w:t xml:space="preserve"> per annum of the average </w:t>
      </w:r>
      <w:r w:rsidR="00515455" w:rsidRPr="009170B8">
        <w:rPr>
          <w:rFonts w:ascii="Times New Roman" w:hAnsi="Times New Roman"/>
          <w:sz w:val="20"/>
          <w:szCs w:val="20"/>
        </w:rPr>
        <w:t>n</w:t>
      </w:r>
      <w:r w:rsidR="00CA1FC3" w:rsidRPr="009170B8">
        <w:rPr>
          <w:rFonts w:ascii="Times New Roman" w:hAnsi="Times New Roman"/>
          <w:sz w:val="20"/>
          <w:szCs w:val="20"/>
        </w:rPr>
        <w:t xml:space="preserve">et </w:t>
      </w:r>
      <w:r w:rsidR="00515455" w:rsidRPr="009170B8">
        <w:rPr>
          <w:rFonts w:ascii="Times New Roman" w:hAnsi="Times New Roman"/>
          <w:sz w:val="20"/>
          <w:szCs w:val="20"/>
        </w:rPr>
        <w:t>a</w:t>
      </w:r>
      <w:r w:rsidR="00CA1FC3" w:rsidRPr="009170B8">
        <w:rPr>
          <w:rFonts w:ascii="Times New Roman" w:hAnsi="Times New Roman"/>
          <w:sz w:val="20"/>
          <w:szCs w:val="20"/>
        </w:rPr>
        <w:t xml:space="preserve">sset </w:t>
      </w:r>
      <w:r w:rsidR="00515455" w:rsidRPr="009170B8">
        <w:rPr>
          <w:rFonts w:ascii="Times New Roman" w:hAnsi="Times New Roman"/>
          <w:sz w:val="20"/>
          <w:szCs w:val="20"/>
        </w:rPr>
        <w:t>v</w:t>
      </w:r>
      <w:r w:rsidR="00CA1FC3" w:rsidRPr="009170B8">
        <w:rPr>
          <w:rFonts w:ascii="Times New Roman" w:hAnsi="Times New Roman"/>
          <w:sz w:val="20"/>
          <w:szCs w:val="20"/>
        </w:rPr>
        <w:t xml:space="preserve">alue </w:t>
      </w:r>
    </w:p>
    <w:p w:rsidR="00320243" w:rsidRPr="009170B8" w:rsidRDefault="00CA1FC3" w:rsidP="00320243">
      <w:pPr>
        <w:ind w:left="284"/>
        <w:jc w:val="both"/>
        <w:rPr>
          <w:rFonts w:ascii="Times New Roman" w:hAnsi="Times New Roman"/>
          <w:sz w:val="20"/>
        </w:rPr>
      </w:pPr>
      <w:r w:rsidRPr="009170B8">
        <w:rPr>
          <w:rFonts w:ascii="Times New Roman" w:hAnsi="Times New Roman"/>
          <w:sz w:val="20"/>
          <w:szCs w:val="20"/>
        </w:rPr>
        <w:t>(“</w:t>
      </w:r>
      <w:r w:rsidR="00320243" w:rsidRPr="009170B8">
        <w:rPr>
          <w:rFonts w:ascii="Times New Roman" w:hAnsi="Times New Roman"/>
          <w:sz w:val="20"/>
          <w:szCs w:val="20"/>
        </w:rPr>
        <w:t>NAV</w:t>
      </w:r>
      <w:r w:rsidRPr="009170B8">
        <w:rPr>
          <w:rFonts w:ascii="Times New Roman" w:hAnsi="Times New Roman"/>
          <w:sz w:val="20"/>
          <w:szCs w:val="20"/>
        </w:rPr>
        <w:t>”)</w:t>
      </w:r>
      <w:r w:rsidR="00320243" w:rsidRPr="009170B8">
        <w:rPr>
          <w:rFonts w:ascii="Times New Roman" w:hAnsi="Times New Roman"/>
          <w:sz w:val="20"/>
          <w:szCs w:val="20"/>
        </w:rPr>
        <w:t xml:space="preserve"> of the Fund calculated over </w:t>
      </w:r>
      <w:r w:rsidR="0061684B" w:rsidRPr="009170B8">
        <w:rPr>
          <w:rFonts w:ascii="Times New Roman" w:hAnsi="Times New Roman"/>
          <w:sz w:val="20"/>
          <w:szCs w:val="20"/>
        </w:rPr>
        <w:t>the relevant quarterly period.</w:t>
      </w:r>
      <w:r w:rsidR="00B14322">
        <w:rPr>
          <w:rFonts w:ascii="Times New Roman" w:hAnsi="Times New Roman"/>
          <w:sz w:val="20"/>
          <w:szCs w:val="20"/>
        </w:rPr>
        <w:t xml:space="preserve"> </w:t>
      </w:r>
      <w:r w:rsidR="00B14322" w:rsidRPr="00B14322">
        <w:rPr>
          <w:rFonts w:ascii="Times New Roman" w:hAnsi="Times New Roman"/>
          <w:sz w:val="20"/>
          <w:szCs w:val="20"/>
        </w:rPr>
        <w:t>With effect from 1 December, 2016 JTCFSJL has ceded its fees to JTC Fund Solutions (Guernsey) Limited as assistant secretary.</w:t>
      </w:r>
    </w:p>
    <w:p w:rsidR="009E5D11" w:rsidRPr="009170B8" w:rsidRDefault="009E5D11" w:rsidP="00E5676A">
      <w:pPr>
        <w:ind w:left="284"/>
        <w:jc w:val="both"/>
        <w:rPr>
          <w:rFonts w:ascii="Times New Roman" w:hAnsi="Times New Roman"/>
          <w:sz w:val="20"/>
          <w:szCs w:val="20"/>
        </w:rPr>
      </w:pPr>
    </w:p>
    <w:p w:rsidR="009E5D11" w:rsidRPr="009170B8" w:rsidRDefault="009E5D11" w:rsidP="001848DB">
      <w:pPr>
        <w:ind w:left="284" w:hanging="284"/>
        <w:jc w:val="both"/>
        <w:rPr>
          <w:rFonts w:ascii="Times New Roman" w:hAnsi="Times New Roman"/>
          <w:b/>
          <w:sz w:val="20"/>
          <w:szCs w:val="20"/>
        </w:rPr>
      </w:pPr>
      <w:r w:rsidRPr="009170B8">
        <w:rPr>
          <w:rFonts w:ascii="Times New Roman" w:hAnsi="Times New Roman"/>
          <w:b/>
          <w:sz w:val="20"/>
          <w:szCs w:val="20"/>
        </w:rPr>
        <w:t>l.</w:t>
      </w:r>
      <w:r w:rsidRPr="009170B8">
        <w:rPr>
          <w:rFonts w:ascii="Times New Roman" w:hAnsi="Times New Roman"/>
          <w:b/>
          <w:sz w:val="20"/>
          <w:szCs w:val="20"/>
        </w:rPr>
        <w:tab/>
        <w:t>Custodian fees</w:t>
      </w:r>
    </w:p>
    <w:p w:rsidR="00526A6B" w:rsidRPr="009170B8" w:rsidRDefault="00790D9B" w:rsidP="001848DB">
      <w:pPr>
        <w:ind w:left="284"/>
        <w:jc w:val="both"/>
        <w:rPr>
          <w:rFonts w:ascii="Times New Roman" w:hAnsi="Times New Roman"/>
          <w:sz w:val="20"/>
          <w:szCs w:val="20"/>
        </w:rPr>
      </w:pPr>
      <w:r w:rsidRPr="009170B8">
        <w:rPr>
          <w:rFonts w:ascii="Times New Roman" w:hAnsi="Times New Roman"/>
          <w:sz w:val="20"/>
          <w:szCs w:val="20"/>
        </w:rPr>
        <w:t>RBC Investor Services Trust</w:t>
      </w:r>
      <w:r w:rsidR="00FB4920" w:rsidRPr="009170B8">
        <w:rPr>
          <w:rFonts w:ascii="Times New Roman" w:hAnsi="Times New Roman"/>
          <w:sz w:val="20"/>
          <w:szCs w:val="20"/>
        </w:rPr>
        <w:t xml:space="preserve"> (the “Custodian”)</w:t>
      </w:r>
      <w:r w:rsidRPr="009170B8">
        <w:rPr>
          <w:rFonts w:ascii="Times New Roman" w:hAnsi="Times New Roman"/>
          <w:sz w:val="20"/>
          <w:szCs w:val="20"/>
        </w:rPr>
        <w:t xml:space="preserve"> </w:t>
      </w:r>
      <w:r w:rsidR="008170BE" w:rsidRPr="009170B8">
        <w:rPr>
          <w:rFonts w:ascii="Times New Roman" w:hAnsi="Times New Roman"/>
          <w:sz w:val="20"/>
          <w:szCs w:val="20"/>
        </w:rPr>
        <w:t>was</w:t>
      </w:r>
      <w:r w:rsidRPr="009170B8">
        <w:rPr>
          <w:rFonts w:ascii="Times New Roman" w:hAnsi="Times New Roman"/>
          <w:sz w:val="20"/>
          <w:szCs w:val="20"/>
        </w:rPr>
        <w:t xml:space="preserve"> appointed as Custodian </w:t>
      </w:r>
      <w:r w:rsidR="00B62A7B">
        <w:rPr>
          <w:rFonts w:ascii="Times New Roman" w:hAnsi="Times New Roman"/>
          <w:sz w:val="20"/>
          <w:szCs w:val="20"/>
        </w:rPr>
        <w:t>of</w:t>
      </w:r>
      <w:r w:rsidR="00B62A7B" w:rsidRPr="009170B8">
        <w:rPr>
          <w:rFonts w:ascii="Times New Roman" w:hAnsi="Times New Roman"/>
          <w:sz w:val="20"/>
          <w:szCs w:val="20"/>
        </w:rPr>
        <w:t xml:space="preserve"> </w:t>
      </w:r>
      <w:r w:rsidRPr="009170B8">
        <w:rPr>
          <w:rFonts w:ascii="Times New Roman" w:hAnsi="Times New Roman"/>
          <w:sz w:val="20"/>
          <w:szCs w:val="20"/>
        </w:rPr>
        <w:t>the Fund</w:t>
      </w:r>
      <w:r w:rsidR="00B62A7B">
        <w:rPr>
          <w:rFonts w:ascii="Times New Roman" w:hAnsi="Times New Roman"/>
          <w:sz w:val="20"/>
          <w:szCs w:val="20"/>
        </w:rPr>
        <w:t>’s assets</w:t>
      </w:r>
      <w:r w:rsidR="00F0712E" w:rsidRPr="009170B8">
        <w:rPr>
          <w:rFonts w:ascii="Times New Roman" w:hAnsi="Times New Roman"/>
          <w:sz w:val="20"/>
          <w:szCs w:val="20"/>
        </w:rPr>
        <w:t xml:space="preserve"> on 6 October 2011</w:t>
      </w:r>
      <w:r w:rsidRPr="009170B8">
        <w:rPr>
          <w:rFonts w:ascii="Times New Roman" w:hAnsi="Times New Roman"/>
          <w:sz w:val="20"/>
          <w:szCs w:val="20"/>
        </w:rPr>
        <w:t xml:space="preserve">. </w:t>
      </w:r>
      <w:r w:rsidR="00551C81" w:rsidRPr="009170B8">
        <w:rPr>
          <w:rFonts w:ascii="Times New Roman" w:hAnsi="Times New Roman"/>
          <w:sz w:val="20"/>
          <w:szCs w:val="20"/>
        </w:rPr>
        <w:t>T</w:t>
      </w:r>
      <w:r w:rsidR="00FB4920" w:rsidRPr="009170B8">
        <w:rPr>
          <w:rFonts w:ascii="Times New Roman" w:hAnsi="Times New Roman"/>
          <w:sz w:val="20"/>
          <w:szCs w:val="20"/>
        </w:rPr>
        <w:t>he Fund pays the Custodian 0.01</w:t>
      </w:r>
      <w:r w:rsidR="00551C81" w:rsidRPr="009170B8">
        <w:rPr>
          <w:rFonts w:ascii="Times New Roman" w:hAnsi="Times New Roman"/>
          <w:sz w:val="20"/>
          <w:szCs w:val="20"/>
        </w:rPr>
        <w:t xml:space="preserve"> </w:t>
      </w:r>
      <w:r w:rsidR="00601C95" w:rsidRPr="009170B8">
        <w:rPr>
          <w:rFonts w:ascii="Times New Roman" w:hAnsi="Times New Roman"/>
          <w:sz w:val="20"/>
          <w:szCs w:val="20"/>
        </w:rPr>
        <w:t>per cent.</w:t>
      </w:r>
      <w:r w:rsidR="00551C81" w:rsidRPr="009170B8">
        <w:rPr>
          <w:rFonts w:ascii="Times New Roman" w:hAnsi="Times New Roman"/>
          <w:sz w:val="20"/>
          <w:szCs w:val="20"/>
        </w:rPr>
        <w:t xml:space="preserve"> per annum of the Fund’s NAV, accrued for at each valuation date</w:t>
      </w:r>
      <w:r w:rsidR="00FB4920" w:rsidRPr="009170B8">
        <w:rPr>
          <w:rFonts w:ascii="Times New Roman" w:hAnsi="Times New Roman"/>
          <w:sz w:val="20"/>
          <w:szCs w:val="20"/>
        </w:rPr>
        <w:t>.</w:t>
      </w:r>
    </w:p>
    <w:p w:rsidR="009E5D11" w:rsidRPr="009170B8" w:rsidRDefault="009E5D11" w:rsidP="00E5676A">
      <w:pPr>
        <w:ind w:left="284"/>
        <w:jc w:val="both"/>
        <w:rPr>
          <w:rFonts w:ascii="Times New Roman" w:hAnsi="Times New Roman"/>
          <w:sz w:val="20"/>
          <w:szCs w:val="20"/>
        </w:rPr>
      </w:pPr>
    </w:p>
    <w:p w:rsidR="009E5D11" w:rsidRPr="009170B8" w:rsidRDefault="009E5D11" w:rsidP="001848DB">
      <w:pPr>
        <w:ind w:left="284" w:hanging="284"/>
        <w:jc w:val="both"/>
        <w:rPr>
          <w:rFonts w:ascii="Times New Roman" w:hAnsi="Times New Roman"/>
          <w:b/>
          <w:sz w:val="20"/>
          <w:szCs w:val="20"/>
        </w:rPr>
      </w:pPr>
      <w:r w:rsidRPr="009170B8">
        <w:rPr>
          <w:rFonts w:ascii="Times New Roman" w:hAnsi="Times New Roman"/>
          <w:b/>
          <w:sz w:val="20"/>
          <w:szCs w:val="20"/>
        </w:rPr>
        <w:t>m.</w:t>
      </w:r>
      <w:r w:rsidRPr="009170B8">
        <w:rPr>
          <w:rFonts w:ascii="Times New Roman" w:hAnsi="Times New Roman"/>
          <w:b/>
          <w:sz w:val="20"/>
          <w:szCs w:val="20"/>
        </w:rPr>
        <w:tab/>
        <w:t>Sponsor’s fees</w:t>
      </w:r>
    </w:p>
    <w:p w:rsidR="009E5D11" w:rsidRPr="009170B8" w:rsidRDefault="000A4A71" w:rsidP="001848DB">
      <w:pPr>
        <w:ind w:left="284"/>
        <w:jc w:val="both"/>
        <w:rPr>
          <w:rFonts w:ascii="Times New Roman" w:hAnsi="Times New Roman"/>
          <w:sz w:val="20"/>
          <w:szCs w:val="20"/>
        </w:rPr>
      </w:pPr>
      <w:proofErr w:type="spellStart"/>
      <w:r w:rsidRPr="009170B8">
        <w:rPr>
          <w:rFonts w:ascii="Times New Roman" w:hAnsi="Times New Roman"/>
          <w:sz w:val="20"/>
          <w:szCs w:val="20"/>
        </w:rPr>
        <w:t>Can</w:t>
      </w:r>
      <w:r w:rsidR="00835EC7" w:rsidRPr="009170B8">
        <w:rPr>
          <w:rFonts w:ascii="Times New Roman" w:hAnsi="Times New Roman"/>
          <w:sz w:val="20"/>
          <w:szCs w:val="20"/>
        </w:rPr>
        <w:t>a</w:t>
      </w:r>
      <w:r w:rsidRPr="009170B8">
        <w:rPr>
          <w:rFonts w:ascii="Times New Roman" w:hAnsi="Times New Roman"/>
          <w:sz w:val="20"/>
          <w:szCs w:val="20"/>
        </w:rPr>
        <w:t>c</w:t>
      </w:r>
      <w:r w:rsidR="00835EC7" w:rsidRPr="009170B8">
        <w:rPr>
          <w:rFonts w:ascii="Times New Roman" w:hAnsi="Times New Roman"/>
          <w:sz w:val="20"/>
          <w:szCs w:val="20"/>
        </w:rPr>
        <w:t>cord</w:t>
      </w:r>
      <w:proofErr w:type="spellEnd"/>
      <w:r w:rsidR="00835EC7" w:rsidRPr="009170B8">
        <w:rPr>
          <w:rFonts w:ascii="Times New Roman" w:hAnsi="Times New Roman"/>
          <w:sz w:val="20"/>
          <w:szCs w:val="20"/>
        </w:rPr>
        <w:t xml:space="preserve"> </w:t>
      </w:r>
      <w:proofErr w:type="spellStart"/>
      <w:r w:rsidR="00835EC7" w:rsidRPr="009170B8">
        <w:rPr>
          <w:rFonts w:ascii="Times New Roman" w:hAnsi="Times New Roman"/>
          <w:sz w:val="20"/>
          <w:szCs w:val="20"/>
        </w:rPr>
        <w:t>Genuity</w:t>
      </w:r>
      <w:proofErr w:type="spellEnd"/>
      <w:r w:rsidR="009E5D11" w:rsidRPr="009170B8">
        <w:rPr>
          <w:rFonts w:ascii="Times New Roman" w:hAnsi="Times New Roman"/>
          <w:sz w:val="20"/>
          <w:szCs w:val="20"/>
        </w:rPr>
        <w:t xml:space="preserve"> Limited</w:t>
      </w:r>
      <w:r w:rsidR="0030797F" w:rsidRPr="009170B8">
        <w:rPr>
          <w:rFonts w:ascii="Times New Roman" w:hAnsi="Times New Roman"/>
          <w:sz w:val="20"/>
          <w:szCs w:val="20"/>
        </w:rPr>
        <w:t>,</w:t>
      </w:r>
      <w:r w:rsidR="009E5D11" w:rsidRPr="009170B8">
        <w:rPr>
          <w:rFonts w:ascii="Times New Roman" w:hAnsi="Times New Roman"/>
          <w:sz w:val="20"/>
          <w:szCs w:val="20"/>
        </w:rPr>
        <w:t xml:space="preserve"> </w:t>
      </w:r>
      <w:r w:rsidR="0089341C" w:rsidRPr="009170B8">
        <w:rPr>
          <w:rFonts w:ascii="Times New Roman" w:hAnsi="Times New Roman"/>
          <w:sz w:val="20"/>
          <w:szCs w:val="20"/>
        </w:rPr>
        <w:t xml:space="preserve">the </w:t>
      </w:r>
      <w:r w:rsidR="005B2027" w:rsidRPr="009170B8">
        <w:rPr>
          <w:rFonts w:ascii="Times New Roman" w:hAnsi="Times New Roman"/>
          <w:sz w:val="20"/>
          <w:szCs w:val="20"/>
        </w:rPr>
        <w:t>corporate broker</w:t>
      </w:r>
      <w:r w:rsidR="0030797F" w:rsidRPr="009170B8">
        <w:rPr>
          <w:rFonts w:ascii="Times New Roman" w:hAnsi="Times New Roman"/>
          <w:sz w:val="20"/>
          <w:szCs w:val="20"/>
        </w:rPr>
        <w:t>,</w:t>
      </w:r>
      <w:r w:rsidR="005B2027" w:rsidRPr="009170B8">
        <w:rPr>
          <w:rFonts w:ascii="Times New Roman" w:hAnsi="Times New Roman"/>
          <w:sz w:val="20"/>
          <w:szCs w:val="20"/>
        </w:rPr>
        <w:t xml:space="preserve"> </w:t>
      </w:r>
      <w:r w:rsidR="009E5D11" w:rsidRPr="009170B8">
        <w:rPr>
          <w:rFonts w:ascii="Times New Roman" w:hAnsi="Times New Roman"/>
          <w:sz w:val="20"/>
          <w:szCs w:val="20"/>
        </w:rPr>
        <w:t xml:space="preserve">is entitled to ongoing sponsor’s fees payable by the Fund quarterly in arrears at a rate of 0.20 </w:t>
      </w:r>
      <w:r w:rsidR="00601C95" w:rsidRPr="009170B8">
        <w:rPr>
          <w:rFonts w:ascii="Times New Roman" w:hAnsi="Times New Roman"/>
          <w:sz w:val="20"/>
          <w:szCs w:val="20"/>
        </w:rPr>
        <w:t>per cent.</w:t>
      </w:r>
      <w:r w:rsidR="009E5D11" w:rsidRPr="009170B8">
        <w:rPr>
          <w:rFonts w:ascii="Times New Roman" w:hAnsi="Times New Roman"/>
          <w:sz w:val="20"/>
          <w:szCs w:val="20"/>
        </w:rPr>
        <w:t xml:space="preserve"> per annum of the average NAV of the Fund calculated over the relevant quarterly period.</w:t>
      </w:r>
      <w:r w:rsidR="00C12BC9">
        <w:rPr>
          <w:rFonts w:ascii="Times New Roman" w:hAnsi="Times New Roman"/>
          <w:sz w:val="20"/>
          <w:szCs w:val="20"/>
        </w:rPr>
        <w:t xml:space="preserve">  </w:t>
      </w:r>
    </w:p>
    <w:p w:rsidR="00DA5E13" w:rsidRPr="009170B8" w:rsidRDefault="00DA5E13" w:rsidP="00E5676A">
      <w:pPr>
        <w:ind w:left="284"/>
        <w:jc w:val="both"/>
        <w:rPr>
          <w:rFonts w:ascii="Times New Roman" w:hAnsi="Times New Roman"/>
          <w:sz w:val="20"/>
          <w:szCs w:val="20"/>
        </w:rPr>
      </w:pPr>
    </w:p>
    <w:p w:rsidR="00FB7C5E" w:rsidRPr="009170B8" w:rsidRDefault="009E5D11" w:rsidP="00FB7C5E">
      <w:pPr>
        <w:ind w:left="284" w:hanging="284"/>
        <w:jc w:val="both"/>
        <w:rPr>
          <w:rFonts w:ascii="Times New Roman" w:hAnsi="Times New Roman"/>
          <w:b/>
          <w:sz w:val="20"/>
          <w:szCs w:val="20"/>
        </w:rPr>
      </w:pPr>
      <w:r w:rsidRPr="009170B8">
        <w:rPr>
          <w:rFonts w:ascii="Times New Roman" w:hAnsi="Times New Roman"/>
          <w:b/>
          <w:sz w:val="20"/>
          <w:szCs w:val="20"/>
        </w:rPr>
        <w:t>n.</w:t>
      </w:r>
      <w:r w:rsidR="00FB7C5E" w:rsidRPr="009170B8">
        <w:rPr>
          <w:rFonts w:ascii="Times New Roman" w:hAnsi="Times New Roman"/>
          <w:b/>
          <w:sz w:val="20"/>
          <w:szCs w:val="20"/>
        </w:rPr>
        <w:t xml:space="preserve"> </w:t>
      </w:r>
      <w:r w:rsidR="00F81507" w:rsidRPr="009170B8">
        <w:rPr>
          <w:rFonts w:ascii="Times New Roman" w:hAnsi="Times New Roman"/>
          <w:b/>
          <w:sz w:val="20"/>
          <w:szCs w:val="20"/>
        </w:rPr>
        <w:t xml:space="preserve">  </w:t>
      </w:r>
      <w:r w:rsidR="00EA4FAC" w:rsidRPr="009170B8">
        <w:rPr>
          <w:rFonts w:ascii="Times New Roman" w:hAnsi="Times New Roman"/>
          <w:b/>
          <w:sz w:val="20"/>
          <w:szCs w:val="20"/>
        </w:rPr>
        <w:t xml:space="preserve">Going </w:t>
      </w:r>
      <w:r w:rsidR="00442123">
        <w:rPr>
          <w:rFonts w:ascii="Times New Roman" w:hAnsi="Times New Roman"/>
          <w:b/>
          <w:sz w:val="20"/>
          <w:szCs w:val="20"/>
        </w:rPr>
        <w:t>c</w:t>
      </w:r>
      <w:r w:rsidR="00EA4FAC" w:rsidRPr="009170B8">
        <w:rPr>
          <w:rFonts w:ascii="Times New Roman" w:hAnsi="Times New Roman"/>
          <w:b/>
          <w:sz w:val="20"/>
          <w:szCs w:val="20"/>
        </w:rPr>
        <w:t>oncern</w:t>
      </w:r>
    </w:p>
    <w:p w:rsidR="00AB52D6" w:rsidRDefault="00AB52D6" w:rsidP="00AB52D6">
      <w:pPr>
        <w:autoSpaceDE w:val="0"/>
        <w:autoSpaceDN w:val="0"/>
        <w:adjustRightInd w:val="0"/>
        <w:ind w:left="284"/>
        <w:jc w:val="both"/>
        <w:rPr>
          <w:rFonts w:ascii="Times New Roman" w:hAnsi="Times New Roman"/>
          <w:sz w:val="20"/>
          <w:szCs w:val="20"/>
        </w:rPr>
      </w:pPr>
      <w:r w:rsidRPr="009170B8">
        <w:rPr>
          <w:rFonts w:ascii="Times New Roman" w:hAnsi="Times New Roman"/>
          <w:sz w:val="20"/>
          <w:szCs w:val="20"/>
        </w:rPr>
        <w:t>In the opinion of the directors</w:t>
      </w:r>
      <w:r w:rsidR="00D8354A">
        <w:rPr>
          <w:rFonts w:ascii="Times New Roman" w:hAnsi="Times New Roman"/>
          <w:sz w:val="20"/>
          <w:szCs w:val="20"/>
        </w:rPr>
        <w:t>,</w:t>
      </w:r>
      <w:r w:rsidRPr="009170B8">
        <w:rPr>
          <w:rFonts w:ascii="Times New Roman" w:hAnsi="Times New Roman"/>
          <w:sz w:val="20"/>
          <w:szCs w:val="20"/>
        </w:rPr>
        <w:t xml:space="preserve"> the Company and the Fund have adequate resources to continue in operational existence for the foreseeable future</w:t>
      </w:r>
      <w:r w:rsidR="00180734">
        <w:rPr>
          <w:rFonts w:ascii="Times New Roman" w:hAnsi="Times New Roman"/>
          <w:sz w:val="20"/>
          <w:szCs w:val="20"/>
        </w:rPr>
        <w:t xml:space="preserve"> </w:t>
      </w:r>
      <w:r w:rsidR="00180734" w:rsidRPr="00E54387">
        <w:rPr>
          <w:rFonts w:ascii="Times New Roman" w:hAnsi="Times New Roman"/>
          <w:sz w:val="20"/>
          <w:szCs w:val="20"/>
        </w:rPr>
        <w:t>being at least the next twelve months from the approval of these financial statements</w:t>
      </w:r>
      <w:r w:rsidRPr="009170B8">
        <w:rPr>
          <w:rFonts w:ascii="Times New Roman" w:hAnsi="Times New Roman"/>
          <w:sz w:val="20"/>
          <w:szCs w:val="20"/>
        </w:rPr>
        <w:t>. For this reason</w:t>
      </w:r>
      <w:r w:rsidR="00585D7A">
        <w:rPr>
          <w:rFonts w:ascii="Times New Roman" w:hAnsi="Times New Roman"/>
          <w:sz w:val="20"/>
          <w:szCs w:val="20"/>
        </w:rPr>
        <w:t>,</w:t>
      </w:r>
      <w:r w:rsidRPr="009170B8">
        <w:rPr>
          <w:rFonts w:ascii="Times New Roman" w:hAnsi="Times New Roman"/>
          <w:sz w:val="20"/>
          <w:szCs w:val="20"/>
        </w:rPr>
        <w:t xml:space="preserve"> the </w:t>
      </w:r>
      <w:r w:rsidR="00585D7A">
        <w:rPr>
          <w:rFonts w:ascii="Times New Roman" w:hAnsi="Times New Roman"/>
          <w:sz w:val="20"/>
          <w:szCs w:val="20"/>
        </w:rPr>
        <w:t>F</w:t>
      </w:r>
      <w:r w:rsidRPr="009170B8">
        <w:rPr>
          <w:rFonts w:ascii="Times New Roman" w:hAnsi="Times New Roman"/>
          <w:sz w:val="20"/>
          <w:szCs w:val="20"/>
        </w:rPr>
        <w:t xml:space="preserve">inancial </w:t>
      </w:r>
      <w:r w:rsidR="00585D7A">
        <w:rPr>
          <w:rFonts w:ascii="Times New Roman" w:hAnsi="Times New Roman"/>
          <w:sz w:val="20"/>
          <w:szCs w:val="20"/>
        </w:rPr>
        <w:t>S</w:t>
      </w:r>
      <w:r w:rsidRPr="009170B8">
        <w:rPr>
          <w:rFonts w:ascii="Times New Roman" w:hAnsi="Times New Roman"/>
          <w:sz w:val="20"/>
          <w:szCs w:val="20"/>
        </w:rPr>
        <w:t>tatements have been prepared using the going concern basis.</w:t>
      </w:r>
    </w:p>
    <w:p w:rsidR="00702118" w:rsidRDefault="00702118" w:rsidP="00AB52D6">
      <w:pPr>
        <w:autoSpaceDE w:val="0"/>
        <w:autoSpaceDN w:val="0"/>
        <w:adjustRightInd w:val="0"/>
        <w:ind w:left="284"/>
        <w:jc w:val="both"/>
        <w:rPr>
          <w:rFonts w:ascii="Times New Roman" w:hAnsi="Times New Roman"/>
          <w:sz w:val="20"/>
          <w:szCs w:val="20"/>
        </w:rPr>
      </w:pPr>
    </w:p>
    <w:p w:rsidR="00AB52D6" w:rsidRPr="009170B8" w:rsidRDefault="00225DD1" w:rsidP="00E5676A">
      <w:pPr>
        <w:ind w:left="284"/>
        <w:jc w:val="both"/>
        <w:rPr>
          <w:rFonts w:ascii="Times New Roman" w:hAnsi="Times New Roman"/>
          <w:sz w:val="20"/>
          <w:szCs w:val="20"/>
        </w:rPr>
      </w:pPr>
      <w:r w:rsidRPr="009170B8">
        <w:rPr>
          <w:rFonts w:ascii="Times New Roman" w:hAnsi="Times New Roman"/>
          <w:sz w:val="20"/>
          <w:szCs w:val="20"/>
        </w:rPr>
        <w:t xml:space="preserve">The directors considered, </w:t>
      </w:r>
      <w:r w:rsidRPr="00D8354A">
        <w:rPr>
          <w:rFonts w:ascii="Times New Roman" w:hAnsi="Times New Roman"/>
          <w:i/>
          <w:sz w:val="20"/>
          <w:szCs w:val="20"/>
        </w:rPr>
        <w:t>inter alia</w:t>
      </w:r>
      <w:r w:rsidRPr="009170B8">
        <w:rPr>
          <w:rFonts w:ascii="Times New Roman" w:hAnsi="Times New Roman"/>
          <w:sz w:val="20"/>
          <w:szCs w:val="20"/>
        </w:rPr>
        <w:t>, the following factors</w:t>
      </w:r>
      <w:r>
        <w:rPr>
          <w:rFonts w:ascii="Times New Roman" w:hAnsi="Times New Roman"/>
          <w:sz w:val="20"/>
          <w:szCs w:val="20"/>
        </w:rPr>
        <w:t>:</w:t>
      </w:r>
    </w:p>
    <w:p w:rsidR="00AB52D6" w:rsidRPr="009170B8" w:rsidRDefault="00AB52D6" w:rsidP="00A60442">
      <w:pPr>
        <w:numPr>
          <w:ilvl w:val="0"/>
          <w:numId w:val="9"/>
        </w:numPr>
        <w:autoSpaceDE w:val="0"/>
        <w:autoSpaceDN w:val="0"/>
        <w:adjustRightInd w:val="0"/>
        <w:jc w:val="both"/>
        <w:rPr>
          <w:rFonts w:ascii="Times New Roman" w:hAnsi="Times New Roman"/>
          <w:sz w:val="20"/>
          <w:szCs w:val="20"/>
        </w:rPr>
      </w:pPr>
      <w:r w:rsidRPr="009170B8">
        <w:rPr>
          <w:rFonts w:ascii="Times New Roman" w:hAnsi="Times New Roman"/>
          <w:sz w:val="20"/>
          <w:szCs w:val="20"/>
        </w:rPr>
        <w:t>the Fund has sufficient liquidity to meet all on-going expenses and repayment of external borrowings; and</w:t>
      </w:r>
    </w:p>
    <w:p w:rsidR="0019125D" w:rsidRDefault="00AB52D6" w:rsidP="00BA75C4">
      <w:pPr>
        <w:numPr>
          <w:ilvl w:val="0"/>
          <w:numId w:val="9"/>
        </w:numPr>
        <w:autoSpaceDE w:val="0"/>
        <w:autoSpaceDN w:val="0"/>
        <w:adjustRightInd w:val="0"/>
        <w:jc w:val="both"/>
        <w:rPr>
          <w:rFonts w:ascii="Times New Roman" w:hAnsi="Times New Roman"/>
          <w:sz w:val="20"/>
          <w:szCs w:val="20"/>
        </w:rPr>
      </w:pPr>
      <w:r w:rsidRPr="009170B8">
        <w:rPr>
          <w:rFonts w:ascii="Times New Roman" w:hAnsi="Times New Roman"/>
          <w:sz w:val="20"/>
          <w:szCs w:val="20"/>
        </w:rPr>
        <w:t>the portfolio of investments held by the Fund materially consists of listed investments which are readily realisable and therefore the Fund will have sufficient resources to meet its liquidity requirements.</w:t>
      </w:r>
    </w:p>
    <w:p w:rsidR="0019125D" w:rsidRPr="00E5676A" w:rsidRDefault="0019125D" w:rsidP="00B74D7C">
      <w:pPr>
        <w:jc w:val="both"/>
        <w:rPr>
          <w:rFonts w:ascii="Times New Roman" w:hAnsi="Times New Roman"/>
          <w:sz w:val="20"/>
          <w:szCs w:val="20"/>
        </w:rPr>
      </w:pPr>
    </w:p>
    <w:p w:rsidR="00320243" w:rsidRPr="009170B8" w:rsidRDefault="00320243" w:rsidP="00320243">
      <w:pPr>
        <w:ind w:left="284" w:hanging="284"/>
        <w:jc w:val="both"/>
        <w:rPr>
          <w:rFonts w:ascii="Times New Roman" w:hAnsi="Times New Roman"/>
          <w:b/>
          <w:sz w:val="20"/>
          <w:szCs w:val="20"/>
        </w:rPr>
      </w:pPr>
      <w:r w:rsidRPr="009170B8">
        <w:rPr>
          <w:rFonts w:ascii="Times New Roman" w:hAnsi="Times New Roman"/>
          <w:b/>
          <w:sz w:val="20"/>
          <w:szCs w:val="20"/>
        </w:rPr>
        <w:t>o.</w:t>
      </w:r>
      <w:r w:rsidRPr="009170B8">
        <w:rPr>
          <w:rFonts w:ascii="Times New Roman" w:hAnsi="Times New Roman"/>
          <w:b/>
          <w:sz w:val="20"/>
          <w:szCs w:val="20"/>
        </w:rPr>
        <w:tab/>
        <w:t>Investment management fees</w:t>
      </w:r>
    </w:p>
    <w:p w:rsidR="00E702B2" w:rsidRDefault="009C1B4D" w:rsidP="00BA75C4">
      <w:pPr>
        <w:ind w:left="284"/>
        <w:jc w:val="both"/>
        <w:rPr>
          <w:rFonts w:ascii="Times New Roman" w:hAnsi="Times New Roman"/>
          <w:sz w:val="20"/>
          <w:szCs w:val="20"/>
        </w:rPr>
      </w:pPr>
      <w:r w:rsidRPr="009170B8">
        <w:rPr>
          <w:rFonts w:ascii="Times New Roman" w:hAnsi="Times New Roman"/>
          <w:sz w:val="20"/>
          <w:szCs w:val="20"/>
        </w:rPr>
        <w:t xml:space="preserve">Middlefield </w:t>
      </w:r>
      <w:r w:rsidR="0048685B">
        <w:rPr>
          <w:rFonts w:ascii="Times New Roman" w:hAnsi="Times New Roman"/>
          <w:sz w:val="20"/>
          <w:szCs w:val="20"/>
        </w:rPr>
        <w:t>Limited</w:t>
      </w:r>
      <w:r w:rsidRPr="009170B8">
        <w:rPr>
          <w:rFonts w:ascii="Times New Roman" w:hAnsi="Times New Roman"/>
          <w:sz w:val="20"/>
          <w:szCs w:val="20"/>
        </w:rPr>
        <w:t xml:space="preserve">, the Investment Manager, is </w:t>
      </w:r>
      <w:r w:rsidR="003927C6" w:rsidRPr="009170B8">
        <w:rPr>
          <w:rFonts w:ascii="Times New Roman" w:hAnsi="Times New Roman"/>
          <w:sz w:val="20"/>
          <w:szCs w:val="20"/>
        </w:rPr>
        <w:t>entitled</w:t>
      </w:r>
      <w:r w:rsidRPr="009170B8">
        <w:rPr>
          <w:rFonts w:ascii="Times New Roman" w:hAnsi="Times New Roman"/>
          <w:sz w:val="20"/>
          <w:szCs w:val="20"/>
        </w:rPr>
        <w:t xml:space="preserve"> to a management fee payable by the Fund quarterly in arrears at a rate of</w:t>
      </w:r>
      <w:r w:rsidR="001B13C9" w:rsidRPr="009170B8">
        <w:rPr>
          <w:rFonts w:ascii="Times New Roman" w:hAnsi="Times New Roman"/>
          <w:sz w:val="20"/>
          <w:szCs w:val="20"/>
        </w:rPr>
        <w:t xml:space="preserve"> </w:t>
      </w:r>
      <w:r w:rsidRPr="009170B8">
        <w:rPr>
          <w:rFonts w:ascii="Times New Roman" w:hAnsi="Times New Roman"/>
          <w:sz w:val="20"/>
          <w:szCs w:val="20"/>
        </w:rPr>
        <w:t>0.</w:t>
      </w:r>
      <w:r w:rsidR="0048685B">
        <w:rPr>
          <w:rFonts w:ascii="Times New Roman" w:hAnsi="Times New Roman"/>
          <w:sz w:val="20"/>
          <w:szCs w:val="20"/>
        </w:rPr>
        <w:t>70</w:t>
      </w:r>
      <w:r w:rsidRPr="009170B8">
        <w:rPr>
          <w:rFonts w:ascii="Times New Roman" w:hAnsi="Times New Roman"/>
          <w:sz w:val="20"/>
          <w:szCs w:val="20"/>
        </w:rPr>
        <w:t xml:space="preserve"> per cent. </w:t>
      </w:r>
      <w:r w:rsidR="003927C6" w:rsidRPr="009170B8">
        <w:rPr>
          <w:rFonts w:ascii="Times New Roman" w:hAnsi="Times New Roman"/>
          <w:sz w:val="20"/>
          <w:szCs w:val="20"/>
        </w:rPr>
        <w:t>p</w:t>
      </w:r>
      <w:r w:rsidRPr="009170B8">
        <w:rPr>
          <w:rFonts w:ascii="Times New Roman" w:hAnsi="Times New Roman"/>
          <w:sz w:val="20"/>
          <w:szCs w:val="20"/>
        </w:rPr>
        <w:t xml:space="preserve">er annum of the average NAV of the Fund calculated over the relevant quarterly period. </w:t>
      </w:r>
      <w:r w:rsidR="006B2C86">
        <w:rPr>
          <w:rFonts w:ascii="Times New Roman" w:hAnsi="Times New Roman"/>
          <w:sz w:val="20"/>
          <w:szCs w:val="20"/>
        </w:rPr>
        <w:t xml:space="preserve"> </w:t>
      </w:r>
    </w:p>
    <w:p w:rsidR="006B2C86" w:rsidRPr="00E5676A" w:rsidRDefault="006B2C86" w:rsidP="00E702B2">
      <w:pPr>
        <w:ind w:left="284"/>
        <w:jc w:val="both"/>
        <w:rPr>
          <w:rFonts w:ascii="Times New Roman" w:hAnsi="Times New Roman"/>
          <w:sz w:val="20"/>
          <w:szCs w:val="20"/>
        </w:rPr>
      </w:pPr>
    </w:p>
    <w:p w:rsidR="00E702B2" w:rsidRDefault="00E702B2" w:rsidP="00E702B2">
      <w:pPr>
        <w:ind w:left="284"/>
        <w:jc w:val="both"/>
        <w:rPr>
          <w:rFonts w:ascii="Times New Roman" w:hAnsi="Times New Roman"/>
          <w:sz w:val="20"/>
          <w:szCs w:val="20"/>
        </w:rPr>
      </w:pPr>
      <w:r w:rsidRPr="00240CE1">
        <w:rPr>
          <w:rFonts w:ascii="Times New Roman" w:hAnsi="Times New Roman"/>
          <w:sz w:val="20"/>
          <w:szCs w:val="20"/>
        </w:rPr>
        <w:t xml:space="preserve">Investment management fees </w:t>
      </w:r>
      <w:r w:rsidR="00C41A3C">
        <w:rPr>
          <w:rFonts w:ascii="Times New Roman" w:hAnsi="Times New Roman"/>
          <w:sz w:val="20"/>
          <w:szCs w:val="20"/>
        </w:rPr>
        <w:t>f</w:t>
      </w:r>
      <w:r w:rsidR="00AF1F94">
        <w:rPr>
          <w:rFonts w:ascii="Times New Roman" w:hAnsi="Times New Roman"/>
          <w:sz w:val="20"/>
          <w:szCs w:val="20"/>
        </w:rPr>
        <w:t>or the year ended 31 December 201</w:t>
      </w:r>
      <w:r w:rsidR="00C84D94">
        <w:rPr>
          <w:rFonts w:ascii="Times New Roman" w:hAnsi="Times New Roman"/>
          <w:sz w:val="20"/>
          <w:szCs w:val="20"/>
        </w:rPr>
        <w:t>8</w:t>
      </w:r>
      <w:r w:rsidRPr="00240CE1">
        <w:rPr>
          <w:rFonts w:ascii="Times New Roman" w:hAnsi="Times New Roman"/>
          <w:sz w:val="20"/>
          <w:szCs w:val="20"/>
        </w:rPr>
        <w:t xml:space="preserve"> total £</w:t>
      </w:r>
      <w:r w:rsidR="0019125D">
        <w:rPr>
          <w:rFonts w:ascii="Times New Roman" w:hAnsi="Times New Roman"/>
          <w:sz w:val="20"/>
          <w:szCs w:val="20"/>
        </w:rPr>
        <w:t>8</w:t>
      </w:r>
      <w:r w:rsidR="00053155">
        <w:rPr>
          <w:rFonts w:ascii="Times New Roman" w:hAnsi="Times New Roman"/>
          <w:sz w:val="20"/>
          <w:szCs w:val="20"/>
        </w:rPr>
        <w:t>25</w:t>
      </w:r>
      <w:r w:rsidR="00D00B34">
        <w:rPr>
          <w:rFonts w:ascii="Times New Roman" w:hAnsi="Times New Roman"/>
          <w:sz w:val="20"/>
          <w:szCs w:val="20"/>
        </w:rPr>
        <w:t>,</w:t>
      </w:r>
      <w:r w:rsidR="00053155">
        <w:rPr>
          <w:rFonts w:ascii="Times New Roman" w:hAnsi="Times New Roman"/>
          <w:sz w:val="20"/>
          <w:szCs w:val="20"/>
        </w:rPr>
        <w:t>61</w:t>
      </w:r>
      <w:r w:rsidR="0069096F">
        <w:rPr>
          <w:rFonts w:ascii="Times New Roman" w:hAnsi="Times New Roman"/>
          <w:sz w:val="20"/>
          <w:szCs w:val="20"/>
        </w:rPr>
        <w:t>5</w:t>
      </w:r>
      <w:r w:rsidRPr="00240CE1">
        <w:rPr>
          <w:rFonts w:ascii="Times New Roman" w:hAnsi="Times New Roman"/>
          <w:sz w:val="20"/>
          <w:szCs w:val="20"/>
        </w:rPr>
        <w:t xml:space="preserve"> (31 December 201</w:t>
      </w:r>
      <w:r w:rsidR="00C84D94">
        <w:rPr>
          <w:rFonts w:ascii="Times New Roman" w:hAnsi="Times New Roman"/>
          <w:sz w:val="20"/>
          <w:szCs w:val="20"/>
        </w:rPr>
        <w:t>7</w:t>
      </w:r>
      <w:r w:rsidRPr="00240CE1">
        <w:rPr>
          <w:rFonts w:ascii="Times New Roman" w:hAnsi="Times New Roman"/>
          <w:sz w:val="20"/>
          <w:szCs w:val="20"/>
        </w:rPr>
        <w:t xml:space="preserve">: </w:t>
      </w:r>
      <w:r w:rsidR="00C84D94" w:rsidRPr="00240CE1">
        <w:rPr>
          <w:rFonts w:ascii="Times New Roman" w:hAnsi="Times New Roman"/>
          <w:sz w:val="20"/>
          <w:szCs w:val="20"/>
        </w:rPr>
        <w:t>£</w:t>
      </w:r>
      <w:r w:rsidR="00C84D94">
        <w:rPr>
          <w:rFonts w:ascii="Times New Roman" w:hAnsi="Times New Roman"/>
          <w:sz w:val="20"/>
          <w:szCs w:val="20"/>
        </w:rPr>
        <w:t>860,300</w:t>
      </w:r>
      <w:r w:rsidRPr="00240CE1">
        <w:rPr>
          <w:rFonts w:ascii="Times New Roman" w:hAnsi="Times New Roman"/>
          <w:sz w:val="20"/>
          <w:szCs w:val="20"/>
        </w:rPr>
        <w:t xml:space="preserve">). The fee is split between ML and MIL at a ratio of </w:t>
      </w:r>
      <w:r w:rsidR="00180734" w:rsidRPr="00E54387">
        <w:rPr>
          <w:rFonts w:ascii="Times New Roman" w:hAnsi="Times New Roman"/>
          <w:sz w:val="20"/>
          <w:szCs w:val="20"/>
        </w:rPr>
        <w:t>0.60 per cent</w:t>
      </w:r>
      <w:r w:rsidR="00E214AD">
        <w:rPr>
          <w:rFonts w:ascii="Times New Roman" w:hAnsi="Times New Roman"/>
          <w:sz w:val="20"/>
          <w:szCs w:val="20"/>
        </w:rPr>
        <w:t xml:space="preserve"> </w:t>
      </w:r>
      <w:r w:rsidR="00180734" w:rsidRPr="00E54387">
        <w:rPr>
          <w:rFonts w:ascii="Times New Roman" w:hAnsi="Times New Roman"/>
          <w:sz w:val="20"/>
          <w:szCs w:val="20"/>
        </w:rPr>
        <w:t>:</w:t>
      </w:r>
      <w:r w:rsidR="00E214AD">
        <w:rPr>
          <w:rFonts w:ascii="Times New Roman" w:hAnsi="Times New Roman"/>
          <w:sz w:val="20"/>
          <w:szCs w:val="20"/>
        </w:rPr>
        <w:t xml:space="preserve"> </w:t>
      </w:r>
      <w:r w:rsidR="00180734" w:rsidRPr="00E54387">
        <w:rPr>
          <w:rFonts w:ascii="Times New Roman" w:hAnsi="Times New Roman"/>
          <w:sz w:val="20"/>
          <w:szCs w:val="20"/>
        </w:rPr>
        <w:t>0.10 per cent of the 0.70 per cent fee.</w:t>
      </w:r>
    </w:p>
    <w:p w:rsidR="00E702B2" w:rsidRDefault="00E702B2" w:rsidP="00D32491">
      <w:pPr>
        <w:ind w:left="284"/>
        <w:jc w:val="both"/>
        <w:rPr>
          <w:rFonts w:ascii="Times New Roman" w:hAnsi="Times New Roman"/>
          <w:sz w:val="20"/>
          <w:szCs w:val="20"/>
        </w:rPr>
      </w:pPr>
    </w:p>
    <w:p w:rsidR="00C41D63" w:rsidRPr="009170B8" w:rsidRDefault="00C41D63" w:rsidP="00D32491">
      <w:pPr>
        <w:ind w:left="284"/>
        <w:jc w:val="both"/>
        <w:rPr>
          <w:rFonts w:ascii="Times New Roman" w:hAnsi="Times New Roman"/>
          <w:sz w:val="20"/>
          <w:szCs w:val="20"/>
        </w:rPr>
      </w:pPr>
      <w:r w:rsidRPr="009170B8">
        <w:rPr>
          <w:rFonts w:ascii="Times New Roman" w:hAnsi="Times New Roman"/>
          <w:sz w:val="20"/>
          <w:szCs w:val="20"/>
        </w:rPr>
        <w:t>Management fees have been split 60% to capital and 40% to revenue.</w:t>
      </w:r>
    </w:p>
    <w:p w:rsidR="004C7FC4" w:rsidRPr="009170B8" w:rsidRDefault="004C7FC4" w:rsidP="00320243">
      <w:pPr>
        <w:ind w:left="284"/>
        <w:jc w:val="both"/>
        <w:rPr>
          <w:rFonts w:ascii="Times New Roman" w:hAnsi="Times New Roman"/>
          <w:sz w:val="20"/>
          <w:szCs w:val="20"/>
        </w:rPr>
      </w:pPr>
    </w:p>
    <w:p w:rsidR="00C97DF5" w:rsidRPr="009170B8" w:rsidRDefault="00C97DF5" w:rsidP="00C97DF5">
      <w:pPr>
        <w:ind w:left="284" w:hanging="284"/>
        <w:jc w:val="both"/>
        <w:rPr>
          <w:rFonts w:ascii="Times New Roman" w:hAnsi="Times New Roman"/>
          <w:b/>
          <w:sz w:val="20"/>
          <w:szCs w:val="20"/>
        </w:rPr>
      </w:pPr>
      <w:r w:rsidRPr="009170B8">
        <w:rPr>
          <w:rFonts w:ascii="Times New Roman" w:hAnsi="Times New Roman"/>
          <w:b/>
          <w:sz w:val="20"/>
          <w:szCs w:val="20"/>
        </w:rPr>
        <w:t>p.</w:t>
      </w:r>
      <w:r w:rsidRPr="009170B8">
        <w:rPr>
          <w:rFonts w:ascii="Times New Roman" w:hAnsi="Times New Roman"/>
          <w:b/>
          <w:sz w:val="20"/>
          <w:szCs w:val="20"/>
        </w:rPr>
        <w:tab/>
        <w:t>Foreign currency translation</w:t>
      </w:r>
    </w:p>
    <w:p w:rsidR="00C97DF5" w:rsidRPr="009170B8" w:rsidRDefault="00C97DF5" w:rsidP="00C97DF5">
      <w:pPr>
        <w:ind w:left="284"/>
        <w:jc w:val="both"/>
        <w:rPr>
          <w:rFonts w:ascii="Times New Roman" w:hAnsi="Times New Roman"/>
          <w:sz w:val="20"/>
          <w:szCs w:val="20"/>
        </w:rPr>
      </w:pPr>
      <w:r w:rsidRPr="006A26C7">
        <w:rPr>
          <w:rFonts w:ascii="Times New Roman" w:hAnsi="Times New Roman"/>
          <w:sz w:val="20"/>
          <w:szCs w:val="20"/>
        </w:rPr>
        <w:t xml:space="preserve">Monetary assets and liabilities denominated in foreign currencies are translated into Sterling at exchange rates in effect at the date of the </w:t>
      </w:r>
      <w:r w:rsidR="0084306F">
        <w:rPr>
          <w:rFonts w:ascii="Times New Roman" w:hAnsi="Times New Roman"/>
          <w:sz w:val="20"/>
          <w:szCs w:val="20"/>
        </w:rPr>
        <w:t>F</w:t>
      </w:r>
      <w:r w:rsidRPr="006A26C7">
        <w:rPr>
          <w:rFonts w:ascii="Times New Roman" w:hAnsi="Times New Roman"/>
          <w:sz w:val="20"/>
          <w:szCs w:val="20"/>
        </w:rPr>
        <w:t xml:space="preserve">inancial </w:t>
      </w:r>
      <w:r w:rsidR="0084306F">
        <w:rPr>
          <w:rFonts w:ascii="Times New Roman" w:hAnsi="Times New Roman"/>
          <w:sz w:val="20"/>
          <w:szCs w:val="20"/>
        </w:rPr>
        <w:t>S</w:t>
      </w:r>
      <w:r w:rsidRPr="006A26C7">
        <w:rPr>
          <w:rFonts w:ascii="Times New Roman" w:hAnsi="Times New Roman"/>
          <w:sz w:val="20"/>
          <w:szCs w:val="20"/>
        </w:rPr>
        <w:t xml:space="preserve">tatements.  Realised and unrealised gains and losses on foreign currency transactions are charged or credited to the Statement of Comprehensive Income as foreign currency gains and losses.  The cost of investments, and income and expenditure are translated into Sterling based on exchange rates on the date of the transaction. Realised </w:t>
      </w:r>
      <w:r w:rsidR="0069096F">
        <w:rPr>
          <w:rFonts w:ascii="Times New Roman" w:hAnsi="Times New Roman"/>
          <w:sz w:val="20"/>
          <w:szCs w:val="20"/>
        </w:rPr>
        <w:t>loss</w:t>
      </w:r>
      <w:r w:rsidRPr="006A26C7">
        <w:rPr>
          <w:rFonts w:ascii="Times New Roman" w:hAnsi="Times New Roman"/>
          <w:sz w:val="20"/>
          <w:szCs w:val="20"/>
        </w:rPr>
        <w:t xml:space="preserve"> on foreign exchange currency transactions totalled £</w:t>
      </w:r>
      <w:r w:rsidR="00053155">
        <w:rPr>
          <w:rFonts w:ascii="Times New Roman" w:hAnsi="Times New Roman"/>
          <w:sz w:val="20"/>
          <w:szCs w:val="20"/>
        </w:rPr>
        <w:t>318</w:t>
      </w:r>
      <w:r w:rsidR="0019125D">
        <w:rPr>
          <w:rFonts w:ascii="Times New Roman" w:hAnsi="Times New Roman"/>
          <w:sz w:val="20"/>
          <w:szCs w:val="20"/>
        </w:rPr>
        <w:t>,</w:t>
      </w:r>
      <w:r w:rsidR="00053155">
        <w:rPr>
          <w:rFonts w:ascii="Times New Roman" w:hAnsi="Times New Roman"/>
          <w:sz w:val="20"/>
          <w:szCs w:val="20"/>
        </w:rPr>
        <w:t>070</w:t>
      </w:r>
      <w:r w:rsidR="00864147">
        <w:rPr>
          <w:rFonts w:ascii="Times New Roman" w:hAnsi="Times New Roman"/>
          <w:sz w:val="20"/>
          <w:szCs w:val="20"/>
        </w:rPr>
        <w:t xml:space="preserve"> </w:t>
      </w:r>
      <w:r w:rsidRPr="006A26C7">
        <w:rPr>
          <w:rFonts w:ascii="Times New Roman" w:hAnsi="Times New Roman"/>
          <w:sz w:val="20"/>
          <w:szCs w:val="20"/>
        </w:rPr>
        <w:t>for the year (</w:t>
      </w:r>
      <w:r w:rsidR="004915C0" w:rsidRPr="006A26C7">
        <w:rPr>
          <w:rFonts w:ascii="Times New Roman" w:hAnsi="Times New Roman"/>
          <w:sz w:val="20"/>
          <w:szCs w:val="20"/>
        </w:rPr>
        <w:t>201</w:t>
      </w:r>
      <w:r w:rsidR="00C84D94">
        <w:rPr>
          <w:rFonts w:ascii="Times New Roman" w:hAnsi="Times New Roman"/>
          <w:sz w:val="20"/>
          <w:szCs w:val="20"/>
        </w:rPr>
        <w:t>7</w:t>
      </w:r>
      <w:r w:rsidRPr="006A26C7">
        <w:rPr>
          <w:rFonts w:ascii="Times New Roman" w:hAnsi="Times New Roman"/>
          <w:sz w:val="20"/>
          <w:szCs w:val="20"/>
        </w:rPr>
        <w:t>:</w:t>
      </w:r>
      <w:r w:rsidR="004A6B7B" w:rsidRPr="006A26C7">
        <w:rPr>
          <w:rFonts w:ascii="Times New Roman" w:hAnsi="Times New Roman"/>
          <w:sz w:val="20"/>
          <w:szCs w:val="20"/>
        </w:rPr>
        <w:t xml:space="preserve"> </w:t>
      </w:r>
      <w:r w:rsidR="00C84D94">
        <w:rPr>
          <w:rFonts w:ascii="Times New Roman" w:hAnsi="Times New Roman"/>
          <w:sz w:val="20"/>
          <w:szCs w:val="20"/>
        </w:rPr>
        <w:t>gain</w:t>
      </w:r>
      <w:r w:rsidR="0019125D">
        <w:rPr>
          <w:rFonts w:ascii="Times New Roman" w:hAnsi="Times New Roman"/>
          <w:sz w:val="20"/>
          <w:szCs w:val="20"/>
        </w:rPr>
        <w:t>s</w:t>
      </w:r>
      <w:r w:rsidR="004A6B7B" w:rsidRPr="006A26C7">
        <w:rPr>
          <w:rFonts w:ascii="Times New Roman" w:hAnsi="Times New Roman"/>
          <w:sz w:val="20"/>
          <w:szCs w:val="20"/>
        </w:rPr>
        <w:t xml:space="preserve"> of</w:t>
      </w:r>
      <w:r w:rsidRPr="006A26C7">
        <w:rPr>
          <w:rFonts w:ascii="Times New Roman" w:hAnsi="Times New Roman"/>
          <w:sz w:val="20"/>
          <w:szCs w:val="20"/>
        </w:rPr>
        <w:t xml:space="preserve"> </w:t>
      </w:r>
      <w:r w:rsidR="00C84D94" w:rsidRPr="006A26C7">
        <w:rPr>
          <w:rFonts w:ascii="Times New Roman" w:hAnsi="Times New Roman"/>
          <w:sz w:val="20"/>
          <w:szCs w:val="20"/>
        </w:rPr>
        <w:t>£</w:t>
      </w:r>
      <w:r w:rsidR="00C84D94">
        <w:rPr>
          <w:rFonts w:ascii="Times New Roman" w:hAnsi="Times New Roman"/>
          <w:sz w:val="20"/>
          <w:szCs w:val="20"/>
        </w:rPr>
        <w:t>593,450</w:t>
      </w:r>
      <w:r w:rsidRPr="006A26C7">
        <w:rPr>
          <w:rFonts w:ascii="Times New Roman" w:hAnsi="Times New Roman"/>
          <w:sz w:val="20"/>
          <w:szCs w:val="20"/>
        </w:rPr>
        <w:t>). Realised</w:t>
      </w:r>
      <w:r w:rsidR="0019125D">
        <w:rPr>
          <w:rFonts w:ascii="Times New Roman" w:hAnsi="Times New Roman"/>
          <w:sz w:val="20"/>
          <w:szCs w:val="20"/>
        </w:rPr>
        <w:t xml:space="preserve"> loss</w:t>
      </w:r>
      <w:r w:rsidRPr="006A26C7">
        <w:rPr>
          <w:rFonts w:ascii="Times New Roman" w:hAnsi="Times New Roman"/>
          <w:sz w:val="20"/>
          <w:szCs w:val="20"/>
        </w:rPr>
        <w:t xml:space="preserve"> on forward exchange contracts totalled £</w:t>
      </w:r>
      <w:r w:rsidR="00053155">
        <w:rPr>
          <w:rFonts w:ascii="Times New Roman" w:hAnsi="Times New Roman"/>
          <w:sz w:val="20"/>
          <w:szCs w:val="20"/>
        </w:rPr>
        <w:t>22</w:t>
      </w:r>
      <w:r w:rsidR="00864147">
        <w:rPr>
          <w:rFonts w:ascii="Times New Roman" w:hAnsi="Times New Roman"/>
          <w:sz w:val="20"/>
          <w:szCs w:val="20"/>
        </w:rPr>
        <w:t>,</w:t>
      </w:r>
      <w:r w:rsidR="00053155">
        <w:rPr>
          <w:rFonts w:ascii="Times New Roman" w:hAnsi="Times New Roman"/>
          <w:sz w:val="20"/>
          <w:szCs w:val="20"/>
        </w:rPr>
        <w:t>277</w:t>
      </w:r>
      <w:r w:rsidRPr="006A26C7">
        <w:rPr>
          <w:rFonts w:ascii="Times New Roman" w:hAnsi="Times New Roman"/>
          <w:sz w:val="20"/>
          <w:szCs w:val="20"/>
        </w:rPr>
        <w:t xml:space="preserve"> (</w:t>
      </w:r>
      <w:r w:rsidR="004915C0" w:rsidRPr="006A26C7">
        <w:rPr>
          <w:rFonts w:ascii="Times New Roman" w:hAnsi="Times New Roman"/>
          <w:sz w:val="20"/>
          <w:szCs w:val="20"/>
        </w:rPr>
        <w:t>201</w:t>
      </w:r>
      <w:r w:rsidR="00C84D94">
        <w:rPr>
          <w:rFonts w:ascii="Times New Roman" w:hAnsi="Times New Roman"/>
          <w:sz w:val="20"/>
          <w:szCs w:val="20"/>
        </w:rPr>
        <w:t>7</w:t>
      </w:r>
      <w:r w:rsidRPr="006A26C7">
        <w:rPr>
          <w:rFonts w:ascii="Times New Roman" w:hAnsi="Times New Roman"/>
          <w:sz w:val="20"/>
          <w:szCs w:val="20"/>
        </w:rPr>
        <w:t>:</w:t>
      </w:r>
      <w:r w:rsidR="00C84D94">
        <w:rPr>
          <w:rFonts w:ascii="Times New Roman" w:hAnsi="Times New Roman"/>
          <w:sz w:val="20"/>
          <w:szCs w:val="20"/>
        </w:rPr>
        <w:t xml:space="preserve"> loss</w:t>
      </w:r>
      <w:r w:rsidR="004A6B7B" w:rsidRPr="006A26C7">
        <w:rPr>
          <w:rFonts w:ascii="Times New Roman" w:hAnsi="Times New Roman"/>
          <w:sz w:val="20"/>
          <w:szCs w:val="20"/>
        </w:rPr>
        <w:t xml:space="preserve"> of</w:t>
      </w:r>
      <w:r w:rsidRPr="006A26C7">
        <w:rPr>
          <w:rFonts w:ascii="Times New Roman" w:hAnsi="Times New Roman"/>
          <w:sz w:val="20"/>
          <w:szCs w:val="20"/>
        </w:rPr>
        <w:t xml:space="preserve"> </w:t>
      </w:r>
      <w:r w:rsidR="00C84D94" w:rsidRPr="006A26C7">
        <w:rPr>
          <w:rFonts w:ascii="Times New Roman" w:hAnsi="Times New Roman"/>
          <w:sz w:val="20"/>
          <w:szCs w:val="20"/>
        </w:rPr>
        <w:t>£</w:t>
      </w:r>
      <w:r w:rsidR="00C84D94">
        <w:rPr>
          <w:rFonts w:ascii="Times New Roman" w:hAnsi="Times New Roman"/>
          <w:sz w:val="20"/>
          <w:szCs w:val="20"/>
        </w:rPr>
        <w:t>50,417</w:t>
      </w:r>
      <w:r w:rsidRPr="006A26C7">
        <w:rPr>
          <w:rFonts w:ascii="Times New Roman" w:hAnsi="Times New Roman"/>
          <w:sz w:val="20"/>
          <w:szCs w:val="20"/>
        </w:rPr>
        <w:t xml:space="preserve">). Unrealised </w:t>
      </w:r>
      <w:r w:rsidR="00053155">
        <w:rPr>
          <w:rFonts w:ascii="Times New Roman" w:hAnsi="Times New Roman"/>
          <w:sz w:val="20"/>
          <w:szCs w:val="20"/>
        </w:rPr>
        <w:t>gain</w:t>
      </w:r>
      <w:r w:rsidRPr="006A26C7">
        <w:rPr>
          <w:rFonts w:ascii="Times New Roman" w:hAnsi="Times New Roman"/>
          <w:sz w:val="20"/>
          <w:szCs w:val="20"/>
        </w:rPr>
        <w:t xml:space="preserve"> on foreign currency trans</w:t>
      </w:r>
      <w:r w:rsidR="0075060A">
        <w:rPr>
          <w:rFonts w:ascii="Times New Roman" w:hAnsi="Times New Roman"/>
          <w:sz w:val="20"/>
          <w:szCs w:val="20"/>
        </w:rPr>
        <w:t>l</w:t>
      </w:r>
      <w:r w:rsidRPr="006A26C7">
        <w:rPr>
          <w:rFonts w:ascii="Times New Roman" w:hAnsi="Times New Roman"/>
          <w:sz w:val="20"/>
          <w:szCs w:val="20"/>
        </w:rPr>
        <w:t>ations totalled £</w:t>
      </w:r>
      <w:r w:rsidR="00053155">
        <w:rPr>
          <w:rFonts w:ascii="Times New Roman" w:hAnsi="Times New Roman"/>
          <w:sz w:val="20"/>
          <w:szCs w:val="20"/>
        </w:rPr>
        <w:t>527</w:t>
      </w:r>
      <w:r w:rsidR="00947C43">
        <w:rPr>
          <w:rFonts w:ascii="Times New Roman" w:hAnsi="Times New Roman"/>
          <w:sz w:val="20"/>
          <w:szCs w:val="20"/>
        </w:rPr>
        <w:t>,</w:t>
      </w:r>
      <w:r w:rsidR="00053155">
        <w:rPr>
          <w:rFonts w:ascii="Times New Roman" w:hAnsi="Times New Roman"/>
          <w:sz w:val="20"/>
          <w:szCs w:val="20"/>
        </w:rPr>
        <w:t>351</w:t>
      </w:r>
      <w:r w:rsidRPr="006A26C7">
        <w:rPr>
          <w:rFonts w:ascii="Times New Roman" w:hAnsi="Times New Roman"/>
          <w:sz w:val="20"/>
          <w:szCs w:val="20"/>
        </w:rPr>
        <w:t xml:space="preserve"> (</w:t>
      </w:r>
      <w:r w:rsidR="004915C0" w:rsidRPr="006A26C7">
        <w:rPr>
          <w:rFonts w:ascii="Times New Roman" w:hAnsi="Times New Roman"/>
          <w:sz w:val="20"/>
          <w:szCs w:val="20"/>
        </w:rPr>
        <w:t>20</w:t>
      </w:r>
      <w:r w:rsidR="000D7F18">
        <w:rPr>
          <w:rFonts w:ascii="Times New Roman" w:hAnsi="Times New Roman"/>
          <w:sz w:val="20"/>
          <w:szCs w:val="20"/>
        </w:rPr>
        <w:t>1</w:t>
      </w:r>
      <w:r w:rsidR="00C84D94">
        <w:rPr>
          <w:rFonts w:ascii="Times New Roman" w:hAnsi="Times New Roman"/>
          <w:sz w:val="20"/>
          <w:szCs w:val="20"/>
        </w:rPr>
        <w:t>7</w:t>
      </w:r>
      <w:r w:rsidR="004A6B7B" w:rsidRPr="006A26C7">
        <w:rPr>
          <w:rFonts w:ascii="Times New Roman" w:hAnsi="Times New Roman"/>
          <w:sz w:val="20"/>
          <w:szCs w:val="20"/>
        </w:rPr>
        <w:t xml:space="preserve">: </w:t>
      </w:r>
      <w:r w:rsidR="0069096F">
        <w:rPr>
          <w:rFonts w:ascii="Times New Roman" w:hAnsi="Times New Roman"/>
          <w:sz w:val="20"/>
          <w:szCs w:val="20"/>
        </w:rPr>
        <w:t>loss</w:t>
      </w:r>
      <w:r w:rsidR="00D54AA3">
        <w:rPr>
          <w:rFonts w:ascii="Times New Roman" w:hAnsi="Times New Roman"/>
          <w:sz w:val="20"/>
          <w:szCs w:val="20"/>
        </w:rPr>
        <w:t xml:space="preserve"> of</w:t>
      </w:r>
      <w:r w:rsidR="000D7F18">
        <w:rPr>
          <w:rFonts w:ascii="Times New Roman" w:hAnsi="Times New Roman"/>
          <w:sz w:val="20"/>
          <w:szCs w:val="20"/>
        </w:rPr>
        <w:t xml:space="preserve"> </w:t>
      </w:r>
      <w:r w:rsidR="00C84D94" w:rsidRPr="006A26C7">
        <w:rPr>
          <w:rFonts w:ascii="Times New Roman" w:hAnsi="Times New Roman"/>
          <w:sz w:val="20"/>
          <w:szCs w:val="20"/>
        </w:rPr>
        <w:t>£</w:t>
      </w:r>
      <w:r w:rsidR="00C84D94">
        <w:rPr>
          <w:rFonts w:ascii="Times New Roman" w:hAnsi="Times New Roman"/>
          <w:sz w:val="20"/>
          <w:szCs w:val="20"/>
        </w:rPr>
        <w:t>199,453</w:t>
      </w:r>
      <w:r w:rsidRPr="006A26C7">
        <w:rPr>
          <w:rFonts w:ascii="Times New Roman" w:hAnsi="Times New Roman"/>
          <w:sz w:val="20"/>
          <w:szCs w:val="20"/>
        </w:rPr>
        <w:t>).</w:t>
      </w:r>
    </w:p>
    <w:p w:rsidR="00C10F3C" w:rsidRPr="00B46F2F" w:rsidRDefault="00C10F3C" w:rsidP="001848DB">
      <w:pPr>
        <w:ind w:left="284"/>
        <w:jc w:val="both"/>
        <w:rPr>
          <w:rFonts w:ascii="Times New Roman" w:hAnsi="Times New Roman"/>
          <w:sz w:val="20"/>
          <w:szCs w:val="20"/>
        </w:rPr>
      </w:pPr>
    </w:p>
    <w:p w:rsidR="00C10F3C" w:rsidRPr="00B46F2F" w:rsidRDefault="00C10F3C" w:rsidP="00C10F3C">
      <w:pPr>
        <w:ind w:left="284" w:hanging="284"/>
        <w:rPr>
          <w:rFonts w:ascii="Times New Roman" w:hAnsi="Times New Roman"/>
          <w:b/>
          <w:sz w:val="20"/>
          <w:szCs w:val="20"/>
        </w:rPr>
      </w:pPr>
      <w:r w:rsidRPr="00B46F2F">
        <w:rPr>
          <w:rFonts w:ascii="Times New Roman" w:hAnsi="Times New Roman"/>
          <w:b/>
          <w:sz w:val="20"/>
          <w:szCs w:val="20"/>
        </w:rPr>
        <w:t>q.</w:t>
      </w:r>
      <w:r w:rsidRPr="00B46F2F">
        <w:rPr>
          <w:rFonts w:ascii="Times New Roman" w:hAnsi="Times New Roman"/>
          <w:b/>
          <w:sz w:val="20"/>
          <w:szCs w:val="20"/>
        </w:rPr>
        <w:tab/>
        <w:t>Revenue recognition</w:t>
      </w:r>
    </w:p>
    <w:p w:rsidR="00543032" w:rsidRPr="00E5676A" w:rsidRDefault="00543032" w:rsidP="00E5676A">
      <w:pPr>
        <w:ind w:left="284"/>
        <w:jc w:val="both"/>
        <w:rPr>
          <w:rFonts w:ascii="Times New Roman" w:hAnsi="Times New Roman"/>
          <w:sz w:val="20"/>
          <w:szCs w:val="20"/>
        </w:rPr>
      </w:pPr>
      <w:r w:rsidRPr="00E5676A">
        <w:rPr>
          <w:rFonts w:ascii="Times New Roman" w:hAnsi="Times New Roman"/>
          <w:sz w:val="20"/>
          <w:szCs w:val="20"/>
        </w:rPr>
        <w:t xml:space="preserve">Interest income arises from cash and cash equivalents and quoted </w:t>
      </w:r>
      <w:r w:rsidR="00AA6147">
        <w:rPr>
          <w:rFonts w:ascii="Times New Roman" w:hAnsi="Times New Roman"/>
          <w:sz w:val="20"/>
          <w:szCs w:val="20"/>
        </w:rPr>
        <w:t>b</w:t>
      </w:r>
      <w:r w:rsidRPr="00E5676A">
        <w:rPr>
          <w:rFonts w:ascii="Times New Roman" w:hAnsi="Times New Roman"/>
          <w:sz w:val="20"/>
          <w:szCs w:val="20"/>
        </w:rPr>
        <w:t xml:space="preserve">onds and is recognised in the </w:t>
      </w:r>
      <w:r w:rsidR="00585D7A">
        <w:rPr>
          <w:rFonts w:ascii="Times New Roman" w:hAnsi="Times New Roman"/>
          <w:sz w:val="20"/>
          <w:szCs w:val="20"/>
        </w:rPr>
        <w:t>S</w:t>
      </w:r>
      <w:r w:rsidRPr="00E5676A">
        <w:rPr>
          <w:rFonts w:ascii="Times New Roman" w:hAnsi="Times New Roman"/>
          <w:sz w:val="20"/>
          <w:szCs w:val="20"/>
        </w:rPr>
        <w:t xml:space="preserve">tatement of </w:t>
      </w:r>
      <w:r w:rsidR="00585D7A">
        <w:rPr>
          <w:rFonts w:ascii="Times New Roman" w:hAnsi="Times New Roman"/>
          <w:sz w:val="20"/>
          <w:szCs w:val="20"/>
        </w:rPr>
        <w:t>C</w:t>
      </w:r>
      <w:r w:rsidRPr="00E5676A">
        <w:rPr>
          <w:rFonts w:ascii="Times New Roman" w:hAnsi="Times New Roman"/>
          <w:sz w:val="20"/>
          <w:szCs w:val="20"/>
        </w:rPr>
        <w:t xml:space="preserve">omprehensive </w:t>
      </w:r>
      <w:r w:rsidR="00585D7A">
        <w:rPr>
          <w:rFonts w:ascii="Times New Roman" w:hAnsi="Times New Roman"/>
          <w:sz w:val="20"/>
          <w:szCs w:val="20"/>
        </w:rPr>
        <w:t>I</w:t>
      </w:r>
      <w:r w:rsidRPr="00E5676A">
        <w:rPr>
          <w:rFonts w:ascii="Times New Roman" w:hAnsi="Times New Roman"/>
          <w:sz w:val="20"/>
          <w:szCs w:val="20"/>
        </w:rPr>
        <w:t>ncome using the effective interest method. Dividend income arises from equity investments held and is recognised on the date investments are marked ‘ex-dividend’. Where the Company elects to receive dividends in the form of additional shares rather than cash, the equivalent to the cash dividend is recognised as income in revenue and any excess in value of the shares received over this is recognised in capital. Dividend income is shown gross of withholding tax.</w:t>
      </w:r>
    </w:p>
    <w:p w:rsidR="00E268CB" w:rsidRPr="00B46F2F" w:rsidRDefault="00E268CB" w:rsidP="00E268CB">
      <w:pPr>
        <w:ind w:left="284"/>
        <w:jc w:val="both"/>
        <w:rPr>
          <w:rFonts w:ascii="Times New Roman" w:hAnsi="Times New Roman"/>
          <w:sz w:val="20"/>
          <w:szCs w:val="20"/>
        </w:rPr>
      </w:pPr>
    </w:p>
    <w:p w:rsidR="00C10F3C" w:rsidRPr="009170B8" w:rsidRDefault="00E268CB" w:rsidP="00E268CB">
      <w:pPr>
        <w:ind w:left="284"/>
        <w:jc w:val="both"/>
        <w:rPr>
          <w:rFonts w:ascii="Times New Roman" w:hAnsi="Times New Roman"/>
          <w:sz w:val="20"/>
          <w:szCs w:val="20"/>
        </w:rPr>
      </w:pPr>
      <w:r w:rsidRPr="00B46F2F">
        <w:rPr>
          <w:rFonts w:ascii="Times New Roman" w:hAnsi="Times New Roman"/>
          <w:sz w:val="20"/>
          <w:szCs w:val="20"/>
        </w:rPr>
        <w:t>Special dividends are reviewed on a case by case basis in determining whether the dividend is to be treated as revenue or capital. Amounts recognised as revenue will form part of the distributable</w:t>
      </w:r>
      <w:r w:rsidRPr="00E268CB">
        <w:rPr>
          <w:rFonts w:ascii="Times New Roman" w:hAnsi="Times New Roman"/>
          <w:sz w:val="20"/>
          <w:szCs w:val="20"/>
        </w:rPr>
        <w:t xml:space="preserve"> revenue. Amounts recognised as capital are</w:t>
      </w:r>
      <w:r>
        <w:rPr>
          <w:rFonts w:ascii="Times New Roman" w:hAnsi="Times New Roman"/>
          <w:sz w:val="20"/>
          <w:szCs w:val="20"/>
        </w:rPr>
        <w:t xml:space="preserve"> </w:t>
      </w:r>
      <w:r w:rsidR="00FE09C7">
        <w:rPr>
          <w:rFonts w:ascii="Times New Roman" w:hAnsi="Times New Roman"/>
          <w:sz w:val="20"/>
          <w:szCs w:val="20"/>
        </w:rPr>
        <w:t xml:space="preserve"> included in realised gains</w:t>
      </w:r>
      <w:r w:rsidRPr="00E268CB">
        <w:rPr>
          <w:rFonts w:ascii="Times New Roman" w:hAnsi="Times New Roman"/>
          <w:sz w:val="20"/>
          <w:szCs w:val="20"/>
        </w:rPr>
        <w:t>. The tax accounting treatment follows the treatment of the principal amount.</w:t>
      </w:r>
    </w:p>
    <w:p w:rsidR="00693822" w:rsidRPr="009170B8" w:rsidRDefault="00693822" w:rsidP="00C10F3C">
      <w:pPr>
        <w:ind w:left="284"/>
        <w:jc w:val="both"/>
        <w:rPr>
          <w:rFonts w:ascii="Times New Roman" w:hAnsi="Times New Roman"/>
          <w:sz w:val="20"/>
          <w:szCs w:val="20"/>
        </w:rPr>
      </w:pPr>
    </w:p>
    <w:p w:rsidR="00DE60AD" w:rsidRPr="009170B8" w:rsidRDefault="00DE60AD" w:rsidP="00DE60AD">
      <w:pPr>
        <w:ind w:left="284" w:hanging="284"/>
        <w:rPr>
          <w:rFonts w:ascii="Times New Roman" w:hAnsi="Times New Roman"/>
          <w:b/>
          <w:sz w:val="20"/>
          <w:szCs w:val="20"/>
        </w:rPr>
      </w:pPr>
      <w:r w:rsidRPr="009170B8">
        <w:rPr>
          <w:rFonts w:ascii="Times New Roman" w:hAnsi="Times New Roman"/>
          <w:b/>
          <w:sz w:val="20"/>
          <w:szCs w:val="20"/>
        </w:rPr>
        <w:t>r.</w:t>
      </w:r>
      <w:r w:rsidRPr="009170B8">
        <w:rPr>
          <w:rFonts w:ascii="Times New Roman" w:hAnsi="Times New Roman"/>
          <w:b/>
          <w:sz w:val="20"/>
          <w:szCs w:val="20"/>
        </w:rPr>
        <w:tab/>
        <w:t>Loan payable</w:t>
      </w:r>
      <w:r w:rsidR="00E24A68">
        <w:rPr>
          <w:rFonts w:ascii="Times New Roman" w:hAnsi="Times New Roman"/>
          <w:b/>
          <w:sz w:val="20"/>
          <w:szCs w:val="20"/>
        </w:rPr>
        <w:t xml:space="preserve"> and finance costs</w:t>
      </w:r>
    </w:p>
    <w:p w:rsidR="00DA5E13" w:rsidRDefault="00DE60AD" w:rsidP="003B149F">
      <w:pPr>
        <w:ind w:left="284" w:hanging="284"/>
        <w:jc w:val="both"/>
        <w:rPr>
          <w:rFonts w:ascii="Times New Roman" w:hAnsi="Times New Roman"/>
          <w:sz w:val="20"/>
          <w:szCs w:val="20"/>
        </w:rPr>
      </w:pPr>
      <w:r w:rsidRPr="009170B8">
        <w:rPr>
          <w:rFonts w:ascii="Times New Roman" w:hAnsi="Times New Roman"/>
          <w:sz w:val="20"/>
          <w:szCs w:val="20"/>
        </w:rPr>
        <w:tab/>
        <w:t xml:space="preserve">Loan payable is initially measured at fair value and is subsequently measured at amortised cost using the effective interest rate method. </w:t>
      </w:r>
      <w:r w:rsidR="00C41D63" w:rsidRPr="009170B8">
        <w:rPr>
          <w:rFonts w:ascii="Times New Roman" w:hAnsi="Times New Roman"/>
          <w:sz w:val="20"/>
          <w:szCs w:val="20"/>
        </w:rPr>
        <w:t>The effective interest</w:t>
      </w:r>
      <w:r w:rsidR="002E6FF3" w:rsidRPr="009170B8">
        <w:rPr>
          <w:rFonts w:ascii="Times New Roman" w:hAnsi="Times New Roman"/>
          <w:sz w:val="20"/>
          <w:szCs w:val="20"/>
        </w:rPr>
        <w:t xml:space="preserve"> rate</w:t>
      </w:r>
      <w:r w:rsidR="00C41D63" w:rsidRPr="009170B8">
        <w:rPr>
          <w:rFonts w:ascii="Times New Roman" w:hAnsi="Times New Roman"/>
          <w:sz w:val="20"/>
          <w:szCs w:val="20"/>
        </w:rPr>
        <w:t xml:space="preserve"> method is a method of calculating the amortised cost of a financial liability and of allocating interest expense over the relevant period. The effective interest rate is the rate that exactly discounts estimated </w:t>
      </w:r>
    </w:p>
    <w:p w:rsidR="007A0336" w:rsidRDefault="007A0336" w:rsidP="003B149F">
      <w:pPr>
        <w:ind w:left="284" w:hanging="284"/>
        <w:jc w:val="both"/>
        <w:rPr>
          <w:rFonts w:ascii="Times New Roman" w:hAnsi="Times New Roman"/>
          <w:sz w:val="20"/>
          <w:szCs w:val="20"/>
        </w:rPr>
      </w:pPr>
    </w:p>
    <w:p w:rsidR="00DA5E13" w:rsidRPr="009170B8" w:rsidRDefault="00DA5E13" w:rsidP="00DA5E13">
      <w:pPr>
        <w:rPr>
          <w:rFonts w:ascii="Times New Roman" w:hAnsi="Times New Roman"/>
          <w:b/>
        </w:rPr>
      </w:pPr>
      <w:r w:rsidRPr="009170B8">
        <w:rPr>
          <w:rFonts w:ascii="Times New Roman" w:hAnsi="Times New Roman"/>
          <w:b/>
        </w:rPr>
        <w:t>Notes to the Financial Statements</w:t>
      </w:r>
      <w:r>
        <w:rPr>
          <w:rFonts w:ascii="Times New Roman" w:hAnsi="Times New Roman"/>
          <w:b/>
        </w:rPr>
        <w:t xml:space="preserve"> of the Fund</w:t>
      </w:r>
      <w:r w:rsidRPr="009170B8">
        <w:rPr>
          <w:rFonts w:ascii="Times New Roman" w:hAnsi="Times New Roman"/>
          <w:b/>
        </w:rPr>
        <w:t xml:space="preserve"> (continued)</w:t>
      </w:r>
    </w:p>
    <w:p w:rsidR="00DA5E13" w:rsidRDefault="00DA5E13" w:rsidP="00DA5E13">
      <w:pPr>
        <w:rPr>
          <w:rFonts w:ascii="Times New Roman" w:hAnsi="Times New Roman"/>
          <w:b/>
          <w:sz w:val="20"/>
          <w:szCs w:val="20"/>
        </w:rPr>
      </w:pPr>
      <w:r w:rsidRPr="009170B8">
        <w:rPr>
          <w:rFonts w:ascii="Times New Roman" w:hAnsi="Times New Roman"/>
          <w:b/>
          <w:sz w:val="20"/>
          <w:szCs w:val="20"/>
        </w:rPr>
        <w:t xml:space="preserve">For the year </w:t>
      </w:r>
      <w:r w:rsidRPr="00B46F2F">
        <w:rPr>
          <w:rFonts w:ascii="Times New Roman" w:hAnsi="Times New Roman"/>
          <w:b/>
          <w:sz w:val="20"/>
          <w:szCs w:val="20"/>
        </w:rPr>
        <w:t>ended 31 December 201</w:t>
      </w:r>
      <w:r>
        <w:rPr>
          <w:rFonts w:ascii="Times New Roman" w:hAnsi="Times New Roman"/>
          <w:b/>
          <w:sz w:val="20"/>
          <w:szCs w:val="20"/>
        </w:rPr>
        <w:t>8</w:t>
      </w:r>
    </w:p>
    <w:p w:rsidR="00DA5E13" w:rsidRDefault="00DA5E13" w:rsidP="003B149F">
      <w:pPr>
        <w:ind w:left="284" w:hanging="284"/>
        <w:jc w:val="both"/>
        <w:rPr>
          <w:rFonts w:ascii="Times New Roman" w:hAnsi="Times New Roman"/>
          <w:sz w:val="20"/>
          <w:szCs w:val="20"/>
        </w:rPr>
      </w:pPr>
    </w:p>
    <w:p w:rsidR="00DA5E13" w:rsidRPr="00AC5183" w:rsidRDefault="00DA5E13" w:rsidP="00AC5183">
      <w:pPr>
        <w:ind w:left="284" w:hanging="284"/>
        <w:rPr>
          <w:rFonts w:ascii="Times New Roman" w:hAnsi="Times New Roman"/>
          <w:b/>
          <w:sz w:val="20"/>
          <w:szCs w:val="20"/>
        </w:rPr>
      </w:pPr>
      <w:r w:rsidRPr="009170B8">
        <w:rPr>
          <w:rFonts w:ascii="Times New Roman" w:hAnsi="Times New Roman"/>
          <w:b/>
          <w:sz w:val="20"/>
          <w:szCs w:val="20"/>
        </w:rPr>
        <w:t>r.</w:t>
      </w:r>
      <w:r w:rsidRPr="009170B8">
        <w:rPr>
          <w:rFonts w:ascii="Times New Roman" w:hAnsi="Times New Roman"/>
          <w:b/>
          <w:sz w:val="20"/>
          <w:szCs w:val="20"/>
        </w:rPr>
        <w:tab/>
        <w:t>Loan payable</w:t>
      </w:r>
      <w:r>
        <w:rPr>
          <w:rFonts w:ascii="Times New Roman" w:hAnsi="Times New Roman"/>
          <w:b/>
          <w:sz w:val="20"/>
          <w:szCs w:val="20"/>
        </w:rPr>
        <w:t xml:space="preserve"> and finance costs (continued)</w:t>
      </w:r>
    </w:p>
    <w:p w:rsidR="00DE60AD" w:rsidRPr="009170B8" w:rsidRDefault="00C41D63" w:rsidP="00AC5183">
      <w:pPr>
        <w:ind w:left="284"/>
        <w:jc w:val="both"/>
        <w:rPr>
          <w:rFonts w:ascii="Times New Roman" w:hAnsi="Times New Roman"/>
          <w:sz w:val="20"/>
          <w:szCs w:val="20"/>
        </w:rPr>
      </w:pPr>
      <w:r w:rsidRPr="009170B8">
        <w:rPr>
          <w:rFonts w:ascii="Times New Roman" w:hAnsi="Times New Roman"/>
          <w:sz w:val="20"/>
          <w:szCs w:val="20"/>
        </w:rPr>
        <w:t>future cash payments through the expected life of the financial liability or, where appropriate, a shorter period, to the net carrying amount on initial recognition.</w:t>
      </w:r>
    </w:p>
    <w:p w:rsidR="00DE60AD" w:rsidRPr="00E5676A" w:rsidRDefault="00DE60AD" w:rsidP="00E5676A">
      <w:pPr>
        <w:ind w:left="284"/>
        <w:jc w:val="both"/>
        <w:rPr>
          <w:rFonts w:ascii="Times New Roman" w:hAnsi="Times New Roman"/>
          <w:sz w:val="20"/>
          <w:szCs w:val="20"/>
        </w:rPr>
      </w:pPr>
    </w:p>
    <w:p w:rsidR="009E5D11" w:rsidRPr="009170B8" w:rsidRDefault="00DE60AD" w:rsidP="001848DB">
      <w:pPr>
        <w:ind w:left="284" w:hanging="284"/>
        <w:rPr>
          <w:rFonts w:ascii="Times New Roman" w:hAnsi="Times New Roman"/>
          <w:b/>
          <w:sz w:val="20"/>
          <w:szCs w:val="20"/>
        </w:rPr>
      </w:pPr>
      <w:r w:rsidRPr="009170B8">
        <w:rPr>
          <w:rFonts w:ascii="Times New Roman" w:hAnsi="Times New Roman"/>
          <w:b/>
          <w:sz w:val="20"/>
          <w:szCs w:val="20"/>
        </w:rPr>
        <w:t>s</w:t>
      </w:r>
      <w:r w:rsidR="009E5D11" w:rsidRPr="009170B8">
        <w:rPr>
          <w:rFonts w:ascii="Times New Roman" w:hAnsi="Times New Roman"/>
          <w:b/>
          <w:sz w:val="20"/>
          <w:szCs w:val="20"/>
        </w:rPr>
        <w:t>.</w:t>
      </w:r>
      <w:r w:rsidR="009E5D11" w:rsidRPr="009170B8">
        <w:rPr>
          <w:rFonts w:ascii="Times New Roman" w:hAnsi="Times New Roman"/>
          <w:b/>
          <w:sz w:val="20"/>
          <w:szCs w:val="20"/>
        </w:rPr>
        <w:tab/>
        <w:t xml:space="preserve">Related parties </w:t>
      </w:r>
    </w:p>
    <w:p w:rsidR="009E5D11" w:rsidRPr="009170B8" w:rsidRDefault="009E5D11" w:rsidP="001848DB">
      <w:pPr>
        <w:ind w:left="284"/>
        <w:jc w:val="both"/>
        <w:rPr>
          <w:rFonts w:ascii="Times New Roman" w:hAnsi="Times New Roman"/>
          <w:sz w:val="20"/>
          <w:szCs w:val="20"/>
        </w:rPr>
      </w:pPr>
      <w:r w:rsidRPr="009170B8">
        <w:rPr>
          <w:rFonts w:ascii="Times New Roman" w:hAnsi="Times New Roman"/>
          <w:sz w:val="20"/>
          <w:szCs w:val="20"/>
        </w:rPr>
        <w:t>Related parties are individuals and companies where the individuals or companies have the ability, directly or indirectly, to control the other party or exercise significant influence over the other party in making financial and operating decisions</w:t>
      </w:r>
      <w:r w:rsidR="0075060A">
        <w:rPr>
          <w:rFonts w:ascii="Times New Roman" w:hAnsi="Times New Roman"/>
          <w:sz w:val="20"/>
          <w:szCs w:val="20"/>
        </w:rPr>
        <w:t xml:space="preserve"> (see </w:t>
      </w:r>
      <w:r w:rsidR="00FA1564">
        <w:rPr>
          <w:rFonts w:ascii="Times New Roman" w:hAnsi="Times New Roman"/>
          <w:sz w:val="20"/>
          <w:szCs w:val="20"/>
        </w:rPr>
        <w:t>N</w:t>
      </w:r>
      <w:r w:rsidR="0075060A">
        <w:rPr>
          <w:rFonts w:ascii="Times New Roman" w:hAnsi="Times New Roman"/>
          <w:sz w:val="20"/>
          <w:szCs w:val="20"/>
        </w:rPr>
        <w:t>ote 13)</w:t>
      </w:r>
      <w:r w:rsidRPr="009170B8">
        <w:rPr>
          <w:rFonts w:ascii="Times New Roman" w:hAnsi="Times New Roman"/>
          <w:sz w:val="20"/>
          <w:szCs w:val="20"/>
        </w:rPr>
        <w:t>.</w:t>
      </w:r>
    </w:p>
    <w:p w:rsidR="009E5D11" w:rsidRPr="009170B8" w:rsidRDefault="009E5D11" w:rsidP="009E5D11">
      <w:pPr>
        <w:rPr>
          <w:rFonts w:ascii="Times New Roman" w:hAnsi="Times New Roman"/>
          <w:sz w:val="20"/>
          <w:szCs w:val="20"/>
        </w:rPr>
      </w:pPr>
    </w:p>
    <w:p w:rsidR="009E5D11" w:rsidRPr="009170B8" w:rsidRDefault="00DE60AD" w:rsidP="001848DB">
      <w:pPr>
        <w:ind w:left="284" w:hanging="284"/>
        <w:rPr>
          <w:rFonts w:ascii="Times New Roman" w:hAnsi="Times New Roman"/>
          <w:b/>
          <w:sz w:val="20"/>
          <w:szCs w:val="20"/>
        </w:rPr>
      </w:pPr>
      <w:r w:rsidRPr="009170B8">
        <w:rPr>
          <w:rFonts w:ascii="Times New Roman" w:hAnsi="Times New Roman"/>
          <w:b/>
          <w:sz w:val="20"/>
          <w:szCs w:val="20"/>
        </w:rPr>
        <w:t>t</w:t>
      </w:r>
      <w:r w:rsidR="009E5D11" w:rsidRPr="009170B8">
        <w:rPr>
          <w:rFonts w:ascii="Times New Roman" w:hAnsi="Times New Roman"/>
          <w:b/>
          <w:sz w:val="20"/>
          <w:szCs w:val="20"/>
        </w:rPr>
        <w:t>.</w:t>
      </w:r>
      <w:r w:rsidR="009E5D11" w:rsidRPr="009170B8">
        <w:rPr>
          <w:rFonts w:ascii="Times New Roman" w:hAnsi="Times New Roman"/>
          <w:b/>
          <w:sz w:val="20"/>
          <w:szCs w:val="20"/>
        </w:rPr>
        <w:tab/>
        <w:t xml:space="preserve">Business and geographical segments </w:t>
      </w:r>
    </w:p>
    <w:p w:rsidR="00D419A5" w:rsidRPr="009170B8" w:rsidRDefault="009E5D11" w:rsidP="00CD2D55">
      <w:pPr>
        <w:ind w:left="284"/>
        <w:jc w:val="both"/>
        <w:rPr>
          <w:rFonts w:ascii="Times New Roman" w:hAnsi="Times New Roman"/>
          <w:sz w:val="20"/>
          <w:szCs w:val="20"/>
        </w:rPr>
      </w:pPr>
      <w:r w:rsidRPr="009170B8">
        <w:rPr>
          <w:rFonts w:ascii="Times New Roman" w:hAnsi="Times New Roman"/>
          <w:sz w:val="20"/>
          <w:szCs w:val="20"/>
        </w:rPr>
        <w:t xml:space="preserve">The </w:t>
      </w:r>
      <w:r w:rsidR="00F81507" w:rsidRPr="009170B8">
        <w:rPr>
          <w:rFonts w:ascii="Times New Roman" w:hAnsi="Times New Roman"/>
          <w:sz w:val="20"/>
          <w:szCs w:val="20"/>
        </w:rPr>
        <w:t>d</w:t>
      </w:r>
      <w:r w:rsidRPr="009170B8">
        <w:rPr>
          <w:rFonts w:ascii="Times New Roman" w:hAnsi="Times New Roman"/>
          <w:sz w:val="20"/>
          <w:szCs w:val="20"/>
        </w:rPr>
        <w:t>irectors are of the opinion that the Fund is engaged in a single s</w:t>
      </w:r>
      <w:r w:rsidR="00316831" w:rsidRPr="009170B8">
        <w:rPr>
          <w:rFonts w:ascii="Times New Roman" w:hAnsi="Times New Roman"/>
          <w:sz w:val="20"/>
          <w:szCs w:val="20"/>
        </w:rPr>
        <w:t>egment of business investing predominantly in securities and REITs domiciled in Canada</w:t>
      </w:r>
      <w:r w:rsidR="00585D7A">
        <w:rPr>
          <w:rFonts w:ascii="Times New Roman" w:hAnsi="Times New Roman"/>
          <w:sz w:val="20"/>
          <w:szCs w:val="20"/>
        </w:rPr>
        <w:t xml:space="preserve"> as well as U.S.</w:t>
      </w:r>
      <w:r w:rsidR="00316831" w:rsidRPr="009170B8">
        <w:rPr>
          <w:rFonts w:ascii="Times New Roman" w:hAnsi="Times New Roman"/>
          <w:sz w:val="20"/>
          <w:szCs w:val="20"/>
        </w:rPr>
        <w:t xml:space="preserve"> to which the Fund is solely exposed and therefore no segmental reporting is provided.</w:t>
      </w:r>
      <w:r w:rsidR="00F57753">
        <w:rPr>
          <w:rFonts w:ascii="Times New Roman" w:hAnsi="Times New Roman"/>
          <w:sz w:val="20"/>
          <w:szCs w:val="20"/>
        </w:rPr>
        <w:t xml:space="preserve"> </w:t>
      </w:r>
    </w:p>
    <w:p w:rsidR="000871D0" w:rsidRPr="00B46F2F" w:rsidRDefault="000871D0" w:rsidP="000871D0">
      <w:pPr>
        <w:rPr>
          <w:rFonts w:ascii="Times New Roman" w:hAnsi="Times New Roman"/>
          <w:b/>
          <w:sz w:val="20"/>
          <w:szCs w:val="20"/>
        </w:rPr>
      </w:pPr>
    </w:p>
    <w:p w:rsidR="002B3111" w:rsidRPr="00C87A19" w:rsidRDefault="002B3111" w:rsidP="00C87A19">
      <w:pPr>
        <w:pStyle w:val="ListParagraph"/>
        <w:numPr>
          <w:ilvl w:val="0"/>
          <w:numId w:val="20"/>
        </w:numPr>
        <w:ind w:left="284"/>
        <w:rPr>
          <w:rFonts w:ascii="Times New Roman" w:hAnsi="Times New Roman"/>
          <w:b/>
          <w:sz w:val="20"/>
          <w:szCs w:val="20"/>
        </w:rPr>
      </w:pPr>
      <w:r w:rsidRPr="002B3111">
        <w:rPr>
          <w:rFonts w:ascii="Times New Roman" w:eastAsia="Times New Roman" w:hAnsi="Times New Roman"/>
          <w:b/>
          <w:sz w:val="20"/>
          <w:szCs w:val="20"/>
          <w:lang w:eastAsia="en-US"/>
        </w:rPr>
        <w:t>Sec</w:t>
      </w:r>
      <w:r>
        <w:rPr>
          <w:rFonts w:ascii="Times New Roman" w:hAnsi="Times New Roman"/>
          <w:b/>
          <w:sz w:val="20"/>
          <w:szCs w:val="20"/>
        </w:rPr>
        <w:t>urities (at value through profit and loss)</w:t>
      </w:r>
      <w:r w:rsidRPr="00C87A19">
        <w:rPr>
          <w:rFonts w:ascii="Times New Roman" w:hAnsi="Times New Roman"/>
          <w:b/>
          <w:sz w:val="20"/>
          <w:szCs w:val="20"/>
        </w:rPr>
        <w:tab/>
      </w:r>
    </w:p>
    <w:p w:rsidR="006B2C86" w:rsidRPr="0012480E" w:rsidRDefault="006B2C86" w:rsidP="00C87A19">
      <w:pPr>
        <w:rPr>
          <w:rFonts w:ascii="Times New Roman" w:hAnsi="Times New Roman"/>
          <w:sz w:val="20"/>
          <w:szCs w:val="20"/>
        </w:rPr>
      </w:pPr>
    </w:p>
    <w:tbl>
      <w:tblPr>
        <w:tblW w:w="0" w:type="auto"/>
        <w:tblLayout w:type="fixed"/>
        <w:tblLook w:val="0000" w:firstRow="0" w:lastRow="0" w:firstColumn="0" w:lastColumn="0" w:noHBand="0" w:noVBand="0"/>
      </w:tblPr>
      <w:tblGrid>
        <w:gridCol w:w="7338"/>
        <w:gridCol w:w="1450"/>
        <w:gridCol w:w="236"/>
        <w:gridCol w:w="1312"/>
      </w:tblGrid>
      <w:tr w:rsidR="00320243" w:rsidRPr="00B46F2F" w:rsidTr="00680195">
        <w:trPr>
          <w:cantSplit/>
        </w:trPr>
        <w:tc>
          <w:tcPr>
            <w:tcW w:w="7338" w:type="dxa"/>
          </w:tcPr>
          <w:p w:rsidR="00320243" w:rsidRPr="009170B8" w:rsidRDefault="00320243" w:rsidP="00CC443E">
            <w:pPr>
              <w:rPr>
                <w:rFonts w:ascii="Times New Roman" w:hAnsi="Times New Roman"/>
                <w:sz w:val="20"/>
                <w:szCs w:val="20"/>
              </w:rPr>
            </w:pPr>
          </w:p>
        </w:tc>
        <w:tc>
          <w:tcPr>
            <w:tcW w:w="1450" w:type="dxa"/>
          </w:tcPr>
          <w:p w:rsidR="00320243" w:rsidRPr="00B46F2F" w:rsidRDefault="009A5D33">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8</w:t>
            </w:r>
          </w:p>
        </w:tc>
        <w:tc>
          <w:tcPr>
            <w:tcW w:w="236" w:type="dxa"/>
          </w:tcPr>
          <w:p w:rsidR="00320243" w:rsidRPr="00B46F2F" w:rsidRDefault="00320243" w:rsidP="00CC443E">
            <w:pPr>
              <w:jc w:val="right"/>
              <w:rPr>
                <w:rFonts w:ascii="Times New Roman" w:hAnsi="Times New Roman"/>
                <w:b/>
                <w:sz w:val="20"/>
                <w:szCs w:val="20"/>
              </w:rPr>
            </w:pPr>
          </w:p>
        </w:tc>
        <w:tc>
          <w:tcPr>
            <w:tcW w:w="1312" w:type="dxa"/>
          </w:tcPr>
          <w:p w:rsidR="00320243" w:rsidRPr="00B46F2F" w:rsidRDefault="009A5D33">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7</w:t>
            </w:r>
          </w:p>
        </w:tc>
      </w:tr>
      <w:tr w:rsidR="00320243" w:rsidRPr="00B46F2F" w:rsidTr="00680195">
        <w:trPr>
          <w:cantSplit/>
        </w:trPr>
        <w:tc>
          <w:tcPr>
            <w:tcW w:w="7338" w:type="dxa"/>
          </w:tcPr>
          <w:p w:rsidR="00320243" w:rsidRPr="00B46F2F" w:rsidRDefault="00320243" w:rsidP="00CC443E">
            <w:pPr>
              <w:rPr>
                <w:rFonts w:ascii="Times New Roman" w:hAnsi="Times New Roman"/>
                <w:sz w:val="20"/>
                <w:szCs w:val="20"/>
              </w:rPr>
            </w:pPr>
          </w:p>
        </w:tc>
        <w:tc>
          <w:tcPr>
            <w:tcW w:w="1450" w:type="dxa"/>
          </w:tcPr>
          <w:p w:rsidR="00320243" w:rsidRPr="00B46F2F" w:rsidRDefault="00320243" w:rsidP="00CC443E">
            <w:pPr>
              <w:jc w:val="right"/>
              <w:rPr>
                <w:rFonts w:ascii="Times New Roman" w:hAnsi="Times New Roman"/>
                <w:b/>
                <w:sz w:val="20"/>
                <w:szCs w:val="20"/>
              </w:rPr>
            </w:pPr>
            <w:r w:rsidRPr="00B46F2F">
              <w:rPr>
                <w:rFonts w:ascii="Times New Roman" w:hAnsi="Times New Roman"/>
                <w:b/>
                <w:sz w:val="20"/>
                <w:szCs w:val="20"/>
              </w:rPr>
              <w:t>GBP</w:t>
            </w:r>
          </w:p>
        </w:tc>
        <w:tc>
          <w:tcPr>
            <w:tcW w:w="236" w:type="dxa"/>
          </w:tcPr>
          <w:p w:rsidR="00320243" w:rsidRPr="00B46F2F" w:rsidRDefault="00320243" w:rsidP="00CC443E">
            <w:pPr>
              <w:jc w:val="right"/>
              <w:rPr>
                <w:rFonts w:ascii="Times New Roman" w:hAnsi="Times New Roman"/>
                <w:b/>
                <w:sz w:val="20"/>
                <w:szCs w:val="20"/>
              </w:rPr>
            </w:pPr>
          </w:p>
        </w:tc>
        <w:tc>
          <w:tcPr>
            <w:tcW w:w="1312" w:type="dxa"/>
          </w:tcPr>
          <w:p w:rsidR="00320243" w:rsidRPr="00B46F2F" w:rsidRDefault="00320243" w:rsidP="00CC443E">
            <w:pPr>
              <w:jc w:val="right"/>
              <w:rPr>
                <w:rFonts w:ascii="Times New Roman" w:hAnsi="Times New Roman"/>
                <w:b/>
                <w:sz w:val="20"/>
                <w:szCs w:val="20"/>
              </w:rPr>
            </w:pPr>
            <w:r w:rsidRPr="00B46F2F">
              <w:rPr>
                <w:rFonts w:ascii="Times New Roman" w:hAnsi="Times New Roman"/>
                <w:b/>
                <w:sz w:val="20"/>
                <w:szCs w:val="20"/>
              </w:rPr>
              <w:t>GBP</w:t>
            </w:r>
          </w:p>
        </w:tc>
      </w:tr>
      <w:tr w:rsidR="00320243" w:rsidRPr="00B46F2F" w:rsidTr="00680195">
        <w:trPr>
          <w:cantSplit/>
          <w:trHeight w:val="163"/>
        </w:trPr>
        <w:tc>
          <w:tcPr>
            <w:tcW w:w="7338" w:type="dxa"/>
          </w:tcPr>
          <w:p w:rsidR="00320243" w:rsidRPr="00B46F2F" w:rsidRDefault="00320243" w:rsidP="00CC443E">
            <w:pPr>
              <w:rPr>
                <w:rFonts w:ascii="Times New Roman" w:hAnsi="Times New Roman"/>
                <w:sz w:val="20"/>
                <w:szCs w:val="20"/>
              </w:rPr>
            </w:pPr>
          </w:p>
        </w:tc>
        <w:tc>
          <w:tcPr>
            <w:tcW w:w="1450" w:type="dxa"/>
          </w:tcPr>
          <w:p w:rsidR="00320243" w:rsidRPr="00B46F2F" w:rsidRDefault="00320243" w:rsidP="00CC443E">
            <w:pPr>
              <w:rPr>
                <w:rFonts w:ascii="Times New Roman" w:hAnsi="Times New Roman"/>
                <w:sz w:val="20"/>
                <w:szCs w:val="20"/>
              </w:rPr>
            </w:pPr>
          </w:p>
        </w:tc>
        <w:tc>
          <w:tcPr>
            <w:tcW w:w="236" w:type="dxa"/>
          </w:tcPr>
          <w:p w:rsidR="00320243" w:rsidRPr="00B46F2F" w:rsidRDefault="00320243" w:rsidP="00CC443E">
            <w:pPr>
              <w:rPr>
                <w:rFonts w:ascii="Times New Roman" w:hAnsi="Times New Roman"/>
                <w:sz w:val="20"/>
                <w:szCs w:val="20"/>
              </w:rPr>
            </w:pPr>
          </w:p>
        </w:tc>
        <w:tc>
          <w:tcPr>
            <w:tcW w:w="1312" w:type="dxa"/>
          </w:tcPr>
          <w:p w:rsidR="00320243" w:rsidRPr="00B46F2F" w:rsidRDefault="00320243" w:rsidP="00CC443E">
            <w:pPr>
              <w:rPr>
                <w:rFonts w:ascii="Times New Roman" w:hAnsi="Times New Roman"/>
                <w:sz w:val="20"/>
                <w:szCs w:val="20"/>
              </w:rPr>
            </w:pPr>
          </w:p>
        </w:tc>
      </w:tr>
      <w:tr w:rsidR="00C84D94" w:rsidRPr="00B46F2F" w:rsidTr="00680195">
        <w:trPr>
          <w:cantSplit/>
        </w:trPr>
        <w:tc>
          <w:tcPr>
            <w:tcW w:w="7338" w:type="dxa"/>
          </w:tcPr>
          <w:p w:rsidR="00C84D94" w:rsidRPr="00B46F2F" w:rsidRDefault="00C84D94">
            <w:pPr>
              <w:ind w:firstLine="360"/>
              <w:rPr>
                <w:rFonts w:ascii="Times New Roman" w:hAnsi="Times New Roman"/>
                <w:sz w:val="20"/>
                <w:szCs w:val="20"/>
              </w:rPr>
            </w:pPr>
            <w:r>
              <w:rPr>
                <w:rFonts w:ascii="Times New Roman" w:hAnsi="Times New Roman"/>
                <w:sz w:val="20"/>
                <w:szCs w:val="20"/>
              </w:rPr>
              <w:t>Quoted/listed E</w:t>
            </w:r>
            <w:r w:rsidRPr="00B46F2F">
              <w:rPr>
                <w:rFonts w:ascii="Times New Roman" w:hAnsi="Times New Roman"/>
                <w:sz w:val="20"/>
                <w:szCs w:val="20"/>
              </w:rPr>
              <w:t>quities</w:t>
            </w:r>
          </w:p>
        </w:tc>
        <w:tc>
          <w:tcPr>
            <w:tcW w:w="1450" w:type="dxa"/>
            <w:vAlign w:val="bottom"/>
          </w:tcPr>
          <w:p w:rsidR="00C84D94" w:rsidRPr="00B46F2F" w:rsidRDefault="00C84D94">
            <w:pPr>
              <w:jc w:val="right"/>
              <w:rPr>
                <w:rFonts w:ascii="Times New Roman" w:hAnsi="Times New Roman"/>
                <w:sz w:val="20"/>
                <w:szCs w:val="20"/>
              </w:rPr>
            </w:pPr>
            <w:r>
              <w:rPr>
                <w:rFonts w:ascii="Times New Roman" w:hAnsi="Times New Roman"/>
                <w:sz w:val="20"/>
                <w:szCs w:val="20"/>
              </w:rPr>
              <w:t>1</w:t>
            </w:r>
            <w:r w:rsidR="00053155">
              <w:rPr>
                <w:rFonts w:ascii="Times New Roman" w:hAnsi="Times New Roman"/>
                <w:sz w:val="20"/>
                <w:szCs w:val="20"/>
              </w:rPr>
              <w:t>12</w:t>
            </w:r>
            <w:r>
              <w:rPr>
                <w:rFonts w:ascii="Times New Roman" w:hAnsi="Times New Roman"/>
                <w:sz w:val="20"/>
                <w:szCs w:val="20"/>
              </w:rPr>
              <w:t>,</w:t>
            </w:r>
            <w:r w:rsidR="00053155">
              <w:rPr>
                <w:rFonts w:ascii="Times New Roman" w:hAnsi="Times New Roman"/>
                <w:sz w:val="20"/>
                <w:szCs w:val="20"/>
              </w:rPr>
              <w:t>940</w:t>
            </w:r>
            <w:r>
              <w:rPr>
                <w:rFonts w:ascii="Times New Roman" w:hAnsi="Times New Roman"/>
                <w:sz w:val="20"/>
                <w:szCs w:val="20"/>
              </w:rPr>
              <w:t>,</w:t>
            </w:r>
            <w:r w:rsidR="00053155">
              <w:rPr>
                <w:rFonts w:ascii="Times New Roman" w:hAnsi="Times New Roman"/>
                <w:sz w:val="20"/>
                <w:szCs w:val="20"/>
              </w:rPr>
              <w:t>472</w:t>
            </w:r>
          </w:p>
        </w:tc>
        <w:tc>
          <w:tcPr>
            <w:tcW w:w="236" w:type="dxa"/>
          </w:tcPr>
          <w:p w:rsidR="00C84D94" w:rsidRPr="00B46F2F" w:rsidRDefault="00C84D94" w:rsidP="00CC443E">
            <w:pPr>
              <w:jc w:val="right"/>
              <w:rPr>
                <w:rFonts w:ascii="Times New Roman" w:hAnsi="Times New Roman"/>
                <w:sz w:val="20"/>
                <w:szCs w:val="20"/>
              </w:rPr>
            </w:pPr>
          </w:p>
        </w:tc>
        <w:tc>
          <w:tcPr>
            <w:tcW w:w="1312" w:type="dxa"/>
            <w:vAlign w:val="bottom"/>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147,256,260</w:t>
            </w:r>
          </w:p>
        </w:tc>
      </w:tr>
      <w:tr w:rsidR="00C84D94" w:rsidRPr="00B46F2F" w:rsidTr="00680195">
        <w:trPr>
          <w:cantSplit/>
        </w:trPr>
        <w:tc>
          <w:tcPr>
            <w:tcW w:w="7338" w:type="dxa"/>
          </w:tcPr>
          <w:p w:rsidR="00C84D94" w:rsidRPr="00B46F2F" w:rsidRDefault="00C84D94">
            <w:pPr>
              <w:ind w:firstLine="360"/>
              <w:rPr>
                <w:rFonts w:ascii="Times New Roman" w:hAnsi="Times New Roman"/>
                <w:sz w:val="20"/>
                <w:szCs w:val="20"/>
              </w:rPr>
            </w:pPr>
            <w:r>
              <w:rPr>
                <w:rFonts w:ascii="Times New Roman" w:hAnsi="Times New Roman"/>
                <w:sz w:val="20"/>
                <w:szCs w:val="20"/>
              </w:rPr>
              <w:t>Quoted/listed Bonds</w:t>
            </w:r>
          </w:p>
        </w:tc>
        <w:tc>
          <w:tcPr>
            <w:tcW w:w="1450" w:type="dxa"/>
            <w:tcBorders>
              <w:bottom w:val="single" w:sz="4" w:space="0" w:color="auto"/>
            </w:tcBorders>
          </w:tcPr>
          <w:p w:rsidR="00C84D94" w:rsidRPr="00B46F2F" w:rsidRDefault="00C84D94">
            <w:pPr>
              <w:jc w:val="right"/>
              <w:rPr>
                <w:rFonts w:ascii="Times New Roman" w:hAnsi="Times New Roman"/>
                <w:sz w:val="20"/>
                <w:szCs w:val="20"/>
              </w:rPr>
            </w:pPr>
            <w:r>
              <w:rPr>
                <w:rFonts w:ascii="Times New Roman" w:hAnsi="Times New Roman"/>
                <w:sz w:val="20"/>
                <w:szCs w:val="20"/>
              </w:rPr>
              <w:t>1,</w:t>
            </w:r>
            <w:r w:rsidR="00053155">
              <w:rPr>
                <w:rFonts w:ascii="Times New Roman" w:hAnsi="Times New Roman"/>
                <w:sz w:val="20"/>
                <w:szCs w:val="20"/>
              </w:rPr>
              <w:t>154</w:t>
            </w:r>
            <w:r>
              <w:rPr>
                <w:rFonts w:ascii="Times New Roman" w:hAnsi="Times New Roman"/>
                <w:sz w:val="20"/>
                <w:szCs w:val="20"/>
              </w:rPr>
              <w:t>,</w:t>
            </w:r>
            <w:r w:rsidR="00053155">
              <w:rPr>
                <w:rFonts w:ascii="Times New Roman" w:hAnsi="Times New Roman"/>
                <w:sz w:val="20"/>
                <w:szCs w:val="20"/>
              </w:rPr>
              <w:t>809</w:t>
            </w:r>
          </w:p>
        </w:tc>
        <w:tc>
          <w:tcPr>
            <w:tcW w:w="236" w:type="dxa"/>
          </w:tcPr>
          <w:p w:rsidR="00C84D94" w:rsidRPr="00B46F2F" w:rsidRDefault="00C84D94" w:rsidP="00CC443E">
            <w:pPr>
              <w:jc w:val="right"/>
              <w:rPr>
                <w:rFonts w:ascii="Times New Roman" w:hAnsi="Times New Roman"/>
                <w:sz w:val="20"/>
                <w:szCs w:val="20"/>
              </w:rPr>
            </w:pPr>
          </w:p>
        </w:tc>
        <w:tc>
          <w:tcPr>
            <w:tcW w:w="1312" w:type="dxa"/>
            <w:tcBorders>
              <w:bottom w:val="single" w:sz="4" w:space="0" w:color="auto"/>
            </w:tcBorders>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1,208,649</w:t>
            </w:r>
          </w:p>
        </w:tc>
      </w:tr>
      <w:tr w:rsidR="00C84D94" w:rsidRPr="00B46F2F" w:rsidTr="00680195">
        <w:trPr>
          <w:cantSplit/>
        </w:trPr>
        <w:tc>
          <w:tcPr>
            <w:tcW w:w="7338" w:type="dxa"/>
          </w:tcPr>
          <w:p w:rsidR="00C84D94" w:rsidRPr="00B46F2F" w:rsidRDefault="00C84D94" w:rsidP="00CC443E">
            <w:pPr>
              <w:rPr>
                <w:rFonts w:ascii="Times New Roman" w:hAnsi="Times New Roman"/>
                <w:sz w:val="20"/>
                <w:szCs w:val="20"/>
              </w:rPr>
            </w:pPr>
          </w:p>
        </w:tc>
        <w:tc>
          <w:tcPr>
            <w:tcW w:w="1450" w:type="dxa"/>
            <w:tcBorders>
              <w:top w:val="single" w:sz="4" w:space="0" w:color="auto"/>
              <w:bottom w:val="double" w:sz="4" w:space="0" w:color="auto"/>
            </w:tcBorders>
          </w:tcPr>
          <w:p w:rsidR="00C84D94" w:rsidRPr="00B46F2F" w:rsidRDefault="00C84D94">
            <w:pPr>
              <w:jc w:val="right"/>
              <w:rPr>
                <w:rFonts w:ascii="Times New Roman" w:hAnsi="Times New Roman"/>
                <w:b/>
                <w:sz w:val="20"/>
                <w:szCs w:val="20"/>
              </w:rPr>
            </w:pPr>
            <w:r>
              <w:rPr>
                <w:rFonts w:ascii="Times New Roman" w:hAnsi="Times New Roman"/>
                <w:b/>
                <w:sz w:val="20"/>
                <w:szCs w:val="20"/>
              </w:rPr>
              <w:t>1</w:t>
            </w:r>
            <w:r w:rsidR="00053155">
              <w:rPr>
                <w:rFonts w:ascii="Times New Roman" w:hAnsi="Times New Roman"/>
                <w:b/>
                <w:sz w:val="20"/>
                <w:szCs w:val="20"/>
              </w:rPr>
              <w:t>14</w:t>
            </w:r>
            <w:r>
              <w:rPr>
                <w:rFonts w:ascii="Times New Roman" w:hAnsi="Times New Roman"/>
                <w:b/>
                <w:sz w:val="20"/>
                <w:szCs w:val="20"/>
              </w:rPr>
              <w:t>,</w:t>
            </w:r>
            <w:r w:rsidR="00053155">
              <w:rPr>
                <w:rFonts w:ascii="Times New Roman" w:hAnsi="Times New Roman"/>
                <w:b/>
                <w:sz w:val="20"/>
                <w:szCs w:val="20"/>
              </w:rPr>
              <w:t>095</w:t>
            </w:r>
            <w:r>
              <w:rPr>
                <w:rFonts w:ascii="Times New Roman" w:hAnsi="Times New Roman"/>
                <w:b/>
                <w:sz w:val="20"/>
                <w:szCs w:val="20"/>
              </w:rPr>
              <w:t>,</w:t>
            </w:r>
            <w:r w:rsidR="00053155">
              <w:rPr>
                <w:rFonts w:ascii="Times New Roman" w:hAnsi="Times New Roman"/>
                <w:b/>
                <w:sz w:val="20"/>
                <w:szCs w:val="20"/>
              </w:rPr>
              <w:t>281</w:t>
            </w:r>
          </w:p>
        </w:tc>
        <w:tc>
          <w:tcPr>
            <w:tcW w:w="236" w:type="dxa"/>
          </w:tcPr>
          <w:p w:rsidR="00C84D94" w:rsidRPr="00B46F2F" w:rsidRDefault="00C84D94" w:rsidP="00CC443E">
            <w:pPr>
              <w:jc w:val="right"/>
              <w:rPr>
                <w:rFonts w:ascii="Times New Roman" w:hAnsi="Times New Roman"/>
                <w:sz w:val="20"/>
                <w:szCs w:val="20"/>
              </w:rPr>
            </w:pPr>
          </w:p>
        </w:tc>
        <w:tc>
          <w:tcPr>
            <w:tcW w:w="1312" w:type="dxa"/>
            <w:tcBorders>
              <w:top w:val="single" w:sz="4" w:space="0" w:color="auto"/>
              <w:bottom w:val="double" w:sz="4" w:space="0" w:color="auto"/>
            </w:tcBorders>
          </w:tcPr>
          <w:p w:rsidR="00C84D94" w:rsidRPr="00B46F2F" w:rsidRDefault="00C84D94" w:rsidP="003B01CA">
            <w:pPr>
              <w:jc w:val="right"/>
              <w:rPr>
                <w:rFonts w:ascii="Times New Roman" w:hAnsi="Times New Roman"/>
                <w:b/>
                <w:sz w:val="20"/>
                <w:szCs w:val="20"/>
              </w:rPr>
            </w:pPr>
            <w:r>
              <w:rPr>
                <w:rFonts w:ascii="Times New Roman" w:hAnsi="Times New Roman"/>
                <w:b/>
                <w:sz w:val="20"/>
                <w:szCs w:val="20"/>
              </w:rPr>
              <w:t>148,464,909</w:t>
            </w:r>
          </w:p>
        </w:tc>
      </w:tr>
      <w:tr w:rsidR="00460791" w:rsidRPr="00B46F2F" w:rsidTr="00680195">
        <w:trPr>
          <w:cantSplit/>
        </w:trPr>
        <w:tc>
          <w:tcPr>
            <w:tcW w:w="7338" w:type="dxa"/>
          </w:tcPr>
          <w:p w:rsidR="00460791" w:rsidRPr="00B46F2F" w:rsidRDefault="00460791">
            <w:pPr>
              <w:ind w:left="284"/>
              <w:rPr>
                <w:rFonts w:ascii="Times New Roman" w:hAnsi="Times New Roman"/>
                <w:sz w:val="20"/>
                <w:szCs w:val="20"/>
              </w:rPr>
            </w:pPr>
            <w:r w:rsidRPr="00B46F2F">
              <w:rPr>
                <w:rFonts w:ascii="Times New Roman" w:hAnsi="Times New Roman"/>
                <w:sz w:val="20"/>
                <w:szCs w:val="20"/>
              </w:rPr>
              <w:t xml:space="preserve">Please refer to Note </w:t>
            </w:r>
            <w:r w:rsidR="00BA75C4">
              <w:rPr>
                <w:rFonts w:ascii="Times New Roman" w:hAnsi="Times New Roman"/>
                <w:sz w:val="20"/>
                <w:szCs w:val="20"/>
              </w:rPr>
              <w:t>20</w:t>
            </w:r>
            <w:r w:rsidRPr="00B46F2F">
              <w:rPr>
                <w:rFonts w:ascii="Times New Roman" w:hAnsi="Times New Roman"/>
                <w:sz w:val="20"/>
                <w:szCs w:val="20"/>
              </w:rPr>
              <w:t xml:space="preserve"> for the Schedule of Investments.</w:t>
            </w:r>
          </w:p>
        </w:tc>
        <w:tc>
          <w:tcPr>
            <w:tcW w:w="1450" w:type="dxa"/>
            <w:tcBorders>
              <w:top w:val="double" w:sz="4" w:space="0" w:color="auto"/>
            </w:tcBorders>
          </w:tcPr>
          <w:p w:rsidR="00460791" w:rsidRPr="00B46F2F" w:rsidRDefault="00460791" w:rsidP="00CC443E">
            <w:pPr>
              <w:rPr>
                <w:rFonts w:ascii="Times New Roman" w:hAnsi="Times New Roman"/>
                <w:sz w:val="20"/>
                <w:szCs w:val="20"/>
              </w:rPr>
            </w:pPr>
          </w:p>
        </w:tc>
        <w:tc>
          <w:tcPr>
            <w:tcW w:w="236" w:type="dxa"/>
          </w:tcPr>
          <w:p w:rsidR="00460791" w:rsidRPr="00B46F2F" w:rsidRDefault="00460791" w:rsidP="00CC443E">
            <w:pPr>
              <w:rPr>
                <w:rFonts w:ascii="Times New Roman" w:hAnsi="Times New Roman"/>
                <w:sz w:val="20"/>
                <w:szCs w:val="20"/>
              </w:rPr>
            </w:pPr>
          </w:p>
        </w:tc>
        <w:tc>
          <w:tcPr>
            <w:tcW w:w="1312" w:type="dxa"/>
            <w:tcBorders>
              <w:top w:val="double" w:sz="4" w:space="0" w:color="auto"/>
            </w:tcBorders>
          </w:tcPr>
          <w:p w:rsidR="00460791" w:rsidRPr="00B46F2F" w:rsidRDefault="00460791" w:rsidP="00CC443E">
            <w:pPr>
              <w:rPr>
                <w:rFonts w:ascii="Times New Roman" w:hAnsi="Times New Roman"/>
                <w:sz w:val="20"/>
                <w:szCs w:val="20"/>
              </w:rPr>
            </w:pPr>
          </w:p>
        </w:tc>
      </w:tr>
    </w:tbl>
    <w:p w:rsidR="00693822" w:rsidRDefault="00693822" w:rsidP="00693822">
      <w:pPr>
        <w:jc w:val="both"/>
        <w:rPr>
          <w:rFonts w:ascii="Times New Roman" w:hAnsi="Times New Roman"/>
          <w:sz w:val="20"/>
          <w:szCs w:val="20"/>
        </w:rPr>
      </w:pPr>
    </w:p>
    <w:p w:rsidR="006B2C86" w:rsidRPr="00B46F2F" w:rsidRDefault="006B2C86" w:rsidP="006B2C86">
      <w:pPr>
        <w:rPr>
          <w:rFonts w:ascii="Times New Roman" w:hAnsi="Times New Roman"/>
          <w:b/>
          <w:sz w:val="20"/>
          <w:szCs w:val="20"/>
        </w:rPr>
      </w:pPr>
    </w:p>
    <w:p w:rsidR="009E5D11" w:rsidRDefault="00320243">
      <w:pPr>
        <w:numPr>
          <w:ilvl w:val="0"/>
          <w:numId w:val="2"/>
        </w:numPr>
        <w:ind w:left="284" w:hanging="284"/>
        <w:rPr>
          <w:rFonts w:ascii="Times New Roman" w:hAnsi="Times New Roman"/>
          <w:b/>
          <w:sz w:val="20"/>
          <w:szCs w:val="20"/>
        </w:rPr>
      </w:pPr>
      <w:r w:rsidRPr="00B46F2F">
        <w:rPr>
          <w:rFonts w:ascii="Times New Roman" w:hAnsi="Times New Roman"/>
          <w:b/>
          <w:sz w:val="20"/>
          <w:szCs w:val="20"/>
        </w:rPr>
        <w:t>C</w:t>
      </w:r>
      <w:r w:rsidR="009E5D11" w:rsidRPr="00B46F2F">
        <w:rPr>
          <w:rFonts w:ascii="Times New Roman" w:hAnsi="Times New Roman"/>
          <w:b/>
          <w:sz w:val="20"/>
          <w:szCs w:val="20"/>
        </w:rPr>
        <w:t>ash and cash equivalents</w:t>
      </w:r>
    </w:p>
    <w:p w:rsidR="006B2C86" w:rsidRDefault="006B2C86" w:rsidP="006B2C86">
      <w:pPr>
        <w:ind w:left="284"/>
        <w:rPr>
          <w:rFonts w:ascii="Times New Roman" w:hAnsi="Times New Roman"/>
          <w:b/>
          <w:sz w:val="20"/>
          <w:szCs w:val="20"/>
        </w:rPr>
      </w:pPr>
    </w:p>
    <w:tbl>
      <w:tblPr>
        <w:tblpPr w:leftFromText="180" w:rightFromText="180" w:vertAnchor="text" w:horzAnchor="margin" w:tblpY="145"/>
        <w:tblW w:w="0" w:type="auto"/>
        <w:tblLayout w:type="fixed"/>
        <w:tblLook w:val="0000" w:firstRow="0" w:lastRow="0" w:firstColumn="0" w:lastColumn="0" w:noHBand="0" w:noVBand="0"/>
      </w:tblPr>
      <w:tblGrid>
        <w:gridCol w:w="7338"/>
        <w:gridCol w:w="1450"/>
        <w:gridCol w:w="236"/>
        <w:gridCol w:w="1312"/>
      </w:tblGrid>
      <w:tr w:rsidR="00475643" w:rsidRPr="00B46F2F" w:rsidTr="00680195">
        <w:trPr>
          <w:cantSplit/>
        </w:trPr>
        <w:tc>
          <w:tcPr>
            <w:tcW w:w="7338" w:type="dxa"/>
          </w:tcPr>
          <w:p w:rsidR="00475643" w:rsidRPr="00B46F2F" w:rsidRDefault="00475643" w:rsidP="00693822">
            <w:pPr>
              <w:spacing w:before="100" w:beforeAutospacing="1"/>
              <w:rPr>
                <w:rFonts w:ascii="Times New Roman" w:hAnsi="Times New Roman"/>
                <w:sz w:val="20"/>
                <w:szCs w:val="20"/>
              </w:rPr>
            </w:pPr>
          </w:p>
        </w:tc>
        <w:tc>
          <w:tcPr>
            <w:tcW w:w="1450" w:type="dxa"/>
          </w:tcPr>
          <w:p w:rsidR="00475643" w:rsidRPr="00B46F2F" w:rsidRDefault="009A5D33" w:rsidP="00C02E54">
            <w:pPr>
              <w:spacing w:before="100" w:beforeAutospacing="1"/>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8</w:t>
            </w:r>
          </w:p>
        </w:tc>
        <w:tc>
          <w:tcPr>
            <w:tcW w:w="236" w:type="dxa"/>
          </w:tcPr>
          <w:p w:rsidR="00475643" w:rsidRPr="00B46F2F" w:rsidRDefault="00475643" w:rsidP="00693822">
            <w:pPr>
              <w:spacing w:before="100" w:beforeAutospacing="1"/>
              <w:jc w:val="right"/>
              <w:rPr>
                <w:rFonts w:ascii="Times New Roman" w:hAnsi="Times New Roman"/>
                <w:b/>
                <w:sz w:val="20"/>
                <w:szCs w:val="20"/>
              </w:rPr>
            </w:pPr>
          </w:p>
        </w:tc>
        <w:tc>
          <w:tcPr>
            <w:tcW w:w="1312" w:type="dxa"/>
          </w:tcPr>
          <w:p w:rsidR="00475643" w:rsidRPr="00B46F2F" w:rsidRDefault="009A5D33" w:rsidP="00C02E54">
            <w:pPr>
              <w:spacing w:before="100" w:beforeAutospacing="1"/>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7</w:t>
            </w:r>
          </w:p>
        </w:tc>
      </w:tr>
      <w:tr w:rsidR="00475643" w:rsidRPr="00B46F2F" w:rsidTr="00680195">
        <w:trPr>
          <w:cantSplit/>
        </w:trPr>
        <w:tc>
          <w:tcPr>
            <w:tcW w:w="7338" w:type="dxa"/>
          </w:tcPr>
          <w:p w:rsidR="00475643" w:rsidRPr="00B46F2F" w:rsidRDefault="00475643" w:rsidP="00693822">
            <w:pPr>
              <w:rPr>
                <w:rFonts w:ascii="Times New Roman" w:hAnsi="Times New Roman"/>
                <w:sz w:val="20"/>
                <w:szCs w:val="20"/>
              </w:rPr>
            </w:pPr>
          </w:p>
        </w:tc>
        <w:tc>
          <w:tcPr>
            <w:tcW w:w="1450" w:type="dxa"/>
          </w:tcPr>
          <w:p w:rsidR="00475643" w:rsidRPr="00B46F2F" w:rsidRDefault="00475643" w:rsidP="00693822">
            <w:pPr>
              <w:jc w:val="right"/>
              <w:rPr>
                <w:rFonts w:ascii="Times New Roman" w:hAnsi="Times New Roman"/>
                <w:b/>
                <w:sz w:val="20"/>
                <w:szCs w:val="20"/>
              </w:rPr>
            </w:pPr>
            <w:r w:rsidRPr="00B46F2F">
              <w:rPr>
                <w:rFonts w:ascii="Times New Roman" w:hAnsi="Times New Roman"/>
                <w:b/>
                <w:sz w:val="20"/>
                <w:szCs w:val="20"/>
              </w:rPr>
              <w:t>GBP</w:t>
            </w:r>
          </w:p>
        </w:tc>
        <w:tc>
          <w:tcPr>
            <w:tcW w:w="236" w:type="dxa"/>
          </w:tcPr>
          <w:p w:rsidR="00475643" w:rsidRPr="00B46F2F" w:rsidRDefault="00475643" w:rsidP="00693822">
            <w:pPr>
              <w:jc w:val="right"/>
              <w:rPr>
                <w:rFonts w:ascii="Times New Roman" w:hAnsi="Times New Roman"/>
                <w:b/>
                <w:sz w:val="20"/>
                <w:szCs w:val="20"/>
              </w:rPr>
            </w:pPr>
          </w:p>
        </w:tc>
        <w:tc>
          <w:tcPr>
            <w:tcW w:w="1312" w:type="dxa"/>
          </w:tcPr>
          <w:p w:rsidR="00475643" w:rsidRPr="00B46F2F" w:rsidRDefault="00475643" w:rsidP="00693822">
            <w:pPr>
              <w:jc w:val="right"/>
              <w:rPr>
                <w:rFonts w:ascii="Times New Roman" w:hAnsi="Times New Roman"/>
                <w:b/>
                <w:sz w:val="20"/>
                <w:szCs w:val="20"/>
              </w:rPr>
            </w:pPr>
            <w:r w:rsidRPr="00B46F2F">
              <w:rPr>
                <w:rFonts w:ascii="Times New Roman" w:hAnsi="Times New Roman"/>
                <w:b/>
                <w:sz w:val="20"/>
                <w:szCs w:val="20"/>
              </w:rPr>
              <w:t>GBP</w:t>
            </w:r>
          </w:p>
        </w:tc>
      </w:tr>
      <w:tr w:rsidR="00475643" w:rsidRPr="00B46F2F" w:rsidTr="00680195">
        <w:trPr>
          <w:cantSplit/>
        </w:trPr>
        <w:tc>
          <w:tcPr>
            <w:tcW w:w="7338" w:type="dxa"/>
          </w:tcPr>
          <w:p w:rsidR="00475643" w:rsidRPr="00B46F2F" w:rsidRDefault="00475643" w:rsidP="00693822">
            <w:pPr>
              <w:rPr>
                <w:rFonts w:ascii="Times New Roman" w:hAnsi="Times New Roman"/>
                <w:sz w:val="20"/>
                <w:szCs w:val="20"/>
              </w:rPr>
            </w:pPr>
          </w:p>
        </w:tc>
        <w:tc>
          <w:tcPr>
            <w:tcW w:w="1450" w:type="dxa"/>
          </w:tcPr>
          <w:p w:rsidR="00475643" w:rsidRPr="00B46F2F" w:rsidRDefault="00475643" w:rsidP="00693822">
            <w:pPr>
              <w:rPr>
                <w:rFonts w:ascii="Times New Roman" w:hAnsi="Times New Roman"/>
                <w:sz w:val="20"/>
                <w:szCs w:val="20"/>
              </w:rPr>
            </w:pPr>
          </w:p>
        </w:tc>
        <w:tc>
          <w:tcPr>
            <w:tcW w:w="236" w:type="dxa"/>
          </w:tcPr>
          <w:p w:rsidR="00475643" w:rsidRPr="00B46F2F" w:rsidRDefault="00475643" w:rsidP="00693822">
            <w:pPr>
              <w:rPr>
                <w:rFonts w:ascii="Times New Roman" w:hAnsi="Times New Roman"/>
                <w:sz w:val="20"/>
                <w:szCs w:val="20"/>
              </w:rPr>
            </w:pPr>
          </w:p>
        </w:tc>
        <w:tc>
          <w:tcPr>
            <w:tcW w:w="1312" w:type="dxa"/>
          </w:tcPr>
          <w:p w:rsidR="00475643" w:rsidRPr="00B46F2F" w:rsidRDefault="00475643" w:rsidP="00693822">
            <w:pPr>
              <w:rPr>
                <w:rFonts w:ascii="Times New Roman" w:hAnsi="Times New Roman"/>
                <w:sz w:val="20"/>
                <w:szCs w:val="20"/>
              </w:rPr>
            </w:pPr>
          </w:p>
        </w:tc>
      </w:tr>
      <w:tr w:rsidR="00475643" w:rsidRPr="009170B8" w:rsidTr="00680195">
        <w:trPr>
          <w:cantSplit/>
        </w:trPr>
        <w:tc>
          <w:tcPr>
            <w:tcW w:w="7338" w:type="dxa"/>
          </w:tcPr>
          <w:p w:rsidR="00475643" w:rsidRPr="00B46F2F" w:rsidRDefault="00475643" w:rsidP="00693822">
            <w:pPr>
              <w:ind w:firstLine="284"/>
              <w:rPr>
                <w:rFonts w:ascii="Times New Roman" w:hAnsi="Times New Roman"/>
                <w:sz w:val="20"/>
                <w:szCs w:val="20"/>
              </w:rPr>
            </w:pPr>
            <w:r w:rsidRPr="00B46F2F">
              <w:rPr>
                <w:rFonts w:ascii="Times New Roman" w:hAnsi="Times New Roman"/>
                <w:sz w:val="20"/>
                <w:szCs w:val="20"/>
              </w:rPr>
              <w:t>Cash at bank</w:t>
            </w:r>
          </w:p>
        </w:tc>
        <w:tc>
          <w:tcPr>
            <w:tcW w:w="1450" w:type="dxa"/>
            <w:tcBorders>
              <w:bottom w:val="double" w:sz="4" w:space="0" w:color="auto"/>
            </w:tcBorders>
          </w:tcPr>
          <w:p w:rsidR="00475643" w:rsidRPr="00B46F2F" w:rsidRDefault="00053155" w:rsidP="00B9048C">
            <w:pPr>
              <w:jc w:val="right"/>
              <w:rPr>
                <w:rFonts w:ascii="Times New Roman" w:hAnsi="Times New Roman"/>
                <w:b/>
                <w:sz w:val="20"/>
                <w:szCs w:val="20"/>
              </w:rPr>
            </w:pPr>
            <w:r>
              <w:rPr>
                <w:rFonts w:ascii="Times New Roman" w:hAnsi="Times New Roman"/>
                <w:b/>
                <w:sz w:val="20"/>
                <w:szCs w:val="20"/>
              </w:rPr>
              <w:t>7</w:t>
            </w:r>
            <w:r w:rsidR="00D22C00">
              <w:rPr>
                <w:rFonts w:ascii="Times New Roman" w:hAnsi="Times New Roman"/>
                <w:b/>
                <w:sz w:val="20"/>
                <w:szCs w:val="20"/>
              </w:rPr>
              <w:t>,</w:t>
            </w:r>
            <w:r>
              <w:rPr>
                <w:rFonts w:ascii="Times New Roman" w:hAnsi="Times New Roman"/>
                <w:b/>
                <w:sz w:val="20"/>
                <w:szCs w:val="20"/>
              </w:rPr>
              <w:t>889</w:t>
            </w:r>
            <w:r w:rsidR="00D22C00">
              <w:rPr>
                <w:rFonts w:ascii="Times New Roman" w:hAnsi="Times New Roman"/>
                <w:b/>
                <w:sz w:val="20"/>
                <w:szCs w:val="20"/>
              </w:rPr>
              <w:t>,</w:t>
            </w:r>
            <w:r>
              <w:rPr>
                <w:rFonts w:ascii="Times New Roman" w:hAnsi="Times New Roman"/>
                <w:b/>
                <w:sz w:val="20"/>
                <w:szCs w:val="20"/>
              </w:rPr>
              <w:t>488</w:t>
            </w:r>
          </w:p>
        </w:tc>
        <w:tc>
          <w:tcPr>
            <w:tcW w:w="236" w:type="dxa"/>
          </w:tcPr>
          <w:p w:rsidR="00475643" w:rsidRPr="00B46F2F" w:rsidRDefault="00475643" w:rsidP="00693822">
            <w:pPr>
              <w:jc w:val="right"/>
              <w:rPr>
                <w:rFonts w:ascii="Times New Roman" w:hAnsi="Times New Roman"/>
                <w:sz w:val="20"/>
                <w:szCs w:val="20"/>
              </w:rPr>
            </w:pPr>
          </w:p>
        </w:tc>
        <w:tc>
          <w:tcPr>
            <w:tcW w:w="1312" w:type="dxa"/>
            <w:tcBorders>
              <w:bottom w:val="double" w:sz="4" w:space="0" w:color="auto"/>
            </w:tcBorders>
          </w:tcPr>
          <w:p w:rsidR="00475643" w:rsidRPr="009170B8" w:rsidRDefault="00C84D94" w:rsidP="00693822">
            <w:pPr>
              <w:jc w:val="right"/>
              <w:rPr>
                <w:rFonts w:ascii="Times New Roman" w:hAnsi="Times New Roman"/>
                <w:b/>
                <w:sz w:val="20"/>
                <w:szCs w:val="20"/>
              </w:rPr>
            </w:pPr>
            <w:r>
              <w:rPr>
                <w:rFonts w:ascii="Times New Roman" w:hAnsi="Times New Roman"/>
                <w:b/>
                <w:sz w:val="20"/>
                <w:szCs w:val="20"/>
              </w:rPr>
              <w:t>9,328,518</w:t>
            </w:r>
          </w:p>
        </w:tc>
      </w:tr>
    </w:tbl>
    <w:p w:rsidR="00240CE1" w:rsidRDefault="00240CE1" w:rsidP="00E5676A">
      <w:pPr>
        <w:jc w:val="both"/>
        <w:rPr>
          <w:rFonts w:ascii="Times New Roman" w:hAnsi="Times New Roman"/>
          <w:sz w:val="20"/>
          <w:szCs w:val="20"/>
        </w:rPr>
      </w:pPr>
    </w:p>
    <w:p w:rsidR="009E5D11" w:rsidRPr="009170B8" w:rsidRDefault="009E5D11" w:rsidP="00693822">
      <w:pPr>
        <w:ind w:left="284"/>
        <w:jc w:val="both"/>
        <w:rPr>
          <w:rFonts w:ascii="Times New Roman" w:hAnsi="Times New Roman"/>
          <w:sz w:val="20"/>
          <w:szCs w:val="20"/>
        </w:rPr>
      </w:pPr>
      <w:r w:rsidRPr="009170B8">
        <w:rPr>
          <w:rFonts w:ascii="Times New Roman" w:hAnsi="Times New Roman"/>
          <w:sz w:val="20"/>
          <w:szCs w:val="20"/>
        </w:rPr>
        <w:t xml:space="preserve">Cash and cash equivalents comprise </w:t>
      </w:r>
      <w:r w:rsidR="00F01D70" w:rsidRPr="009170B8">
        <w:rPr>
          <w:rFonts w:ascii="Times New Roman" w:hAnsi="Times New Roman"/>
          <w:sz w:val="20"/>
          <w:szCs w:val="20"/>
        </w:rPr>
        <w:t xml:space="preserve">cash held by the Fund and </w:t>
      </w:r>
      <w:r w:rsidRPr="009170B8">
        <w:rPr>
          <w:rFonts w:ascii="Times New Roman" w:hAnsi="Times New Roman"/>
          <w:sz w:val="20"/>
          <w:szCs w:val="20"/>
        </w:rPr>
        <w:t xml:space="preserve">bank balances </w:t>
      </w:r>
      <w:r w:rsidR="00F01D70" w:rsidRPr="009170B8">
        <w:rPr>
          <w:rFonts w:ascii="Times New Roman" w:hAnsi="Times New Roman"/>
          <w:sz w:val="20"/>
          <w:szCs w:val="20"/>
        </w:rPr>
        <w:t>with an original maturity of three months or less</w:t>
      </w:r>
      <w:r w:rsidRPr="009170B8">
        <w:rPr>
          <w:rFonts w:ascii="Times New Roman" w:hAnsi="Times New Roman"/>
          <w:sz w:val="20"/>
          <w:szCs w:val="20"/>
        </w:rPr>
        <w:t>. The carrying value of</w:t>
      </w:r>
      <w:r w:rsidR="00040EA2" w:rsidRPr="009170B8">
        <w:rPr>
          <w:rFonts w:ascii="Times New Roman" w:hAnsi="Times New Roman"/>
          <w:sz w:val="20"/>
          <w:szCs w:val="20"/>
        </w:rPr>
        <w:t xml:space="preserve"> </w:t>
      </w:r>
      <w:r w:rsidRPr="009170B8">
        <w:rPr>
          <w:rFonts w:ascii="Times New Roman" w:hAnsi="Times New Roman"/>
          <w:sz w:val="20"/>
          <w:szCs w:val="20"/>
        </w:rPr>
        <w:t>these assets approximates their fair value.</w:t>
      </w:r>
    </w:p>
    <w:p w:rsidR="00FE09C7" w:rsidRDefault="00FE09C7" w:rsidP="00D262E0">
      <w:pPr>
        <w:rPr>
          <w:rFonts w:ascii="Times New Roman" w:hAnsi="Times New Roman"/>
          <w:b/>
          <w:sz w:val="20"/>
          <w:szCs w:val="20"/>
        </w:rPr>
      </w:pPr>
    </w:p>
    <w:p w:rsidR="00D262E0" w:rsidRDefault="00D262E0">
      <w:pPr>
        <w:numPr>
          <w:ilvl w:val="0"/>
          <w:numId w:val="2"/>
        </w:numPr>
        <w:ind w:left="284" w:hanging="284"/>
        <w:rPr>
          <w:rFonts w:ascii="Times New Roman" w:hAnsi="Times New Roman"/>
          <w:b/>
          <w:sz w:val="20"/>
          <w:szCs w:val="20"/>
        </w:rPr>
      </w:pPr>
      <w:r w:rsidRPr="009170B8">
        <w:rPr>
          <w:rFonts w:ascii="Times New Roman" w:hAnsi="Times New Roman"/>
          <w:b/>
          <w:sz w:val="20"/>
          <w:szCs w:val="20"/>
        </w:rPr>
        <w:t>Other payables and accruals</w:t>
      </w:r>
    </w:p>
    <w:p w:rsidR="008A279D" w:rsidRPr="009170B8" w:rsidRDefault="008A279D" w:rsidP="008A279D">
      <w:pPr>
        <w:ind w:left="284"/>
        <w:rPr>
          <w:rFonts w:ascii="Times New Roman" w:hAnsi="Times New Roman"/>
          <w:b/>
          <w:sz w:val="20"/>
          <w:szCs w:val="20"/>
        </w:rPr>
      </w:pPr>
    </w:p>
    <w:tbl>
      <w:tblPr>
        <w:tblW w:w="10287" w:type="dxa"/>
        <w:tblLayout w:type="fixed"/>
        <w:tblLook w:val="0000" w:firstRow="0" w:lastRow="0" w:firstColumn="0" w:lastColumn="0" w:noHBand="0" w:noVBand="0"/>
      </w:tblPr>
      <w:tblGrid>
        <w:gridCol w:w="7479"/>
        <w:gridCol w:w="1260"/>
        <w:gridCol w:w="236"/>
        <w:gridCol w:w="1312"/>
      </w:tblGrid>
      <w:tr w:rsidR="00475643" w:rsidRPr="009170B8" w:rsidTr="00E95EED">
        <w:trPr>
          <w:cantSplit/>
        </w:trPr>
        <w:tc>
          <w:tcPr>
            <w:tcW w:w="7479" w:type="dxa"/>
          </w:tcPr>
          <w:p w:rsidR="00475643" w:rsidRPr="009170B8" w:rsidRDefault="00475643" w:rsidP="00580BF8">
            <w:pPr>
              <w:rPr>
                <w:rFonts w:ascii="Times New Roman" w:hAnsi="Times New Roman"/>
                <w:sz w:val="20"/>
                <w:szCs w:val="20"/>
              </w:rPr>
            </w:pPr>
          </w:p>
        </w:tc>
        <w:tc>
          <w:tcPr>
            <w:tcW w:w="1260" w:type="dxa"/>
          </w:tcPr>
          <w:p w:rsidR="00475643" w:rsidRPr="00B46F2F" w:rsidRDefault="00045E37" w:rsidP="00580BF8">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8</w:t>
            </w:r>
          </w:p>
          <w:p w:rsidR="00475643" w:rsidRPr="00B46F2F" w:rsidRDefault="00475643" w:rsidP="00580BF8">
            <w:pPr>
              <w:jc w:val="right"/>
              <w:rPr>
                <w:rFonts w:ascii="Times New Roman" w:hAnsi="Times New Roman"/>
                <w:b/>
                <w:sz w:val="20"/>
                <w:szCs w:val="20"/>
              </w:rPr>
            </w:pPr>
            <w:r w:rsidRPr="00B46F2F">
              <w:rPr>
                <w:rFonts w:ascii="Times New Roman" w:hAnsi="Times New Roman"/>
                <w:b/>
                <w:sz w:val="20"/>
                <w:szCs w:val="20"/>
              </w:rPr>
              <w:t>GBP</w:t>
            </w:r>
          </w:p>
        </w:tc>
        <w:tc>
          <w:tcPr>
            <w:tcW w:w="236" w:type="dxa"/>
          </w:tcPr>
          <w:p w:rsidR="00475643" w:rsidRPr="00B46F2F" w:rsidRDefault="00475643" w:rsidP="00580BF8">
            <w:pPr>
              <w:jc w:val="right"/>
              <w:rPr>
                <w:rFonts w:ascii="Times New Roman" w:hAnsi="Times New Roman"/>
                <w:b/>
                <w:sz w:val="20"/>
                <w:szCs w:val="20"/>
              </w:rPr>
            </w:pPr>
          </w:p>
        </w:tc>
        <w:tc>
          <w:tcPr>
            <w:tcW w:w="1312" w:type="dxa"/>
          </w:tcPr>
          <w:p w:rsidR="00475643" w:rsidRPr="00B46F2F" w:rsidRDefault="00045E37" w:rsidP="00475643">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7</w:t>
            </w:r>
          </w:p>
          <w:p w:rsidR="00475643" w:rsidRPr="00B46F2F" w:rsidRDefault="00475643" w:rsidP="00475643">
            <w:pPr>
              <w:jc w:val="right"/>
              <w:rPr>
                <w:rFonts w:ascii="Times New Roman" w:hAnsi="Times New Roman"/>
                <w:b/>
                <w:sz w:val="20"/>
                <w:szCs w:val="20"/>
              </w:rPr>
            </w:pPr>
            <w:r w:rsidRPr="00B46F2F">
              <w:rPr>
                <w:rFonts w:ascii="Times New Roman" w:hAnsi="Times New Roman"/>
                <w:b/>
                <w:sz w:val="20"/>
                <w:szCs w:val="20"/>
              </w:rPr>
              <w:t>GBP</w:t>
            </w:r>
          </w:p>
        </w:tc>
      </w:tr>
      <w:tr w:rsidR="00475643" w:rsidRPr="009170B8" w:rsidTr="00E95EED">
        <w:trPr>
          <w:cantSplit/>
        </w:trPr>
        <w:tc>
          <w:tcPr>
            <w:tcW w:w="7479" w:type="dxa"/>
          </w:tcPr>
          <w:p w:rsidR="00475643" w:rsidRPr="009170B8" w:rsidRDefault="00475643" w:rsidP="00580BF8">
            <w:pPr>
              <w:rPr>
                <w:rFonts w:ascii="Times New Roman" w:hAnsi="Times New Roman"/>
                <w:sz w:val="20"/>
                <w:szCs w:val="20"/>
              </w:rPr>
            </w:pPr>
          </w:p>
        </w:tc>
        <w:tc>
          <w:tcPr>
            <w:tcW w:w="1260" w:type="dxa"/>
          </w:tcPr>
          <w:p w:rsidR="00475643" w:rsidRPr="00B46F2F" w:rsidRDefault="00475643" w:rsidP="00580BF8">
            <w:pPr>
              <w:jc w:val="right"/>
              <w:rPr>
                <w:rFonts w:ascii="Times New Roman" w:hAnsi="Times New Roman"/>
                <w:sz w:val="20"/>
                <w:szCs w:val="20"/>
              </w:rPr>
            </w:pPr>
          </w:p>
        </w:tc>
        <w:tc>
          <w:tcPr>
            <w:tcW w:w="236" w:type="dxa"/>
          </w:tcPr>
          <w:p w:rsidR="00475643" w:rsidRPr="00B46F2F" w:rsidRDefault="00475643" w:rsidP="00580BF8">
            <w:pPr>
              <w:jc w:val="right"/>
              <w:rPr>
                <w:rFonts w:ascii="Times New Roman" w:hAnsi="Times New Roman"/>
                <w:sz w:val="20"/>
                <w:szCs w:val="20"/>
              </w:rPr>
            </w:pPr>
          </w:p>
        </w:tc>
        <w:tc>
          <w:tcPr>
            <w:tcW w:w="1312" w:type="dxa"/>
          </w:tcPr>
          <w:p w:rsidR="00475643" w:rsidRPr="00B46F2F" w:rsidRDefault="00475643" w:rsidP="00475643">
            <w:pPr>
              <w:jc w:val="right"/>
              <w:rPr>
                <w:rFonts w:ascii="Times New Roman" w:hAnsi="Times New Roman"/>
                <w:sz w:val="20"/>
                <w:szCs w:val="20"/>
              </w:rPr>
            </w:pPr>
          </w:p>
        </w:tc>
      </w:tr>
      <w:tr w:rsidR="00C84D94" w:rsidRPr="009170B8" w:rsidTr="00E95EED">
        <w:trPr>
          <w:cantSplit/>
        </w:trPr>
        <w:tc>
          <w:tcPr>
            <w:tcW w:w="7479" w:type="dxa"/>
          </w:tcPr>
          <w:p w:rsidR="00C84D94" w:rsidRPr="009170B8" w:rsidRDefault="00C84D94">
            <w:pPr>
              <w:ind w:firstLine="284"/>
              <w:rPr>
                <w:rFonts w:ascii="Times New Roman" w:hAnsi="Times New Roman"/>
                <w:sz w:val="20"/>
                <w:szCs w:val="20"/>
              </w:rPr>
            </w:pPr>
            <w:r w:rsidRPr="009170B8">
              <w:rPr>
                <w:rFonts w:ascii="Times New Roman" w:hAnsi="Times New Roman"/>
                <w:sz w:val="20"/>
                <w:szCs w:val="20"/>
              </w:rPr>
              <w:t>Investment manage</w:t>
            </w:r>
            <w:r>
              <w:rPr>
                <w:rFonts w:ascii="Times New Roman" w:hAnsi="Times New Roman"/>
                <w:sz w:val="20"/>
                <w:szCs w:val="20"/>
              </w:rPr>
              <w:t>ment</w:t>
            </w:r>
            <w:r w:rsidRPr="009170B8">
              <w:rPr>
                <w:rFonts w:ascii="Times New Roman" w:hAnsi="Times New Roman"/>
                <w:sz w:val="20"/>
                <w:szCs w:val="20"/>
              </w:rPr>
              <w:t xml:space="preserve"> fees</w:t>
            </w:r>
          </w:p>
        </w:tc>
        <w:tc>
          <w:tcPr>
            <w:tcW w:w="1260" w:type="dxa"/>
          </w:tcPr>
          <w:p w:rsidR="00C84D94" w:rsidRPr="00B46F2F" w:rsidRDefault="00C84D94">
            <w:pPr>
              <w:jc w:val="right"/>
              <w:rPr>
                <w:rFonts w:ascii="Times New Roman" w:hAnsi="Times New Roman"/>
                <w:sz w:val="20"/>
                <w:szCs w:val="20"/>
              </w:rPr>
            </w:pPr>
            <w:r>
              <w:rPr>
                <w:rFonts w:ascii="Times New Roman" w:hAnsi="Times New Roman"/>
                <w:sz w:val="20"/>
                <w:szCs w:val="20"/>
              </w:rPr>
              <w:t>2</w:t>
            </w:r>
            <w:r w:rsidR="007720F6">
              <w:rPr>
                <w:rFonts w:ascii="Times New Roman" w:hAnsi="Times New Roman"/>
                <w:sz w:val="20"/>
                <w:szCs w:val="20"/>
              </w:rPr>
              <w:t>05</w:t>
            </w:r>
            <w:r>
              <w:rPr>
                <w:rFonts w:ascii="Times New Roman" w:hAnsi="Times New Roman"/>
                <w:sz w:val="20"/>
                <w:szCs w:val="20"/>
              </w:rPr>
              <w:t>,</w:t>
            </w:r>
            <w:r w:rsidR="007720F6">
              <w:rPr>
                <w:rFonts w:ascii="Times New Roman" w:hAnsi="Times New Roman"/>
                <w:sz w:val="20"/>
                <w:szCs w:val="20"/>
              </w:rPr>
              <w:t>446</w:t>
            </w:r>
          </w:p>
        </w:tc>
        <w:tc>
          <w:tcPr>
            <w:tcW w:w="236" w:type="dxa"/>
          </w:tcPr>
          <w:p w:rsidR="00C84D94" w:rsidRPr="00B46F2F" w:rsidRDefault="00C84D94" w:rsidP="00580BF8">
            <w:pPr>
              <w:jc w:val="right"/>
              <w:rPr>
                <w:rFonts w:ascii="Times New Roman" w:hAnsi="Times New Roman"/>
                <w:sz w:val="20"/>
                <w:szCs w:val="20"/>
              </w:rPr>
            </w:pPr>
          </w:p>
        </w:tc>
        <w:tc>
          <w:tcPr>
            <w:tcW w:w="1312" w:type="dxa"/>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216,571</w:t>
            </w:r>
          </w:p>
        </w:tc>
      </w:tr>
      <w:tr w:rsidR="00C84D94" w:rsidRPr="009170B8" w:rsidTr="00705E73">
        <w:trPr>
          <w:cantSplit/>
        </w:trPr>
        <w:tc>
          <w:tcPr>
            <w:tcW w:w="7479" w:type="dxa"/>
          </w:tcPr>
          <w:p w:rsidR="00C84D94" w:rsidRPr="009170B8" w:rsidRDefault="00C84D94" w:rsidP="00721960">
            <w:pPr>
              <w:ind w:firstLine="284"/>
              <w:rPr>
                <w:rFonts w:ascii="Times New Roman" w:hAnsi="Times New Roman"/>
                <w:sz w:val="20"/>
                <w:szCs w:val="20"/>
              </w:rPr>
            </w:pPr>
            <w:r w:rsidRPr="009170B8">
              <w:rPr>
                <w:rFonts w:ascii="Times New Roman" w:hAnsi="Times New Roman"/>
                <w:sz w:val="20"/>
                <w:szCs w:val="20"/>
              </w:rPr>
              <w:t>Sponsor’s fees</w:t>
            </w:r>
          </w:p>
        </w:tc>
        <w:tc>
          <w:tcPr>
            <w:tcW w:w="1260" w:type="dxa"/>
          </w:tcPr>
          <w:p w:rsidR="00C84D94" w:rsidRPr="00B46F2F" w:rsidRDefault="007720F6">
            <w:pPr>
              <w:jc w:val="right"/>
              <w:rPr>
                <w:rFonts w:ascii="Times New Roman" w:hAnsi="Times New Roman"/>
                <w:sz w:val="20"/>
                <w:szCs w:val="20"/>
              </w:rPr>
            </w:pPr>
            <w:r>
              <w:rPr>
                <w:rFonts w:ascii="Times New Roman" w:hAnsi="Times New Roman"/>
                <w:sz w:val="20"/>
                <w:szCs w:val="20"/>
              </w:rPr>
              <w:t>58</w:t>
            </w:r>
            <w:r w:rsidR="00C84D94">
              <w:rPr>
                <w:rFonts w:ascii="Times New Roman" w:hAnsi="Times New Roman"/>
                <w:sz w:val="20"/>
                <w:szCs w:val="20"/>
              </w:rPr>
              <w:t>,</w:t>
            </w:r>
            <w:r>
              <w:rPr>
                <w:rFonts w:ascii="Times New Roman" w:hAnsi="Times New Roman"/>
                <w:sz w:val="20"/>
                <w:szCs w:val="20"/>
              </w:rPr>
              <w:t>699</w:t>
            </w:r>
          </w:p>
        </w:tc>
        <w:tc>
          <w:tcPr>
            <w:tcW w:w="236" w:type="dxa"/>
          </w:tcPr>
          <w:p w:rsidR="00C84D94" w:rsidRPr="00B46F2F" w:rsidRDefault="00C84D94" w:rsidP="00721960">
            <w:pPr>
              <w:jc w:val="right"/>
              <w:rPr>
                <w:rFonts w:ascii="Times New Roman" w:hAnsi="Times New Roman"/>
                <w:sz w:val="20"/>
                <w:szCs w:val="20"/>
              </w:rPr>
            </w:pPr>
          </w:p>
        </w:tc>
        <w:tc>
          <w:tcPr>
            <w:tcW w:w="1312" w:type="dxa"/>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61,877</w:t>
            </w:r>
          </w:p>
        </w:tc>
      </w:tr>
      <w:tr w:rsidR="00C84D94" w:rsidRPr="009170B8" w:rsidTr="00E95EED">
        <w:trPr>
          <w:cantSplit/>
        </w:trPr>
        <w:tc>
          <w:tcPr>
            <w:tcW w:w="7479" w:type="dxa"/>
          </w:tcPr>
          <w:p w:rsidR="00C84D94" w:rsidRPr="009170B8" w:rsidRDefault="00C84D94" w:rsidP="00721960">
            <w:pPr>
              <w:ind w:firstLine="284"/>
              <w:rPr>
                <w:rFonts w:ascii="Times New Roman" w:hAnsi="Times New Roman"/>
                <w:sz w:val="20"/>
                <w:szCs w:val="20"/>
              </w:rPr>
            </w:pPr>
            <w:r w:rsidRPr="009170B8">
              <w:rPr>
                <w:rFonts w:ascii="Times New Roman" w:hAnsi="Times New Roman"/>
                <w:sz w:val="20"/>
                <w:szCs w:val="20"/>
              </w:rPr>
              <w:t>Audit fees</w:t>
            </w:r>
          </w:p>
        </w:tc>
        <w:tc>
          <w:tcPr>
            <w:tcW w:w="1260" w:type="dxa"/>
          </w:tcPr>
          <w:p w:rsidR="00C84D94" w:rsidRPr="00B46F2F" w:rsidRDefault="00C84D94" w:rsidP="00BB783A">
            <w:pPr>
              <w:jc w:val="right"/>
              <w:rPr>
                <w:rFonts w:ascii="Times New Roman" w:hAnsi="Times New Roman"/>
                <w:sz w:val="20"/>
                <w:szCs w:val="20"/>
              </w:rPr>
            </w:pPr>
            <w:r>
              <w:rPr>
                <w:rFonts w:ascii="Times New Roman" w:hAnsi="Times New Roman"/>
                <w:sz w:val="20"/>
                <w:szCs w:val="20"/>
              </w:rPr>
              <w:t>3</w:t>
            </w:r>
            <w:r w:rsidR="00BB783A">
              <w:rPr>
                <w:rFonts w:ascii="Times New Roman" w:hAnsi="Times New Roman"/>
                <w:sz w:val="20"/>
                <w:szCs w:val="20"/>
              </w:rPr>
              <w:t>0</w:t>
            </w:r>
            <w:r>
              <w:rPr>
                <w:rFonts w:ascii="Times New Roman" w:hAnsi="Times New Roman"/>
                <w:sz w:val="20"/>
                <w:szCs w:val="20"/>
              </w:rPr>
              <w:t>,</w:t>
            </w:r>
            <w:r w:rsidR="00BB783A">
              <w:rPr>
                <w:rFonts w:ascii="Times New Roman" w:hAnsi="Times New Roman"/>
                <w:sz w:val="20"/>
                <w:szCs w:val="20"/>
              </w:rPr>
              <w:t>500</w:t>
            </w:r>
          </w:p>
        </w:tc>
        <w:tc>
          <w:tcPr>
            <w:tcW w:w="236" w:type="dxa"/>
          </w:tcPr>
          <w:p w:rsidR="00C84D94" w:rsidRPr="00B46F2F" w:rsidRDefault="00C84D94" w:rsidP="00721960">
            <w:pPr>
              <w:jc w:val="right"/>
              <w:rPr>
                <w:rFonts w:ascii="Times New Roman" w:hAnsi="Times New Roman"/>
                <w:sz w:val="20"/>
                <w:szCs w:val="20"/>
              </w:rPr>
            </w:pPr>
          </w:p>
        </w:tc>
        <w:tc>
          <w:tcPr>
            <w:tcW w:w="1312" w:type="dxa"/>
          </w:tcPr>
          <w:p w:rsidR="00C84D94" w:rsidRPr="00B46F2F" w:rsidRDefault="00C84D94" w:rsidP="00BB783A">
            <w:pPr>
              <w:jc w:val="right"/>
              <w:rPr>
                <w:rFonts w:ascii="Times New Roman" w:hAnsi="Times New Roman"/>
                <w:sz w:val="20"/>
                <w:szCs w:val="20"/>
              </w:rPr>
            </w:pPr>
            <w:r>
              <w:rPr>
                <w:rFonts w:ascii="Times New Roman" w:hAnsi="Times New Roman"/>
                <w:sz w:val="20"/>
                <w:szCs w:val="20"/>
              </w:rPr>
              <w:t>3</w:t>
            </w:r>
            <w:r w:rsidR="00BB783A">
              <w:rPr>
                <w:rFonts w:ascii="Times New Roman" w:hAnsi="Times New Roman"/>
                <w:sz w:val="20"/>
                <w:szCs w:val="20"/>
              </w:rPr>
              <w:t>0</w:t>
            </w:r>
            <w:r>
              <w:rPr>
                <w:rFonts w:ascii="Times New Roman" w:hAnsi="Times New Roman"/>
                <w:sz w:val="20"/>
                <w:szCs w:val="20"/>
              </w:rPr>
              <w:t>,</w:t>
            </w:r>
            <w:r w:rsidR="00BB783A">
              <w:rPr>
                <w:rFonts w:ascii="Times New Roman" w:hAnsi="Times New Roman"/>
                <w:sz w:val="20"/>
                <w:szCs w:val="20"/>
              </w:rPr>
              <w:t>5</w:t>
            </w:r>
            <w:r>
              <w:rPr>
                <w:rFonts w:ascii="Times New Roman" w:hAnsi="Times New Roman"/>
                <w:sz w:val="20"/>
                <w:szCs w:val="20"/>
              </w:rPr>
              <w:t>00</w:t>
            </w:r>
          </w:p>
        </w:tc>
      </w:tr>
      <w:tr w:rsidR="00C84D94" w:rsidRPr="009170B8" w:rsidTr="00705E73">
        <w:trPr>
          <w:cantSplit/>
        </w:trPr>
        <w:tc>
          <w:tcPr>
            <w:tcW w:w="7479" w:type="dxa"/>
          </w:tcPr>
          <w:p w:rsidR="00C84D94" w:rsidRPr="009170B8" w:rsidRDefault="00C84D94" w:rsidP="00721960">
            <w:pPr>
              <w:ind w:firstLine="284"/>
              <w:rPr>
                <w:rFonts w:ascii="Times New Roman" w:hAnsi="Times New Roman"/>
                <w:sz w:val="20"/>
                <w:szCs w:val="20"/>
              </w:rPr>
            </w:pPr>
            <w:r w:rsidRPr="009170B8">
              <w:rPr>
                <w:rFonts w:ascii="Times New Roman" w:hAnsi="Times New Roman"/>
                <w:sz w:val="20"/>
                <w:szCs w:val="20"/>
              </w:rPr>
              <w:t>Administration fees</w:t>
            </w:r>
          </w:p>
        </w:tc>
        <w:tc>
          <w:tcPr>
            <w:tcW w:w="1260" w:type="dxa"/>
          </w:tcPr>
          <w:p w:rsidR="00C84D94" w:rsidRPr="00B46F2F" w:rsidRDefault="007720F6">
            <w:pPr>
              <w:jc w:val="right"/>
              <w:rPr>
                <w:rFonts w:ascii="Times New Roman" w:hAnsi="Times New Roman"/>
                <w:sz w:val="20"/>
                <w:szCs w:val="20"/>
              </w:rPr>
            </w:pPr>
            <w:r>
              <w:rPr>
                <w:rFonts w:ascii="Times New Roman" w:hAnsi="Times New Roman"/>
                <w:sz w:val="20"/>
                <w:szCs w:val="20"/>
              </w:rPr>
              <w:t>29</w:t>
            </w:r>
            <w:r w:rsidR="00C84D94">
              <w:rPr>
                <w:rFonts w:ascii="Times New Roman" w:hAnsi="Times New Roman"/>
                <w:sz w:val="20"/>
                <w:szCs w:val="20"/>
              </w:rPr>
              <w:t>,</w:t>
            </w:r>
            <w:r>
              <w:rPr>
                <w:rFonts w:ascii="Times New Roman" w:hAnsi="Times New Roman"/>
                <w:sz w:val="20"/>
                <w:szCs w:val="20"/>
              </w:rPr>
              <w:t>349</w:t>
            </w:r>
          </w:p>
        </w:tc>
        <w:tc>
          <w:tcPr>
            <w:tcW w:w="236" w:type="dxa"/>
          </w:tcPr>
          <w:p w:rsidR="00C84D94" w:rsidRPr="00B46F2F" w:rsidRDefault="00C84D94" w:rsidP="00580BF8">
            <w:pPr>
              <w:jc w:val="right"/>
              <w:rPr>
                <w:rFonts w:ascii="Times New Roman" w:hAnsi="Times New Roman"/>
                <w:sz w:val="20"/>
                <w:szCs w:val="20"/>
              </w:rPr>
            </w:pPr>
          </w:p>
        </w:tc>
        <w:tc>
          <w:tcPr>
            <w:tcW w:w="1312" w:type="dxa"/>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30,938</w:t>
            </w:r>
          </w:p>
        </w:tc>
      </w:tr>
      <w:tr w:rsidR="00C84D94" w:rsidRPr="009170B8" w:rsidTr="00E95EED">
        <w:trPr>
          <w:cantSplit/>
        </w:trPr>
        <w:tc>
          <w:tcPr>
            <w:tcW w:w="7479" w:type="dxa"/>
          </w:tcPr>
          <w:p w:rsidR="00C84D94" w:rsidRPr="009170B8" w:rsidRDefault="00C84D94" w:rsidP="00721960">
            <w:pPr>
              <w:ind w:firstLine="284"/>
              <w:rPr>
                <w:rFonts w:ascii="Times New Roman" w:hAnsi="Times New Roman"/>
                <w:sz w:val="20"/>
                <w:szCs w:val="20"/>
              </w:rPr>
            </w:pPr>
            <w:r w:rsidRPr="009170B8">
              <w:rPr>
                <w:rFonts w:ascii="Times New Roman" w:hAnsi="Times New Roman"/>
                <w:sz w:val="20"/>
                <w:szCs w:val="20"/>
              </w:rPr>
              <w:t>General expenses</w:t>
            </w:r>
          </w:p>
        </w:tc>
        <w:tc>
          <w:tcPr>
            <w:tcW w:w="1260" w:type="dxa"/>
          </w:tcPr>
          <w:p w:rsidR="00C84D94" w:rsidRPr="00B46F2F" w:rsidRDefault="00B836DB">
            <w:pPr>
              <w:jc w:val="right"/>
              <w:rPr>
                <w:rFonts w:ascii="Times New Roman" w:hAnsi="Times New Roman"/>
                <w:sz w:val="20"/>
                <w:szCs w:val="20"/>
              </w:rPr>
            </w:pPr>
            <w:r>
              <w:rPr>
                <w:rFonts w:ascii="Times New Roman" w:hAnsi="Times New Roman"/>
                <w:sz w:val="20"/>
                <w:szCs w:val="20"/>
              </w:rPr>
              <w:t>15</w:t>
            </w:r>
            <w:r w:rsidR="00C84D94">
              <w:rPr>
                <w:rFonts w:ascii="Times New Roman" w:hAnsi="Times New Roman"/>
                <w:sz w:val="20"/>
                <w:szCs w:val="20"/>
              </w:rPr>
              <w:t>,</w:t>
            </w:r>
            <w:r>
              <w:rPr>
                <w:rFonts w:ascii="Times New Roman" w:hAnsi="Times New Roman"/>
                <w:sz w:val="20"/>
                <w:szCs w:val="20"/>
              </w:rPr>
              <w:t>4</w:t>
            </w:r>
            <w:r w:rsidR="007720F6">
              <w:rPr>
                <w:rFonts w:ascii="Times New Roman" w:hAnsi="Times New Roman"/>
                <w:sz w:val="20"/>
                <w:szCs w:val="20"/>
              </w:rPr>
              <w:t>65</w:t>
            </w:r>
          </w:p>
        </w:tc>
        <w:tc>
          <w:tcPr>
            <w:tcW w:w="236" w:type="dxa"/>
          </w:tcPr>
          <w:p w:rsidR="00C84D94" w:rsidRPr="00B46F2F" w:rsidRDefault="00C84D94" w:rsidP="00721960">
            <w:pPr>
              <w:jc w:val="right"/>
              <w:rPr>
                <w:rFonts w:ascii="Times New Roman" w:hAnsi="Times New Roman"/>
                <w:sz w:val="20"/>
                <w:szCs w:val="20"/>
              </w:rPr>
            </w:pPr>
          </w:p>
        </w:tc>
        <w:tc>
          <w:tcPr>
            <w:tcW w:w="1312" w:type="dxa"/>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5,277</w:t>
            </w:r>
          </w:p>
        </w:tc>
      </w:tr>
      <w:tr w:rsidR="00B836DB" w:rsidRPr="009170B8" w:rsidTr="00E95EED">
        <w:trPr>
          <w:cantSplit/>
        </w:trPr>
        <w:tc>
          <w:tcPr>
            <w:tcW w:w="7479" w:type="dxa"/>
          </w:tcPr>
          <w:p w:rsidR="00B836DB" w:rsidRPr="009170B8" w:rsidRDefault="00B836DB" w:rsidP="00721960">
            <w:pPr>
              <w:ind w:firstLine="284"/>
              <w:rPr>
                <w:rFonts w:ascii="Times New Roman" w:hAnsi="Times New Roman"/>
                <w:sz w:val="20"/>
                <w:szCs w:val="20"/>
              </w:rPr>
            </w:pPr>
            <w:r>
              <w:rPr>
                <w:rFonts w:ascii="Times New Roman" w:hAnsi="Times New Roman"/>
                <w:sz w:val="20"/>
                <w:szCs w:val="20"/>
              </w:rPr>
              <w:t>Directors</w:t>
            </w:r>
            <w:r w:rsidR="00180734">
              <w:rPr>
                <w:rFonts w:ascii="Times New Roman" w:hAnsi="Times New Roman"/>
                <w:sz w:val="20"/>
                <w:szCs w:val="20"/>
              </w:rPr>
              <w:t>’</w:t>
            </w:r>
            <w:r>
              <w:rPr>
                <w:rFonts w:ascii="Times New Roman" w:hAnsi="Times New Roman"/>
                <w:sz w:val="20"/>
                <w:szCs w:val="20"/>
              </w:rPr>
              <w:t xml:space="preserve"> fees</w:t>
            </w:r>
          </w:p>
        </w:tc>
        <w:tc>
          <w:tcPr>
            <w:tcW w:w="1260" w:type="dxa"/>
          </w:tcPr>
          <w:p w:rsidR="00B836DB" w:rsidDel="007720F6" w:rsidRDefault="00B836DB">
            <w:pPr>
              <w:jc w:val="right"/>
              <w:rPr>
                <w:rFonts w:ascii="Times New Roman" w:hAnsi="Times New Roman"/>
                <w:sz w:val="20"/>
                <w:szCs w:val="20"/>
              </w:rPr>
            </w:pPr>
            <w:r>
              <w:rPr>
                <w:rFonts w:ascii="Times New Roman" w:hAnsi="Times New Roman"/>
                <w:sz w:val="20"/>
                <w:szCs w:val="20"/>
              </w:rPr>
              <w:t>29,500</w:t>
            </w:r>
          </w:p>
        </w:tc>
        <w:tc>
          <w:tcPr>
            <w:tcW w:w="236" w:type="dxa"/>
          </w:tcPr>
          <w:p w:rsidR="00B836DB" w:rsidRPr="00B46F2F" w:rsidRDefault="00B836DB" w:rsidP="00721960">
            <w:pPr>
              <w:jc w:val="right"/>
              <w:rPr>
                <w:rFonts w:ascii="Times New Roman" w:hAnsi="Times New Roman"/>
                <w:sz w:val="20"/>
                <w:szCs w:val="20"/>
              </w:rPr>
            </w:pPr>
          </w:p>
        </w:tc>
        <w:tc>
          <w:tcPr>
            <w:tcW w:w="1312" w:type="dxa"/>
          </w:tcPr>
          <w:p w:rsidR="00B836DB" w:rsidRDefault="00B836DB" w:rsidP="003B01CA">
            <w:pPr>
              <w:jc w:val="right"/>
              <w:rPr>
                <w:rFonts w:ascii="Times New Roman" w:hAnsi="Times New Roman"/>
                <w:sz w:val="20"/>
                <w:szCs w:val="20"/>
              </w:rPr>
            </w:pPr>
            <w:r>
              <w:rPr>
                <w:rFonts w:ascii="Times New Roman" w:hAnsi="Times New Roman"/>
                <w:sz w:val="20"/>
                <w:szCs w:val="20"/>
              </w:rPr>
              <w:t>-</w:t>
            </w:r>
          </w:p>
        </w:tc>
      </w:tr>
      <w:tr w:rsidR="00C84D94" w:rsidRPr="009170B8" w:rsidTr="00E95EED">
        <w:trPr>
          <w:cantSplit/>
        </w:trPr>
        <w:tc>
          <w:tcPr>
            <w:tcW w:w="7479" w:type="dxa"/>
          </w:tcPr>
          <w:p w:rsidR="00C84D94" w:rsidRPr="009170B8" w:rsidRDefault="00C84D94" w:rsidP="00721960">
            <w:pPr>
              <w:ind w:firstLine="284"/>
              <w:rPr>
                <w:rFonts w:ascii="Times New Roman" w:hAnsi="Times New Roman"/>
                <w:sz w:val="20"/>
                <w:szCs w:val="20"/>
              </w:rPr>
            </w:pPr>
            <w:r w:rsidRPr="009170B8">
              <w:rPr>
                <w:rFonts w:ascii="Times New Roman" w:hAnsi="Times New Roman"/>
                <w:sz w:val="20"/>
                <w:szCs w:val="20"/>
              </w:rPr>
              <w:t>Registrar’s fees</w:t>
            </w:r>
          </w:p>
        </w:tc>
        <w:tc>
          <w:tcPr>
            <w:tcW w:w="1260" w:type="dxa"/>
          </w:tcPr>
          <w:p w:rsidR="00C84D94" w:rsidRPr="00B46F2F" w:rsidRDefault="00C84D94">
            <w:pPr>
              <w:jc w:val="right"/>
              <w:rPr>
                <w:rFonts w:ascii="Times New Roman" w:hAnsi="Times New Roman"/>
                <w:sz w:val="20"/>
                <w:szCs w:val="20"/>
              </w:rPr>
            </w:pPr>
            <w:r>
              <w:rPr>
                <w:rFonts w:ascii="Times New Roman" w:hAnsi="Times New Roman"/>
                <w:sz w:val="20"/>
                <w:szCs w:val="20"/>
              </w:rPr>
              <w:t>8,</w:t>
            </w:r>
            <w:r w:rsidR="007720F6">
              <w:rPr>
                <w:rFonts w:ascii="Times New Roman" w:hAnsi="Times New Roman"/>
                <w:sz w:val="20"/>
                <w:szCs w:val="20"/>
              </w:rPr>
              <w:t>001</w:t>
            </w:r>
          </w:p>
        </w:tc>
        <w:tc>
          <w:tcPr>
            <w:tcW w:w="236" w:type="dxa"/>
          </w:tcPr>
          <w:p w:rsidR="00C84D94" w:rsidRPr="00B46F2F" w:rsidRDefault="00C84D94" w:rsidP="00721960">
            <w:pPr>
              <w:jc w:val="right"/>
              <w:rPr>
                <w:rFonts w:ascii="Times New Roman" w:hAnsi="Times New Roman"/>
                <w:sz w:val="20"/>
                <w:szCs w:val="20"/>
              </w:rPr>
            </w:pPr>
          </w:p>
        </w:tc>
        <w:tc>
          <w:tcPr>
            <w:tcW w:w="1312" w:type="dxa"/>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8,506</w:t>
            </w:r>
          </w:p>
        </w:tc>
      </w:tr>
      <w:tr w:rsidR="00BB783A" w:rsidRPr="009170B8" w:rsidTr="00E95EED">
        <w:trPr>
          <w:cantSplit/>
        </w:trPr>
        <w:tc>
          <w:tcPr>
            <w:tcW w:w="7479" w:type="dxa"/>
          </w:tcPr>
          <w:p w:rsidR="00BB783A" w:rsidRPr="009170B8" w:rsidRDefault="00BB783A" w:rsidP="00721960">
            <w:pPr>
              <w:ind w:firstLine="284"/>
              <w:rPr>
                <w:rFonts w:ascii="Times New Roman" w:hAnsi="Times New Roman"/>
                <w:sz w:val="20"/>
                <w:szCs w:val="20"/>
              </w:rPr>
            </w:pPr>
            <w:r>
              <w:rPr>
                <w:rFonts w:ascii="Times New Roman" w:hAnsi="Times New Roman"/>
                <w:sz w:val="20"/>
                <w:szCs w:val="20"/>
              </w:rPr>
              <w:t>Tax fees</w:t>
            </w:r>
          </w:p>
        </w:tc>
        <w:tc>
          <w:tcPr>
            <w:tcW w:w="1260" w:type="dxa"/>
          </w:tcPr>
          <w:p w:rsidR="00BB783A" w:rsidRDefault="00BB783A">
            <w:pPr>
              <w:jc w:val="right"/>
              <w:rPr>
                <w:rFonts w:ascii="Times New Roman" w:hAnsi="Times New Roman"/>
                <w:sz w:val="20"/>
                <w:szCs w:val="20"/>
              </w:rPr>
            </w:pPr>
            <w:r>
              <w:rPr>
                <w:rFonts w:ascii="Times New Roman" w:hAnsi="Times New Roman"/>
                <w:sz w:val="20"/>
                <w:szCs w:val="20"/>
              </w:rPr>
              <w:t>5,800</w:t>
            </w:r>
          </w:p>
        </w:tc>
        <w:tc>
          <w:tcPr>
            <w:tcW w:w="236" w:type="dxa"/>
          </w:tcPr>
          <w:p w:rsidR="00BB783A" w:rsidRPr="00B46F2F" w:rsidRDefault="00BB783A" w:rsidP="00721960">
            <w:pPr>
              <w:jc w:val="right"/>
              <w:rPr>
                <w:rFonts w:ascii="Times New Roman" w:hAnsi="Times New Roman"/>
                <w:sz w:val="20"/>
                <w:szCs w:val="20"/>
              </w:rPr>
            </w:pPr>
          </w:p>
        </w:tc>
        <w:tc>
          <w:tcPr>
            <w:tcW w:w="1312" w:type="dxa"/>
          </w:tcPr>
          <w:p w:rsidR="00BB783A" w:rsidRDefault="00BB783A" w:rsidP="003B01CA">
            <w:pPr>
              <w:jc w:val="right"/>
              <w:rPr>
                <w:rFonts w:ascii="Times New Roman" w:hAnsi="Times New Roman"/>
                <w:sz w:val="20"/>
                <w:szCs w:val="20"/>
              </w:rPr>
            </w:pPr>
            <w:r>
              <w:rPr>
                <w:rFonts w:ascii="Times New Roman" w:hAnsi="Times New Roman"/>
                <w:sz w:val="20"/>
                <w:szCs w:val="20"/>
              </w:rPr>
              <w:t>5,800</w:t>
            </w:r>
          </w:p>
        </w:tc>
      </w:tr>
      <w:tr w:rsidR="00C84D94" w:rsidRPr="009170B8" w:rsidTr="003B01CA">
        <w:trPr>
          <w:cantSplit/>
        </w:trPr>
        <w:tc>
          <w:tcPr>
            <w:tcW w:w="7479" w:type="dxa"/>
          </w:tcPr>
          <w:p w:rsidR="00C84D94" w:rsidRPr="009170B8" w:rsidRDefault="00C84D94" w:rsidP="00721960">
            <w:pPr>
              <w:ind w:firstLine="284"/>
              <w:rPr>
                <w:rFonts w:ascii="Times New Roman" w:hAnsi="Times New Roman"/>
                <w:sz w:val="20"/>
                <w:szCs w:val="20"/>
              </w:rPr>
            </w:pPr>
            <w:r w:rsidRPr="009170B8">
              <w:rPr>
                <w:rFonts w:ascii="Times New Roman" w:hAnsi="Times New Roman"/>
                <w:sz w:val="20"/>
                <w:szCs w:val="20"/>
              </w:rPr>
              <w:t>Custodian fees</w:t>
            </w:r>
          </w:p>
        </w:tc>
        <w:tc>
          <w:tcPr>
            <w:tcW w:w="1260" w:type="dxa"/>
            <w:tcBorders>
              <w:bottom w:val="single" w:sz="4" w:space="0" w:color="auto"/>
            </w:tcBorders>
          </w:tcPr>
          <w:p w:rsidR="00C84D94" w:rsidRPr="00B46F2F" w:rsidRDefault="007720F6">
            <w:pPr>
              <w:jc w:val="right"/>
              <w:rPr>
                <w:rFonts w:ascii="Times New Roman" w:hAnsi="Times New Roman"/>
                <w:sz w:val="20"/>
                <w:szCs w:val="20"/>
              </w:rPr>
            </w:pPr>
            <w:r>
              <w:rPr>
                <w:rFonts w:ascii="Times New Roman" w:hAnsi="Times New Roman"/>
                <w:sz w:val="20"/>
                <w:szCs w:val="20"/>
              </w:rPr>
              <w:t>853</w:t>
            </w:r>
          </w:p>
        </w:tc>
        <w:tc>
          <w:tcPr>
            <w:tcW w:w="236" w:type="dxa"/>
          </w:tcPr>
          <w:p w:rsidR="00C84D94" w:rsidRPr="00B46F2F" w:rsidRDefault="00C84D94" w:rsidP="00721960">
            <w:pPr>
              <w:jc w:val="right"/>
              <w:rPr>
                <w:rFonts w:ascii="Times New Roman" w:hAnsi="Times New Roman"/>
                <w:sz w:val="20"/>
                <w:szCs w:val="20"/>
              </w:rPr>
            </w:pPr>
          </w:p>
        </w:tc>
        <w:tc>
          <w:tcPr>
            <w:tcW w:w="1312" w:type="dxa"/>
            <w:tcBorders>
              <w:bottom w:val="single" w:sz="4" w:space="0" w:color="auto"/>
            </w:tcBorders>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2,959</w:t>
            </w:r>
          </w:p>
        </w:tc>
      </w:tr>
      <w:tr w:rsidR="00C84D94" w:rsidRPr="00B46F2F" w:rsidTr="003B01CA">
        <w:trPr>
          <w:cantSplit/>
        </w:trPr>
        <w:tc>
          <w:tcPr>
            <w:tcW w:w="7479" w:type="dxa"/>
          </w:tcPr>
          <w:p w:rsidR="00C84D94" w:rsidRPr="009170B8" w:rsidRDefault="00C84D94" w:rsidP="00590B67">
            <w:pPr>
              <w:ind w:firstLine="284"/>
              <w:rPr>
                <w:rFonts w:ascii="Times New Roman" w:hAnsi="Times New Roman"/>
                <w:sz w:val="20"/>
                <w:szCs w:val="20"/>
              </w:rPr>
            </w:pPr>
          </w:p>
        </w:tc>
        <w:tc>
          <w:tcPr>
            <w:tcW w:w="1260" w:type="dxa"/>
            <w:tcBorders>
              <w:top w:val="single" w:sz="4" w:space="0" w:color="auto"/>
              <w:bottom w:val="double" w:sz="4" w:space="0" w:color="auto"/>
            </w:tcBorders>
          </w:tcPr>
          <w:p w:rsidR="00C84D94" w:rsidRPr="00D22C00" w:rsidRDefault="00C84D94">
            <w:pPr>
              <w:jc w:val="right"/>
              <w:rPr>
                <w:rFonts w:ascii="Times New Roman" w:hAnsi="Times New Roman"/>
                <w:b/>
                <w:sz w:val="20"/>
                <w:szCs w:val="20"/>
              </w:rPr>
            </w:pPr>
            <w:r w:rsidRPr="00D22C00">
              <w:rPr>
                <w:rFonts w:ascii="Times New Roman" w:hAnsi="Times New Roman"/>
                <w:b/>
                <w:sz w:val="20"/>
                <w:szCs w:val="20"/>
              </w:rPr>
              <w:t>3</w:t>
            </w:r>
            <w:r w:rsidR="007720F6">
              <w:rPr>
                <w:rFonts w:ascii="Times New Roman" w:hAnsi="Times New Roman"/>
                <w:b/>
                <w:sz w:val="20"/>
                <w:szCs w:val="20"/>
              </w:rPr>
              <w:t>83</w:t>
            </w:r>
            <w:r w:rsidRPr="00D22C00">
              <w:rPr>
                <w:rFonts w:ascii="Times New Roman" w:hAnsi="Times New Roman"/>
                <w:b/>
                <w:sz w:val="20"/>
                <w:szCs w:val="20"/>
              </w:rPr>
              <w:t>,</w:t>
            </w:r>
            <w:r w:rsidR="007720F6">
              <w:rPr>
                <w:rFonts w:ascii="Times New Roman" w:hAnsi="Times New Roman"/>
                <w:b/>
                <w:sz w:val="20"/>
                <w:szCs w:val="20"/>
              </w:rPr>
              <w:t>613</w:t>
            </w:r>
          </w:p>
        </w:tc>
        <w:tc>
          <w:tcPr>
            <w:tcW w:w="236" w:type="dxa"/>
          </w:tcPr>
          <w:p w:rsidR="00C84D94" w:rsidRPr="00B46F2F" w:rsidRDefault="00C84D94" w:rsidP="00590B67">
            <w:pPr>
              <w:jc w:val="right"/>
              <w:rPr>
                <w:rFonts w:ascii="Times New Roman" w:hAnsi="Times New Roman"/>
                <w:sz w:val="20"/>
                <w:szCs w:val="20"/>
              </w:rPr>
            </w:pPr>
          </w:p>
        </w:tc>
        <w:tc>
          <w:tcPr>
            <w:tcW w:w="1312" w:type="dxa"/>
            <w:tcBorders>
              <w:top w:val="single" w:sz="4" w:space="0" w:color="auto"/>
              <w:bottom w:val="double" w:sz="4" w:space="0" w:color="auto"/>
            </w:tcBorders>
          </w:tcPr>
          <w:p w:rsidR="00C84D94" w:rsidRPr="00B46F2F" w:rsidRDefault="00C84D94" w:rsidP="003B01CA">
            <w:pPr>
              <w:jc w:val="right"/>
              <w:rPr>
                <w:rFonts w:ascii="Times New Roman" w:hAnsi="Times New Roman"/>
                <w:sz w:val="20"/>
                <w:szCs w:val="20"/>
              </w:rPr>
            </w:pPr>
            <w:r w:rsidRPr="00D22C00">
              <w:rPr>
                <w:rFonts w:ascii="Times New Roman" w:hAnsi="Times New Roman"/>
                <w:b/>
                <w:sz w:val="20"/>
                <w:szCs w:val="20"/>
              </w:rPr>
              <w:t>3</w:t>
            </w:r>
            <w:r>
              <w:rPr>
                <w:rFonts w:ascii="Times New Roman" w:hAnsi="Times New Roman"/>
                <w:b/>
                <w:sz w:val="20"/>
                <w:szCs w:val="20"/>
              </w:rPr>
              <w:t>62</w:t>
            </w:r>
            <w:r w:rsidRPr="00D22C00">
              <w:rPr>
                <w:rFonts w:ascii="Times New Roman" w:hAnsi="Times New Roman"/>
                <w:b/>
                <w:sz w:val="20"/>
                <w:szCs w:val="20"/>
              </w:rPr>
              <w:t>,</w:t>
            </w:r>
            <w:r>
              <w:rPr>
                <w:rFonts w:ascii="Times New Roman" w:hAnsi="Times New Roman"/>
                <w:b/>
                <w:sz w:val="20"/>
                <w:szCs w:val="20"/>
              </w:rPr>
              <w:t>428</w:t>
            </w:r>
          </w:p>
        </w:tc>
      </w:tr>
    </w:tbl>
    <w:p w:rsidR="008739CA" w:rsidRDefault="008739CA" w:rsidP="00156F20">
      <w:pPr>
        <w:ind w:left="284" w:hanging="284"/>
        <w:rPr>
          <w:rFonts w:ascii="Times New Roman" w:hAnsi="Times New Roman"/>
          <w:b/>
          <w:bCs/>
          <w:sz w:val="20"/>
        </w:rPr>
      </w:pPr>
    </w:p>
    <w:p w:rsidR="00DA5E13" w:rsidRDefault="00DA5E13" w:rsidP="00156F20">
      <w:pPr>
        <w:ind w:left="284" w:hanging="284"/>
        <w:rPr>
          <w:rFonts w:ascii="Times New Roman" w:hAnsi="Times New Roman"/>
          <w:b/>
          <w:bCs/>
          <w:sz w:val="20"/>
        </w:rPr>
      </w:pPr>
    </w:p>
    <w:p w:rsidR="00DA5E13" w:rsidRDefault="00DA5E13" w:rsidP="00156F20">
      <w:pPr>
        <w:ind w:left="284" w:hanging="284"/>
        <w:rPr>
          <w:rFonts w:ascii="Times New Roman" w:hAnsi="Times New Roman"/>
          <w:b/>
          <w:bCs/>
          <w:sz w:val="20"/>
        </w:rPr>
      </w:pPr>
    </w:p>
    <w:p w:rsidR="00DA5E13" w:rsidRDefault="00DA5E13" w:rsidP="00156F20">
      <w:pPr>
        <w:ind w:left="284" w:hanging="284"/>
        <w:rPr>
          <w:rFonts w:ascii="Times New Roman" w:hAnsi="Times New Roman"/>
          <w:b/>
          <w:bCs/>
          <w:sz w:val="20"/>
        </w:rPr>
      </w:pPr>
    </w:p>
    <w:p w:rsidR="00DA5E13" w:rsidRDefault="00DA5E13" w:rsidP="00156F20">
      <w:pPr>
        <w:ind w:left="284" w:hanging="284"/>
        <w:rPr>
          <w:rFonts w:ascii="Times New Roman" w:hAnsi="Times New Roman"/>
          <w:b/>
          <w:bCs/>
          <w:sz w:val="20"/>
        </w:rPr>
      </w:pPr>
    </w:p>
    <w:p w:rsidR="00DA5E13" w:rsidRDefault="00DA5E13" w:rsidP="00156F20">
      <w:pPr>
        <w:ind w:left="284" w:hanging="284"/>
        <w:rPr>
          <w:rFonts w:ascii="Times New Roman" w:hAnsi="Times New Roman"/>
          <w:b/>
          <w:bCs/>
          <w:sz w:val="20"/>
        </w:rPr>
      </w:pPr>
    </w:p>
    <w:p w:rsidR="00DA5E13" w:rsidRDefault="00DA5E13" w:rsidP="00156F20">
      <w:pPr>
        <w:ind w:left="284" w:hanging="284"/>
        <w:rPr>
          <w:rFonts w:ascii="Times New Roman" w:hAnsi="Times New Roman"/>
          <w:b/>
          <w:bCs/>
          <w:sz w:val="20"/>
        </w:rPr>
      </w:pPr>
    </w:p>
    <w:p w:rsidR="00DA5E13" w:rsidRDefault="00DA5E13" w:rsidP="00156F20">
      <w:pPr>
        <w:ind w:left="284" w:hanging="284"/>
        <w:rPr>
          <w:rFonts w:ascii="Times New Roman" w:hAnsi="Times New Roman"/>
          <w:b/>
          <w:bCs/>
          <w:sz w:val="20"/>
        </w:rPr>
      </w:pPr>
    </w:p>
    <w:p w:rsidR="00DA5E13" w:rsidRDefault="00DA5E13" w:rsidP="00DA5E13">
      <w:pPr>
        <w:rPr>
          <w:rFonts w:ascii="Times New Roman" w:hAnsi="Times New Roman"/>
          <w:b/>
        </w:rPr>
      </w:pPr>
      <w:r w:rsidRPr="009170B8">
        <w:rPr>
          <w:rFonts w:ascii="Times New Roman" w:hAnsi="Times New Roman"/>
          <w:b/>
        </w:rPr>
        <w:t>Notes to the Financial Statements</w:t>
      </w:r>
      <w:r>
        <w:rPr>
          <w:rFonts w:ascii="Times New Roman" w:hAnsi="Times New Roman"/>
          <w:b/>
        </w:rPr>
        <w:t xml:space="preserve"> of the Fund</w:t>
      </w:r>
      <w:r w:rsidRPr="009170B8">
        <w:rPr>
          <w:rFonts w:ascii="Times New Roman" w:hAnsi="Times New Roman"/>
          <w:b/>
        </w:rPr>
        <w:t xml:space="preserve"> (continued)</w:t>
      </w:r>
    </w:p>
    <w:p w:rsidR="00DA5E13" w:rsidRPr="00B74D7C" w:rsidRDefault="00DA5E13" w:rsidP="00DA5E13">
      <w:pPr>
        <w:rPr>
          <w:rFonts w:ascii="Times New Roman" w:hAnsi="Times New Roman"/>
          <w:b/>
          <w:sz w:val="20"/>
          <w:szCs w:val="20"/>
        </w:rPr>
      </w:pPr>
      <w:r w:rsidRPr="00B46F2F">
        <w:rPr>
          <w:rFonts w:ascii="Times New Roman" w:hAnsi="Times New Roman"/>
          <w:b/>
          <w:sz w:val="20"/>
          <w:szCs w:val="20"/>
        </w:rPr>
        <w:t>For the year ended 31 December 201</w:t>
      </w:r>
      <w:r>
        <w:rPr>
          <w:rFonts w:ascii="Times New Roman" w:hAnsi="Times New Roman"/>
          <w:b/>
          <w:sz w:val="20"/>
          <w:szCs w:val="20"/>
        </w:rPr>
        <w:t>8</w:t>
      </w:r>
      <w:r w:rsidRPr="00B46F2F">
        <w:rPr>
          <w:rFonts w:ascii="Times New Roman" w:hAnsi="Times New Roman"/>
          <w:b/>
          <w:sz w:val="20"/>
          <w:szCs w:val="20"/>
        </w:rPr>
        <w:t xml:space="preserve"> </w:t>
      </w:r>
    </w:p>
    <w:p w:rsidR="00DA5E13" w:rsidRDefault="00DA5E13" w:rsidP="00156F20">
      <w:pPr>
        <w:ind w:left="284" w:hanging="284"/>
        <w:rPr>
          <w:rFonts w:ascii="Times New Roman" w:hAnsi="Times New Roman"/>
          <w:b/>
          <w:bCs/>
          <w:sz w:val="20"/>
        </w:rPr>
      </w:pPr>
    </w:p>
    <w:p w:rsidR="00156F20" w:rsidRPr="00B46F2F" w:rsidRDefault="005E7CCE" w:rsidP="00156F20">
      <w:pPr>
        <w:ind w:left="284" w:hanging="284"/>
        <w:rPr>
          <w:rFonts w:ascii="Times New Roman" w:hAnsi="Times New Roman"/>
        </w:rPr>
      </w:pPr>
      <w:r w:rsidRPr="00B46F2F">
        <w:rPr>
          <w:rFonts w:ascii="Times New Roman" w:hAnsi="Times New Roman"/>
          <w:b/>
          <w:bCs/>
          <w:sz w:val="20"/>
        </w:rPr>
        <w:t>6</w:t>
      </w:r>
      <w:r w:rsidR="00156F20" w:rsidRPr="00B46F2F">
        <w:rPr>
          <w:rFonts w:ascii="Times New Roman" w:hAnsi="Times New Roman"/>
          <w:b/>
          <w:bCs/>
          <w:sz w:val="20"/>
        </w:rPr>
        <w:t>.</w:t>
      </w:r>
      <w:r w:rsidR="00156F20" w:rsidRPr="00B46F2F">
        <w:rPr>
          <w:rFonts w:ascii="Times New Roman" w:hAnsi="Times New Roman"/>
          <w:b/>
          <w:bCs/>
          <w:sz w:val="20"/>
        </w:rPr>
        <w:tab/>
      </w:r>
      <w:r w:rsidR="00CD2D55" w:rsidRPr="00B46F2F">
        <w:rPr>
          <w:rFonts w:ascii="Times New Roman" w:hAnsi="Times New Roman"/>
          <w:b/>
          <w:bCs/>
          <w:sz w:val="20"/>
        </w:rPr>
        <w:t>S</w:t>
      </w:r>
      <w:r w:rsidR="005941D0" w:rsidRPr="00B46F2F">
        <w:rPr>
          <w:rFonts w:ascii="Times New Roman" w:hAnsi="Times New Roman"/>
          <w:b/>
          <w:bCs/>
          <w:sz w:val="20"/>
        </w:rPr>
        <w:t>tated capital account</w:t>
      </w:r>
    </w:p>
    <w:p w:rsidR="00156F20" w:rsidRPr="00B46F2F" w:rsidRDefault="005941D0" w:rsidP="00156F20">
      <w:pPr>
        <w:ind w:left="284"/>
        <w:jc w:val="both"/>
        <w:rPr>
          <w:rFonts w:ascii="Times New Roman" w:hAnsi="Times New Roman"/>
          <w:sz w:val="20"/>
          <w:szCs w:val="20"/>
        </w:rPr>
      </w:pPr>
      <w:r w:rsidRPr="00B46F2F">
        <w:rPr>
          <w:rFonts w:ascii="Times New Roman" w:hAnsi="Times New Roman"/>
          <w:sz w:val="20"/>
          <w:szCs w:val="20"/>
        </w:rPr>
        <w:t xml:space="preserve">The authorised share capital of the </w:t>
      </w:r>
      <w:r w:rsidR="00F81507" w:rsidRPr="00B46F2F">
        <w:rPr>
          <w:rFonts w:ascii="Times New Roman" w:hAnsi="Times New Roman"/>
          <w:sz w:val="20"/>
          <w:szCs w:val="20"/>
        </w:rPr>
        <w:t>F</w:t>
      </w:r>
      <w:r w:rsidRPr="00B46F2F">
        <w:rPr>
          <w:rFonts w:ascii="Times New Roman" w:hAnsi="Times New Roman"/>
          <w:sz w:val="20"/>
          <w:szCs w:val="20"/>
        </w:rPr>
        <w:t xml:space="preserve">und is split into </w:t>
      </w:r>
      <w:r w:rsidR="00654D23" w:rsidRPr="00B46F2F">
        <w:rPr>
          <w:rFonts w:ascii="Times New Roman" w:hAnsi="Times New Roman"/>
          <w:sz w:val="20"/>
          <w:szCs w:val="20"/>
        </w:rPr>
        <w:t xml:space="preserve">two </w:t>
      </w:r>
      <w:r w:rsidR="00606E35" w:rsidRPr="00B46F2F">
        <w:rPr>
          <w:rFonts w:ascii="Times New Roman" w:hAnsi="Times New Roman"/>
          <w:sz w:val="20"/>
          <w:szCs w:val="20"/>
        </w:rPr>
        <w:t>m</w:t>
      </w:r>
      <w:r w:rsidRPr="00B46F2F">
        <w:rPr>
          <w:rFonts w:ascii="Times New Roman" w:hAnsi="Times New Roman"/>
          <w:sz w:val="20"/>
          <w:szCs w:val="20"/>
        </w:rPr>
        <w:t xml:space="preserve">anagement </w:t>
      </w:r>
      <w:r w:rsidR="00606E35" w:rsidRPr="00B46F2F">
        <w:rPr>
          <w:rFonts w:ascii="Times New Roman" w:hAnsi="Times New Roman"/>
          <w:sz w:val="20"/>
          <w:szCs w:val="20"/>
        </w:rPr>
        <w:t>s</w:t>
      </w:r>
      <w:r w:rsidRPr="00B46F2F">
        <w:rPr>
          <w:rFonts w:ascii="Times New Roman" w:hAnsi="Times New Roman"/>
          <w:sz w:val="20"/>
          <w:szCs w:val="20"/>
        </w:rPr>
        <w:t>hares of no par value and an unlimited number of redeemable participating preference shares of no par value, the latter of which are attributable solely to the Fund.</w:t>
      </w:r>
    </w:p>
    <w:p w:rsidR="00156F20" w:rsidRPr="00B46F2F" w:rsidRDefault="00156F20" w:rsidP="00705AD2">
      <w:pPr>
        <w:jc w:val="both"/>
        <w:rPr>
          <w:rFonts w:ascii="Times New Roman" w:hAnsi="Times New Roman"/>
          <w:sz w:val="20"/>
          <w:szCs w:val="20"/>
        </w:rPr>
      </w:pPr>
    </w:p>
    <w:tbl>
      <w:tblPr>
        <w:tblW w:w="10348" w:type="dxa"/>
        <w:tblInd w:w="-34" w:type="dxa"/>
        <w:tblLayout w:type="fixed"/>
        <w:tblLook w:val="0000" w:firstRow="0" w:lastRow="0" w:firstColumn="0" w:lastColumn="0" w:noHBand="0" w:noVBand="0"/>
      </w:tblPr>
      <w:tblGrid>
        <w:gridCol w:w="6096"/>
        <w:gridCol w:w="1417"/>
        <w:gridCol w:w="1276"/>
        <w:gridCol w:w="284"/>
        <w:gridCol w:w="1275"/>
      </w:tblGrid>
      <w:tr w:rsidR="002D7247" w:rsidRPr="00B46F2F" w:rsidTr="00B74D7C">
        <w:trPr>
          <w:cantSplit/>
        </w:trPr>
        <w:tc>
          <w:tcPr>
            <w:tcW w:w="6096" w:type="dxa"/>
          </w:tcPr>
          <w:p w:rsidR="007A7E93" w:rsidRPr="00B46F2F" w:rsidRDefault="007A7E93" w:rsidP="003B6CEF">
            <w:pPr>
              <w:pStyle w:val="Heading3"/>
              <w:tabs>
                <w:tab w:val="clear" w:pos="3402"/>
                <w:tab w:val="clear" w:pos="8222"/>
              </w:tabs>
              <w:rPr>
                <w:rFonts w:ascii="Times New Roman" w:hAnsi="Times New Roman"/>
              </w:rPr>
            </w:pPr>
          </w:p>
        </w:tc>
        <w:tc>
          <w:tcPr>
            <w:tcW w:w="1417" w:type="dxa"/>
          </w:tcPr>
          <w:p w:rsidR="007A7E93" w:rsidRPr="00B46F2F" w:rsidRDefault="007A7E93" w:rsidP="003B6CEF">
            <w:pPr>
              <w:jc w:val="right"/>
              <w:rPr>
                <w:rFonts w:ascii="Times New Roman" w:hAnsi="Times New Roman"/>
                <w:sz w:val="20"/>
              </w:rPr>
            </w:pPr>
          </w:p>
        </w:tc>
        <w:tc>
          <w:tcPr>
            <w:tcW w:w="1276" w:type="dxa"/>
          </w:tcPr>
          <w:p w:rsidR="007A7E93" w:rsidRPr="00B46F2F" w:rsidRDefault="007A7E93" w:rsidP="00ED27A5">
            <w:pPr>
              <w:ind w:left="-111" w:firstLine="111"/>
              <w:jc w:val="right"/>
              <w:rPr>
                <w:rFonts w:ascii="Times New Roman" w:hAnsi="Times New Roman"/>
                <w:b/>
                <w:bCs/>
                <w:sz w:val="20"/>
              </w:rPr>
            </w:pPr>
            <w:r w:rsidRPr="00B46F2F">
              <w:rPr>
                <w:rFonts w:ascii="Times New Roman" w:hAnsi="Times New Roman"/>
                <w:b/>
                <w:bCs/>
                <w:sz w:val="20"/>
              </w:rPr>
              <w:t xml:space="preserve">No. </w:t>
            </w:r>
            <w:r w:rsidR="000A4A71" w:rsidRPr="00B46F2F">
              <w:rPr>
                <w:rFonts w:ascii="Times New Roman" w:hAnsi="Times New Roman"/>
                <w:b/>
                <w:bCs/>
                <w:sz w:val="20"/>
              </w:rPr>
              <w:t>o</w:t>
            </w:r>
            <w:r w:rsidRPr="00B46F2F">
              <w:rPr>
                <w:rFonts w:ascii="Times New Roman" w:hAnsi="Times New Roman"/>
                <w:b/>
                <w:bCs/>
                <w:sz w:val="20"/>
              </w:rPr>
              <w:t>f</w:t>
            </w:r>
            <w:r w:rsidR="00ED27A5" w:rsidRPr="00B46F2F">
              <w:rPr>
                <w:rFonts w:ascii="Times New Roman" w:hAnsi="Times New Roman"/>
                <w:b/>
                <w:bCs/>
                <w:sz w:val="20"/>
              </w:rPr>
              <w:t xml:space="preserve"> </w:t>
            </w:r>
            <w:r w:rsidRPr="00B46F2F">
              <w:rPr>
                <w:rFonts w:ascii="Times New Roman" w:hAnsi="Times New Roman"/>
                <w:b/>
                <w:bCs/>
                <w:sz w:val="20"/>
              </w:rPr>
              <w:t xml:space="preserve">shares </w:t>
            </w:r>
          </w:p>
        </w:tc>
        <w:tc>
          <w:tcPr>
            <w:tcW w:w="284" w:type="dxa"/>
          </w:tcPr>
          <w:p w:rsidR="007A7E93" w:rsidRPr="00B46F2F" w:rsidRDefault="007A7E93" w:rsidP="003B6CEF">
            <w:pPr>
              <w:jc w:val="right"/>
              <w:rPr>
                <w:rFonts w:ascii="Times New Roman" w:hAnsi="Times New Roman"/>
                <w:b/>
                <w:bCs/>
                <w:sz w:val="20"/>
              </w:rPr>
            </w:pPr>
          </w:p>
        </w:tc>
        <w:tc>
          <w:tcPr>
            <w:tcW w:w="1275" w:type="dxa"/>
            <w:vAlign w:val="bottom"/>
          </w:tcPr>
          <w:p w:rsidR="007A7E93" w:rsidRPr="00B46F2F" w:rsidRDefault="006C25A1" w:rsidP="00ED27A5">
            <w:pPr>
              <w:jc w:val="right"/>
              <w:rPr>
                <w:rFonts w:ascii="Times New Roman" w:hAnsi="Times New Roman"/>
                <w:b/>
                <w:bCs/>
                <w:sz w:val="20"/>
              </w:rPr>
            </w:pPr>
            <w:r w:rsidRPr="00B46F2F">
              <w:rPr>
                <w:rFonts w:ascii="Times New Roman" w:hAnsi="Times New Roman"/>
                <w:b/>
                <w:bCs/>
                <w:sz w:val="20"/>
              </w:rPr>
              <w:t>GBP</w:t>
            </w:r>
          </w:p>
        </w:tc>
      </w:tr>
      <w:tr w:rsidR="002D7247" w:rsidRPr="00B46F2F" w:rsidTr="00B74D7C">
        <w:trPr>
          <w:cantSplit/>
        </w:trPr>
        <w:tc>
          <w:tcPr>
            <w:tcW w:w="6096" w:type="dxa"/>
          </w:tcPr>
          <w:p w:rsidR="007A7E93" w:rsidRPr="00B46F2F" w:rsidRDefault="007A7E93" w:rsidP="007A7E93">
            <w:pPr>
              <w:pStyle w:val="Heading3"/>
              <w:tabs>
                <w:tab w:val="clear" w:pos="3402"/>
                <w:tab w:val="clear" w:pos="8222"/>
              </w:tabs>
              <w:ind w:firstLine="318"/>
              <w:rPr>
                <w:rFonts w:ascii="Times New Roman" w:hAnsi="Times New Roman"/>
                <w:b w:val="0"/>
                <w:bCs w:val="0"/>
              </w:rPr>
            </w:pPr>
            <w:r w:rsidRPr="00B46F2F">
              <w:rPr>
                <w:rFonts w:ascii="Times New Roman" w:hAnsi="Times New Roman"/>
              </w:rPr>
              <w:t>Management shares issued</w:t>
            </w:r>
          </w:p>
        </w:tc>
        <w:tc>
          <w:tcPr>
            <w:tcW w:w="1417" w:type="dxa"/>
          </w:tcPr>
          <w:p w:rsidR="007A7E93" w:rsidRPr="00B46F2F" w:rsidRDefault="007A7E93" w:rsidP="003B6CEF">
            <w:pPr>
              <w:jc w:val="right"/>
              <w:rPr>
                <w:rFonts w:ascii="Times New Roman" w:hAnsi="Times New Roman"/>
                <w:sz w:val="20"/>
              </w:rPr>
            </w:pPr>
          </w:p>
        </w:tc>
        <w:tc>
          <w:tcPr>
            <w:tcW w:w="1276" w:type="dxa"/>
          </w:tcPr>
          <w:p w:rsidR="007A7E93" w:rsidRPr="00B46F2F" w:rsidRDefault="007A7E93" w:rsidP="003B6CEF">
            <w:pPr>
              <w:jc w:val="right"/>
              <w:rPr>
                <w:rFonts w:ascii="Times New Roman" w:hAnsi="Times New Roman"/>
                <w:b/>
                <w:bCs/>
                <w:sz w:val="20"/>
              </w:rPr>
            </w:pPr>
          </w:p>
        </w:tc>
        <w:tc>
          <w:tcPr>
            <w:tcW w:w="284" w:type="dxa"/>
          </w:tcPr>
          <w:p w:rsidR="007A7E93" w:rsidRPr="00B46F2F" w:rsidRDefault="007A7E93" w:rsidP="003B6CEF">
            <w:pPr>
              <w:jc w:val="right"/>
              <w:rPr>
                <w:rFonts w:ascii="Times New Roman" w:hAnsi="Times New Roman"/>
                <w:b/>
                <w:bCs/>
                <w:sz w:val="20"/>
              </w:rPr>
            </w:pPr>
          </w:p>
        </w:tc>
        <w:tc>
          <w:tcPr>
            <w:tcW w:w="1275" w:type="dxa"/>
          </w:tcPr>
          <w:p w:rsidR="007A7E93" w:rsidRPr="00B46F2F" w:rsidRDefault="007A7E93" w:rsidP="003B6CEF">
            <w:pPr>
              <w:jc w:val="right"/>
              <w:rPr>
                <w:rFonts w:ascii="Times New Roman" w:hAnsi="Times New Roman"/>
                <w:b/>
                <w:bCs/>
                <w:sz w:val="20"/>
              </w:rPr>
            </w:pPr>
          </w:p>
        </w:tc>
      </w:tr>
      <w:tr w:rsidR="002D7247" w:rsidRPr="00B46F2F" w:rsidTr="00B74D7C">
        <w:trPr>
          <w:cantSplit/>
        </w:trPr>
        <w:tc>
          <w:tcPr>
            <w:tcW w:w="6096" w:type="dxa"/>
          </w:tcPr>
          <w:p w:rsidR="007A7E93" w:rsidRPr="00B46F2F" w:rsidRDefault="007A7E93" w:rsidP="007A7E93">
            <w:pPr>
              <w:pStyle w:val="Heading3"/>
              <w:tabs>
                <w:tab w:val="clear" w:pos="3402"/>
                <w:tab w:val="clear" w:pos="8222"/>
              </w:tabs>
              <w:ind w:firstLine="318"/>
              <w:rPr>
                <w:rFonts w:ascii="Times New Roman" w:hAnsi="Times New Roman"/>
                <w:b w:val="0"/>
                <w:bCs w:val="0"/>
              </w:rPr>
            </w:pPr>
            <w:r w:rsidRPr="00B46F2F">
              <w:rPr>
                <w:rFonts w:ascii="Times New Roman" w:hAnsi="Times New Roman"/>
                <w:b w:val="0"/>
                <w:bCs w:val="0"/>
              </w:rPr>
              <w:t>At 24 May 2006</w:t>
            </w:r>
          </w:p>
        </w:tc>
        <w:tc>
          <w:tcPr>
            <w:tcW w:w="1417" w:type="dxa"/>
          </w:tcPr>
          <w:p w:rsidR="007A7E93" w:rsidRPr="00B46F2F" w:rsidRDefault="007A7E93" w:rsidP="003B6CEF">
            <w:pPr>
              <w:jc w:val="right"/>
              <w:rPr>
                <w:rFonts w:ascii="Times New Roman" w:hAnsi="Times New Roman"/>
                <w:sz w:val="20"/>
              </w:rPr>
            </w:pPr>
          </w:p>
        </w:tc>
        <w:tc>
          <w:tcPr>
            <w:tcW w:w="1276" w:type="dxa"/>
          </w:tcPr>
          <w:p w:rsidR="007A7E93" w:rsidRPr="00B46F2F" w:rsidRDefault="007A7E93" w:rsidP="003B6CEF">
            <w:pPr>
              <w:jc w:val="right"/>
              <w:rPr>
                <w:rFonts w:ascii="Times New Roman" w:hAnsi="Times New Roman"/>
                <w:sz w:val="20"/>
              </w:rPr>
            </w:pPr>
            <w:r w:rsidRPr="00B46F2F">
              <w:rPr>
                <w:rFonts w:ascii="Times New Roman" w:hAnsi="Times New Roman"/>
                <w:sz w:val="20"/>
              </w:rPr>
              <w:t>-</w:t>
            </w:r>
          </w:p>
        </w:tc>
        <w:tc>
          <w:tcPr>
            <w:tcW w:w="284" w:type="dxa"/>
          </w:tcPr>
          <w:p w:rsidR="007A7E93" w:rsidRPr="00B46F2F" w:rsidRDefault="007A7E93" w:rsidP="003B6CEF">
            <w:pPr>
              <w:ind w:right="72"/>
              <w:jc w:val="right"/>
              <w:rPr>
                <w:rFonts w:ascii="Times New Roman" w:hAnsi="Times New Roman"/>
                <w:sz w:val="20"/>
              </w:rPr>
            </w:pPr>
          </w:p>
        </w:tc>
        <w:tc>
          <w:tcPr>
            <w:tcW w:w="1275" w:type="dxa"/>
          </w:tcPr>
          <w:p w:rsidR="007A7E93" w:rsidRPr="00B46F2F" w:rsidRDefault="007A7E93" w:rsidP="003B6CEF">
            <w:pPr>
              <w:ind w:right="72"/>
              <w:jc w:val="right"/>
              <w:rPr>
                <w:rFonts w:ascii="Times New Roman" w:hAnsi="Times New Roman"/>
                <w:sz w:val="20"/>
              </w:rPr>
            </w:pPr>
            <w:r w:rsidRPr="00B46F2F">
              <w:rPr>
                <w:rFonts w:ascii="Times New Roman" w:hAnsi="Times New Roman"/>
                <w:sz w:val="20"/>
              </w:rPr>
              <w:t>-</w:t>
            </w:r>
          </w:p>
        </w:tc>
      </w:tr>
      <w:tr w:rsidR="002D7247" w:rsidRPr="00B46F2F" w:rsidTr="00B74D7C">
        <w:trPr>
          <w:cantSplit/>
        </w:trPr>
        <w:tc>
          <w:tcPr>
            <w:tcW w:w="6096" w:type="dxa"/>
          </w:tcPr>
          <w:p w:rsidR="007A7E93" w:rsidRPr="00B46F2F" w:rsidRDefault="006D303E" w:rsidP="00606E35">
            <w:pPr>
              <w:pStyle w:val="Heading3"/>
              <w:tabs>
                <w:tab w:val="clear" w:pos="3402"/>
                <w:tab w:val="clear" w:pos="8222"/>
              </w:tabs>
              <w:ind w:firstLine="318"/>
              <w:rPr>
                <w:rFonts w:ascii="Times New Roman" w:hAnsi="Times New Roman"/>
                <w:b w:val="0"/>
                <w:bCs w:val="0"/>
              </w:rPr>
            </w:pPr>
            <w:r w:rsidRPr="00B46F2F">
              <w:rPr>
                <w:rFonts w:ascii="Times New Roman" w:hAnsi="Times New Roman"/>
                <w:b w:val="0"/>
                <w:bCs w:val="0"/>
              </w:rPr>
              <w:t>2</w:t>
            </w:r>
            <w:r w:rsidR="007A7E93" w:rsidRPr="00B46F2F">
              <w:rPr>
                <w:rFonts w:ascii="Times New Roman" w:hAnsi="Times New Roman"/>
                <w:b w:val="0"/>
                <w:bCs w:val="0"/>
              </w:rPr>
              <w:t xml:space="preserve"> management shares of no par value issued at </w:t>
            </w:r>
            <w:r w:rsidR="00606E35" w:rsidRPr="00B46F2F">
              <w:rPr>
                <w:rFonts w:ascii="Times New Roman" w:hAnsi="Times New Roman"/>
                <w:b w:val="0"/>
                <w:bCs w:val="0"/>
              </w:rPr>
              <w:t xml:space="preserve">100.00 pence </w:t>
            </w:r>
            <w:r w:rsidR="007A7E93" w:rsidRPr="00B46F2F">
              <w:rPr>
                <w:rFonts w:ascii="Times New Roman" w:hAnsi="Times New Roman"/>
                <w:b w:val="0"/>
                <w:bCs w:val="0"/>
              </w:rPr>
              <w:t>each</w:t>
            </w:r>
          </w:p>
        </w:tc>
        <w:tc>
          <w:tcPr>
            <w:tcW w:w="1417" w:type="dxa"/>
          </w:tcPr>
          <w:p w:rsidR="007A7E93" w:rsidRPr="00B46F2F" w:rsidRDefault="007A7E93" w:rsidP="003B6CEF">
            <w:pPr>
              <w:jc w:val="right"/>
              <w:rPr>
                <w:rFonts w:ascii="Times New Roman" w:hAnsi="Times New Roman"/>
                <w:sz w:val="20"/>
              </w:rPr>
            </w:pPr>
          </w:p>
        </w:tc>
        <w:tc>
          <w:tcPr>
            <w:tcW w:w="1276" w:type="dxa"/>
            <w:tcBorders>
              <w:bottom w:val="single" w:sz="4" w:space="0" w:color="auto"/>
            </w:tcBorders>
          </w:tcPr>
          <w:p w:rsidR="007A7E93" w:rsidRPr="00B46F2F" w:rsidRDefault="006D303E" w:rsidP="003B6CEF">
            <w:pPr>
              <w:jc w:val="right"/>
              <w:rPr>
                <w:rFonts w:ascii="Times New Roman" w:hAnsi="Times New Roman"/>
                <w:sz w:val="20"/>
              </w:rPr>
            </w:pPr>
            <w:r w:rsidRPr="00B46F2F">
              <w:rPr>
                <w:rFonts w:ascii="Times New Roman" w:hAnsi="Times New Roman"/>
                <w:sz w:val="20"/>
              </w:rPr>
              <w:t>2</w:t>
            </w:r>
          </w:p>
        </w:tc>
        <w:tc>
          <w:tcPr>
            <w:tcW w:w="284" w:type="dxa"/>
            <w:tcBorders>
              <w:bottom w:val="single" w:sz="4" w:space="0" w:color="auto"/>
            </w:tcBorders>
          </w:tcPr>
          <w:p w:rsidR="007A7E93" w:rsidRPr="00B46F2F" w:rsidRDefault="007A7E93" w:rsidP="003B6CEF">
            <w:pPr>
              <w:ind w:right="72"/>
              <w:jc w:val="right"/>
              <w:rPr>
                <w:rFonts w:ascii="Times New Roman" w:hAnsi="Times New Roman"/>
                <w:sz w:val="20"/>
              </w:rPr>
            </w:pPr>
          </w:p>
        </w:tc>
        <w:tc>
          <w:tcPr>
            <w:tcW w:w="1275" w:type="dxa"/>
            <w:tcBorders>
              <w:bottom w:val="single" w:sz="4" w:space="0" w:color="auto"/>
            </w:tcBorders>
          </w:tcPr>
          <w:p w:rsidR="007A7E93" w:rsidRPr="00B46F2F" w:rsidRDefault="006D303E" w:rsidP="003B6CEF">
            <w:pPr>
              <w:ind w:right="72"/>
              <w:jc w:val="right"/>
              <w:rPr>
                <w:rFonts w:ascii="Times New Roman" w:hAnsi="Times New Roman"/>
                <w:sz w:val="20"/>
              </w:rPr>
            </w:pPr>
            <w:r w:rsidRPr="00B46F2F">
              <w:rPr>
                <w:rFonts w:ascii="Times New Roman" w:hAnsi="Times New Roman"/>
                <w:sz w:val="20"/>
              </w:rPr>
              <w:t>2</w:t>
            </w:r>
          </w:p>
        </w:tc>
      </w:tr>
      <w:tr w:rsidR="002D7247" w:rsidRPr="00B46F2F" w:rsidTr="00B74D7C">
        <w:trPr>
          <w:cantSplit/>
        </w:trPr>
        <w:tc>
          <w:tcPr>
            <w:tcW w:w="6096" w:type="dxa"/>
          </w:tcPr>
          <w:p w:rsidR="007A7E93" w:rsidRPr="00B46F2F" w:rsidRDefault="00DB3E3C">
            <w:pPr>
              <w:pStyle w:val="Heading3"/>
              <w:tabs>
                <w:tab w:val="clear" w:pos="3402"/>
                <w:tab w:val="clear" w:pos="8222"/>
              </w:tabs>
              <w:ind w:firstLine="318"/>
              <w:rPr>
                <w:rFonts w:ascii="Times New Roman" w:hAnsi="Times New Roman"/>
                <w:bCs w:val="0"/>
              </w:rPr>
            </w:pPr>
            <w:bookmarkStart w:id="43" w:name="OLE_LINK16"/>
            <w:bookmarkStart w:id="44" w:name="OLE_LINK17"/>
            <w:r w:rsidRPr="00B46F2F">
              <w:rPr>
                <w:rFonts w:ascii="Times New Roman" w:hAnsi="Times New Roman"/>
                <w:bCs w:val="0"/>
              </w:rPr>
              <w:t xml:space="preserve">At 31 December </w:t>
            </w:r>
            <w:r w:rsidR="00E33E74" w:rsidRPr="00B46F2F">
              <w:rPr>
                <w:rFonts w:ascii="Times New Roman" w:hAnsi="Times New Roman"/>
                <w:bCs w:val="0"/>
              </w:rPr>
              <w:t>201</w:t>
            </w:r>
            <w:r w:rsidR="00B836DB">
              <w:rPr>
                <w:rFonts w:ascii="Times New Roman" w:hAnsi="Times New Roman"/>
                <w:bCs w:val="0"/>
              </w:rPr>
              <w:t>8</w:t>
            </w:r>
            <w:r w:rsidR="000A4A71" w:rsidRPr="00B46F2F">
              <w:rPr>
                <w:rFonts w:ascii="Times New Roman" w:hAnsi="Times New Roman"/>
                <w:bCs w:val="0"/>
              </w:rPr>
              <w:t xml:space="preserve"> </w:t>
            </w:r>
            <w:bookmarkEnd w:id="43"/>
            <w:bookmarkEnd w:id="44"/>
            <w:r w:rsidRPr="00B46F2F">
              <w:rPr>
                <w:rFonts w:ascii="Times New Roman" w:hAnsi="Times New Roman"/>
                <w:bCs w:val="0"/>
              </w:rPr>
              <w:t xml:space="preserve">and </w:t>
            </w:r>
            <w:r w:rsidR="009A5D33" w:rsidRPr="00B46F2F">
              <w:rPr>
                <w:rFonts w:ascii="Times New Roman" w:hAnsi="Times New Roman"/>
                <w:bCs w:val="0"/>
              </w:rPr>
              <w:t>201</w:t>
            </w:r>
            <w:r w:rsidR="00B836DB">
              <w:rPr>
                <w:rFonts w:ascii="Times New Roman" w:hAnsi="Times New Roman"/>
                <w:bCs w:val="0"/>
              </w:rPr>
              <w:t>7</w:t>
            </w:r>
          </w:p>
        </w:tc>
        <w:tc>
          <w:tcPr>
            <w:tcW w:w="1417" w:type="dxa"/>
          </w:tcPr>
          <w:p w:rsidR="007A7E93" w:rsidRPr="00B46F2F" w:rsidRDefault="007A7E93" w:rsidP="003B6CEF">
            <w:pPr>
              <w:jc w:val="right"/>
              <w:rPr>
                <w:rFonts w:ascii="Times New Roman" w:hAnsi="Times New Roman"/>
                <w:sz w:val="20"/>
              </w:rPr>
            </w:pPr>
          </w:p>
        </w:tc>
        <w:tc>
          <w:tcPr>
            <w:tcW w:w="1276" w:type="dxa"/>
            <w:tcBorders>
              <w:top w:val="single" w:sz="4" w:space="0" w:color="auto"/>
              <w:bottom w:val="double" w:sz="4" w:space="0" w:color="auto"/>
            </w:tcBorders>
          </w:tcPr>
          <w:p w:rsidR="007A7E93" w:rsidRPr="00B46F2F" w:rsidRDefault="006D303E" w:rsidP="003B6CEF">
            <w:pPr>
              <w:jc w:val="right"/>
              <w:rPr>
                <w:rFonts w:ascii="Times New Roman" w:hAnsi="Times New Roman"/>
                <w:b/>
                <w:sz w:val="20"/>
              </w:rPr>
            </w:pPr>
            <w:r w:rsidRPr="00B46F2F">
              <w:rPr>
                <w:rFonts w:ascii="Times New Roman" w:hAnsi="Times New Roman"/>
                <w:b/>
                <w:sz w:val="20"/>
              </w:rPr>
              <w:t>2</w:t>
            </w:r>
          </w:p>
        </w:tc>
        <w:tc>
          <w:tcPr>
            <w:tcW w:w="284" w:type="dxa"/>
            <w:tcBorders>
              <w:top w:val="single" w:sz="4" w:space="0" w:color="auto"/>
              <w:bottom w:val="double" w:sz="4" w:space="0" w:color="auto"/>
            </w:tcBorders>
          </w:tcPr>
          <w:p w:rsidR="007A7E93" w:rsidRPr="00B46F2F" w:rsidRDefault="007A7E93" w:rsidP="003B6CEF">
            <w:pPr>
              <w:ind w:right="72"/>
              <w:jc w:val="right"/>
              <w:rPr>
                <w:rFonts w:ascii="Times New Roman" w:hAnsi="Times New Roman"/>
                <w:b/>
                <w:sz w:val="20"/>
              </w:rPr>
            </w:pPr>
          </w:p>
        </w:tc>
        <w:tc>
          <w:tcPr>
            <w:tcW w:w="1275" w:type="dxa"/>
            <w:tcBorders>
              <w:top w:val="single" w:sz="4" w:space="0" w:color="auto"/>
              <w:bottom w:val="double" w:sz="4" w:space="0" w:color="auto"/>
            </w:tcBorders>
          </w:tcPr>
          <w:p w:rsidR="007A7E93" w:rsidRPr="00B46F2F" w:rsidRDefault="006D303E" w:rsidP="003B6CEF">
            <w:pPr>
              <w:ind w:right="72"/>
              <w:jc w:val="right"/>
              <w:rPr>
                <w:rFonts w:ascii="Times New Roman" w:hAnsi="Times New Roman"/>
                <w:b/>
                <w:sz w:val="20"/>
              </w:rPr>
            </w:pPr>
            <w:r w:rsidRPr="00B46F2F">
              <w:rPr>
                <w:rFonts w:ascii="Times New Roman" w:hAnsi="Times New Roman"/>
                <w:b/>
                <w:sz w:val="20"/>
              </w:rPr>
              <w:t>2</w:t>
            </w:r>
          </w:p>
        </w:tc>
      </w:tr>
      <w:tr w:rsidR="002D7247" w:rsidRPr="00B46F2F" w:rsidTr="00B74D7C">
        <w:trPr>
          <w:cantSplit/>
          <w:trHeight w:val="173"/>
        </w:trPr>
        <w:tc>
          <w:tcPr>
            <w:tcW w:w="6096" w:type="dxa"/>
          </w:tcPr>
          <w:p w:rsidR="007A7E93" w:rsidRPr="00B46F2F" w:rsidRDefault="007A7E93" w:rsidP="007A7E93">
            <w:pPr>
              <w:pStyle w:val="Heading3"/>
              <w:tabs>
                <w:tab w:val="clear" w:pos="3402"/>
                <w:tab w:val="clear" w:pos="8222"/>
              </w:tabs>
              <w:ind w:firstLine="318"/>
              <w:rPr>
                <w:rFonts w:ascii="Times New Roman" w:hAnsi="Times New Roman"/>
                <w:b w:val="0"/>
                <w:bCs w:val="0"/>
              </w:rPr>
            </w:pPr>
          </w:p>
        </w:tc>
        <w:tc>
          <w:tcPr>
            <w:tcW w:w="1417" w:type="dxa"/>
          </w:tcPr>
          <w:p w:rsidR="007A7E93" w:rsidRPr="00B46F2F" w:rsidRDefault="007A7E93" w:rsidP="003B6CEF">
            <w:pPr>
              <w:jc w:val="right"/>
              <w:rPr>
                <w:rFonts w:ascii="Times New Roman" w:hAnsi="Times New Roman"/>
                <w:sz w:val="20"/>
              </w:rPr>
            </w:pPr>
          </w:p>
        </w:tc>
        <w:tc>
          <w:tcPr>
            <w:tcW w:w="1276" w:type="dxa"/>
            <w:tcBorders>
              <w:top w:val="double" w:sz="4" w:space="0" w:color="auto"/>
            </w:tcBorders>
          </w:tcPr>
          <w:p w:rsidR="007A7E93" w:rsidRPr="00B46F2F" w:rsidRDefault="007A7E93" w:rsidP="003B6CEF">
            <w:pPr>
              <w:jc w:val="right"/>
              <w:rPr>
                <w:rFonts w:ascii="Times New Roman" w:hAnsi="Times New Roman"/>
                <w:sz w:val="20"/>
              </w:rPr>
            </w:pPr>
          </w:p>
        </w:tc>
        <w:tc>
          <w:tcPr>
            <w:tcW w:w="284" w:type="dxa"/>
            <w:tcBorders>
              <w:top w:val="double" w:sz="4" w:space="0" w:color="auto"/>
            </w:tcBorders>
          </w:tcPr>
          <w:p w:rsidR="007A7E93" w:rsidRPr="00B46F2F" w:rsidRDefault="007A7E93" w:rsidP="003B6CEF">
            <w:pPr>
              <w:jc w:val="right"/>
              <w:rPr>
                <w:rFonts w:ascii="Times New Roman" w:hAnsi="Times New Roman"/>
                <w:sz w:val="20"/>
              </w:rPr>
            </w:pPr>
          </w:p>
        </w:tc>
        <w:tc>
          <w:tcPr>
            <w:tcW w:w="1275" w:type="dxa"/>
            <w:tcBorders>
              <w:top w:val="double" w:sz="4" w:space="0" w:color="auto"/>
            </w:tcBorders>
          </w:tcPr>
          <w:p w:rsidR="007A7E93" w:rsidRPr="00B46F2F" w:rsidRDefault="007A7E93" w:rsidP="003B6CEF">
            <w:pPr>
              <w:jc w:val="right"/>
              <w:rPr>
                <w:rFonts w:ascii="Times New Roman" w:hAnsi="Times New Roman"/>
                <w:sz w:val="20"/>
              </w:rPr>
            </w:pPr>
          </w:p>
        </w:tc>
      </w:tr>
      <w:tr w:rsidR="002D7247" w:rsidRPr="00B46F2F" w:rsidTr="00B74D7C">
        <w:trPr>
          <w:cantSplit/>
        </w:trPr>
        <w:tc>
          <w:tcPr>
            <w:tcW w:w="6096" w:type="dxa"/>
          </w:tcPr>
          <w:p w:rsidR="007A7E93" w:rsidRPr="00B46F2F" w:rsidRDefault="007A7E93" w:rsidP="00C87A19">
            <w:pPr>
              <w:pStyle w:val="Heading3"/>
              <w:tabs>
                <w:tab w:val="clear" w:pos="3402"/>
                <w:tab w:val="clear" w:pos="8222"/>
              </w:tabs>
              <w:ind w:left="318"/>
              <w:rPr>
                <w:rFonts w:ascii="Times New Roman" w:hAnsi="Times New Roman"/>
                <w:b w:val="0"/>
                <w:bCs w:val="0"/>
              </w:rPr>
            </w:pPr>
            <w:r w:rsidRPr="00B46F2F">
              <w:rPr>
                <w:rFonts w:ascii="Times New Roman" w:hAnsi="Times New Roman"/>
              </w:rPr>
              <w:t>Redeemable participating preference shares issued</w:t>
            </w:r>
            <w:r w:rsidR="0075060A">
              <w:rPr>
                <w:rFonts w:ascii="Times New Roman" w:hAnsi="Times New Roman"/>
              </w:rPr>
              <w:t xml:space="preserve"> (excluding shares held in treasury)</w:t>
            </w:r>
          </w:p>
        </w:tc>
        <w:tc>
          <w:tcPr>
            <w:tcW w:w="1417" w:type="dxa"/>
          </w:tcPr>
          <w:p w:rsidR="007A7E93" w:rsidRPr="00B46F2F" w:rsidRDefault="007A7E93" w:rsidP="003B6CEF">
            <w:pPr>
              <w:jc w:val="right"/>
              <w:rPr>
                <w:rFonts w:ascii="Times New Roman" w:hAnsi="Times New Roman"/>
                <w:sz w:val="20"/>
              </w:rPr>
            </w:pPr>
          </w:p>
        </w:tc>
        <w:tc>
          <w:tcPr>
            <w:tcW w:w="1276" w:type="dxa"/>
          </w:tcPr>
          <w:p w:rsidR="007A7E93" w:rsidRPr="00B46F2F" w:rsidRDefault="007A7E93" w:rsidP="003B6CEF">
            <w:pPr>
              <w:jc w:val="right"/>
              <w:rPr>
                <w:rFonts w:ascii="Times New Roman" w:hAnsi="Times New Roman"/>
                <w:sz w:val="20"/>
              </w:rPr>
            </w:pPr>
          </w:p>
        </w:tc>
        <w:tc>
          <w:tcPr>
            <w:tcW w:w="284" w:type="dxa"/>
          </w:tcPr>
          <w:p w:rsidR="007A7E93" w:rsidRPr="00B46F2F" w:rsidRDefault="007A7E93" w:rsidP="003B6CEF">
            <w:pPr>
              <w:jc w:val="right"/>
              <w:rPr>
                <w:rFonts w:ascii="Times New Roman" w:hAnsi="Times New Roman"/>
                <w:sz w:val="20"/>
              </w:rPr>
            </w:pPr>
          </w:p>
        </w:tc>
        <w:tc>
          <w:tcPr>
            <w:tcW w:w="1275" w:type="dxa"/>
          </w:tcPr>
          <w:p w:rsidR="007A7E93" w:rsidRPr="00B46F2F" w:rsidRDefault="007A7E93" w:rsidP="003B6CEF">
            <w:pPr>
              <w:jc w:val="right"/>
              <w:rPr>
                <w:rFonts w:ascii="Times New Roman" w:hAnsi="Times New Roman"/>
                <w:sz w:val="20"/>
              </w:rPr>
            </w:pPr>
          </w:p>
        </w:tc>
      </w:tr>
      <w:tr w:rsidR="002D7247" w:rsidRPr="00B46F2F" w:rsidTr="00B74D7C">
        <w:trPr>
          <w:cantSplit/>
        </w:trPr>
        <w:tc>
          <w:tcPr>
            <w:tcW w:w="6096" w:type="dxa"/>
          </w:tcPr>
          <w:p w:rsidR="0034498D" w:rsidRPr="00B46F2F" w:rsidRDefault="0034498D">
            <w:pPr>
              <w:pStyle w:val="Heading3"/>
              <w:tabs>
                <w:tab w:val="clear" w:pos="3402"/>
                <w:tab w:val="clear" w:pos="8222"/>
              </w:tabs>
              <w:ind w:firstLine="318"/>
              <w:rPr>
                <w:rFonts w:ascii="Times New Roman" w:hAnsi="Times New Roman"/>
                <w:b w:val="0"/>
                <w:bCs w:val="0"/>
              </w:rPr>
            </w:pPr>
            <w:r w:rsidRPr="00B46F2F">
              <w:rPr>
                <w:rFonts w:ascii="Times New Roman" w:hAnsi="Times New Roman"/>
                <w:bCs w:val="0"/>
              </w:rPr>
              <w:t>At 31 December 201</w:t>
            </w:r>
            <w:r w:rsidR="00C84D94">
              <w:rPr>
                <w:rFonts w:ascii="Times New Roman" w:hAnsi="Times New Roman"/>
                <w:bCs w:val="0"/>
              </w:rPr>
              <w:t>7</w:t>
            </w:r>
          </w:p>
        </w:tc>
        <w:tc>
          <w:tcPr>
            <w:tcW w:w="1417" w:type="dxa"/>
          </w:tcPr>
          <w:p w:rsidR="0034498D" w:rsidRPr="00B46F2F" w:rsidRDefault="0034498D" w:rsidP="00590B67">
            <w:pPr>
              <w:jc w:val="right"/>
              <w:rPr>
                <w:rFonts w:ascii="Times New Roman" w:hAnsi="Times New Roman"/>
                <w:sz w:val="20"/>
              </w:rPr>
            </w:pPr>
          </w:p>
        </w:tc>
        <w:tc>
          <w:tcPr>
            <w:tcW w:w="1276" w:type="dxa"/>
            <w:vAlign w:val="bottom"/>
          </w:tcPr>
          <w:p w:rsidR="0034498D" w:rsidRPr="00B46F2F" w:rsidRDefault="0034498D">
            <w:pPr>
              <w:jc w:val="right"/>
              <w:rPr>
                <w:rFonts w:ascii="Times New Roman" w:hAnsi="Times New Roman"/>
                <w:b/>
                <w:sz w:val="20"/>
              </w:rPr>
            </w:pPr>
            <w:r w:rsidRPr="00B46F2F">
              <w:rPr>
                <w:rFonts w:ascii="Times New Roman" w:hAnsi="Times New Roman"/>
                <w:b/>
                <w:sz w:val="20"/>
                <w:szCs w:val="20"/>
              </w:rPr>
              <w:t>10</w:t>
            </w:r>
            <w:r>
              <w:rPr>
                <w:rFonts w:ascii="Times New Roman" w:hAnsi="Times New Roman"/>
                <w:b/>
                <w:sz w:val="20"/>
                <w:szCs w:val="20"/>
              </w:rPr>
              <w:t>6</w:t>
            </w:r>
            <w:r w:rsidRPr="00B46F2F">
              <w:rPr>
                <w:rFonts w:ascii="Times New Roman" w:hAnsi="Times New Roman"/>
                <w:b/>
                <w:sz w:val="20"/>
                <w:szCs w:val="20"/>
              </w:rPr>
              <w:t>,</w:t>
            </w:r>
            <w:r w:rsidR="00963D05">
              <w:rPr>
                <w:rFonts w:ascii="Times New Roman" w:hAnsi="Times New Roman"/>
                <w:b/>
                <w:sz w:val="20"/>
                <w:szCs w:val="20"/>
              </w:rPr>
              <w:t>487</w:t>
            </w:r>
            <w:r w:rsidRPr="00B46F2F">
              <w:rPr>
                <w:rFonts w:ascii="Times New Roman" w:hAnsi="Times New Roman"/>
                <w:b/>
                <w:sz w:val="20"/>
                <w:szCs w:val="20"/>
              </w:rPr>
              <w:t>,250</w:t>
            </w:r>
          </w:p>
        </w:tc>
        <w:tc>
          <w:tcPr>
            <w:tcW w:w="284" w:type="dxa"/>
            <w:vAlign w:val="bottom"/>
          </w:tcPr>
          <w:p w:rsidR="0034498D" w:rsidRPr="00B46F2F" w:rsidRDefault="0034498D" w:rsidP="003B01CA">
            <w:pPr>
              <w:ind w:right="72"/>
              <w:jc w:val="right"/>
              <w:rPr>
                <w:rFonts w:ascii="Times New Roman" w:hAnsi="Times New Roman"/>
                <w:b/>
                <w:sz w:val="20"/>
              </w:rPr>
            </w:pPr>
          </w:p>
        </w:tc>
        <w:tc>
          <w:tcPr>
            <w:tcW w:w="1275" w:type="dxa"/>
            <w:vAlign w:val="bottom"/>
          </w:tcPr>
          <w:p w:rsidR="0034498D" w:rsidRPr="00B46F2F" w:rsidRDefault="00C80A3C">
            <w:pPr>
              <w:tabs>
                <w:tab w:val="decimal" w:pos="1336"/>
              </w:tabs>
              <w:ind w:right="-107"/>
              <w:rPr>
                <w:rFonts w:ascii="Times New Roman" w:hAnsi="Times New Roman"/>
                <w:b/>
                <w:sz w:val="20"/>
              </w:rPr>
            </w:pPr>
            <w:r>
              <w:rPr>
                <w:rFonts w:ascii="Times New Roman" w:hAnsi="Times New Roman"/>
                <w:b/>
                <w:sz w:val="20"/>
                <w:szCs w:val="20"/>
              </w:rPr>
              <w:t>49</w:t>
            </w:r>
            <w:r w:rsidRPr="00FE33C3">
              <w:rPr>
                <w:rFonts w:ascii="Times New Roman" w:hAnsi="Times New Roman"/>
                <w:b/>
                <w:sz w:val="20"/>
                <w:szCs w:val="20"/>
              </w:rPr>
              <w:t>,</w:t>
            </w:r>
            <w:r>
              <w:rPr>
                <w:rFonts w:ascii="Times New Roman" w:hAnsi="Times New Roman"/>
                <w:b/>
                <w:sz w:val="20"/>
                <w:szCs w:val="20"/>
              </w:rPr>
              <w:t>704</w:t>
            </w:r>
            <w:r w:rsidRPr="00FE33C3">
              <w:rPr>
                <w:rFonts w:ascii="Times New Roman" w:hAnsi="Times New Roman"/>
                <w:b/>
                <w:sz w:val="20"/>
                <w:szCs w:val="20"/>
              </w:rPr>
              <w:t>,</w:t>
            </w:r>
            <w:r>
              <w:rPr>
                <w:rFonts w:ascii="Times New Roman" w:hAnsi="Times New Roman"/>
                <w:b/>
                <w:sz w:val="20"/>
                <w:szCs w:val="20"/>
              </w:rPr>
              <w:t>412</w:t>
            </w:r>
            <w:r w:rsidRPr="00B74D7C" w:rsidDel="0034498D">
              <w:rPr>
                <w:rFonts w:ascii="Times New Roman" w:hAnsi="Times New Roman"/>
                <w:b/>
                <w:sz w:val="20"/>
                <w:szCs w:val="20"/>
              </w:rPr>
              <w:t xml:space="preserve"> </w:t>
            </w:r>
            <w:r w:rsidR="0019125D">
              <w:rPr>
                <w:rFonts w:ascii="Times New Roman" w:hAnsi="Times New Roman"/>
                <w:b/>
                <w:sz w:val="20"/>
                <w:szCs w:val="20"/>
              </w:rPr>
              <w:t xml:space="preserve">  </w:t>
            </w:r>
            <w:r w:rsidR="0034498D">
              <w:rPr>
                <w:rFonts w:ascii="Times New Roman" w:hAnsi="Times New Roman"/>
                <w:b/>
                <w:sz w:val="20"/>
                <w:szCs w:val="20"/>
              </w:rPr>
              <w:t>2</w:t>
            </w:r>
          </w:p>
        </w:tc>
      </w:tr>
      <w:tr w:rsidR="0034498D" w:rsidRPr="00B46F2F" w:rsidTr="00B74D7C">
        <w:trPr>
          <w:cantSplit/>
        </w:trPr>
        <w:tc>
          <w:tcPr>
            <w:tcW w:w="7513" w:type="dxa"/>
            <w:gridSpan w:val="2"/>
            <w:vAlign w:val="bottom"/>
          </w:tcPr>
          <w:p w:rsidR="0034498D" w:rsidRPr="00B46F2F" w:rsidRDefault="00B836DB" w:rsidP="00D22C00">
            <w:pPr>
              <w:ind w:left="318"/>
              <w:rPr>
                <w:rFonts w:ascii="Times New Roman" w:hAnsi="Times New Roman"/>
                <w:sz w:val="20"/>
                <w:szCs w:val="20"/>
              </w:rPr>
            </w:pPr>
            <w:r>
              <w:rPr>
                <w:rFonts w:ascii="Times New Roman" w:hAnsi="Times New Roman"/>
                <w:color w:val="000000"/>
                <w:sz w:val="20"/>
                <w:szCs w:val="20"/>
              </w:rPr>
              <w:t>Movement for the year</w:t>
            </w:r>
          </w:p>
        </w:tc>
        <w:tc>
          <w:tcPr>
            <w:tcW w:w="1276" w:type="dxa"/>
            <w:tcBorders>
              <w:bottom w:val="single" w:sz="4" w:space="0" w:color="auto"/>
            </w:tcBorders>
            <w:vAlign w:val="bottom"/>
          </w:tcPr>
          <w:p w:rsidR="0034498D" w:rsidRPr="00B46F2F" w:rsidRDefault="00B836DB" w:rsidP="003B01CA">
            <w:pPr>
              <w:jc w:val="right"/>
              <w:rPr>
                <w:rFonts w:ascii="Times New Roman" w:hAnsi="Times New Roman"/>
                <w:sz w:val="20"/>
                <w:szCs w:val="20"/>
              </w:rPr>
            </w:pPr>
            <w:r>
              <w:rPr>
                <w:rFonts w:ascii="Times New Roman" w:hAnsi="Times New Roman"/>
                <w:sz w:val="20"/>
                <w:szCs w:val="20"/>
              </w:rPr>
              <w:t>-</w:t>
            </w:r>
          </w:p>
        </w:tc>
        <w:tc>
          <w:tcPr>
            <w:tcW w:w="284" w:type="dxa"/>
            <w:tcBorders>
              <w:bottom w:val="single" w:sz="4" w:space="0" w:color="auto"/>
            </w:tcBorders>
            <w:vAlign w:val="bottom"/>
          </w:tcPr>
          <w:p w:rsidR="0034498D" w:rsidRPr="00B46F2F" w:rsidRDefault="0034498D" w:rsidP="00460791">
            <w:pPr>
              <w:ind w:right="72"/>
              <w:jc w:val="right"/>
              <w:rPr>
                <w:rFonts w:ascii="Times New Roman" w:hAnsi="Times New Roman"/>
                <w:b/>
                <w:sz w:val="20"/>
              </w:rPr>
            </w:pPr>
          </w:p>
        </w:tc>
        <w:tc>
          <w:tcPr>
            <w:tcW w:w="1275" w:type="dxa"/>
            <w:tcBorders>
              <w:bottom w:val="single" w:sz="4" w:space="0" w:color="auto"/>
            </w:tcBorders>
            <w:vAlign w:val="bottom"/>
          </w:tcPr>
          <w:p w:rsidR="0034498D" w:rsidRDefault="00B836DB" w:rsidP="000B7E86">
            <w:pPr>
              <w:jc w:val="right"/>
            </w:pPr>
            <w:r>
              <w:rPr>
                <w:rFonts w:ascii="Times New Roman" w:hAnsi="Times New Roman"/>
                <w:sz w:val="20"/>
                <w:szCs w:val="20"/>
              </w:rPr>
              <w:t>-</w:t>
            </w:r>
          </w:p>
        </w:tc>
      </w:tr>
      <w:tr w:rsidR="0034498D" w:rsidRPr="00B46F2F" w:rsidTr="00B74D7C">
        <w:trPr>
          <w:cantSplit/>
        </w:trPr>
        <w:tc>
          <w:tcPr>
            <w:tcW w:w="7513" w:type="dxa"/>
            <w:gridSpan w:val="2"/>
            <w:vAlign w:val="bottom"/>
          </w:tcPr>
          <w:p w:rsidR="0034498D" w:rsidRPr="00AC5183" w:rsidRDefault="0034498D">
            <w:pPr>
              <w:ind w:left="318"/>
              <w:rPr>
                <w:rFonts w:ascii="Times New Roman" w:hAnsi="Times New Roman"/>
                <w:b/>
                <w:sz w:val="20"/>
                <w:szCs w:val="20"/>
              </w:rPr>
            </w:pPr>
            <w:r w:rsidRPr="00AC5183">
              <w:rPr>
                <w:rFonts w:ascii="Times New Roman" w:hAnsi="Times New Roman"/>
                <w:b/>
                <w:color w:val="000000"/>
                <w:sz w:val="20"/>
                <w:szCs w:val="20"/>
              </w:rPr>
              <w:t>At 31 December 201</w:t>
            </w:r>
            <w:r w:rsidR="00C84D94" w:rsidRPr="00AC5183">
              <w:rPr>
                <w:rFonts w:ascii="Times New Roman" w:hAnsi="Times New Roman"/>
                <w:b/>
                <w:color w:val="000000"/>
                <w:sz w:val="20"/>
                <w:szCs w:val="20"/>
              </w:rPr>
              <w:t>8</w:t>
            </w:r>
          </w:p>
        </w:tc>
        <w:tc>
          <w:tcPr>
            <w:tcW w:w="1276" w:type="dxa"/>
            <w:tcBorders>
              <w:top w:val="single" w:sz="4" w:space="0" w:color="auto"/>
              <w:bottom w:val="single" w:sz="4" w:space="0" w:color="auto"/>
            </w:tcBorders>
            <w:vAlign w:val="bottom"/>
          </w:tcPr>
          <w:p w:rsidR="0034498D" w:rsidRPr="00B74D7C" w:rsidRDefault="0034498D" w:rsidP="003B01CA">
            <w:pPr>
              <w:jc w:val="right"/>
              <w:rPr>
                <w:rFonts w:ascii="Times New Roman" w:hAnsi="Times New Roman"/>
                <w:b/>
                <w:sz w:val="20"/>
                <w:szCs w:val="20"/>
              </w:rPr>
            </w:pPr>
            <w:r w:rsidRPr="0034498D">
              <w:rPr>
                <w:rFonts w:ascii="Times New Roman" w:hAnsi="Times New Roman"/>
                <w:b/>
                <w:sz w:val="20"/>
                <w:szCs w:val="20"/>
              </w:rPr>
              <w:t>106,487,250</w:t>
            </w:r>
            <w:r w:rsidRPr="00B74D7C" w:rsidDel="0034498D">
              <w:rPr>
                <w:rFonts w:ascii="Times New Roman" w:hAnsi="Times New Roman"/>
                <w:b/>
                <w:sz w:val="20"/>
                <w:szCs w:val="20"/>
              </w:rPr>
              <w:t xml:space="preserve"> </w:t>
            </w:r>
          </w:p>
        </w:tc>
        <w:tc>
          <w:tcPr>
            <w:tcW w:w="284" w:type="dxa"/>
            <w:tcBorders>
              <w:top w:val="single" w:sz="4" w:space="0" w:color="auto"/>
              <w:bottom w:val="single" w:sz="4" w:space="0" w:color="auto"/>
            </w:tcBorders>
            <w:vAlign w:val="bottom"/>
          </w:tcPr>
          <w:p w:rsidR="0034498D" w:rsidRPr="002F6D25" w:rsidRDefault="0034498D" w:rsidP="00460791">
            <w:pPr>
              <w:ind w:right="72"/>
              <w:jc w:val="right"/>
              <w:rPr>
                <w:rFonts w:ascii="Times New Roman" w:hAnsi="Times New Roman"/>
                <w:b/>
                <w:sz w:val="20"/>
                <w:szCs w:val="20"/>
              </w:rPr>
            </w:pPr>
          </w:p>
        </w:tc>
        <w:tc>
          <w:tcPr>
            <w:tcW w:w="1275" w:type="dxa"/>
            <w:tcBorders>
              <w:top w:val="single" w:sz="4" w:space="0" w:color="auto"/>
              <w:bottom w:val="single" w:sz="4" w:space="0" w:color="auto"/>
            </w:tcBorders>
            <w:vAlign w:val="bottom"/>
          </w:tcPr>
          <w:p w:rsidR="0034498D" w:rsidRPr="00B74D7C" w:rsidRDefault="0034498D" w:rsidP="000B7E86">
            <w:pPr>
              <w:jc w:val="right"/>
              <w:rPr>
                <w:rFonts w:ascii="Times New Roman" w:hAnsi="Times New Roman"/>
                <w:b/>
                <w:sz w:val="20"/>
                <w:szCs w:val="20"/>
              </w:rPr>
            </w:pPr>
            <w:bookmarkStart w:id="45" w:name="OLE_LINK44"/>
            <w:bookmarkStart w:id="46" w:name="OLE_LINK45"/>
            <w:r>
              <w:rPr>
                <w:rFonts w:ascii="Times New Roman" w:hAnsi="Times New Roman"/>
                <w:b/>
                <w:sz w:val="20"/>
                <w:szCs w:val="20"/>
              </w:rPr>
              <w:t>49</w:t>
            </w:r>
            <w:r w:rsidRPr="00FE33C3">
              <w:rPr>
                <w:rFonts w:ascii="Times New Roman" w:hAnsi="Times New Roman"/>
                <w:b/>
                <w:sz w:val="20"/>
                <w:szCs w:val="20"/>
              </w:rPr>
              <w:t>,</w:t>
            </w:r>
            <w:r>
              <w:rPr>
                <w:rFonts w:ascii="Times New Roman" w:hAnsi="Times New Roman"/>
                <w:b/>
                <w:sz w:val="20"/>
                <w:szCs w:val="20"/>
              </w:rPr>
              <w:t>704</w:t>
            </w:r>
            <w:r w:rsidRPr="00FE33C3">
              <w:rPr>
                <w:rFonts w:ascii="Times New Roman" w:hAnsi="Times New Roman"/>
                <w:b/>
                <w:sz w:val="20"/>
                <w:szCs w:val="20"/>
              </w:rPr>
              <w:t>,</w:t>
            </w:r>
            <w:r>
              <w:rPr>
                <w:rFonts w:ascii="Times New Roman" w:hAnsi="Times New Roman"/>
                <w:b/>
                <w:sz w:val="20"/>
                <w:szCs w:val="20"/>
              </w:rPr>
              <w:t>412</w:t>
            </w:r>
            <w:r w:rsidRPr="00B74D7C" w:rsidDel="0034498D">
              <w:rPr>
                <w:rFonts w:ascii="Times New Roman" w:hAnsi="Times New Roman"/>
                <w:b/>
                <w:sz w:val="20"/>
                <w:szCs w:val="20"/>
              </w:rPr>
              <w:t xml:space="preserve"> </w:t>
            </w:r>
            <w:bookmarkEnd w:id="45"/>
            <w:bookmarkEnd w:id="46"/>
          </w:p>
        </w:tc>
      </w:tr>
      <w:tr w:rsidR="0034498D" w:rsidRPr="00B46F2F" w:rsidTr="00B74D7C">
        <w:trPr>
          <w:cantSplit/>
          <w:trHeight w:val="280"/>
        </w:trPr>
        <w:tc>
          <w:tcPr>
            <w:tcW w:w="7513" w:type="dxa"/>
            <w:gridSpan w:val="2"/>
            <w:vAlign w:val="bottom"/>
          </w:tcPr>
          <w:p w:rsidR="0034498D" w:rsidRPr="00697042" w:rsidRDefault="0034498D" w:rsidP="00D22C00">
            <w:pPr>
              <w:ind w:left="318"/>
              <w:rPr>
                <w:rFonts w:ascii="Times New Roman" w:hAnsi="Times New Roman"/>
                <w:b/>
                <w:sz w:val="20"/>
                <w:szCs w:val="20"/>
              </w:rPr>
            </w:pPr>
            <w:r w:rsidRPr="00697042">
              <w:rPr>
                <w:rFonts w:ascii="Times New Roman" w:hAnsi="Times New Roman"/>
                <w:b/>
                <w:color w:val="000000"/>
                <w:sz w:val="20"/>
                <w:szCs w:val="20"/>
              </w:rPr>
              <w:t>Total</w:t>
            </w:r>
            <w:r w:rsidRPr="00697042" w:rsidDel="0034498D">
              <w:rPr>
                <w:rFonts w:ascii="Times New Roman" w:hAnsi="Times New Roman"/>
                <w:b/>
                <w:color w:val="000000"/>
                <w:sz w:val="20"/>
                <w:szCs w:val="20"/>
              </w:rPr>
              <w:t xml:space="preserve"> </w:t>
            </w:r>
          </w:p>
        </w:tc>
        <w:tc>
          <w:tcPr>
            <w:tcW w:w="1276" w:type="dxa"/>
            <w:vAlign w:val="bottom"/>
          </w:tcPr>
          <w:p w:rsidR="0034498D" w:rsidRPr="00B46F2F" w:rsidRDefault="0034498D" w:rsidP="00C93018">
            <w:pPr>
              <w:jc w:val="right"/>
              <w:rPr>
                <w:rFonts w:ascii="Times New Roman" w:hAnsi="Times New Roman"/>
                <w:sz w:val="20"/>
                <w:szCs w:val="20"/>
              </w:rPr>
            </w:pPr>
          </w:p>
        </w:tc>
        <w:tc>
          <w:tcPr>
            <w:tcW w:w="284" w:type="dxa"/>
            <w:vAlign w:val="bottom"/>
          </w:tcPr>
          <w:p w:rsidR="0034498D" w:rsidRPr="00B46F2F" w:rsidRDefault="0034498D" w:rsidP="003B01CA">
            <w:pPr>
              <w:ind w:right="72"/>
              <w:jc w:val="right"/>
              <w:rPr>
                <w:rFonts w:ascii="Times New Roman" w:hAnsi="Times New Roman"/>
                <w:b/>
                <w:sz w:val="20"/>
              </w:rPr>
            </w:pPr>
          </w:p>
        </w:tc>
        <w:tc>
          <w:tcPr>
            <w:tcW w:w="1275" w:type="dxa"/>
            <w:tcBorders>
              <w:bottom w:val="double" w:sz="4" w:space="0" w:color="auto"/>
            </w:tcBorders>
            <w:vAlign w:val="bottom"/>
          </w:tcPr>
          <w:p w:rsidR="0034498D" w:rsidRDefault="00D228F8">
            <w:pPr>
              <w:jc w:val="right"/>
            </w:pPr>
            <w:r>
              <w:rPr>
                <w:rFonts w:ascii="Times New Roman" w:hAnsi="Times New Roman"/>
                <w:b/>
                <w:sz w:val="20"/>
                <w:szCs w:val="20"/>
              </w:rPr>
              <w:t>49</w:t>
            </w:r>
            <w:r w:rsidR="0034498D" w:rsidRPr="00B46F2F">
              <w:rPr>
                <w:rFonts w:ascii="Times New Roman" w:hAnsi="Times New Roman"/>
                <w:b/>
                <w:sz w:val="20"/>
                <w:szCs w:val="20"/>
              </w:rPr>
              <w:t>,</w:t>
            </w:r>
            <w:r>
              <w:rPr>
                <w:rFonts w:ascii="Times New Roman" w:hAnsi="Times New Roman"/>
                <w:b/>
                <w:sz w:val="20"/>
                <w:szCs w:val="20"/>
              </w:rPr>
              <w:t>704</w:t>
            </w:r>
            <w:r w:rsidR="0034498D" w:rsidRPr="00B46F2F">
              <w:rPr>
                <w:rFonts w:ascii="Times New Roman" w:hAnsi="Times New Roman"/>
                <w:b/>
                <w:sz w:val="20"/>
                <w:szCs w:val="20"/>
              </w:rPr>
              <w:t>,</w:t>
            </w:r>
            <w:r w:rsidR="0034498D">
              <w:rPr>
                <w:rFonts w:ascii="Times New Roman" w:hAnsi="Times New Roman"/>
                <w:b/>
                <w:sz w:val="20"/>
                <w:szCs w:val="20"/>
              </w:rPr>
              <w:t>414</w:t>
            </w:r>
          </w:p>
        </w:tc>
      </w:tr>
    </w:tbl>
    <w:p w:rsidR="00585D7A" w:rsidRPr="009170B8" w:rsidRDefault="00585D7A" w:rsidP="003B6CEF">
      <w:pPr>
        <w:rPr>
          <w:rFonts w:ascii="Times New Roman" w:hAnsi="Times New Roman"/>
        </w:rPr>
      </w:pPr>
    </w:p>
    <w:p w:rsidR="00061B90" w:rsidRPr="0046678C" w:rsidRDefault="003B6CEF" w:rsidP="0046678C">
      <w:pPr>
        <w:pStyle w:val="Heading1"/>
        <w:ind w:left="284"/>
        <w:jc w:val="both"/>
        <w:rPr>
          <w:rFonts w:ascii="Times New Roman" w:hAnsi="Times New Roman"/>
          <w:b w:val="0"/>
        </w:rPr>
      </w:pPr>
      <w:r w:rsidRPr="009170B8">
        <w:rPr>
          <w:rFonts w:ascii="Times New Roman" w:hAnsi="Times New Roman"/>
          <w:b w:val="0"/>
          <w:bCs w:val="0"/>
          <w:sz w:val="20"/>
        </w:rPr>
        <w:t>The holders of redeemable participating preference shares are entitled to receive in proportion to their holdings, all of the revenue profits of the Fund (including accumulated revenue reserves)</w:t>
      </w:r>
      <w:r w:rsidRPr="009170B8">
        <w:rPr>
          <w:rFonts w:ascii="Times New Roman" w:hAnsi="Times New Roman"/>
          <w:b w:val="0"/>
          <w:bCs w:val="0"/>
          <w:sz w:val="20"/>
          <w:szCs w:val="20"/>
        </w:rPr>
        <w:t>.</w:t>
      </w:r>
      <w:r w:rsidR="0008270C" w:rsidRPr="009170B8">
        <w:rPr>
          <w:rFonts w:ascii="Times New Roman" w:hAnsi="Times New Roman"/>
          <w:sz w:val="24"/>
        </w:rPr>
        <w:t xml:space="preserve"> </w:t>
      </w:r>
    </w:p>
    <w:p w:rsidR="006B2C86" w:rsidRDefault="006B2C86" w:rsidP="00F52563">
      <w:pPr>
        <w:pStyle w:val="BodyText"/>
        <w:tabs>
          <w:tab w:val="clear" w:pos="3402"/>
          <w:tab w:val="clear" w:pos="8222"/>
        </w:tabs>
        <w:ind w:left="284"/>
        <w:rPr>
          <w:rFonts w:ascii="Times New Roman" w:hAnsi="Times New Roman"/>
        </w:rPr>
      </w:pPr>
    </w:p>
    <w:p w:rsidR="006B2C86" w:rsidRPr="009170B8" w:rsidRDefault="006B2C86" w:rsidP="006B2C86">
      <w:pPr>
        <w:pStyle w:val="BodyText"/>
        <w:tabs>
          <w:tab w:val="clear" w:pos="3402"/>
          <w:tab w:val="clear" w:pos="8222"/>
        </w:tabs>
        <w:ind w:left="284"/>
        <w:rPr>
          <w:rFonts w:ascii="Times New Roman" w:hAnsi="Times New Roman"/>
        </w:rPr>
      </w:pPr>
      <w:r w:rsidRPr="009170B8">
        <w:rPr>
          <w:rFonts w:ascii="Times New Roman" w:hAnsi="Times New Roman"/>
        </w:rPr>
        <w:t>Each redeemable participating preference shareholder is entitled to one vote for each share held, provided all amounts payable in respect of that share have been paid.</w:t>
      </w:r>
    </w:p>
    <w:p w:rsidR="006B2C86" w:rsidRDefault="006B2C86" w:rsidP="006B2C86">
      <w:pPr>
        <w:pStyle w:val="Heading1"/>
        <w:ind w:left="284"/>
        <w:jc w:val="left"/>
        <w:rPr>
          <w:rFonts w:ascii="Times New Roman" w:hAnsi="Times New Roman"/>
          <w:b w:val="0"/>
          <w:bCs w:val="0"/>
          <w:sz w:val="20"/>
        </w:rPr>
      </w:pPr>
    </w:p>
    <w:p w:rsidR="006B2C86" w:rsidRPr="00E5676A" w:rsidRDefault="006B2C86" w:rsidP="006B2C86">
      <w:pPr>
        <w:pStyle w:val="BodyText"/>
        <w:tabs>
          <w:tab w:val="clear" w:pos="3402"/>
          <w:tab w:val="clear" w:pos="8222"/>
        </w:tabs>
        <w:ind w:left="284"/>
        <w:rPr>
          <w:rFonts w:ascii="Times New Roman" w:hAnsi="Times New Roman"/>
        </w:rPr>
      </w:pPr>
      <w:r w:rsidRPr="00590B67">
        <w:rPr>
          <w:rFonts w:ascii="Times New Roman" w:hAnsi="Times New Roman"/>
        </w:rPr>
        <w:t>Management shares are non-redeemable, have no right in respect of the accrued entitlement, and have no right to participate in the assets of the Fund on a winding-up.  In all other respects</w:t>
      </w:r>
      <w:r w:rsidR="007E6005">
        <w:rPr>
          <w:rFonts w:ascii="Times New Roman" w:hAnsi="Times New Roman"/>
        </w:rPr>
        <w:t>,</w:t>
      </w:r>
      <w:r w:rsidRPr="00590B67">
        <w:rPr>
          <w:rFonts w:ascii="Times New Roman" w:hAnsi="Times New Roman"/>
        </w:rPr>
        <w:t xml:space="preserve"> the management shares have the same rights and restrictions as redeemable participating preference shares.  Each management share entitles the holder to one vote for each share held.</w:t>
      </w:r>
    </w:p>
    <w:p w:rsidR="006B2C86" w:rsidRDefault="006B2C86" w:rsidP="00F52563">
      <w:pPr>
        <w:pStyle w:val="BodyText"/>
        <w:tabs>
          <w:tab w:val="clear" w:pos="3402"/>
          <w:tab w:val="clear" w:pos="8222"/>
        </w:tabs>
        <w:ind w:left="284"/>
        <w:rPr>
          <w:rFonts w:ascii="Times New Roman" w:hAnsi="Times New Roman"/>
        </w:rPr>
      </w:pPr>
    </w:p>
    <w:p w:rsidR="00F52563" w:rsidRPr="009170B8" w:rsidRDefault="00F52563" w:rsidP="00F52563">
      <w:pPr>
        <w:pStyle w:val="BodyText"/>
        <w:tabs>
          <w:tab w:val="clear" w:pos="3402"/>
          <w:tab w:val="clear" w:pos="8222"/>
        </w:tabs>
        <w:ind w:left="284"/>
        <w:rPr>
          <w:rFonts w:ascii="Times New Roman" w:hAnsi="Times New Roman"/>
        </w:rPr>
      </w:pPr>
      <w:r w:rsidRPr="009170B8">
        <w:rPr>
          <w:rFonts w:ascii="Times New Roman" w:hAnsi="Times New Roman"/>
        </w:rPr>
        <w:t xml:space="preserve">Redeemable participating preference shares are redeemed at the absolute discretion of the directors.  Since redemption is at the discretion of the directors, in accordance with the provisions of IAS 32, the redeemable participating preference shares are classified as equity.  The Fund will not give effect to redemption requests in respect of more than 25 </w:t>
      </w:r>
      <w:r w:rsidR="00601C95" w:rsidRPr="009170B8">
        <w:rPr>
          <w:rFonts w:ascii="Times New Roman" w:hAnsi="Times New Roman"/>
        </w:rPr>
        <w:t>per cent.</w:t>
      </w:r>
      <w:r w:rsidRPr="009170B8">
        <w:rPr>
          <w:rFonts w:ascii="Times New Roman" w:hAnsi="Times New Roman"/>
        </w:rPr>
        <w:t xml:space="preserve"> of the shares then in issue, or such lesser </w:t>
      </w:r>
      <w:r w:rsidR="006D4895" w:rsidRPr="009170B8">
        <w:rPr>
          <w:rFonts w:ascii="Times New Roman" w:hAnsi="Times New Roman"/>
        </w:rPr>
        <w:t>percentage</w:t>
      </w:r>
      <w:r w:rsidRPr="009170B8">
        <w:rPr>
          <w:rFonts w:ascii="Times New Roman" w:hAnsi="Times New Roman"/>
        </w:rPr>
        <w:t xml:space="preserve"> as the directors may decide.</w:t>
      </w:r>
    </w:p>
    <w:p w:rsidR="00D708E2" w:rsidRPr="00F57753" w:rsidRDefault="00D708E2" w:rsidP="00F52563">
      <w:pPr>
        <w:pStyle w:val="BodyText"/>
        <w:tabs>
          <w:tab w:val="clear" w:pos="3402"/>
          <w:tab w:val="clear" w:pos="8222"/>
        </w:tabs>
        <w:ind w:left="284"/>
        <w:rPr>
          <w:rFonts w:ascii="Times New Roman" w:hAnsi="Times New Roman"/>
          <w:i/>
        </w:rPr>
      </w:pPr>
    </w:p>
    <w:p w:rsidR="004E7ACE" w:rsidRDefault="004E7ACE" w:rsidP="004E7ACE">
      <w:pPr>
        <w:pStyle w:val="BodyText"/>
        <w:tabs>
          <w:tab w:val="clear" w:pos="3402"/>
          <w:tab w:val="clear" w:pos="8222"/>
        </w:tabs>
        <w:ind w:left="284"/>
        <w:rPr>
          <w:rFonts w:ascii="Times New Roman" w:hAnsi="Times New Roman"/>
        </w:rPr>
      </w:pPr>
      <w:r w:rsidRPr="00B46F2F">
        <w:rPr>
          <w:rFonts w:ascii="Times New Roman" w:hAnsi="Times New Roman"/>
        </w:rPr>
        <w:t xml:space="preserve">At </w:t>
      </w:r>
      <w:r>
        <w:rPr>
          <w:rFonts w:ascii="Times New Roman" w:hAnsi="Times New Roman"/>
        </w:rPr>
        <w:t xml:space="preserve">the </w:t>
      </w:r>
      <w:r w:rsidRPr="00B46F2F">
        <w:rPr>
          <w:rFonts w:ascii="Times New Roman" w:hAnsi="Times New Roman"/>
        </w:rPr>
        <w:t>year end</w:t>
      </w:r>
      <w:r w:rsidR="0084306F">
        <w:rPr>
          <w:rFonts w:ascii="Times New Roman" w:hAnsi="Times New Roman"/>
        </w:rPr>
        <w:t>,</w:t>
      </w:r>
      <w:r w:rsidRPr="00B46F2F">
        <w:rPr>
          <w:rFonts w:ascii="Times New Roman" w:hAnsi="Times New Roman"/>
        </w:rPr>
        <w:t xml:space="preserve"> there were </w:t>
      </w:r>
      <w:r w:rsidR="00CA2BE5" w:rsidRPr="00B46F2F">
        <w:rPr>
          <w:rFonts w:ascii="Times New Roman" w:hAnsi="Times New Roman"/>
        </w:rPr>
        <w:t>1</w:t>
      </w:r>
      <w:r w:rsidR="002F6D25">
        <w:rPr>
          <w:rFonts w:ascii="Times New Roman" w:hAnsi="Times New Roman"/>
        </w:rPr>
        <w:t>8</w:t>
      </w:r>
      <w:r w:rsidR="00CA2BE5" w:rsidRPr="00B46F2F">
        <w:rPr>
          <w:rFonts w:ascii="Times New Roman" w:hAnsi="Times New Roman"/>
        </w:rPr>
        <w:t>,</w:t>
      </w:r>
      <w:r w:rsidR="002F6D25">
        <w:rPr>
          <w:rFonts w:ascii="Times New Roman" w:hAnsi="Times New Roman"/>
        </w:rPr>
        <w:t>19</w:t>
      </w:r>
      <w:r w:rsidR="00CA2BE5">
        <w:rPr>
          <w:rFonts w:ascii="Times New Roman" w:hAnsi="Times New Roman"/>
        </w:rPr>
        <w:t>5</w:t>
      </w:r>
      <w:r w:rsidR="00CA2BE5" w:rsidRPr="00B46F2F">
        <w:rPr>
          <w:rFonts w:ascii="Times New Roman" w:hAnsi="Times New Roman"/>
        </w:rPr>
        <w:t>,000</w:t>
      </w:r>
      <w:r w:rsidRPr="00B46F2F">
        <w:rPr>
          <w:rFonts w:ascii="Times New Roman" w:hAnsi="Times New Roman"/>
        </w:rPr>
        <w:t xml:space="preserve"> (31 December 201</w:t>
      </w:r>
      <w:r w:rsidR="00C84D94">
        <w:rPr>
          <w:rFonts w:ascii="Times New Roman" w:hAnsi="Times New Roman"/>
        </w:rPr>
        <w:t>7</w:t>
      </w:r>
      <w:r w:rsidRPr="00B46F2F">
        <w:rPr>
          <w:rFonts w:ascii="Times New Roman" w:hAnsi="Times New Roman"/>
        </w:rPr>
        <w:t xml:space="preserve">: </w:t>
      </w:r>
      <w:bookmarkStart w:id="47" w:name="OLE_LINK27"/>
      <w:r w:rsidR="00C84D94" w:rsidRPr="00B46F2F">
        <w:rPr>
          <w:rFonts w:ascii="Times New Roman" w:hAnsi="Times New Roman"/>
        </w:rPr>
        <w:t>1</w:t>
      </w:r>
      <w:r w:rsidR="00C84D94">
        <w:rPr>
          <w:rFonts w:ascii="Times New Roman" w:hAnsi="Times New Roman"/>
        </w:rPr>
        <w:t>8</w:t>
      </w:r>
      <w:r w:rsidR="00C84D94" w:rsidRPr="00B46F2F">
        <w:rPr>
          <w:rFonts w:ascii="Times New Roman" w:hAnsi="Times New Roman"/>
        </w:rPr>
        <w:t>,</w:t>
      </w:r>
      <w:r w:rsidR="00C84D94">
        <w:rPr>
          <w:rFonts w:ascii="Times New Roman" w:hAnsi="Times New Roman"/>
        </w:rPr>
        <w:t>195</w:t>
      </w:r>
      <w:r w:rsidR="00C84D94" w:rsidRPr="00B46F2F">
        <w:rPr>
          <w:rFonts w:ascii="Times New Roman" w:hAnsi="Times New Roman"/>
        </w:rPr>
        <w:t>,000</w:t>
      </w:r>
      <w:bookmarkEnd w:id="47"/>
      <w:r w:rsidRPr="00B46F2F">
        <w:rPr>
          <w:rFonts w:ascii="Times New Roman" w:hAnsi="Times New Roman"/>
        </w:rPr>
        <w:t>) treasury shares in issue. Treasury shares have no value and no voting rights.</w:t>
      </w:r>
    </w:p>
    <w:p w:rsidR="004E7ACE" w:rsidRPr="009170B8" w:rsidRDefault="004E7ACE" w:rsidP="004E7ACE">
      <w:pPr>
        <w:pStyle w:val="BodyText"/>
        <w:tabs>
          <w:tab w:val="clear" w:pos="3402"/>
          <w:tab w:val="clear" w:pos="8222"/>
        </w:tabs>
        <w:ind w:left="284"/>
        <w:rPr>
          <w:rFonts w:ascii="Times New Roman" w:hAnsi="Times New Roman"/>
        </w:rPr>
      </w:pPr>
    </w:p>
    <w:p w:rsidR="00F57753" w:rsidRPr="00F57753" w:rsidRDefault="00F57753" w:rsidP="00F52563">
      <w:pPr>
        <w:pStyle w:val="BodyText"/>
        <w:tabs>
          <w:tab w:val="clear" w:pos="3402"/>
          <w:tab w:val="clear" w:pos="8222"/>
        </w:tabs>
        <w:ind w:left="284"/>
        <w:rPr>
          <w:rFonts w:ascii="Times New Roman" w:hAnsi="Times New Roman"/>
          <w:i/>
        </w:rPr>
      </w:pPr>
      <w:r w:rsidRPr="00F57753">
        <w:rPr>
          <w:rFonts w:ascii="Times New Roman" w:hAnsi="Times New Roman"/>
          <w:i/>
        </w:rPr>
        <w:t>FCA regulation of ‘non-mainstream pooled investments</w:t>
      </w:r>
      <w:r w:rsidR="007E6005">
        <w:rPr>
          <w:rFonts w:ascii="Times New Roman" w:hAnsi="Times New Roman"/>
          <w:i/>
        </w:rPr>
        <w:t>’</w:t>
      </w:r>
    </w:p>
    <w:p w:rsidR="004E7ACE" w:rsidRPr="00A03A56" w:rsidRDefault="004E7ACE" w:rsidP="004E7ACE">
      <w:pPr>
        <w:spacing w:line="240" w:lineRule="atLeast"/>
        <w:ind w:left="284"/>
        <w:jc w:val="both"/>
        <w:rPr>
          <w:rFonts w:ascii="Times New Roman" w:hAnsi="Times New Roman"/>
          <w:sz w:val="20"/>
          <w:szCs w:val="20"/>
        </w:rPr>
      </w:pPr>
      <w:r w:rsidRPr="00A03A56">
        <w:rPr>
          <w:rFonts w:ascii="Times New Roman" w:hAnsi="Times New Roman"/>
          <w:sz w:val="20"/>
          <w:szCs w:val="20"/>
        </w:rPr>
        <w:t xml:space="preserve">On 1 January 2014, the </w:t>
      </w:r>
      <w:r>
        <w:rPr>
          <w:rFonts w:ascii="Times New Roman" w:hAnsi="Times New Roman"/>
          <w:sz w:val="20"/>
          <w:szCs w:val="20"/>
        </w:rPr>
        <w:t xml:space="preserve">UK’s </w:t>
      </w:r>
      <w:r w:rsidRPr="00A03A56">
        <w:rPr>
          <w:rFonts w:ascii="Times New Roman" w:hAnsi="Times New Roman"/>
          <w:sz w:val="20"/>
          <w:szCs w:val="20"/>
        </w:rPr>
        <w:t>F</w:t>
      </w:r>
      <w:r>
        <w:rPr>
          <w:rFonts w:ascii="Times New Roman" w:hAnsi="Times New Roman"/>
          <w:sz w:val="20"/>
          <w:szCs w:val="20"/>
        </w:rPr>
        <w:t xml:space="preserve">inancial </w:t>
      </w:r>
      <w:r w:rsidRPr="00A03A56">
        <w:rPr>
          <w:rFonts w:ascii="Times New Roman" w:hAnsi="Times New Roman"/>
          <w:sz w:val="20"/>
          <w:szCs w:val="20"/>
        </w:rPr>
        <w:t>C</w:t>
      </w:r>
      <w:r>
        <w:rPr>
          <w:rFonts w:ascii="Times New Roman" w:hAnsi="Times New Roman"/>
          <w:sz w:val="20"/>
          <w:szCs w:val="20"/>
        </w:rPr>
        <w:t xml:space="preserve">onduct Authority (the “FCA”) </w:t>
      </w:r>
      <w:r w:rsidRPr="00A03A56">
        <w:rPr>
          <w:rFonts w:ascii="Times New Roman" w:hAnsi="Times New Roman"/>
          <w:sz w:val="20"/>
          <w:szCs w:val="20"/>
        </w:rPr>
        <w:t>introduced rules relating to the restrictions on the retail distribution of unregulated collective investment schemes and close substitutes (non-mainstream pooled investments). UK investment trusts are excluded from these restrictions, as are other “excluded securities” as defined by the FCA.</w:t>
      </w:r>
    </w:p>
    <w:p w:rsidR="004E7ACE" w:rsidRPr="00A03A56" w:rsidRDefault="004E7ACE" w:rsidP="004E7ACE">
      <w:pPr>
        <w:spacing w:line="240" w:lineRule="atLeast"/>
        <w:ind w:left="284"/>
        <w:jc w:val="both"/>
        <w:rPr>
          <w:rFonts w:ascii="Times New Roman" w:hAnsi="Times New Roman"/>
          <w:sz w:val="20"/>
          <w:szCs w:val="20"/>
        </w:rPr>
      </w:pPr>
    </w:p>
    <w:p w:rsidR="004C7FC4" w:rsidRPr="009170B8" w:rsidRDefault="004E7ACE" w:rsidP="00E5676A">
      <w:pPr>
        <w:spacing w:line="240" w:lineRule="atLeast"/>
        <w:ind w:left="284"/>
        <w:jc w:val="both"/>
        <w:rPr>
          <w:rFonts w:ascii="Times New Roman" w:hAnsi="Times New Roman"/>
          <w:b/>
        </w:rPr>
      </w:pPr>
      <w:r>
        <w:rPr>
          <w:rFonts w:ascii="Times New Roman" w:hAnsi="Times New Roman"/>
          <w:sz w:val="20"/>
          <w:szCs w:val="20"/>
        </w:rPr>
        <w:t>As reported in last year’s annual report</w:t>
      </w:r>
      <w:r w:rsidRPr="00A03A56">
        <w:rPr>
          <w:rFonts w:ascii="Times New Roman" w:hAnsi="Times New Roman"/>
          <w:sz w:val="20"/>
          <w:szCs w:val="20"/>
        </w:rPr>
        <w:t>, the Board believes that the Company’s shares are “excluded securities” under the FCA’s definitions of such and, as a result, the FCA’s restrictions on retail distribution do not apply.  T</w:t>
      </w:r>
      <w:r>
        <w:rPr>
          <w:rFonts w:ascii="Times New Roman" w:hAnsi="Times New Roman"/>
          <w:sz w:val="20"/>
          <w:szCs w:val="20"/>
        </w:rPr>
        <w:t>his status is reviewed regularly and t</w:t>
      </w:r>
      <w:r w:rsidRPr="00A03A56">
        <w:rPr>
          <w:rFonts w:ascii="Times New Roman" w:hAnsi="Times New Roman"/>
          <w:sz w:val="20"/>
          <w:szCs w:val="20"/>
        </w:rPr>
        <w:t>he Board intends to conduct the Company’s affairs to retain such status for the foreseeable future</w:t>
      </w:r>
      <w:r>
        <w:rPr>
          <w:rFonts w:ascii="Arial" w:hAnsi="Arial" w:cs="Arial"/>
          <w:color w:val="000000"/>
          <w:sz w:val="20"/>
          <w:szCs w:val="20"/>
        </w:rPr>
        <w:t>.</w:t>
      </w:r>
    </w:p>
    <w:p w:rsidR="004C7FC4" w:rsidRPr="008A279D" w:rsidRDefault="004C7FC4" w:rsidP="008A279D">
      <w:pPr>
        <w:pStyle w:val="BodyText"/>
        <w:tabs>
          <w:tab w:val="clear" w:pos="3402"/>
          <w:tab w:val="clear" w:pos="8222"/>
        </w:tabs>
        <w:ind w:left="284"/>
        <w:rPr>
          <w:rFonts w:ascii="Times New Roman" w:hAnsi="Times New Roman"/>
        </w:rPr>
      </w:pPr>
    </w:p>
    <w:p w:rsidR="00156F20" w:rsidRPr="00B46F2F" w:rsidRDefault="00DE60AD" w:rsidP="00156F20">
      <w:pPr>
        <w:ind w:left="284" w:hanging="284"/>
        <w:rPr>
          <w:rFonts w:ascii="Times New Roman" w:hAnsi="Times New Roman"/>
          <w:b/>
          <w:bCs/>
          <w:sz w:val="20"/>
        </w:rPr>
      </w:pPr>
      <w:r w:rsidRPr="00B46F2F">
        <w:rPr>
          <w:rFonts w:ascii="Times New Roman" w:hAnsi="Times New Roman"/>
          <w:b/>
          <w:bCs/>
          <w:sz w:val="20"/>
        </w:rPr>
        <w:t>7</w:t>
      </w:r>
      <w:r w:rsidR="00156F20" w:rsidRPr="00B46F2F">
        <w:rPr>
          <w:rFonts w:ascii="Times New Roman" w:hAnsi="Times New Roman"/>
          <w:b/>
          <w:bCs/>
          <w:sz w:val="20"/>
        </w:rPr>
        <w:t>.</w:t>
      </w:r>
      <w:r w:rsidR="00156F20" w:rsidRPr="00B46F2F">
        <w:rPr>
          <w:rFonts w:ascii="Times New Roman" w:hAnsi="Times New Roman"/>
          <w:b/>
          <w:bCs/>
          <w:sz w:val="20"/>
        </w:rPr>
        <w:tab/>
        <w:t>Net asset value per redeemable participating preference share</w:t>
      </w:r>
    </w:p>
    <w:p w:rsidR="00156F20" w:rsidRPr="00B46F2F" w:rsidRDefault="00156F20" w:rsidP="00156F20">
      <w:pPr>
        <w:ind w:left="284"/>
        <w:jc w:val="both"/>
        <w:rPr>
          <w:rFonts w:ascii="Times New Roman" w:hAnsi="Times New Roman"/>
          <w:sz w:val="20"/>
        </w:rPr>
      </w:pPr>
      <w:r w:rsidRPr="00B46F2F">
        <w:rPr>
          <w:rFonts w:ascii="Times New Roman" w:hAnsi="Times New Roman"/>
          <w:sz w:val="20"/>
        </w:rPr>
        <w:t xml:space="preserve">The </w:t>
      </w:r>
      <w:r w:rsidR="00606E35" w:rsidRPr="00B46F2F">
        <w:rPr>
          <w:rFonts w:ascii="Times New Roman" w:hAnsi="Times New Roman"/>
          <w:sz w:val="20"/>
        </w:rPr>
        <w:t>NAV</w:t>
      </w:r>
      <w:r w:rsidRPr="00B46F2F">
        <w:rPr>
          <w:rFonts w:ascii="Times New Roman" w:hAnsi="Times New Roman"/>
          <w:sz w:val="20"/>
        </w:rPr>
        <w:t xml:space="preserve"> per share of </w:t>
      </w:r>
      <w:r w:rsidR="007720F6">
        <w:rPr>
          <w:rFonts w:ascii="Times New Roman" w:hAnsi="Times New Roman"/>
          <w:sz w:val="20"/>
        </w:rPr>
        <w:t>95</w:t>
      </w:r>
      <w:r w:rsidR="00C20B9A">
        <w:rPr>
          <w:rFonts w:ascii="Times New Roman" w:hAnsi="Times New Roman"/>
          <w:sz w:val="20"/>
        </w:rPr>
        <w:t>.</w:t>
      </w:r>
      <w:r w:rsidR="007720F6">
        <w:rPr>
          <w:rFonts w:ascii="Times New Roman" w:hAnsi="Times New Roman"/>
          <w:sz w:val="20"/>
        </w:rPr>
        <w:t>94</w:t>
      </w:r>
      <w:r w:rsidR="00C20B9A">
        <w:rPr>
          <w:rFonts w:ascii="Times New Roman" w:hAnsi="Times New Roman"/>
          <w:sz w:val="20"/>
        </w:rPr>
        <w:t xml:space="preserve">p </w:t>
      </w:r>
      <w:r w:rsidRPr="00B46F2F">
        <w:rPr>
          <w:rFonts w:ascii="Times New Roman" w:hAnsi="Times New Roman"/>
          <w:sz w:val="20"/>
        </w:rPr>
        <w:t xml:space="preserve">(31 December </w:t>
      </w:r>
      <w:r w:rsidR="009E7FD7" w:rsidRPr="00B46F2F">
        <w:rPr>
          <w:rFonts w:ascii="Times New Roman" w:hAnsi="Times New Roman"/>
          <w:sz w:val="20"/>
        </w:rPr>
        <w:t>201</w:t>
      </w:r>
      <w:r w:rsidR="00C84D94">
        <w:rPr>
          <w:rFonts w:ascii="Times New Roman" w:hAnsi="Times New Roman"/>
          <w:sz w:val="20"/>
        </w:rPr>
        <w:t>7</w:t>
      </w:r>
      <w:r w:rsidRPr="00B46F2F">
        <w:rPr>
          <w:rFonts w:ascii="Times New Roman" w:hAnsi="Times New Roman"/>
          <w:sz w:val="20"/>
        </w:rPr>
        <w:t xml:space="preserve">: </w:t>
      </w:r>
      <w:r w:rsidR="00C84D94">
        <w:rPr>
          <w:rFonts w:ascii="Times New Roman" w:hAnsi="Times New Roman"/>
          <w:sz w:val="20"/>
        </w:rPr>
        <w:t>114.79p</w:t>
      </w:r>
      <w:r w:rsidRPr="00B46F2F">
        <w:rPr>
          <w:rFonts w:ascii="Times New Roman" w:hAnsi="Times New Roman"/>
          <w:sz w:val="20"/>
        </w:rPr>
        <w:t>) is based on the net assets at the year end of £</w:t>
      </w:r>
      <w:r w:rsidR="00C20B9A">
        <w:rPr>
          <w:rFonts w:ascii="Times New Roman" w:hAnsi="Times New Roman"/>
          <w:sz w:val="20"/>
        </w:rPr>
        <w:t>1</w:t>
      </w:r>
      <w:r w:rsidR="007720F6">
        <w:rPr>
          <w:rFonts w:ascii="Times New Roman" w:hAnsi="Times New Roman"/>
          <w:sz w:val="20"/>
        </w:rPr>
        <w:t>0</w:t>
      </w:r>
      <w:r w:rsidR="002F6D25">
        <w:rPr>
          <w:rFonts w:ascii="Times New Roman" w:hAnsi="Times New Roman"/>
          <w:sz w:val="20"/>
        </w:rPr>
        <w:t>2</w:t>
      </w:r>
      <w:r w:rsidR="00C20B9A">
        <w:rPr>
          <w:rFonts w:ascii="Times New Roman" w:hAnsi="Times New Roman"/>
          <w:sz w:val="20"/>
        </w:rPr>
        <w:t>,</w:t>
      </w:r>
      <w:r w:rsidR="007720F6">
        <w:rPr>
          <w:rFonts w:ascii="Times New Roman" w:hAnsi="Times New Roman"/>
          <w:sz w:val="20"/>
        </w:rPr>
        <w:t>168</w:t>
      </w:r>
      <w:r w:rsidR="00C20B9A">
        <w:rPr>
          <w:rFonts w:ascii="Times New Roman" w:hAnsi="Times New Roman"/>
          <w:sz w:val="20"/>
        </w:rPr>
        <w:t>,</w:t>
      </w:r>
      <w:r w:rsidR="007720F6">
        <w:rPr>
          <w:rFonts w:ascii="Times New Roman" w:hAnsi="Times New Roman"/>
          <w:sz w:val="20"/>
        </w:rPr>
        <w:t>949</w:t>
      </w:r>
      <w:r w:rsidRPr="00B46F2F">
        <w:rPr>
          <w:rFonts w:ascii="Times New Roman" w:hAnsi="Times New Roman"/>
          <w:sz w:val="20"/>
        </w:rPr>
        <w:t xml:space="preserve"> (31 December </w:t>
      </w:r>
      <w:r w:rsidR="009E7FD7" w:rsidRPr="00B46F2F">
        <w:rPr>
          <w:rFonts w:ascii="Times New Roman" w:hAnsi="Times New Roman"/>
          <w:sz w:val="20"/>
        </w:rPr>
        <w:t>201</w:t>
      </w:r>
      <w:r w:rsidR="00C84D94">
        <w:rPr>
          <w:rFonts w:ascii="Times New Roman" w:hAnsi="Times New Roman"/>
          <w:sz w:val="20"/>
        </w:rPr>
        <w:t>7</w:t>
      </w:r>
      <w:r w:rsidRPr="00B46F2F">
        <w:rPr>
          <w:rFonts w:ascii="Times New Roman" w:hAnsi="Times New Roman"/>
          <w:sz w:val="20"/>
        </w:rPr>
        <w:t xml:space="preserve">: </w:t>
      </w:r>
      <w:r w:rsidR="00C84D94" w:rsidRPr="00B46F2F">
        <w:rPr>
          <w:rFonts w:ascii="Times New Roman" w:hAnsi="Times New Roman"/>
          <w:sz w:val="20"/>
        </w:rPr>
        <w:t>£</w:t>
      </w:r>
      <w:r w:rsidR="00C84D94">
        <w:rPr>
          <w:rFonts w:ascii="Times New Roman" w:hAnsi="Times New Roman"/>
          <w:sz w:val="20"/>
        </w:rPr>
        <w:t>122,231,530</w:t>
      </w:r>
      <w:r w:rsidRPr="00B46F2F">
        <w:rPr>
          <w:rFonts w:ascii="Times New Roman" w:hAnsi="Times New Roman"/>
          <w:sz w:val="20"/>
        </w:rPr>
        <w:t xml:space="preserve">) and on </w:t>
      </w:r>
      <w:r w:rsidR="00C20B9A">
        <w:rPr>
          <w:rFonts w:ascii="Times New Roman" w:hAnsi="Times New Roman"/>
          <w:sz w:val="20"/>
        </w:rPr>
        <w:t>106,</w:t>
      </w:r>
      <w:r w:rsidR="002F6D25">
        <w:rPr>
          <w:rFonts w:ascii="Times New Roman" w:hAnsi="Times New Roman"/>
          <w:sz w:val="20"/>
        </w:rPr>
        <w:t>487</w:t>
      </w:r>
      <w:r w:rsidR="00C20B9A">
        <w:rPr>
          <w:rFonts w:ascii="Times New Roman" w:hAnsi="Times New Roman"/>
          <w:sz w:val="20"/>
        </w:rPr>
        <w:t>,250</w:t>
      </w:r>
      <w:r w:rsidRPr="00B46F2F">
        <w:rPr>
          <w:rFonts w:ascii="Times New Roman" w:hAnsi="Times New Roman"/>
          <w:sz w:val="20"/>
        </w:rPr>
        <w:t xml:space="preserve"> redeemable participating preference shares, being the number of redeemable participating preference share in issue at the year end (31 December </w:t>
      </w:r>
      <w:r w:rsidR="009E7FD7" w:rsidRPr="00B46F2F">
        <w:rPr>
          <w:rFonts w:ascii="Times New Roman" w:hAnsi="Times New Roman"/>
          <w:sz w:val="20"/>
        </w:rPr>
        <w:t>201</w:t>
      </w:r>
      <w:r w:rsidR="00C84D94">
        <w:rPr>
          <w:rFonts w:ascii="Times New Roman" w:hAnsi="Times New Roman"/>
          <w:sz w:val="20"/>
        </w:rPr>
        <w:t>7</w:t>
      </w:r>
      <w:r w:rsidRPr="00B46F2F">
        <w:rPr>
          <w:rFonts w:ascii="Times New Roman" w:hAnsi="Times New Roman"/>
          <w:sz w:val="20"/>
        </w:rPr>
        <w:t xml:space="preserve">: </w:t>
      </w:r>
      <w:r w:rsidR="00977C98" w:rsidRPr="00B46F2F">
        <w:rPr>
          <w:rFonts w:ascii="Times New Roman" w:hAnsi="Times New Roman"/>
          <w:sz w:val="20"/>
        </w:rPr>
        <w:t>10</w:t>
      </w:r>
      <w:r w:rsidR="002F6D25">
        <w:rPr>
          <w:rFonts w:ascii="Times New Roman" w:hAnsi="Times New Roman"/>
          <w:sz w:val="20"/>
        </w:rPr>
        <w:t>6</w:t>
      </w:r>
      <w:r w:rsidR="00977C98" w:rsidRPr="00B46F2F">
        <w:rPr>
          <w:rFonts w:ascii="Times New Roman" w:hAnsi="Times New Roman"/>
          <w:sz w:val="20"/>
        </w:rPr>
        <w:t>,</w:t>
      </w:r>
      <w:r w:rsidR="00963D05">
        <w:rPr>
          <w:rFonts w:ascii="Times New Roman" w:hAnsi="Times New Roman"/>
          <w:sz w:val="20"/>
        </w:rPr>
        <w:t>487</w:t>
      </w:r>
      <w:r w:rsidR="00977C98" w:rsidRPr="00B46F2F">
        <w:rPr>
          <w:rFonts w:ascii="Times New Roman" w:hAnsi="Times New Roman"/>
          <w:sz w:val="20"/>
        </w:rPr>
        <w:t>,</w:t>
      </w:r>
      <w:r w:rsidR="002F6D25">
        <w:rPr>
          <w:rFonts w:ascii="Times New Roman" w:hAnsi="Times New Roman"/>
          <w:sz w:val="20"/>
        </w:rPr>
        <w:t>2</w:t>
      </w:r>
      <w:r w:rsidR="00977C98" w:rsidRPr="00B46F2F">
        <w:rPr>
          <w:rFonts w:ascii="Times New Roman" w:hAnsi="Times New Roman"/>
          <w:sz w:val="20"/>
        </w:rPr>
        <w:t xml:space="preserve">50 </w:t>
      </w:r>
      <w:r w:rsidRPr="00B46F2F">
        <w:rPr>
          <w:rFonts w:ascii="Times New Roman" w:hAnsi="Times New Roman"/>
          <w:sz w:val="20"/>
        </w:rPr>
        <w:t xml:space="preserve">shares). </w:t>
      </w:r>
    </w:p>
    <w:p w:rsidR="00831C7C" w:rsidRDefault="00831C7C" w:rsidP="00156F20">
      <w:pPr>
        <w:ind w:left="284"/>
        <w:jc w:val="both"/>
        <w:rPr>
          <w:rFonts w:ascii="Times New Roman" w:hAnsi="Times New Roman"/>
          <w:sz w:val="20"/>
        </w:rPr>
      </w:pPr>
    </w:p>
    <w:p w:rsidR="00DA5E13" w:rsidRDefault="00DA5E13" w:rsidP="00156F20">
      <w:pPr>
        <w:ind w:left="284"/>
        <w:jc w:val="both"/>
        <w:rPr>
          <w:rFonts w:ascii="Times New Roman" w:hAnsi="Times New Roman"/>
          <w:sz w:val="20"/>
        </w:rPr>
      </w:pPr>
    </w:p>
    <w:p w:rsidR="00DA5E13" w:rsidRDefault="00DA5E13" w:rsidP="00156F20">
      <w:pPr>
        <w:ind w:left="284"/>
        <w:jc w:val="both"/>
        <w:rPr>
          <w:rFonts w:ascii="Times New Roman" w:hAnsi="Times New Roman"/>
          <w:sz w:val="20"/>
        </w:rPr>
      </w:pPr>
    </w:p>
    <w:p w:rsidR="00DA5E13" w:rsidRDefault="00DA5E13" w:rsidP="00156F20">
      <w:pPr>
        <w:ind w:left="284"/>
        <w:jc w:val="both"/>
        <w:rPr>
          <w:rFonts w:ascii="Times New Roman" w:hAnsi="Times New Roman"/>
          <w:sz w:val="20"/>
        </w:rPr>
      </w:pPr>
    </w:p>
    <w:p w:rsidR="00DA5E13" w:rsidRDefault="00DA5E13" w:rsidP="00156F20">
      <w:pPr>
        <w:ind w:left="284"/>
        <w:jc w:val="both"/>
        <w:rPr>
          <w:rFonts w:ascii="Times New Roman" w:hAnsi="Times New Roman"/>
          <w:sz w:val="20"/>
        </w:rPr>
      </w:pPr>
    </w:p>
    <w:p w:rsidR="00DA5E13" w:rsidRDefault="00DA5E13" w:rsidP="00156F20">
      <w:pPr>
        <w:ind w:left="284"/>
        <w:jc w:val="both"/>
        <w:rPr>
          <w:rFonts w:ascii="Times New Roman" w:hAnsi="Times New Roman"/>
          <w:sz w:val="20"/>
        </w:rPr>
      </w:pPr>
    </w:p>
    <w:p w:rsidR="00DA5E13" w:rsidRDefault="00DA5E13" w:rsidP="00156F20">
      <w:pPr>
        <w:ind w:left="284"/>
        <w:jc w:val="both"/>
        <w:rPr>
          <w:rFonts w:ascii="Times New Roman" w:hAnsi="Times New Roman"/>
          <w:sz w:val="20"/>
        </w:rPr>
      </w:pPr>
    </w:p>
    <w:p w:rsidR="00DA5E13" w:rsidRDefault="00DA5E13" w:rsidP="00156F20">
      <w:pPr>
        <w:ind w:left="284"/>
        <w:jc w:val="both"/>
        <w:rPr>
          <w:rFonts w:ascii="Times New Roman" w:hAnsi="Times New Roman"/>
          <w:sz w:val="20"/>
        </w:rPr>
      </w:pPr>
    </w:p>
    <w:p w:rsidR="00DA5E13" w:rsidRPr="00B46F2F" w:rsidRDefault="00DA5E13" w:rsidP="00DA5E13">
      <w:pPr>
        <w:rPr>
          <w:rFonts w:ascii="Times New Roman" w:hAnsi="Times New Roman"/>
          <w:b/>
        </w:rPr>
      </w:pPr>
      <w:r w:rsidRPr="00B46F2F">
        <w:rPr>
          <w:rFonts w:ascii="Times New Roman" w:hAnsi="Times New Roman"/>
          <w:b/>
        </w:rPr>
        <w:t>Notes to the Financial Statements</w:t>
      </w:r>
      <w:r>
        <w:rPr>
          <w:rFonts w:ascii="Times New Roman" w:hAnsi="Times New Roman"/>
          <w:b/>
        </w:rPr>
        <w:t xml:space="preserve"> of the Fund</w:t>
      </w:r>
      <w:r w:rsidRPr="00B46F2F">
        <w:rPr>
          <w:rFonts w:ascii="Times New Roman" w:hAnsi="Times New Roman"/>
          <w:b/>
        </w:rPr>
        <w:t xml:space="preserve"> (continued)</w:t>
      </w:r>
    </w:p>
    <w:p w:rsidR="00DA5E13" w:rsidRPr="00B46F2F" w:rsidRDefault="00DA5E13" w:rsidP="00DA5E13">
      <w:pPr>
        <w:rPr>
          <w:rFonts w:ascii="Times New Roman" w:hAnsi="Times New Roman"/>
          <w:b/>
          <w:sz w:val="20"/>
          <w:szCs w:val="20"/>
        </w:rPr>
      </w:pPr>
      <w:r w:rsidRPr="00B46F2F">
        <w:rPr>
          <w:rFonts w:ascii="Times New Roman" w:hAnsi="Times New Roman"/>
          <w:b/>
          <w:sz w:val="20"/>
          <w:szCs w:val="20"/>
        </w:rPr>
        <w:t>For the year ended 31 December 201</w:t>
      </w:r>
      <w:r>
        <w:rPr>
          <w:rFonts w:ascii="Times New Roman" w:hAnsi="Times New Roman"/>
          <w:b/>
          <w:sz w:val="20"/>
          <w:szCs w:val="20"/>
        </w:rPr>
        <w:t>8</w:t>
      </w:r>
      <w:r w:rsidRPr="00B46F2F">
        <w:rPr>
          <w:rFonts w:ascii="Times New Roman" w:hAnsi="Times New Roman"/>
          <w:b/>
          <w:sz w:val="20"/>
          <w:szCs w:val="20"/>
        </w:rPr>
        <w:t xml:space="preserve"> </w:t>
      </w:r>
    </w:p>
    <w:p w:rsidR="00DA5E13" w:rsidRPr="00B46F2F" w:rsidRDefault="00DA5E13" w:rsidP="00156F20">
      <w:pPr>
        <w:ind w:left="284"/>
        <w:jc w:val="both"/>
        <w:rPr>
          <w:rFonts w:ascii="Times New Roman" w:hAnsi="Times New Roman"/>
          <w:sz w:val="20"/>
        </w:rPr>
      </w:pPr>
    </w:p>
    <w:p w:rsidR="003B6CEF" w:rsidRDefault="00DE60AD" w:rsidP="00E54387">
      <w:pPr>
        <w:ind w:left="426" w:hanging="426"/>
        <w:rPr>
          <w:rFonts w:ascii="Times New Roman" w:hAnsi="Times New Roman"/>
        </w:rPr>
      </w:pPr>
      <w:r w:rsidRPr="00D11480">
        <w:rPr>
          <w:rFonts w:ascii="Times New Roman" w:hAnsi="Times New Roman"/>
          <w:b/>
          <w:sz w:val="20"/>
          <w:szCs w:val="20"/>
        </w:rPr>
        <w:t>8</w:t>
      </w:r>
      <w:r w:rsidR="009F7422">
        <w:rPr>
          <w:rFonts w:ascii="Times New Roman" w:hAnsi="Times New Roman"/>
          <w:b/>
          <w:sz w:val="20"/>
          <w:szCs w:val="20"/>
        </w:rPr>
        <w:t xml:space="preserve">. </w:t>
      </w:r>
      <w:r w:rsidR="003B6CEF" w:rsidRPr="00AD47CC">
        <w:rPr>
          <w:rFonts w:ascii="Times New Roman" w:hAnsi="Times New Roman"/>
          <w:b/>
          <w:sz w:val="20"/>
          <w:szCs w:val="20"/>
        </w:rPr>
        <w:t>Dividend</w:t>
      </w:r>
      <w:r w:rsidR="003B6CEF" w:rsidRPr="00B46F2F">
        <w:rPr>
          <w:rFonts w:ascii="Times New Roman" w:hAnsi="Times New Roman"/>
          <w:b/>
          <w:bCs/>
          <w:sz w:val="20"/>
        </w:rPr>
        <w:t xml:space="preserve"> and interest income</w:t>
      </w:r>
      <w:r w:rsidR="003B6CEF" w:rsidRPr="00B46F2F">
        <w:rPr>
          <w:rFonts w:ascii="Times New Roman" w:hAnsi="Times New Roman"/>
        </w:rPr>
        <w:t xml:space="preserve">  </w:t>
      </w:r>
    </w:p>
    <w:tbl>
      <w:tblPr>
        <w:tblpPr w:leftFromText="180" w:rightFromText="180" w:vertAnchor="text" w:horzAnchor="margin" w:tblpY="286"/>
        <w:tblW w:w="0" w:type="auto"/>
        <w:tblLayout w:type="fixed"/>
        <w:tblLook w:val="0000" w:firstRow="0" w:lastRow="0" w:firstColumn="0" w:lastColumn="0" w:noHBand="0" w:noVBand="0"/>
      </w:tblPr>
      <w:tblGrid>
        <w:gridCol w:w="4503"/>
        <w:gridCol w:w="1559"/>
        <w:gridCol w:w="1417"/>
        <w:gridCol w:w="1315"/>
        <w:gridCol w:w="236"/>
        <w:gridCol w:w="1312"/>
      </w:tblGrid>
      <w:tr w:rsidR="00831C7C" w:rsidRPr="00B46F2F" w:rsidTr="00831C7C">
        <w:trPr>
          <w:cantSplit/>
          <w:trHeight w:val="270"/>
        </w:trPr>
        <w:tc>
          <w:tcPr>
            <w:tcW w:w="4503" w:type="dxa"/>
            <w:vMerge w:val="restart"/>
          </w:tcPr>
          <w:p w:rsidR="00831C7C" w:rsidRPr="00B46F2F" w:rsidRDefault="00831C7C" w:rsidP="00831C7C">
            <w:pPr>
              <w:pStyle w:val="Heading3"/>
              <w:tabs>
                <w:tab w:val="clear" w:pos="3402"/>
                <w:tab w:val="clear" w:pos="8222"/>
              </w:tabs>
              <w:rPr>
                <w:rFonts w:ascii="Times New Roman" w:hAnsi="Times New Roman"/>
              </w:rPr>
            </w:pPr>
          </w:p>
          <w:p w:rsidR="00831C7C" w:rsidRPr="00B46F2F" w:rsidRDefault="00831C7C" w:rsidP="00831C7C"/>
          <w:p w:rsidR="00831C7C" w:rsidRPr="00B46F2F" w:rsidRDefault="00831C7C" w:rsidP="00831C7C"/>
        </w:tc>
        <w:tc>
          <w:tcPr>
            <w:tcW w:w="1559" w:type="dxa"/>
            <w:vAlign w:val="bottom"/>
          </w:tcPr>
          <w:p w:rsidR="00831C7C" w:rsidRPr="00B46F2F" w:rsidRDefault="00831C7C" w:rsidP="00831C7C">
            <w:pPr>
              <w:jc w:val="center"/>
              <w:rPr>
                <w:rFonts w:ascii="Times New Roman" w:hAnsi="Times New Roman"/>
                <w:b/>
                <w:bCs/>
                <w:sz w:val="20"/>
              </w:rPr>
            </w:pPr>
          </w:p>
        </w:tc>
        <w:tc>
          <w:tcPr>
            <w:tcW w:w="1417" w:type="dxa"/>
            <w:vAlign w:val="bottom"/>
          </w:tcPr>
          <w:p w:rsidR="00831C7C" w:rsidRPr="00B46F2F" w:rsidRDefault="00831C7C" w:rsidP="004100A9">
            <w:pPr>
              <w:jc w:val="right"/>
              <w:rPr>
                <w:rFonts w:ascii="Times New Roman" w:hAnsi="Times New Roman"/>
                <w:b/>
                <w:bCs/>
                <w:sz w:val="20"/>
              </w:rPr>
            </w:pPr>
            <w:r w:rsidRPr="00B46F2F">
              <w:rPr>
                <w:rFonts w:ascii="Times New Roman" w:hAnsi="Times New Roman"/>
                <w:b/>
                <w:bCs/>
                <w:sz w:val="20"/>
              </w:rPr>
              <w:t>201</w:t>
            </w:r>
            <w:r w:rsidR="00C84D94">
              <w:rPr>
                <w:rFonts w:ascii="Times New Roman" w:hAnsi="Times New Roman"/>
                <w:b/>
                <w:bCs/>
                <w:sz w:val="20"/>
              </w:rPr>
              <w:t>8</w:t>
            </w:r>
          </w:p>
        </w:tc>
        <w:tc>
          <w:tcPr>
            <w:tcW w:w="1315" w:type="dxa"/>
            <w:vAlign w:val="bottom"/>
          </w:tcPr>
          <w:p w:rsidR="00831C7C" w:rsidRPr="00B46F2F" w:rsidRDefault="00831C7C" w:rsidP="00831C7C">
            <w:pPr>
              <w:jc w:val="center"/>
              <w:rPr>
                <w:rFonts w:ascii="Times New Roman" w:hAnsi="Times New Roman"/>
                <w:b/>
                <w:bCs/>
                <w:sz w:val="20"/>
              </w:rPr>
            </w:pPr>
          </w:p>
        </w:tc>
        <w:tc>
          <w:tcPr>
            <w:tcW w:w="236" w:type="dxa"/>
            <w:vAlign w:val="bottom"/>
          </w:tcPr>
          <w:p w:rsidR="00831C7C" w:rsidRPr="00B46F2F" w:rsidRDefault="00831C7C" w:rsidP="00831C7C">
            <w:pPr>
              <w:jc w:val="right"/>
              <w:rPr>
                <w:rFonts w:ascii="Times New Roman" w:hAnsi="Times New Roman"/>
                <w:sz w:val="20"/>
              </w:rPr>
            </w:pPr>
          </w:p>
        </w:tc>
        <w:tc>
          <w:tcPr>
            <w:tcW w:w="1312" w:type="dxa"/>
            <w:vAlign w:val="bottom"/>
          </w:tcPr>
          <w:p w:rsidR="00831C7C" w:rsidRPr="00B46F2F" w:rsidRDefault="00831C7C" w:rsidP="00C02E54">
            <w:pPr>
              <w:jc w:val="right"/>
              <w:rPr>
                <w:rFonts w:ascii="Times New Roman" w:hAnsi="Times New Roman"/>
                <w:b/>
                <w:bCs/>
                <w:sz w:val="20"/>
              </w:rPr>
            </w:pPr>
            <w:r w:rsidRPr="00B46F2F">
              <w:rPr>
                <w:rFonts w:ascii="Times New Roman" w:hAnsi="Times New Roman"/>
                <w:b/>
                <w:bCs/>
                <w:sz w:val="20"/>
              </w:rPr>
              <w:t>201</w:t>
            </w:r>
            <w:r w:rsidR="00C84D94">
              <w:rPr>
                <w:rFonts w:ascii="Times New Roman" w:hAnsi="Times New Roman"/>
                <w:b/>
                <w:bCs/>
                <w:sz w:val="20"/>
              </w:rPr>
              <w:t>7</w:t>
            </w:r>
          </w:p>
        </w:tc>
      </w:tr>
      <w:tr w:rsidR="00831C7C" w:rsidRPr="00B46F2F" w:rsidTr="00831C7C">
        <w:trPr>
          <w:cantSplit/>
          <w:trHeight w:val="480"/>
        </w:trPr>
        <w:tc>
          <w:tcPr>
            <w:tcW w:w="4503" w:type="dxa"/>
            <w:vMerge/>
          </w:tcPr>
          <w:p w:rsidR="00831C7C" w:rsidRPr="00B46F2F" w:rsidRDefault="00831C7C" w:rsidP="00831C7C">
            <w:pPr>
              <w:pStyle w:val="Heading3"/>
              <w:tabs>
                <w:tab w:val="clear" w:pos="3402"/>
                <w:tab w:val="clear" w:pos="8222"/>
              </w:tabs>
              <w:rPr>
                <w:rFonts w:ascii="Times New Roman" w:hAnsi="Times New Roman"/>
              </w:rPr>
            </w:pPr>
          </w:p>
        </w:tc>
        <w:tc>
          <w:tcPr>
            <w:tcW w:w="1559" w:type="dxa"/>
            <w:vAlign w:val="bottom"/>
          </w:tcPr>
          <w:p w:rsidR="00831C7C" w:rsidRPr="00B46F2F" w:rsidRDefault="00831C7C" w:rsidP="00831C7C">
            <w:pPr>
              <w:pStyle w:val="Heading3"/>
              <w:tabs>
                <w:tab w:val="clear" w:pos="3402"/>
                <w:tab w:val="clear" w:pos="8222"/>
              </w:tabs>
              <w:jc w:val="right"/>
              <w:rPr>
                <w:rFonts w:ascii="Times New Roman" w:hAnsi="Times New Roman"/>
              </w:rPr>
            </w:pPr>
            <w:r w:rsidRPr="00B46F2F">
              <w:rPr>
                <w:rFonts w:ascii="Times New Roman" w:hAnsi="Times New Roman"/>
              </w:rPr>
              <w:t>Revenue</w:t>
            </w:r>
          </w:p>
          <w:p w:rsidR="00831C7C" w:rsidRPr="00B46F2F" w:rsidRDefault="00831C7C" w:rsidP="00831C7C">
            <w:pPr>
              <w:jc w:val="right"/>
            </w:pPr>
            <w:r w:rsidRPr="00B46F2F">
              <w:rPr>
                <w:rFonts w:ascii="Times New Roman" w:hAnsi="Times New Roman"/>
                <w:b/>
                <w:bCs/>
                <w:sz w:val="20"/>
              </w:rPr>
              <w:t>GBP</w:t>
            </w:r>
          </w:p>
        </w:tc>
        <w:tc>
          <w:tcPr>
            <w:tcW w:w="1417" w:type="dxa"/>
            <w:vAlign w:val="bottom"/>
          </w:tcPr>
          <w:p w:rsidR="00831C7C" w:rsidRPr="00B46F2F" w:rsidRDefault="00831C7C" w:rsidP="00831C7C">
            <w:pPr>
              <w:pStyle w:val="Heading3"/>
              <w:tabs>
                <w:tab w:val="clear" w:pos="3402"/>
                <w:tab w:val="clear" w:pos="8222"/>
              </w:tabs>
              <w:jc w:val="right"/>
              <w:rPr>
                <w:rFonts w:ascii="Times New Roman" w:hAnsi="Times New Roman"/>
              </w:rPr>
            </w:pPr>
            <w:r w:rsidRPr="00B46F2F">
              <w:rPr>
                <w:rFonts w:ascii="Times New Roman" w:hAnsi="Times New Roman"/>
              </w:rPr>
              <w:t xml:space="preserve">Capital </w:t>
            </w:r>
          </w:p>
          <w:p w:rsidR="00831C7C" w:rsidRPr="00B46F2F" w:rsidRDefault="00831C7C" w:rsidP="00831C7C">
            <w:pPr>
              <w:pStyle w:val="Heading3"/>
              <w:tabs>
                <w:tab w:val="clear" w:pos="3402"/>
                <w:tab w:val="clear" w:pos="8222"/>
              </w:tabs>
              <w:jc w:val="right"/>
              <w:rPr>
                <w:rFonts w:ascii="Times New Roman" w:hAnsi="Times New Roman"/>
              </w:rPr>
            </w:pPr>
            <w:r w:rsidRPr="00B46F2F">
              <w:rPr>
                <w:rFonts w:ascii="Times New Roman" w:hAnsi="Times New Roman"/>
              </w:rPr>
              <w:t>GBP</w:t>
            </w:r>
          </w:p>
        </w:tc>
        <w:tc>
          <w:tcPr>
            <w:tcW w:w="1315" w:type="dxa"/>
            <w:vAlign w:val="bottom"/>
          </w:tcPr>
          <w:p w:rsidR="00831C7C" w:rsidRPr="00B46F2F" w:rsidRDefault="00831C7C" w:rsidP="00831C7C">
            <w:pPr>
              <w:jc w:val="right"/>
              <w:rPr>
                <w:rFonts w:ascii="Times New Roman" w:hAnsi="Times New Roman"/>
                <w:b/>
                <w:bCs/>
                <w:sz w:val="20"/>
              </w:rPr>
            </w:pPr>
            <w:r w:rsidRPr="00B46F2F">
              <w:rPr>
                <w:rFonts w:ascii="Times New Roman" w:hAnsi="Times New Roman"/>
                <w:b/>
                <w:bCs/>
                <w:sz w:val="20"/>
              </w:rPr>
              <w:t>Total</w:t>
            </w:r>
          </w:p>
          <w:p w:rsidR="00831C7C" w:rsidRPr="00B46F2F" w:rsidRDefault="00831C7C" w:rsidP="00831C7C">
            <w:pPr>
              <w:jc w:val="right"/>
              <w:rPr>
                <w:rFonts w:ascii="Times New Roman" w:hAnsi="Times New Roman"/>
                <w:b/>
                <w:bCs/>
                <w:sz w:val="20"/>
              </w:rPr>
            </w:pPr>
            <w:r w:rsidRPr="00B46F2F">
              <w:rPr>
                <w:rFonts w:ascii="Times New Roman" w:hAnsi="Times New Roman"/>
                <w:b/>
                <w:bCs/>
                <w:sz w:val="20"/>
              </w:rPr>
              <w:t>GBP</w:t>
            </w:r>
          </w:p>
        </w:tc>
        <w:tc>
          <w:tcPr>
            <w:tcW w:w="236" w:type="dxa"/>
            <w:vAlign w:val="bottom"/>
          </w:tcPr>
          <w:p w:rsidR="00831C7C" w:rsidRPr="00B46F2F" w:rsidRDefault="00831C7C" w:rsidP="00831C7C">
            <w:pPr>
              <w:jc w:val="right"/>
              <w:rPr>
                <w:rFonts w:ascii="Times New Roman" w:hAnsi="Times New Roman"/>
                <w:sz w:val="20"/>
              </w:rPr>
            </w:pPr>
          </w:p>
        </w:tc>
        <w:tc>
          <w:tcPr>
            <w:tcW w:w="1312" w:type="dxa"/>
            <w:vAlign w:val="bottom"/>
          </w:tcPr>
          <w:p w:rsidR="00831C7C" w:rsidRPr="00B46F2F" w:rsidRDefault="00831C7C" w:rsidP="00831C7C">
            <w:pPr>
              <w:jc w:val="right"/>
              <w:rPr>
                <w:rFonts w:ascii="Times New Roman" w:hAnsi="Times New Roman"/>
                <w:b/>
                <w:bCs/>
                <w:sz w:val="20"/>
              </w:rPr>
            </w:pPr>
          </w:p>
          <w:p w:rsidR="00831C7C" w:rsidRPr="00B46F2F" w:rsidRDefault="00831C7C" w:rsidP="00831C7C">
            <w:pPr>
              <w:jc w:val="right"/>
              <w:rPr>
                <w:rFonts w:ascii="Times New Roman" w:hAnsi="Times New Roman"/>
                <w:b/>
                <w:bCs/>
                <w:sz w:val="20"/>
              </w:rPr>
            </w:pPr>
            <w:r w:rsidRPr="00B46F2F">
              <w:rPr>
                <w:rFonts w:ascii="Times New Roman" w:hAnsi="Times New Roman"/>
                <w:b/>
                <w:bCs/>
                <w:sz w:val="20"/>
              </w:rPr>
              <w:t>GBP</w:t>
            </w:r>
          </w:p>
        </w:tc>
      </w:tr>
      <w:tr w:rsidR="00831C7C" w:rsidRPr="00B46F2F" w:rsidTr="00831C7C">
        <w:trPr>
          <w:cantSplit/>
        </w:trPr>
        <w:tc>
          <w:tcPr>
            <w:tcW w:w="4503" w:type="dxa"/>
          </w:tcPr>
          <w:p w:rsidR="00831C7C" w:rsidRPr="00B46F2F" w:rsidRDefault="00831C7C" w:rsidP="00831C7C">
            <w:pPr>
              <w:pStyle w:val="Heading3"/>
              <w:tabs>
                <w:tab w:val="clear" w:pos="3402"/>
                <w:tab w:val="clear" w:pos="8222"/>
              </w:tabs>
              <w:ind w:left="360"/>
              <w:rPr>
                <w:rFonts w:ascii="Times New Roman" w:hAnsi="Times New Roman"/>
                <w:b w:val="0"/>
                <w:bCs w:val="0"/>
              </w:rPr>
            </w:pPr>
          </w:p>
        </w:tc>
        <w:tc>
          <w:tcPr>
            <w:tcW w:w="1559" w:type="dxa"/>
          </w:tcPr>
          <w:p w:rsidR="00831C7C" w:rsidRPr="00B46F2F" w:rsidRDefault="00831C7C" w:rsidP="00831C7C">
            <w:pPr>
              <w:pStyle w:val="Heading3"/>
              <w:tabs>
                <w:tab w:val="clear" w:pos="3402"/>
                <w:tab w:val="clear" w:pos="8222"/>
              </w:tabs>
              <w:ind w:left="360"/>
              <w:rPr>
                <w:rFonts w:ascii="Times New Roman" w:hAnsi="Times New Roman"/>
                <w:b w:val="0"/>
                <w:bCs w:val="0"/>
              </w:rPr>
            </w:pPr>
          </w:p>
        </w:tc>
        <w:tc>
          <w:tcPr>
            <w:tcW w:w="1417" w:type="dxa"/>
          </w:tcPr>
          <w:p w:rsidR="00831C7C" w:rsidRPr="00B46F2F" w:rsidRDefault="00831C7C" w:rsidP="00831C7C">
            <w:pPr>
              <w:pStyle w:val="Heading3"/>
              <w:tabs>
                <w:tab w:val="clear" w:pos="3402"/>
                <w:tab w:val="clear" w:pos="8222"/>
              </w:tabs>
              <w:ind w:left="360"/>
              <w:rPr>
                <w:rFonts w:ascii="Times New Roman" w:hAnsi="Times New Roman"/>
                <w:b w:val="0"/>
                <w:bCs w:val="0"/>
              </w:rPr>
            </w:pPr>
          </w:p>
        </w:tc>
        <w:tc>
          <w:tcPr>
            <w:tcW w:w="1315" w:type="dxa"/>
          </w:tcPr>
          <w:p w:rsidR="00831C7C" w:rsidRPr="00B46F2F" w:rsidRDefault="00831C7C" w:rsidP="00831C7C">
            <w:pPr>
              <w:pStyle w:val="Heading3"/>
              <w:rPr>
                <w:rFonts w:ascii="Times New Roman" w:hAnsi="Times New Roman"/>
              </w:rPr>
            </w:pPr>
          </w:p>
        </w:tc>
        <w:tc>
          <w:tcPr>
            <w:tcW w:w="236" w:type="dxa"/>
          </w:tcPr>
          <w:p w:rsidR="00831C7C" w:rsidRPr="00B46F2F" w:rsidRDefault="00831C7C" w:rsidP="00831C7C">
            <w:pPr>
              <w:jc w:val="right"/>
              <w:rPr>
                <w:rFonts w:ascii="Times New Roman" w:hAnsi="Times New Roman"/>
                <w:sz w:val="20"/>
              </w:rPr>
            </w:pPr>
          </w:p>
        </w:tc>
        <w:tc>
          <w:tcPr>
            <w:tcW w:w="1312" w:type="dxa"/>
          </w:tcPr>
          <w:p w:rsidR="00831C7C" w:rsidRPr="00B46F2F" w:rsidRDefault="00831C7C" w:rsidP="00831C7C">
            <w:pPr>
              <w:jc w:val="right"/>
              <w:rPr>
                <w:rFonts w:ascii="Times New Roman" w:hAnsi="Times New Roman"/>
                <w:sz w:val="20"/>
              </w:rPr>
            </w:pPr>
          </w:p>
        </w:tc>
      </w:tr>
      <w:tr w:rsidR="00C84D94" w:rsidRPr="00B46F2F" w:rsidTr="00831C7C">
        <w:trPr>
          <w:cantSplit/>
        </w:trPr>
        <w:tc>
          <w:tcPr>
            <w:tcW w:w="4503" w:type="dxa"/>
          </w:tcPr>
          <w:p w:rsidR="00C84D94" w:rsidRPr="00B46F2F" w:rsidRDefault="00C84D94" w:rsidP="00C84D94">
            <w:pPr>
              <w:pStyle w:val="Heading3"/>
              <w:tabs>
                <w:tab w:val="clear" w:pos="3402"/>
                <w:tab w:val="clear" w:pos="8222"/>
              </w:tabs>
              <w:ind w:left="284"/>
              <w:rPr>
                <w:rFonts w:ascii="Times New Roman" w:hAnsi="Times New Roman"/>
                <w:b w:val="0"/>
                <w:bCs w:val="0"/>
                <w:szCs w:val="20"/>
              </w:rPr>
            </w:pPr>
            <w:r w:rsidRPr="00B46F2F">
              <w:rPr>
                <w:rFonts w:ascii="Times New Roman" w:hAnsi="Times New Roman"/>
                <w:b w:val="0"/>
                <w:bCs w:val="0"/>
                <w:szCs w:val="20"/>
              </w:rPr>
              <w:t>Bond and debenture interest</w:t>
            </w:r>
          </w:p>
        </w:tc>
        <w:tc>
          <w:tcPr>
            <w:tcW w:w="1559" w:type="dxa"/>
            <w:vAlign w:val="bottom"/>
          </w:tcPr>
          <w:p w:rsidR="00C84D94" w:rsidRPr="00B46F2F" w:rsidRDefault="007720F6" w:rsidP="00B9048C">
            <w:pPr>
              <w:pStyle w:val="Heading3"/>
              <w:tabs>
                <w:tab w:val="clear" w:pos="3402"/>
                <w:tab w:val="clear" w:pos="8222"/>
              </w:tabs>
              <w:jc w:val="right"/>
              <w:rPr>
                <w:rFonts w:ascii="Times New Roman" w:hAnsi="Times New Roman"/>
                <w:b w:val="0"/>
                <w:bCs w:val="0"/>
              </w:rPr>
            </w:pPr>
            <w:r>
              <w:rPr>
                <w:rFonts w:ascii="Times New Roman" w:hAnsi="Times New Roman"/>
                <w:b w:val="0"/>
                <w:bCs w:val="0"/>
              </w:rPr>
              <w:t>64</w:t>
            </w:r>
            <w:r w:rsidR="00C84D94">
              <w:rPr>
                <w:rFonts w:ascii="Times New Roman" w:hAnsi="Times New Roman"/>
                <w:b w:val="0"/>
                <w:bCs w:val="0"/>
              </w:rPr>
              <w:t>,</w:t>
            </w:r>
            <w:r>
              <w:rPr>
                <w:rFonts w:ascii="Times New Roman" w:hAnsi="Times New Roman"/>
                <w:b w:val="0"/>
                <w:bCs w:val="0"/>
              </w:rPr>
              <w:t>694</w:t>
            </w:r>
          </w:p>
        </w:tc>
        <w:tc>
          <w:tcPr>
            <w:tcW w:w="1417" w:type="dxa"/>
            <w:vAlign w:val="bottom"/>
          </w:tcPr>
          <w:p w:rsidR="00C84D94" w:rsidRPr="00B46F2F" w:rsidRDefault="00C84D94" w:rsidP="00C84D94">
            <w:pPr>
              <w:pStyle w:val="Heading3"/>
              <w:tabs>
                <w:tab w:val="clear" w:pos="3402"/>
                <w:tab w:val="clear" w:pos="8222"/>
              </w:tabs>
              <w:jc w:val="right"/>
              <w:rPr>
                <w:rFonts w:ascii="Times New Roman" w:hAnsi="Times New Roman"/>
                <w:b w:val="0"/>
                <w:bCs w:val="0"/>
              </w:rPr>
            </w:pPr>
            <w:r w:rsidRPr="00B46F2F">
              <w:rPr>
                <w:rFonts w:ascii="Times New Roman" w:hAnsi="Times New Roman"/>
                <w:b w:val="0"/>
                <w:bCs w:val="0"/>
              </w:rPr>
              <w:t>-</w:t>
            </w:r>
          </w:p>
        </w:tc>
        <w:tc>
          <w:tcPr>
            <w:tcW w:w="1315" w:type="dxa"/>
            <w:vAlign w:val="bottom"/>
          </w:tcPr>
          <w:p w:rsidR="00C84D94" w:rsidRPr="00B46F2F" w:rsidRDefault="007720F6" w:rsidP="00B9048C">
            <w:pPr>
              <w:pStyle w:val="Heading3"/>
              <w:tabs>
                <w:tab w:val="clear" w:pos="3402"/>
                <w:tab w:val="clear" w:pos="8222"/>
              </w:tabs>
              <w:jc w:val="right"/>
              <w:rPr>
                <w:rFonts w:ascii="Times New Roman" w:hAnsi="Times New Roman"/>
                <w:b w:val="0"/>
                <w:bCs w:val="0"/>
              </w:rPr>
            </w:pPr>
            <w:r>
              <w:rPr>
                <w:rFonts w:ascii="Times New Roman" w:hAnsi="Times New Roman"/>
                <w:b w:val="0"/>
                <w:bCs w:val="0"/>
              </w:rPr>
              <w:t>64</w:t>
            </w:r>
            <w:r w:rsidR="00C84D94">
              <w:rPr>
                <w:rFonts w:ascii="Times New Roman" w:hAnsi="Times New Roman"/>
                <w:b w:val="0"/>
                <w:bCs w:val="0"/>
              </w:rPr>
              <w:t>,</w:t>
            </w:r>
            <w:r>
              <w:rPr>
                <w:rFonts w:ascii="Times New Roman" w:hAnsi="Times New Roman"/>
                <w:b w:val="0"/>
                <w:bCs w:val="0"/>
              </w:rPr>
              <w:t>694</w:t>
            </w:r>
          </w:p>
        </w:tc>
        <w:tc>
          <w:tcPr>
            <w:tcW w:w="236" w:type="dxa"/>
          </w:tcPr>
          <w:p w:rsidR="00C84D94" w:rsidRPr="00B46F2F" w:rsidRDefault="00C84D94" w:rsidP="00C84D94">
            <w:pPr>
              <w:jc w:val="right"/>
              <w:rPr>
                <w:rFonts w:ascii="Times New Roman" w:hAnsi="Times New Roman"/>
                <w:sz w:val="20"/>
              </w:rPr>
            </w:pPr>
          </w:p>
        </w:tc>
        <w:tc>
          <w:tcPr>
            <w:tcW w:w="1312" w:type="dxa"/>
            <w:vAlign w:val="bottom"/>
          </w:tcPr>
          <w:p w:rsidR="00C84D94" w:rsidRPr="00B46F2F" w:rsidRDefault="00C84D94" w:rsidP="00C84D94">
            <w:pPr>
              <w:pStyle w:val="Heading3"/>
              <w:tabs>
                <w:tab w:val="clear" w:pos="3402"/>
                <w:tab w:val="clear" w:pos="8222"/>
              </w:tabs>
              <w:jc w:val="right"/>
              <w:rPr>
                <w:rFonts w:ascii="Times New Roman" w:hAnsi="Times New Roman"/>
                <w:b w:val="0"/>
                <w:bCs w:val="0"/>
              </w:rPr>
            </w:pPr>
            <w:r>
              <w:rPr>
                <w:rFonts w:ascii="Times New Roman" w:hAnsi="Times New Roman"/>
                <w:b w:val="0"/>
                <w:bCs w:val="0"/>
              </w:rPr>
              <w:t>356,474</w:t>
            </w:r>
          </w:p>
        </w:tc>
      </w:tr>
      <w:tr w:rsidR="00C84D94" w:rsidRPr="00B46F2F" w:rsidTr="00831C7C">
        <w:trPr>
          <w:cantSplit/>
        </w:trPr>
        <w:tc>
          <w:tcPr>
            <w:tcW w:w="4503" w:type="dxa"/>
          </w:tcPr>
          <w:p w:rsidR="00C84D94" w:rsidRPr="00B46F2F" w:rsidRDefault="00C84D94" w:rsidP="00C84D94">
            <w:pPr>
              <w:pStyle w:val="Heading3"/>
              <w:tabs>
                <w:tab w:val="clear" w:pos="3402"/>
                <w:tab w:val="clear" w:pos="8222"/>
              </w:tabs>
              <w:ind w:left="284"/>
              <w:rPr>
                <w:rFonts w:ascii="Times New Roman" w:hAnsi="Times New Roman"/>
                <w:b w:val="0"/>
                <w:bCs w:val="0"/>
              </w:rPr>
            </w:pPr>
            <w:r w:rsidRPr="00B46F2F">
              <w:rPr>
                <w:rFonts w:ascii="Times New Roman" w:hAnsi="Times New Roman"/>
                <w:b w:val="0"/>
                <w:bCs w:val="0"/>
              </w:rPr>
              <w:t>Bank and loan interest</w:t>
            </w:r>
          </w:p>
        </w:tc>
        <w:tc>
          <w:tcPr>
            <w:tcW w:w="1559" w:type="dxa"/>
            <w:vAlign w:val="bottom"/>
          </w:tcPr>
          <w:p w:rsidR="00C84D94" w:rsidRPr="00B46F2F" w:rsidRDefault="007720F6" w:rsidP="00B9048C">
            <w:pPr>
              <w:pStyle w:val="Heading3"/>
              <w:tabs>
                <w:tab w:val="clear" w:pos="3402"/>
                <w:tab w:val="clear" w:pos="8222"/>
              </w:tabs>
              <w:jc w:val="right"/>
              <w:rPr>
                <w:rFonts w:ascii="Times New Roman" w:hAnsi="Times New Roman"/>
                <w:b w:val="0"/>
                <w:bCs w:val="0"/>
              </w:rPr>
            </w:pPr>
            <w:r>
              <w:rPr>
                <w:rFonts w:ascii="Times New Roman" w:hAnsi="Times New Roman"/>
                <w:b w:val="0"/>
                <w:bCs w:val="0"/>
              </w:rPr>
              <w:t>140</w:t>
            </w:r>
            <w:r w:rsidR="00C84D94">
              <w:rPr>
                <w:rFonts w:ascii="Times New Roman" w:hAnsi="Times New Roman"/>
                <w:b w:val="0"/>
                <w:bCs w:val="0"/>
              </w:rPr>
              <w:t>,</w:t>
            </w:r>
            <w:r>
              <w:rPr>
                <w:rFonts w:ascii="Times New Roman" w:hAnsi="Times New Roman"/>
                <w:b w:val="0"/>
                <w:bCs w:val="0"/>
              </w:rPr>
              <w:t>748</w:t>
            </w:r>
          </w:p>
        </w:tc>
        <w:tc>
          <w:tcPr>
            <w:tcW w:w="1417" w:type="dxa"/>
            <w:vAlign w:val="bottom"/>
          </w:tcPr>
          <w:p w:rsidR="00C84D94" w:rsidRPr="00B46F2F" w:rsidRDefault="00C84D94" w:rsidP="00C84D94">
            <w:pPr>
              <w:pStyle w:val="Heading3"/>
              <w:tabs>
                <w:tab w:val="clear" w:pos="3402"/>
                <w:tab w:val="clear" w:pos="8222"/>
              </w:tabs>
              <w:jc w:val="right"/>
              <w:rPr>
                <w:rFonts w:ascii="Times New Roman" w:hAnsi="Times New Roman"/>
                <w:b w:val="0"/>
                <w:bCs w:val="0"/>
              </w:rPr>
            </w:pPr>
            <w:r w:rsidRPr="00B46F2F">
              <w:rPr>
                <w:rFonts w:ascii="Times New Roman" w:hAnsi="Times New Roman"/>
                <w:b w:val="0"/>
                <w:bCs w:val="0"/>
              </w:rPr>
              <w:t>-</w:t>
            </w:r>
          </w:p>
        </w:tc>
        <w:tc>
          <w:tcPr>
            <w:tcW w:w="1315" w:type="dxa"/>
            <w:vAlign w:val="bottom"/>
          </w:tcPr>
          <w:p w:rsidR="00C84D94" w:rsidRPr="00B46F2F" w:rsidRDefault="007720F6" w:rsidP="00B9048C">
            <w:pPr>
              <w:pStyle w:val="Heading3"/>
              <w:tabs>
                <w:tab w:val="clear" w:pos="3402"/>
                <w:tab w:val="clear" w:pos="8222"/>
              </w:tabs>
              <w:jc w:val="right"/>
              <w:rPr>
                <w:rFonts w:ascii="Times New Roman" w:hAnsi="Times New Roman"/>
                <w:b w:val="0"/>
                <w:bCs w:val="0"/>
              </w:rPr>
            </w:pPr>
            <w:r>
              <w:rPr>
                <w:rFonts w:ascii="Times New Roman" w:hAnsi="Times New Roman"/>
                <w:b w:val="0"/>
                <w:bCs w:val="0"/>
              </w:rPr>
              <w:t>140</w:t>
            </w:r>
            <w:r w:rsidR="00C84D94">
              <w:rPr>
                <w:rFonts w:ascii="Times New Roman" w:hAnsi="Times New Roman"/>
                <w:b w:val="0"/>
                <w:bCs w:val="0"/>
              </w:rPr>
              <w:t>,</w:t>
            </w:r>
            <w:r>
              <w:rPr>
                <w:rFonts w:ascii="Times New Roman" w:hAnsi="Times New Roman"/>
                <w:b w:val="0"/>
                <w:bCs w:val="0"/>
              </w:rPr>
              <w:t>748</w:t>
            </w:r>
          </w:p>
        </w:tc>
        <w:tc>
          <w:tcPr>
            <w:tcW w:w="236" w:type="dxa"/>
          </w:tcPr>
          <w:p w:rsidR="00C84D94" w:rsidRPr="00B46F2F" w:rsidRDefault="00C84D94" w:rsidP="00C84D94">
            <w:pPr>
              <w:jc w:val="right"/>
              <w:rPr>
                <w:rFonts w:ascii="Times New Roman" w:hAnsi="Times New Roman"/>
                <w:sz w:val="20"/>
              </w:rPr>
            </w:pPr>
          </w:p>
        </w:tc>
        <w:tc>
          <w:tcPr>
            <w:tcW w:w="1312" w:type="dxa"/>
            <w:vAlign w:val="bottom"/>
          </w:tcPr>
          <w:p w:rsidR="00C84D94" w:rsidRPr="00B46F2F" w:rsidRDefault="00C84D94" w:rsidP="00C84D94">
            <w:pPr>
              <w:pStyle w:val="Heading3"/>
              <w:tabs>
                <w:tab w:val="clear" w:pos="3402"/>
                <w:tab w:val="clear" w:pos="8222"/>
              </w:tabs>
              <w:jc w:val="right"/>
              <w:rPr>
                <w:rFonts w:ascii="Times New Roman" w:hAnsi="Times New Roman"/>
                <w:b w:val="0"/>
                <w:bCs w:val="0"/>
              </w:rPr>
            </w:pPr>
            <w:r>
              <w:rPr>
                <w:rFonts w:ascii="Times New Roman" w:hAnsi="Times New Roman"/>
                <w:b w:val="0"/>
                <w:bCs w:val="0"/>
              </w:rPr>
              <w:t>98,211</w:t>
            </w:r>
          </w:p>
        </w:tc>
      </w:tr>
      <w:tr w:rsidR="00C84D94" w:rsidRPr="00B46F2F" w:rsidTr="00831C7C">
        <w:trPr>
          <w:cantSplit/>
        </w:trPr>
        <w:tc>
          <w:tcPr>
            <w:tcW w:w="4503" w:type="dxa"/>
          </w:tcPr>
          <w:p w:rsidR="00C84D94" w:rsidRPr="00B46F2F" w:rsidRDefault="00C84D94" w:rsidP="00C84D94">
            <w:pPr>
              <w:pStyle w:val="Heading3"/>
              <w:tabs>
                <w:tab w:val="clear" w:pos="3402"/>
                <w:tab w:val="clear" w:pos="8222"/>
              </w:tabs>
              <w:ind w:left="284"/>
              <w:rPr>
                <w:rFonts w:ascii="Times New Roman" w:hAnsi="Times New Roman"/>
                <w:b w:val="0"/>
                <w:bCs w:val="0"/>
              </w:rPr>
            </w:pPr>
            <w:r w:rsidRPr="00B46F2F">
              <w:rPr>
                <w:rFonts w:ascii="Times New Roman" w:hAnsi="Times New Roman"/>
                <w:b w:val="0"/>
                <w:bCs w:val="0"/>
              </w:rPr>
              <w:t>Dividend income</w:t>
            </w:r>
          </w:p>
        </w:tc>
        <w:tc>
          <w:tcPr>
            <w:tcW w:w="1559" w:type="dxa"/>
            <w:vAlign w:val="bottom"/>
          </w:tcPr>
          <w:p w:rsidR="00C84D94" w:rsidRPr="00B46F2F" w:rsidRDefault="007720F6" w:rsidP="00E514C3">
            <w:pPr>
              <w:pStyle w:val="Heading3"/>
              <w:tabs>
                <w:tab w:val="clear" w:pos="3402"/>
                <w:tab w:val="clear" w:pos="8222"/>
              </w:tabs>
              <w:jc w:val="right"/>
              <w:rPr>
                <w:rFonts w:ascii="Times New Roman" w:hAnsi="Times New Roman"/>
                <w:b w:val="0"/>
                <w:bCs w:val="0"/>
              </w:rPr>
            </w:pPr>
            <w:r>
              <w:rPr>
                <w:rFonts w:ascii="Times New Roman" w:hAnsi="Times New Roman"/>
                <w:b w:val="0"/>
                <w:bCs w:val="0"/>
              </w:rPr>
              <w:t>7</w:t>
            </w:r>
            <w:r w:rsidR="00C84D94">
              <w:rPr>
                <w:rFonts w:ascii="Times New Roman" w:hAnsi="Times New Roman"/>
                <w:b w:val="0"/>
                <w:bCs w:val="0"/>
              </w:rPr>
              <w:t>,</w:t>
            </w:r>
            <w:r>
              <w:rPr>
                <w:rFonts w:ascii="Times New Roman" w:hAnsi="Times New Roman"/>
                <w:b w:val="0"/>
                <w:bCs w:val="0"/>
              </w:rPr>
              <w:t>5</w:t>
            </w:r>
            <w:r w:rsidR="00D83D2E">
              <w:rPr>
                <w:rFonts w:ascii="Times New Roman" w:hAnsi="Times New Roman"/>
                <w:b w:val="0"/>
                <w:bCs w:val="0"/>
              </w:rPr>
              <w:t>18</w:t>
            </w:r>
            <w:r w:rsidR="00C84D94">
              <w:rPr>
                <w:rFonts w:ascii="Times New Roman" w:hAnsi="Times New Roman"/>
                <w:b w:val="0"/>
                <w:bCs w:val="0"/>
              </w:rPr>
              <w:t>,</w:t>
            </w:r>
            <w:r w:rsidR="00D83D2E">
              <w:rPr>
                <w:rFonts w:ascii="Times New Roman" w:hAnsi="Times New Roman"/>
                <w:b w:val="0"/>
                <w:bCs w:val="0"/>
              </w:rPr>
              <w:t>107</w:t>
            </w:r>
          </w:p>
        </w:tc>
        <w:tc>
          <w:tcPr>
            <w:tcW w:w="1417" w:type="dxa"/>
            <w:vAlign w:val="bottom"/>
          </w:tcPr>
          <w:p w:rsidR="00C84D94" w:rsidRPr="00B46F2F" w:rsidRDefault="00C84D94" w:rsidP="00C84D94">
            <w:pPr>
              <w:pStyle w:val="Heading3"/>
              <w:tabs>
                <w:tab w:val="clear" w:pos="3402"/>
                <w:tab w:val="clear" w:pos="8222"/>
              </w:tabs>
              <w:jc w:val="right"/>
              <w:rPr>
                <w:rFonts w:ascii="Times New Roman" w:hAnsi="Times New Roman"/>
                <w:b w:val="0"/>
                <w:bCs w:val="0"/>
              </w:rPr>
            </w:pPr>
            <w:r w:rsidRPr="00B46F2F">
              <w:rPr>
                <w:rFonts w:ascii="Times New Roman" w:hAnsi="Times New Roman"/>
                <w:b w:val="0"/>
                <w:bCs w:val="0"/>
              </w:rPr>
              <w:t>-</w:t>
            </w:r>
          </w:p>
        </w:tc>
        <w:tc>
          <w:tcPr>
            <w:tcW w:w="1315" w:type="dxa"/>
            <w:vAlign w:val="bottom"/>
          </w:tcPr>
          <w:p w:rsidR="00C84D94" w:rsidRPr="00B46F2F" w:rsidRDefault="00C84D94" w:rsidP="00E514C3">
            <w:pPr>
              <w:pStyle w:val="Heading3"/>
              <w:tabs>
                <w:tab w:val="clear" w:pos="3402"/>
                <w:tab w:val="clear" w:pos="8222"/>
              </w:tabs>
              <w:jc w:val="right"/>
              <w:rPr>
                <w:rFonts w:ascii="Times New Roman" w:hAnsi="Times New Roman"/>
                <w:b w:val="0"/>
                <w:bCs w:val="0"/>
              </w:rPr>
            </w:pPr>
            <w:r>
              <w:rPr>
                <w:rFonts w:ascii="Times New Roman" w:hAnsi="Times New Roman"/>
                <w:b w:val="0"/>
                <w:bCs w:val="0"/>
              </w:rPr>
              <w:t>7,5</w:t>
            </w:r>
            <w:r w:rsidR="00D83D2E">
              <w:rPr>
                <w:rFonts w:ascii="Times New Roman" w:hAnsi="Times New Roman"/>
                <w:b w:val="0"/>
                <w:bCs w:val="0"/>
              </w:rPr>
              <w:t>18</w:t>
            </w:r>
            <w:r>
              <w:rPr>
                <w:rFonts w:ascii="Times New Roman" w:hAnsi="Times New Roman"/>
                <w:b w:val="0"/>
                <w:bCs w:val="0"/>
              </w:rPr>
              <w:t>,</w:t>
            </w:r>
            <w:r w:rsidR="00D83D2E">
              <w:rPr>
                <w:rFonts w:ascii="Times New Roman" w:hAnsi="Times New Roman"/>
                <w:b w:val="0"/>
                <w:bCs w:val="0"/>
              </w:rPr>
              <w:t>107</w:t>
            </w:r>
          </w:p>
        </w:tc>
        <w:tc>
          <w:tcPr>
            <w:tcW w:w="236" w:type="dxa"/>
          </w:tcPr>
          <w:p w:rsidR="00C84D94" w:rsidRPr="00B46F2F" w:rsidRDefault="00C84D94" w:rsidP="00C84D94">
            <w:pPr>
              <w:jc w:val="right"/>
              <w:rPr>
                <w:rFonts w:ascii="Times New Roman" w:hAnsi="Times New Roman"/>
                <w:sz w:val="20"/>
              </w:rPr>
            </w:pPr>
          </w:p>
        </w:tc>
        <w:tc>
          <w:tcPr>
            <w:tcW w:w="1312" w:type="dxa"/>
            <w:vAlign w:val="bottom"/>
          </w:tcPr>
          <w:p w:rsidR="00C84D94" w:rsidRPr="00B46F2F" w:rsidRDefault="00C84D94" w:rsidP="00C84D94">
            <w:pPr>
              <w:pStyle w:val="Heading3"/>
              <w:tabs>
                <w:tab w:val="clear" w:pos="3402"/>
                <w:tab w:val="clear" w:pos="8222"/>
              </w:tabs>
              <w:jc w:val="right"/>
              <w:rPr>
                <w:rFonts w:ascii="Times New Roman" w:hAnsi="Times New Roman"/>
                <w:b w:val="0"/>
                <w:bCs w:val="0"/>
              </w:rPr>
            </w:pPr>
            <w:r>
              <w:rPr>
                <w:rFonts w:ascii="Times New Roman" w:hAnsi="Times New Roman"/>
                <w:b w:val="0"/>
                <w:bCs w:val="0"/>
              </w:rPr>
              <w:t>7,597,242</w:t>
            </w:r>
          </w:p>
        </w:tc>
      </w:tr>
      <w:tr w:rsidR="00C84D94" w:rsidRPr="00B46F2F" w:rsidTr="00831C7C">
        <w:trPr>
          <w:cantSplit/>
        </w:trPr>
        <w:tc>
          <w:tcPr>
            <w:tcW w:w="4503" w:type="dxa"/>
          </w:tcPr>
          <w:p w:rsidR="00C84D94" w:rsidRPr="00B46F2F" w:rsidRDefault="00C84D94" w:rsidP="00C84D94">
            <w:pPr>
              <w:pStyle w:val="Heading3"/>
              <w:tabs>
                <w:tab w:val="clear" w:pos="3402"/>
                <w:tab w:val="clear" w:pos="8222"/>
              </w:tabs>
              <w:rPr>
                <w:rFonts w:ascii="Times New Roman" w:hAnsi="Times New Roman"/>
                <w:b w:val="0"/>
                <w:bCs w:val="0"/>
              </w:rPr>
            </w:pPr>
          </w:p>
        </w:tc>
        <w:tc>
          <w:tcPr>
            <w:tcW w:w="1559" w:type="dxa"/>
            <w:tcBorders>
              <w:bottom w:val="single" w:sz="4" w:space="0" w:color="auto"/>
            </w:tcBorders>
          </w:tcPr>
          <w:p w:rsidR="00C84D94" w:rsidRPr="00B46F2F" w:rsidRDefault="00C84D94" w:rsidP="00C84D94">
            <w:pPr>
              <w:pStyle w:val="Heading3"/>
              <w:tabs>
                <w:tab w:val="clear" w:pos="3402"/>
                <w:tab w:val="clear" w:pos="8222"/>
              </w:tabs>
              <w:rPr>
                <w:rFonts w:ascii="Times New Roman" w:hAnsi="Times New Roman"/>
                <w:b w:val="0"/>
                <w:bCs w:val="0"/>
              </w:rPr>
            </w:pPr>
          </w:p>
        </w:tc>
        <w:tc>
          <w:tcPr>
            <w:tcW w:w="1417" w:type="dxa"/>
            <w:tcBorders>
              <w:bottom w:val="single" w:sz="4" w:space="0" w:color="auto"/>
            </w:tcBorders>
            <w:vAlign w:val="bottom"/>
          </w:tcPr>
          <w:p w:rsidR="00C84D94" w:rsidRPr="00B46F2F" w:rsidRDefault="00C84D94" w:rsidP="00C84D94">
            <w:pPr>
              <w:pStyle w:val="Heading3"/>
              <w:tabs>
                <w:tab w:val="clear" w:pos="3402"/>
                <w:tab w:val="clear" w:pos="8222"/>
              </w:tabs>
              <w:jc w:val="right"/>
              <w:rPr>
                <w:rFonts w:ascii="Times New Roman" w:hAnsi="Times New Roman"/>
                <w:b w:val="0"/>
                <w:bCs w:val="0"/>
              </w:rPr>
            </w:pPr>
          </w:p>
        </w:tc>
        <w:tc>
          <w:tcPr>
            <w:tcW w:w="1315" w:type="dxa"/>
            <w:tcBorders>
              <w:bottom w:val="single" w:sz="4" w:space="0" w:color="auto"/>
            </w:tcBorders>
          </w:tcPr>
          <w:p w:rsidR="00C84D94" w:rsidRPr="00B46F2F" w:rsidRDefault="00C84D94" w:rsidP="00C84D94">
            <w:pPr>
              <w:pStyle w:val="Heading3"/>
              <w:tabs>
                <w:tab w:val="clear" w:pos="3402"/>
                <w:tab w:val="clear" w:pos="8222"/>
              </w:tabs>
              <w:rPr>
                <w:rFonts w:ascii="Times New Roman" w:hAnsi="Times New Roman"/>
                <w:b w:val="0"/>
                <w:bCs w:val="0"/>
              </w:rPr>
            </w:pPr>
          </w:p>
        </w:tc>
        <w:tc>
          <w:tcPr>
            <w:tcW w:w="236" w:type="dxa"/>
          </w:tcPr>
          <w:p w:rsidR="00C84D94" w:rsidRPr="00B46F2F" w:rsidRDefault="00C84D94" w:rsidP="00C84D94">
            <w:pPr>
              <w:jc w:val="right"/>
              <w:rPr>
                <w:rFonts w:ascii="Times New Roman" w:hAnsi="Times New Roman"/>
                <w:sz w:val="20"/>
              </w:rPr>
            </w:pPr>
          </w:p>
        </w:tc>
        <w:tc>
          <w:tcPr>
            <w:tcW w:w="1312" w:type="dxa"/>
            <w:tcBorders>
              <w:bottom w:val="single" w:sz="4" w:space="0" w:color="auto"/>
            </w:tcBorders>
          </w:tcPr>
          <w:p w:rsidR="00C84D94" w:rsidRPr="00B46F2F" w:rsidRDefault="00C84D94" w:rsidP="00C84D94">
            <w:pPr>
              <w:pStyle w:val="Heading3"/>
              <w:tabs>
                <w:tab w:val="clear" w:pos="3402"/>
                <w:tab w:val="clear" w:pos="8222"/>
              </w:tabs>
              <w:rPr>
                <w:rFonts w:ascii="Times New Roman" w:hAnsi="Times New Roman"/>
                <w:b w:val="0"/>
                <w:bCs w:val="0"/>
              </w:rPr>
            </w:pPr>
          </w:p>
        </w:tc>
      </w:tr>
      <w:tr w:rsidR="00C84D94" w:rsidRPr="00B46F2F" w:rsidTr="00831C7C">
        <w:trPr>
          <w:cantSplit/>
        </w:trPr>
        <w:tc>
          <w:tcPr>
            <w:tcW w:w="4503" w:type="dxa"/>
          </w:tcPr>
          <w:p w:rsidR="00C84D94" w:rsidRPr="00B46F2F" w:rsidRDefault="00C84D94" w:rsidP="00C84D94">
            <w:pPr>
              <w:pStyle w:val="Heading3"/>
              <w:tabs>
                <w:tab w:val="clear" w:pos="3402"/>
                <w:tab w:val="clear" w:pos="8222"/>
              </w:tabs>
              <w:rPr>
                <w:rFonts w:ascii="Times New Roman" w:hAnsi="Times New Roman"/>
                <w:b w:val="0"/>
                <w:bCs w:val="0"/>
              </w:rPr>
            </w:pPr>
          </w:p>
        </w:tc>
        <w:tc>
          <w:tcPr>
            <w:tcW w:w="1559" w:type="dxa"/>
            <w:tcBorders>
              <w:top w:val="single" w:sz="4" w:space="0" w:color="auto"/>
              <w:bottom w:val="double" w:sz="4" w:space="0" w:color="auto"/>
            </w:tcBorders>
          </w:tcPr>
          <w:p w:rsidR="00C84D94" w:rsidRPr="00B46F2F" w:rsidRDefault="007720F6" w:rsidP="00E514C3">
            <w:pPr>
              <w:jc w:val="right"/>
              <w:rPr>
                <w:rFonts w:ascii="Times New Roman" w:hAnsi="Times New Roman"/>
                <w:b/>
                <w:sz w:val="20"/>
              </w:rPr>
            </w:pPr>
            <w:r>
              <w:rPr>
                <w:rFonts w:ascii="Times New Roman" w:hAnsi="Times New Roman"/>
                <w:b/>
                <w:sz w:val="20"/>
              </w:rPr>
              <w:t>7</w:t>
            </w:r>
            <w:r w:rsidR="00C84D94">
              <w:rPr>
                <w:rFonts w:ascii="Times New Roman" w:hAnsi="Times New Roman"/>
                <w:b/>
                <w:sz w:val="20"/>
              </w:rPr>
              <w:t>,</w:t>
            </w:r>
            <w:r>
              <w:rPr>
                <w:rFonts w:ascii="Times New Roman" w:hAnsi="Times New Roman"/>
                <w:b/>
                <w:sz w:val="20"/>
              </w:rPr>
              <w:t>72</w:t>
            </w:r>
            <w:r w:rsidR="00D83D2E">
              <w:rPr>
                <w:rFonts w:ascii="Times New Roman" w:hAnsi="Times New Roman"/>
                <w:b/>
                <w:sz w:val="20"/>
              </w:rPr>
              <w:t>3</w:t>
            </w:r>
            <w:r w:rsidR="00C84D94">
              <w:rPr>
                <w:rFonts w:ascii="Times New Roman" w:hAnsi="Times New Roman"/>
                <w:b/>
                <w:sz w:val="20"/>
              </w:rPr>
              <w:t>,</w:t>
            </w:r>
            <w:r w:rsidR="00D83D2E">
              <w:rPr>
                <w:rFonts w:ascii="Times New Roman" w:hAnsi="Times New Roman"/>
                <w:b/>
                <w:sz w:val="20"/>
              </w:rPr>
              <w:t>549</w:t>
            </w:r>
          </w:p>
        </w:tc>
        <w:tc>
          <w:tcPr>
            <w:tcW w:w="1417" w:type="dxa"/>
            <w:tcBorders>
              <w:top w:val="single" w:sz="4" w:space="0" w:color="auto"/>
              <w:bottom w:val="double" w:sz="4" w:space="0" w:color="auto"/>
            </w:tcBorders>
            <w:vAlign w:val="bottom"/>
          </w:tcPr>
          <w:p w:rsidR="00C84D94" w:rsidRPr="00B46F2F" w:rsidRDefault="00C84D94" w:rsidP="00C84D94">
            <w:pPr>
              <w:jc w:val="right"/>
              <w:rPr>
                <w:rFonts w:ascii="Times New Roman" w:hAnsi="Times New Roman"/>
                <w:b/>
                <w:sz w:val="20"/>
              </w:rPr>
            </w:pPr>
            <w:r w:rsidRPr="00B46F2F">
              <w:rPr>
                <w:rFonts w:ascii="Times New Roman" w:hAnsi="Times New Roman"/>
                <w:b/>
                <w:sz w:val="20"/>
              </w:rPr>
              <w:t>-</w:t>
            </w:r>
          </w:p>
        </w:tc>
        <w:tc>
          <w:tcPr>
            <w:tcW w:w="1315" w:type="dxa"/>
            <w:tcBorders>
              <w:bottom w:val="double" w:sz="4" w:space="0" w:color="auto"/>
            </w:tcBorders>
          </w:tcPr>
          <w:p w:rsidR="00C84D94" w:rsidRPr="00B46F2F" w:rsidRDefault="007720F6" w:rsidP="00E514C3">
            <w:pPr>
              <w:jc w:val="right"/>
              <w:rPr>
                <w:rFonts w:ascii="Times New Roman" w:hAnsi="Times New Roman"/>
                <w:b/>
                <w:sz w:val="20"/>
              </w:rPr>
            </w:pPr>
            <w:r>
              <w:rPr>
                <w:rFonts w:ascii="Times New Roman" w:hAnsi="Times New Roman"/>
                <w:b/>
                <w:sz w:val="20"/>
              </w:rPr>
              <w:t>7</w:t>
            </w:r>
            <w:r w:rsidR="00C84D94">
              <w:rPr>
                <w:rFonts w:ascii="Times New Roman" w:hAnsi="Times New Roman"/>
                <w:b/>
                <w:sz w:val="20"/>
              </w:rPr>
              <w:t>,</w:t>
            </w:r>
            <w:r>
              <w:rPr>
                <w:rFonts w:ascii="Times New Roman" w:hAnsi="Times New Roman"/>
                <w:b/>
                <w:sz w:val="20"/>
              </w:rPr>
              <w:t>72</w:t>
            </w:r>
            <w:r w:rsidR="00D83D2E">
              <w:rPr>
                <w:rFonts w:ascii="Times New Roman" w:hAnsi="Times New Roman"/>
                <w:b/>
                <w:sz w:val="20"/>
              </w:rPr>
              <w:t>3</w:t>
            </w:r>
            <w:r w:rsidR="00C84D94">
              <w:rPr>
                <w:rFonts w:ascii="Times New Roman" w:hAnsi="Times New Roman"/>
                <w:b/>
                <w:sz w:val="20"/>
              </w:rPr>
              <w:t>,</w:t>
            </w:r>
            <w:r w:rsidR="00D83D2E">
              <w:rPr>
                <w:rFonts w:ascii="Times New Roman" w:hAnsi="Times New Roman"/>
                <w:b/>
                <w:sz w:val="20"/>
              </w:rPr>
              <w:t>549</w:t>
            </w:r>
          </w:p>
        </w:tc>
        <w:tc>
          <w:tcPr>
            <w:tcW w:w="236" w:type="dxa"/>
          </w:tcPr>
          <w:p w:rsidR="00C84D94" w:rsidRPr="00B46F2F" w:rsidRDefault="00C84D94" w:rsidP="00C84D94">
            <w:pPr>
              <w:jc w:val="right"/>
              <w:rPr>
                <w:rFonts w:ascii="Times New Roman" w:hAnsi="Times New Roman"/>
                <w:b/>
                <w:sz w:val="20"/>
              </w:rPr>
            </w:pPr>
          </w:p>
        </w:tc>
        <w:tc>
          <w:tcPr>
            <w:tcW w:w="1312" w:type="dxa"/>
            <w:tcBorders>
              <w:bottom w:val="double" w:sz="4" w:space="0" w:color="auto"/>
            </w:tcBorders>
          </w:tcPr>
          <w:p w:rsidR="00C84D94" w:rsidRPr="00B46F2F" w:rsidRDefault="00C84D94" w:rsidP="00C84D94">
            <w:pPr>
              <w:jc w:val="right"/>
              <w:rPr>
                <w:rFonts w:ascii="Times New Roman" w:hAnsi="Times New Roman"/>
                <w:b/>
                <w:sz w:val="20"/>
              </w:rPr>
            </w:pPr>
            <w:r>
              <w:rPr>
                <w:rFonts w:ascii="Times New Roman" w:hAnsi="Times New Roman"/>
                <w:b/>
                <w:sz w:val="20"/>
              </w:rPr>
              <w:t>8,051,927</w:t>
            </w:r>
          </w:p>
        </w:tc>
      </w:tr>
    </w:tbl>
    <w:p w:rsidR="00340443" w:rsidRPr="00340443" w:rsidRDefault="00340443" w:rsidP="00340443"/>
    <w:p w:rsidR="00705AD2" w:rsidRDefault="00EE24D4" w:rsidP="00705AD2">
      <w:pPr>
        <w:rPr>
          <w:rFonts w:ascii="Times New Roman" w:hAnsi="Times New Roman"/>
          <w:b/>
          <w:sz w:val="20"/>
          <w:szCs w:val="20"/>
        </w:rPr>
      </w:pPr>
      <w:r w:rsidRPr="00B46F2F">
        <w:rPr>
          <w:rFonts w:ascii="Times New Roman" w:hAnsi="Times New Roman"/>
          <w:b/>
          <w:sz w:val="20"/>
          <w:szCs w:val="20"/>
        </w:rPr>
        <w:t>9</w:t>
      </w:r>
      <w:r w:rsidR="003B6CEF" w:rsidRPr="00B46F2F">
        <w:rPr>
          <w:rFonts w:ascii="Times New Roman" w:hAnsi="Times New Roman"/>
          <w:b/>
          <w:sz w:val="20"/>
          <w:szCs w:val="20"/>
        </w:rPr>
        <w:t>. Net movement in the fair value of securities</w:t>
      </w:r>
    </w:p>
    <w:p w:rsidR="006B2C86" w:rsidRDefault="006B2C86" w:rsidP="00705AD2">
      <w:pPr>
        <w:rPr>
          <w:rFonts w:ascii="Times New Roman" w:hAnsi="Times New Roman"/>
          <w:b/>
          <w:sz w:val="20"/>
          <w:szCs w:val="20"/>
        </w:rPr>
      </w:pPr>
    </w:p>
    <w:tbl>
      <w:tblPr>
        <w:tblW w:w="0" w:type="auto"/>
        <w:tblLayout w:type="fixed"/>
        <w:tblLook w:val="0000" w:firstRow="0" w:lastRow="0" w:firstColumn="0" w:lastColumn="0" w:noHBand="0" w:noVBand="0"/>
      </w:tblPr>
      <w:tblGrid>
        <w:gridCol w:w="4503"/>
        <w:gridCol w:w="1559"/>
        <w:gridCol w:w="1417"/>
        <w:gridCol w:w="1315"/>
        <w:gridCol w:w="236"/>
        <w:gridCol w:w="1312"/>
      </w:tblGrid>
      <w:tr w:rsidR="00C753A7" w:rsidRPr="00B46F2F" w:rsidTr="00C753A7">
        <w:trPr>
          <w:cantSplit/>
        </w:trPr>
        <w:tc>
          <w:tcPr>
            <w:tcW w:w="4503" w:type="dxa"/>
          </w:tcPr>
          <w:p w:rsidR="00C753A7" w:rsidRPr="00B46F2F" w:rsidRDefault="00C753A7" w:rsidP="00012706"/>
        </w:tc>
        <w:tc>
          <w:tcPr>
            <w:tcW w:w="1559" w:type="dxa"/>
          </w:tcPr>
          <w:p w:rsidR="00C753A7" w:rsidRPr="00B46F2F" w:rsidRDefault="00C753A7" w:rsidP="009C7477">
            <w:pPr>
              <w:jc w:val="center"/>
              <w:rPr>
                <w:rFonts w:ascii="Times New Roman" w:hAnsi="Times New Roman"/>
                <w:b/>
                <w:bCs/>
                <w:sz w:val="20"/>
              </w:rPr>
            </w:pPr>
          </w:p>
        </w:tc>
        <w:tc>
          <w:tcPr>
            <w:tcW w:w="1417" w:type="dxa"/>
            <w:vAlign w:val="bottom"/>
          </w:tcPr>
          <w:p w:rsidR="00C753A7" w:rsidRPr="00B46F2F" w:rsidRDefault="009A5D33">
            <w:pPr>
              <w:jc w:val="right"/>
              <w:rPr>
                <w:rFonts w:ascii="Times New Roman" w:hAnsi="Times New Roman"/>
                <w:b/>
                <w:bCs/>
                <w:sz w:val="20"/>
              </w:rPr>
            </w:pPr>
            <w:r w:rsidRPr="00B46F2F">
              <w:rPr>
                <w:rFonts w:ascii="Times New Roman" w:hAnsi="Times New Roman"/>
                <w:b/>
                <w:bCs/>
                <w:sz w:val="20"/>
              </w:rPr>
              <w:t>201</w:t>
            </w:r>
            <w:r w:rsidR="00C84D94">
              <w:rPr>
                <w:rFonts w:ascii="Times New Roman" w:hAnsi="Times New Roman"/>
                <w:b/>
                <w:bCs/>
                <w:sz w:val="20"/>
              </w:rPr>
              <w:t>8</w:t>
            </w:r>
          </w:p>
        </w:tc>
        <w:tc>
          <w:tcPr>
            <w:tcW w:w="1315" w:type="dxa"/>
          </w:tcPr>
          <w:p w:rsidR="00C753A7" w:rsidRPr="00B46F2F" w:rsidRDefault="00C753A7" w:rsidP="009C7477">
            <w:pPr>
              <w:jc w:val="center"/>
              <w:rPr>
                <w:rFonts w:ascii="Times New Roman" w:hAnsi="Times New Roman"/>
                <w:b/>
                <w:bCs/>
                <w:sz w:val="20"/>
              </w:rPr>
            </w:pPr>
          </w:p>
        </w:tc>
        <w:tc>
          <w:tcPr>
            <w:tcW w:w="236" w:type="dxa"/>
          </w:tcPr>
          <w:p w:rsidR="00C753A7" w:rsidRPr="00B46F2F" w:rsidRDefault="00C753A7" w:rsidP="003B6CEF">
            <w:pPr>
              <w:jc w:val="right"/>
              <w:rPr>
                <w:rFonts w:ascii="Times New Roman" w:hAnsi="Times New Roman"/>
                <w:sz w:val="20"/>
              </w:rPr>
            </w:pPr>
          </w:p>
        </w:tc>
        <w:tc>
          <w:tcPr>
            <w:tcW w:w="1312" w:type="dxa"/>
          </w:tcPr>
          <w:p w:rsidR="00C753A7" w:rsidRPr="00B46F2F" w:rsidRDefault="009A5D33">
            <w:pPr>
              <w:jc w:val="right"/>
              <w:rPr>
                <w:rFonts w:ascii="Times New Roman" w:hAnsi="Times New Roman"/>
                <w:b/>
                <w:bCs/>
                <w:sz w:val="20"/>
              </w:rPr>
            </w:pPr>
            <w:r w:rsidRPr="00B46F2F">
              <w:rPr>
                <w:rFonts w:ascii="Times New Roman" w:hAnsi="Times New Roman"/>
                <w:b/>
                <w:bCs/>
                <w:sz w:val="20"/>
              </w:rPr>
              <w:t>201</w:t>
            </w:r>
            <w:r w:rsidR="00C84D94">
              <w:rPr>
                <w:rFonts w:ascii="Times New Roman" w:hAnsi="Times New Roman"/>
                <w:b/>
                <w:bCs/>
                <w:sz w:val="20"/>
              </w:rPr>
              <w:t>7</w:t>
            </w:r>
          </w:p>
        </w:tc>
      </w:tr>
      <w:tr w:rsidR="00012706" w:rsidRPr="00B46F2F" w:rsidTr="009C7477">
        <w:trPr>
          <w:cantSplit/>
        </w:trPr>
        <w:tc>
          <w:tcPr>
            <w:tcW w:w="4503" w:type="dxa"/>
          </w:tcPr>
          <w:p w:rsidR="00012706" w:rsidRPr="00B46F2F" w:rsidRDefault="00012706" w:rsidP="00EA320A">
            <w:pPr>
              <w:pStyle w:val="Heading3"/>
              <w:ind w:left="284"/>
              <w:rPr>
                <w:rFonts w:ascii="Times New Roman" w:hAnsi="Times New Roman"/>
                <w:b w:val="0"/>
                <w:bCs w:val="0"/>
              </w:rPr>
            </w:pPr>
          </w:p>
        </w:tc>
        <w:tc>
          <w:tcPr>
            <w:tcW w:w="1559" w:type="dxa"/>
            <w:vAlign w:val="bottom"/>
          </w:tcPr>
          <w:p w:rsidR="009C7477" w:rsidRPr="00B46F2F" w:rsidRDefault="009C7477" w:rsidP="009C7477">
            <w:pPr>
              <w:pStyle w:val="Heading3"/>
              <w:ind w:left="284"/>
              <w:jc w:val="right"/>
              <w:rPr>
                <w:rFonts w:ascii="Times New Roman" w:hAnsi="Times New Roman"/>
              </w:rPr>
            </w:pPr>
            <w:r w:rsidRPr="00B46F2F">
              <w:rPr>
                <w:rFonts w:ascii="Times New Roman" w:hAnsi="Times New Roman"/>
              </w:rPr>
              <w:t>Revenue</w:t>
            </w:r>
          </w:p>
          <w:p w:rsidR="00012706" w:rsidRPr="00B46F2F" w:rsidRDefault="009C7477" w:rsidP="009C7477">
            <w:pPr>
              <w:pStyle w:val="Heading3"/>
              <w:ind w:left="284"/>
              <w:jc w:val="right"/>
              <w:rPr>
                <w:rFonts w:ascii="Times New Roman" w:hAnsi="Times New Roman"/>
                <w:b w:val="0"/>
                <w:bCs w:val="0"/>
              </w:rPr>
            </w:pPr>
            <w:r w:rsidRPr="00B46F2F">
              <w:rPr>
                <w:rFonts w:ascii="Times New Roman" w:hAnsi="Times New Roman"/>
              </w:rPr>
              <w:t>GBP</w:t>
            </w:r>
          </w:p>
        </w:tc>
        <w:tc>
          <w:tcPr>
            <w:tcW w:w="1417" w:type="dxa"/>
            <w:vAlign w:val="bottom"/>
          </w:tcPr>
          <w:p w:rsidR="009C7477" w:rsidRPr="00B46F2F" w:rsidRDefault="009C7477" w:rsidP="009C7477">
            <w:pPr>
              <w:pStyle w:val="Heading3"/>
              <w:ind w:left="284"/>
              <w:jc w:val="right"/>
              <w:rPr>
                <w:rFonts w:ascii="Times New Roman" w:hAnsi="Times New Roman"/>
              </w:rPr>
            </w:pPr>
            <w:r w:rsidRPr="00B46F2F">
              <w:rPr>
                <w:rFonts w:ascii="Times New Roman" w:hAnsi="Times New Roman"/>
              </w:rPr>
              <w:t>Capital</w:t>
            </w:r>
          </w:p>
          <w:p w:rsidR="00012706" w:rsidRPr="00B46F2F" w:rsidRDefault="009C7477" w:rsidP="009C7477">
            <w:pPr>
              <w:pStyle w:val="Heading3"/>
              <w:ind w:left="284"/>
              <w:jc w:val="right"/>
              <w:rPr>
                <w:rFonts w:ascii="Times New Roman" w:hAnsi="Times New Roman"/>
                <w:b w:val="0"/>
                <w:bCs w:val="0"/>
              </w:rPr>
            </w:pPr>
            <w:r w:rsidRPr="00B46F2F">
              <w:rPr>
                <w:rFonts w:ascii="Times New Roman" w:hAnsi="Times New Roman"/>
              </w:rPr>
              <w:t>GBP</w:t>
            </w:r>
          </w:p>
        </w:tc>
        <w:tc>
          <w:tcPr>
            <w:tcW w:w="1315" w:type="dxa"/>
            <w:vAlign w:val="bottom"/>
          </w:tcPr>
          <w:p w:rsidR="009C7477" w:rsidRPr="00B46F2F" w:rsidRDefault="009C7477" w:rsidP="009C7477">
            <w:pPr>
              <w:jc w:val="right"/>
              <w:rPr>
                <w:rFonts w:ascii="Times New Roman" w:hAnsi="Times New Roman"/>
                <w:b/>
                <w:bCs/>
                <w:sz w:val="20"/>
              </w:rPr>
            </w:pPr>
            <w:r w:rsidRPr="00B46F2F">
              <w:rPr>
                <w:rFonts w:ascii="Times New Roman" w:hAnsi="Times New Roman"/>
                <w:b/>
                <w:bCs/>
                <w:sz w:val="20"/>
              </w:rPr>
              <w:t>Total</w:t>
            </w:r>
          </w:p>
          <w:p w:rsidR="00012706" w:rsidRPr="00B46F2F" w:rsidRDefault="00012706" w:rsidP="009C7477">
            <w:pPr>
              <w:jc w:val="right"/>
              <w:rPr>
                <w:rFonts w:ascii="Times New Roman" w:hAnsi="Times New Roman"/>
                <w:b/>
                <w:bCs/>
                <w:sz w:val="20"/>
              </w:rPr>
            </w:pPr>
            <w:r w:rsidRPr="00B46F2F">
              <w:rPr>
                <w:rFonts w:ascii="Times New Roman" w:hAnsi="Times New Roman"/>
                <w:b/>
                <w:bCs/>
                <w:sz w:val="20"/>
              </w:rPr>
              <w:t>GBP</w:t>
            </w:r>
          </w:p>
        </w:tc>
        <w:tc>
          <w:tcPr>
            <w:tcW w:w="236" w:type="dxa"/>
          </w:tcPr>
          <w:p w:rsidR="00012706" w:rsidRPr="00B46F2F" w:rsidRDefault="00012706" w:rsidP="00460791">
            <w:pPr>
              <w:jc w:val="right"/>
              <w:rPr>
                <w:rFonts w:ascii="Times New Roman" w:hAnsi="Times New Roman"/>
                <w:sz w:val="20"/>
              </w:rPr>
            </w:pPr>
          </w:p>
        </w:tc>
        <w:tc>
          <w:tcPr>
            <w:tcW w:w="1312" w:type="dxa"/>
            <w:vAlign w:val="bottom"/>
          </w:tcPr>
          <w:p w:rsidR="00012706" w:rsidRPr="00B46F2F" w:rsidRDefault="00012706" w:rsidP="009C7477">
            <w:pPr>
              <w:jc w:val="right"/>
              <w:rPr>
                <w:rFonts w:ascii="Times New Roman" w:hAnsi="Times New Roman"/>
                <w:b/>
                <w:bCs/>
                <w:sz w:val="20"/>
              </w:rPr>
            </w:pPr>
            <w:r w:rsidRPr="00B46F2F">
              <w:rPr>
                <w:rFonts w:ascii="Times New Roman" w:hAnsi="Times New Roman"/>
                <w:b/>
                <w:bCs/>
                <w:sz w:val="20"/>
              </w:rPr>
              <w:t>GBP</w:t>
            </w:r>
          </w:p>
        </w:tc>
      </w:tr>
      <w:tr w:rsidR="009C7477" w:rsidRPr="00B46F2F" w:rsidTr="00421CB7">
        <w:trPr>
          <w:cantSplit/>
        </w:trPr>
        <w:tc>
          <w:tcPr>
            <w:tcW w:w="4503" w:type="dxa"/>
          </w:tcPr>
          <w:p w:rsidR="009C7477" w:rsidRPr="00B46F2F" w:rsidRDefault="009C7477" w:rsidP="00EA320A">
            <w:pPr>
              <w:pStyle w:val="Heading3"/>
              <w:ind w:left="284"/>
              <w:rPr>
                <w:rFonts w:ascii="Times New Roman" w:hAnsi="Times New Roman"/>
                <w:b w:val="0"/>
                <w:bCs w:val="0"/>
              </w:rPr>
            </w:pPr>
          </w:p>
        </w:tc>
        <w:tc>
          <w:tcPr>
            <w:tcW w:w="1559" w:type="dxa"/>
          </w:tcPr>
          <w:p w:rsidR="009C7477" w:rsidRPr="00B46F2F" w:rsidRDefault="009C7477" w:rsidP="00EA320A">
            <w:pPr>
              <w:pStyle w:val="Heading3"/>
              <w:ind w:left="284"/>
              <w:rPr>
                <w:rFonts w:ascii="Times New Roman" w:hAnsi="Times New Roman"/>
                <w:b w:val="0"/>
                <w:bCs w:val="0"/>
              </w:rPr>
            </w:pPr>
          </w:p>
        </w:tc>
        <w:tc>
          <w:tcPr>
            <w:tcW w:w="1417" w:type="dxa"/>
          </w:tcPr>
          <w:p w:rsidR="009C7477" w:rsidRPr="00B46F2F" w:rsidRDefault="009C7477" w:rsidP="00EA320A">
            <w:pPr>
              <w:pStyle w:val="Heading3"/>
              <w:ind w:left="284"/>
              <w:rPr>
                <w:rFonts w:ascii="Times New Roman" w:hAnsi="Times New Roman"/>
                <w:b w:val="0"/>
                <w:bCs w:val="0"/>
              </w:rPr>
            </w:pPr>
          </w:p>
        </w:tc>
        <w:tc>
          <w:tcPr>
            <w:tcW w:w="1315" w:type="dxa"/>
          </w:tcPr>
          <w:p w:rsidR="009C7477" w:rsidRPr="00B46F2F" w:rsidRDefault="009C7477" w:rsidP="00460791">
            <w:pPr>
              <w:pStyle w:val="Heading3"/>
              <w:rPr>
                <w:rFonts w:ascii="Times New Roman" w:hAnsi="Times New Roman"/>
                <w:b w:val="0"/>
              </w:rPr>
            </w:pPr>
          </w:p>
        </w:tc>
        <w:tc>
          <w:tcPr>
            <w:tcW w:w="236" w:type="dxa"/>
          </w:tcPr>
          <w:p w:rsidR="009C7477" w:rsidRPr="00B46F2F" w:rsidRDefault="009C7477" w:rsidP="003B6CEF">
            <w:pPr>
              <w:tabs>
                <w:tab w:val="left" w:pos="432"/>
              </w:tabs>
              <w:jc w:val="right"/>
              <w:rPr>
                <w:rFonts w:ascii="Times New Roman" w:hAnsi="Times New Roman"/>
                <w:b/>
                <w:sz w:val="20"/>
              </w:rPr>
            </w:pPr>
          </w:p>
        </w:tc>
        <w:tc>
          <w:tcPr>
            <w:tcW w:w="1312" w:type="dxa"/>
          </w:tcPr>
          <w:p w:rsidR="009C7477" w:rsidRPr="00B46F2F" w:rsidRDefault="009C7477" w:rsidP="00460791">
            <w:pPr>
              <w:rPr>
                <w:rFonts w:ascii="Times New Roman" w:hAnsi="Times New Roman"/>
                <w:b/>
                <w:sz w:val="20"/>
              </w:rPr>
            </w:pPr>
          </w:p>
        </w:tc>
      </w:tr>
      <w:tr w:rsidR="00C84D94" w:rsidRPr="00B46F2F" w:rsidTr="0011506A">
        <w:trPr>
          <w:cantSplit/>
        </w:trPr>
        <w:tc>
          <w:tcPr>
            <w:tcW w:w="4503" w:type="dxa"/>
          </w:tcPr>
          <w:p w:rsidR="00C84D94" w:rsidRPr="00B46F2F" w:rsidRDefault="00C84D94">
            <w:pPr>
              <w:pStyle w:val="Heading3"/>
              <w:ind w:left="284"/>
              <w:rPr>
                <w:rFonts w:ascii="Times New Roman" w:hAnsi="Times New Roman"/>
                <w:b w:val="0"/>
                <w:bCs w:val="0"/>
              </w:rPr>
            </w:pPr>
            <w:r>
              <w:rPr>
                <w:rFonts w:ascii="Times New Roman" w:hAnsi="Times New Roman"/>
                <w:b w:val="0"/>
                <w:bCs w:val="0"/>
              </w:rPr>
              <w:t xml:space="preserve">Gains </w:t>
            </w:r>
            <w:r w:rsidRPr="00B46F2F">
              <w:rPr>
                <w:rFonts w:ascii="Times New Roman" w:hAnsi="Times New Roman"/>
                <w:b w:val="0"/>
                <w:bCs w:val="0"/>
              </w:rPr>
              <w:t>on sale of securities</w:t>
            </w:r>
          </w:p>
        </w:tc>
        <w:tc>
          <w:tcPr>
            <w:tcW w:w="1559" w:type="dxa"/>
            <w:vAlign w:val="bottom"/>
          </w:tcPr>
          <w:p w:rsidR="00C84D94" w:rsidRPr="00B46F2F" w:rsidRDefault="00C84D94" w:rsidP="009C7477">
            <w:pPr>
              <w:pStyle w:val="Heading3"/>
              <w:ind w:left="284"/>
              <w:jc w:val="right"/>
              <w:rPr>
                <w:rFonts w:ascii="Times New Roman" w:hAnsi="Times New Roman"/>
                <w:b w:val="0"/>
                <w:bCs w:val="0"/>
              </w:rPr>
            </w:pPr>
            <w:r w:rsidRPr="00B46F2F">
              <w:rPr>
                <w:rFonts w:ascii="Times New Roman" w:hAnsi="Times New Roman"/>
                <w:b w:val="0"/>
                <w:bCs w:val="0"/>
              </w:rPr>
              <w:t>-</w:t>
            </w:r>
          </w:p>
        </w:tc>
        <w:tc>
          <w:tcPr>
            <w:tcW w:w="1417" w:type="dxa"/>
            <w:vAlign w:val="bottom"/>
          </w:tcPr>
          <w:p w:rsidR="00C84D94" w:rsidRPr="00B46F2F" w:rsidRDefault="007720F6">
            <w:pPr>
              <w:pStyle w:val="Heading3"/>
              <w:ind w:left="-108"/>
              <w:jc w:val="right"/>
              <w:rPr>
                <w:rFonts w:ascii="Times New Roman" w:hAnsi="Times New Roman"/>
                <w:b w:val="0"/>
                <w:bCs w:val="0"/>
              </w:rPr>
            </w:pPr>
            <w:r>
              <w:rPr>
                <w:rFonts w:ascii="Times New Roman" w:hAnsi="Times New Roman"/>
                <w:b w:val="0"/>
                <w:bCs w:val="0"/>
              </w:rPr>
              <w:t>2</w:t>
            </w:r>
            <w:r w:rsidR="00C84D94">
              <w:rPr>
                <w:rFonts w:ascii="Times New Roman" w:hAnsi="Times New Roman"/>
                <w:b w:val="0"/>
                <w:bCs w:val="0"/>
              </w:rPr>
              <w:t>,</w:t>
            </w:r>
            <w:r>
              <w:rPr>
                <w:rFonts w:ascii="Times New Roman" w:hAnsi="Times New Roman"/>
                <w:b w:val="0"/>
                <w:bCs w:val="0"/>
              </w:rPr>
              <w:t>9</w:t>
            </w:r>
            <w:r w:rsidR="00D83D2E">
              <w:rPr>
                <w:rFonts w:ascii="Times New Roman" w:hAnsi="Times New Roman"/>
                <w:b w:val="0"/>
                <w:bCs w:val="0"/>
              </w:rPr>
              <w:t>94</w:t>
            </w:r>
            <w:r w:rsidR="00C84D94">
              <w:rPr>
                <w:rFonts w:ascii="Times New Roman" w:hAnsi="Times New Roman"/>
                <w:b w:val="0"/>
                <w:bCs w:val="0"/>
              </w:rPr>
              <w:t>,</w:t>
            </w:r>
            <w:r w:rsidR="00D83D2E">
              <w:rPr>
                <w:rFonts w:ascii="Times New Roman" w:hAnsi="Times New Roman"/>
                <w:b w:val="0"/>
                <w:bCs w:val="0"/>
              </w:rPr>
              <w:t>003</w:t>
            </w:r>
          </w:p>
        </w:tc>
        <w:tc>
          <w:tcPr>
            <w:tcW w:w="1315" w:type="dxa"/>
            <w:vAlign w:val="bottom"/>
          </w:tcPr>
          <w:p w:rsidR="00C84D94" w:rsidRPr="00B46F2F" w:rsidRDefault="007720F6">
            <w:pPr>
              <w:pStyle w:val="Heading3"/>
              <w:ind w:left="-108"/>
              <w:jc w:val="right"/>
              <w:rPr>
                <w:rFonts w:ascii="Times New Roman" w:hAnsi="Times New Roman"/>
                <w:b w:val="0"/>
                <w:bCs w:val="0"/>
              </w:rPr>
            </w:pPr>
            <w:r>
              <w:rPr>
                <w:rFonts w:ascii="Times New Roman" w:hAnsi="Times New Roman"/>
                <w:b w:val="0"/>
                <w:bCs w:val="0"/>
              </w:rPr>
              <w:t>2</w:t>
            </w:r>
            <w:r w:rsidR="00C84D94">
              <w:rPr>
                <w:rFonts w:ascii="Times New Roman" w:hAnsi="Times New Roman"/>
                <w:b w:val="0"/>
                <w:bCs w:val="0"/>
              </w:rPr>
              <w:t>,</w:t>
            </w:r>
            <w:r>
              <w:rPr>
                <w:rFonts w:ascii="Times New Roman" w:hAnsi="Times New Roman"/>
                <w:b w:val="0"/>
                <w:bCs w:val="0"/>
              </w:rPr>
              <w:t>9</w:t>
            </w:r>
            <w:r w:rsidR="00D83D2E">
              <w:rPr>
                <w:rFonts w:ascii="Times New Roman" w:hAnsi="Times New Roman"/>
                <w:b w:val="0"/>
                <w:bCs w:val="0"/>
              </w:rPr>
              <w:t>94</w:t>
            </w:r>
            <w:r w:rsidR="00C84D94">
              <w:rPr>
                <w:rFonts w:ascii="Times New Roman" w:hAnsi="Times New Roman"/>
                <w:b w:val="0"/>
                <w:bCs w:val="0"/>
              </w:rPr>
              <w:t>,</w:t>
            </w:r>
            <w:r w:rsidR="00D83D2E">
              <w:rPr>
                <w:rFonts w:ascii="Times New Roman" w:hAnsi="Times New Roman"/>
                <w:b w:val="0"/>
                <w:bCs w:val="0"/>
              </w:rPr>
              <w:t>003</w:t>
            </w:r>
          </w:p>
        </w:tc>
        <w:tc>
          <w:tcPr>
            <w:tcW w:w="236" w:type="dxa"/>
            <w:vAlign w:val="bottom"/>
          </w:tcPr>
          <w:p w:rsidR="00C84D94" w:rsidRPr="00B46F2F" w:rsidRDefault="00C84D94" w:rsidP="009C7477">
            <w:pPr>
              <w:tabs>
                <w:tab w:val="left" w:pos="432"/>
              </w:tabs>
              <w:jc w:val="right"/>
              <w:rPr>
                <w:rFonts w:ascii="Times New Roman" w:hAnsi="Times New Roman"/>
                <w:b/>
                <w:sz w:val="20"/>
              </w:rPr>
            </w:pPr>
          </w:p>
        </w:tc>
        <w:tc>
          <w:tcPr>
            <w:tcW w:w="1312" w:type="dxa"/>
            <w:vAlign w:val="bottom"/>
          </w:tcPr>
          <w:p w:rsidR="00C84D94" w:rsidRPr="00B46F2F" w:rsidRDefault="00C84D94">
            <w:pPr>
              <w:pStyle w:val="Heading3"/>
              <w:ind w:left="-108"/>
              <w:jc w:val="right"/>
              <w:rPr>
                <w:rFonts w:ascii="Times New Roman" w:hAnsi="Times New Roman"/>
                <w:b w:val="0"/>
                <w:bCs w:val="0"/>
              </w:rPr>
            </w:pPr>
            <w:r>
              <w:rPr>
                <w:rFonts w:ascii="Times New Roman" w:hAnsi="Times New Roman"/>
                <w:b w:val="0"/>
                <w:bCs w:val="0"/>
              </w:rPr>
              <w:t>15,41</w:t>
            </w:r>
            <w:r w:rsidR="007720F6">
              <w:rPr>
                <w:rFonts w:ascii="Times New Roman" w:hAnsi="Times New Roman"/>
                <w:b w:val="0"/>
                <w:bCs w:val="0"/>
              </w:rPr>
              <w:t>6</w:t>
            </w:r>
            <w:r>
              <w:rPr>
                <w:rFonts w:ascii="Times New Roman" w:hAnsi="Times New Roman"/>
                <w:b w:val="0"/>
                <w:bCs w:val="0"/>
              </w:rPr>
              <w:t>,690</w:t>
            </w:r>
          </w:p>
        </w:tc>
      </w:tr>
      <w:tr w:rsidR="00C84D94" w:rsidRPr="00B46F2F" w:rsidTr="0011506A">
        <w:trPr>
          <w:cantSplit/>
        </w:trPr>
        <w:tc>
          <w:tcPr>
            <w:tcW w:w="4503" w:type="dxa"/>
          </w:tcPr>
          <w:p w:rsidR="00C84D94" w:rsidRPr="00B46F2F" w:rsidRDefault="00963D05">
            <w:pPr>
              <w:pStyle w:val="Heading3"/>
              <w:ind w:left="284"/>
              <w:rPr>
                <w:rFonts w:ascii="Times New Roman" w:hAnsi="Times New Roman"/>
                <w:b w:val="0"/>
                <w:bCs w:val="0"/>
              </w:rPr>
            </w:pPr>
            <w:r>
              <w:rPr>
                <w:rFonts w:ascii="Times New Roman" w:hAnsi="Times New Roman"/>
                <w:b w:val="0"/>
                <w:bCs w:val="0"/>
              </w:rPr>
              <w:t xml:space="preserve">Losses </w:t>
            </w:r>
            <w:r w:rsidR="00C84D94" w:rsidRPr="00B46F2F">
              <w:rPr>
                <w:rFonts w:ascii="Times New Roman" w:hAnsi="Times New Roman"/>
                <w:b w:val="0"/>
                <w:bCs w:val="0"/>
              </w:rPr>
              <w:t>on the revaluation of securities at year end</w:t>
            </w:r>
          </w:p>
        </w:tc>
        <w:tc>
          <w:tcPr>
            <w:tcW w:w="1559" w:type="dxa"/>
            <w:tcBorders>
              <w:bottom w:val="single" w:sz="4" w:space="0" w:color="auto"/>
            </w:tcBorders>
            <w:vAlign w:val="bottom"/>
          </w:tcPr>
          <w:p w:rsidR="00C84D94" w:rsidRPr="00B46F2F" w:rsidRDefault="00C84D94" w:rsidP="009C7477">
            <w:pPr>
              <w:pStyle w:val="Heading3"/>
              <w:ind w:left="284"/>
              <w:jc w:val="right"/>
              <w:rPr>
                <w:rFonts w:ascii="Times New Roman" w:hAnsi="Times New Roman"/>
                <w:b w:val="0"/>
                <w:bCs w:val="0"/>
              </w:rPr>
            </w:pPr>
            <w:r w:rsidRPr="00B46F2F">
              <w:rPr>
                <w:rFonts w:ascii="Times New Roman" w:hAnsi="Times New Roman"/>
                <w:b w:val="0"/>
                <w:bCs w:val="0"/>
              </w:rPr>
              <w:t>-</w:t>
            </w:r>
          </w:p>
        </w:tc>
        <w:tc>
          <w:tcPr>
            <w:tcW w:w="1417" w:type="dxa"/>
            <w:tcBorders>
              <w:bottom w:val="single" w:sz="4" w:space="0" w:color="auto"/>
            </w:tcBorders>
            <w:vAlign w:val="bottom"/>
          </w:tcPr>
          <w:p w:rsidR="00C84D94" w:rsidRPr="00B46F2F" w:rsidRDefault="00C84D94">
            <w:pPr>
              <w:pStyle w:val="Heading3"/>
              <w:ind w:left="-108"/>
              <w:jc w:val="right"/>
              <w:rPr>
                <w:rFonts w:ascii="Times New Roman" w:hAnsi="Times New Roman"/>
                <w:b w:val="0"/>
                <w:bCs w:val="0"/>
              </w:rPr>
            </w:pPr>
            <w:r>
              <w:rPr>
                <w:rFonts w:ascii="Times New Roman" w:hAnsi="Times New Roman"/>
                <w:b w:val="0"/>
                <w:bCs w:val="0"/>
              </w:rPr>
              <w:t>(</w:t>
            </w:r>
            <w:bookmarkStart w:id="48" w:name="OLE_LINK48"/>
            <w:bookmarkStart w:id="49" w:name="OLE_LINK49"/>
            <w:r w:rsidR="007720F6">
              <w:rPr>
                <w:rFonts w:ascii="Times New Roman" w:hAnsi="Times New Roman"/>
                <w:b w:val="0"/>
                <w:bCs w:val="0"/>
              </w:rPr>
              <w:t>22</w:t>
            </w:r>
            <w:r>
              <w:rPr>
                <w:rFonts w:ascii="Times New Roman" w:hAnsi="Times New Roman"/>
                <w:b w:val="0"/>
                <w:bCs w:val="0"/>
              </w:rPr>
              <w:t>,</w:t>
            </w:r>
            <w:r w:rsidR="00D83D2E">
              <w:rPr>
                <w:rFonts w:ascii="Times New Roman" w:hAnsi="Times New Roman"/>
                <w:b w:val="0"/>
                <w:bCs w:val="0"/>
              </w:rPr>
              <w:t>165</w:t>
            </w:r>
            <w:r>
              <w:rPr>
                <w:rFonts w:ascii="Times New Roman" w:hAnsi="Times New Roman"/>
                <w:b w:val="0"/>
                <w:bCs w:val="0"/>
              </w:rPr>
              <w:t>,</w:t>
            </w:r>
            <w:bookmarkEnd w:id="48"/>
            <w:bookmarkEnd w:id="49"/>
            <w:r w:rsidR="00D83D2E">
              <w:rPr>
                <w:rFonts w:ascii="Times New Roman" w:hAnsi="Times New Roman"/>
                <w:b w:val="0"/>
                <w:bCs w:val="0"/>
              </w:rPr>
              <w:t>859</w:t>
            </w:r>
            <w:r>
              <w:rPr>
                <w:rFonts w:ascii="Times New Roman" w:hAnsi="Times New Roman"/>
                <w:b w:val="0"/>
                <w:bCs w:val="0"/>
              </w:rPr>
              <w:t>)</w:t>
            </w:r>
          </w:p>
        </w:tc>
        <w:tc>
          <w:tcPr>
            <w:tcW w:w="1315" w:type="dxa"/>
            <w:tcBorders>
              <w:bottom w:val="single" w:sz="4" w:space="0" w:color="auto"/>
            </w:tcBorders>
            <w:vAlign w:val="bottom"/>
          </w:tcPr>
          <w:p w:rsidR="00C84D94" w:rsidRPr="00B46F2F" w:rsidRDefault="00C84D94">
            <w:pPr>
              <w:pStyle w:val="Heading3"/>
              <w:ind w:left="-108"/>
              <w:jc w:val="right"/>
              <w:rPr>
                <w:rFonts w:ascii="Times New Roman" w:hAnsi="Times New Roman"/>
                <w:b w:val="0"/>
                <w:bCs w:val="0"/>
              </w:rPr>
            </w:pPr>
            <w:r>
              <w:rPr>
                <w:rFonts w:ascii="Times New Roman" w:hAnsi="Times New Roman"/>
                <w:b w:val="0"/>
                <w:bCs w:val="0"/>
              </w:rPr>
              <w:t>(</w:t>
            </w:r>
            <w:r w:rsidR="007720F6">
              <w:rPr>
                <w:rFonts w:ascii="Times New Roman" w:hAnsi="Times New Roman"/>
                <w:b w:val="0"/>
                <w:bCs w:val="0"/>
              </w:rPr>
              <w:t>22</w:t>
            </w:r>
            <w:r>
              <w:rPr>
                <w:rFonts w:ascii="Times New Roman" w:hAnsi="Times New Roman"/>
                <w:b w:val="0"/>
                <w:bCs w:val="0"/>
              </w:rPr>
              <w:t>,</w:t>
            </w:r>
            <w:r w:rsidR="00D83D2E">
              <w:rPr>
                <w:rFonts w:ascii="Times New Roman" w:hAnsi="Times New Roman"/>
                <w:b w:val="0"/>
                <w:bCs w:val="0"/>
              </w:rPr>
              <w:t>165</w:t>
            </w:r>
            <w:r>
              <w:rPr>
                <w:rFonts w:ascii="Times New Roman" w:hAnsi="Times New Roman"/>
                <w:b w:val="0"/>
                <w:bCs w:val="0"/>
              </w:rPr>
              <w:t>,</w:t>
            </w:r>
            <w:r w:rsidR="00D83D2E">
              <w:rPr>
                <w:rFonts w:ascii="Times New Roman" w:hAnsi="Times New Roman"/>
                <w:b w:val="0"/>
                <w:bCs w:val="0"/>
              </w:rPr>
              <w:t>859</w:t>
            </w:r>
            <w:r>
              <w:rPr>
                <w:rFonts w:ascii="Times New Roman" w:hAnsi="Times New Roman"/>
                <w:b w:val="0"/>
                <w:bCs w:val="0"/>
              </w:rPr>
              <w:t>)</w:t>
            </w:r>
          </w:p>
        </w:tc>
        <w:tc>
          <w:tcPr>
            <w:tcW w:w="236" w:type="dxa"/>
            <w:vAlign w:val="bottom"/>
          </w:tcPr>
          <w:p w:rsidR="00C84D94" w:rsidRPr="00B46F2F" w:rsidRDefault="00C84D94" w:rsidP="009C7477">
            <w:pPr>
              <w:tabs>
                <w:tab w:val="left" w:pos="432"/>
              </w:tabs>
              <w:jc w:val="right"/>
              <w:rPr>
                <w:rFonts w:ascii="Times New Roman" w:hAnsi="Times New Roman"/>
                <w:b/>
                <w:sz w:val="20"/>
              </w:rPr>
            </w:pPr>
          </w:p>
        </w:tc>
        <w:tc>
          <w:tcPr>
            <w:tcW w:w="1312" w:type="dxa"/>
            <w:tcBorders>
              <w:bottom w:val="single" w:sz="4" w:space="0" w:color="auto"/>
            </w:tcBorders>
            <w:vAlign w:val="bottom"/>
          </w:tcPr>
          <w:p w:rsidR="00C84D94" w:rsidRPr="00B46F2F" w:rsidRDefault="00C84D94" w:rsidP="003B01CA">
            <w:pPr>
              <w:pStyle w:val="Heading3"/>
              <w:ind w:left="-108"/>
              <w:jc w:val="right"/>
              <w:rPr>
                <w:rFonts w:ascii="Times New Roman" w:hAnsi="Times New Roman"/>
                <w:b w:val="0"/>
                <w:bCs w:val="0"/>
              </w:rPr>
            </w:pPr>
            <w:r>
              <w:rPr>
                <w:rFonts w:ascii="Times New Roman" w:hAnsi="Times New Roman"/>
                <w:b w:val="0"/>
                <w:bCs w:val="0"/>
              </w:rPr>
              <w:t>(19,258,991)</w:t>
            </w:r>
          </w:p>
        </w:tc>
      </w:tr>
      <w:tr w:rsidR="00C84D94" w:rsidRPr="00B46F2F" w:rsidTr="00116C07">
        <w:trPr>
          <w:cantSplit/>
        </w:trPr>
        <w:tc>
          <w:tcPr>
            <w:tcW w:w="4503" w:type="dxa"/>
          </w:tcPr>
          <w:p w:rsidR="00C84D94" w:rsidRPr="00B46F2F" w:rsidRDefault="00C84D94" w:rsidP="00EA320A">
            <w:pPr>
              <w:pStyle w:val="Heading3"/>
              <w:tabs>
                <w:tab w:val="clear" w:pos="3402"/>
                <w:tab w:val="clear" w:pos="8222"/>
              </w:tabs>
              <w:ind w:left="284"/>
              <w:rPr>
                <w:rFonts w:ascii="Times New Roman" w:hAnsi="Times New Roman"/>
                <w:b w:val="0"/>
                <w:bCs w:val="0"/>
              </w:rPr>
            </w:pPr>
            <w:r w:rsidRPr="00B46F2F">
              <w:rPr>
                <w:rFonts w:ascii="Times New Roman" w:hAnsi="Times New Roman"/>
                <w:b w:val="0"/>
                <w:bCs w:val="0"/>
              </w:rPr>
              <w:t>Net movement in the fair value of securities (at fair value through profit or loss)</w:t>
            </w:r>
          </w:p>
        </w:tc>
        <w:tc>
          <w:tcPr>
            <w:tcW w:w="1559" w:type="dxa"/>
            <w:tcBorders>
              <w:top w:val="single" w:sz="4" w:space="0" w:color="auto"/>
              <w:bottom w:val="double" w:sz="4" w:space="0" w:color="auto"/>
            </w:tcBorders>
            <w:vAlign w:val="bottom"/>
          </w:tcPr>
          <w:p w:rsidR="00C84D94" w:rsidRPr="00B46F2F" w:rsidRDefault="00C84D94" w:rsidP="009C7477">
            <w:pPr>
              <w:pStyle w:val="Heading3"/>
              <w:tabs>
                <w:tab w:val="clear" w:pos="3402"/>
                <w:tab w:val="clear" w:pos="8222"/>
              </w:tabs>
              <w:ind w:left="284"/>
              <w:jc w:val="right"/>
              <w:rPr>
                <w:rFonts w:ascii="Times New Roman" w:hAnsi="Times New Roman"/>
                <w:bCs w:val="0"/>
              </w:rPr>
            </w:pPr>
            <w:r w:rsidRPr="00B46F2F">
              <w:rPr>
                <w:rFonts w:ascii="Times New Roman" w:hAnsi="Times New Roman"/>
                <w:bCs w:val="0"/>
              </w:rPr>
              <w:t>-</w:t>
            </w:r>
          </w:p>
        </w:tc>
        <w:tc>
          <w:tcPr>
            <w:tcW w:w="1417" w:type="dxa"/>
            <w:tcBorders>
              <w:top w:val="single" w:sz="4" w:space="0" w:color="auto"/>
              <w:bottom w:val="double" w:sz="4" w:space="0" w:color="auto"/>
            </w:tcBorders>
            <w:vAlign w:val="bottom"/>
          </w:tcPr>
          <w:p w:rsidR="00C84D94" w:rsidRPr="00B46F2F" w:rsidRDefault="00C84D94">
            <w:pPr>
              <w:pStyle w:val="Heading3"/>
              <w:tabs>
                <w:tab w:val="clear" w:pos="3402"/>
                <w:tab w:val="clear" w:pos="8222"/>
              </w:tabs>
              <w:ind w:left="-108"/>
              <w:jc w:val="right"/>
              <w:rPr>
                <w:rFonts w:ascii="Times New Roman" w:hAnsi="Times New Roman"/>
                <w:bCs w:val="0"/>
              </w:rPr>
            </w:pPr>
            <w:r>
              <w:rPr>
                <w:rFonts w:ascii="Times New Roman" w:hAnsi="Times New Roman"/>
                <w:bCs w:val="0"/>
              </w:rPr>
              <w:t>(</w:t>
            </w:r>
            <w:r w:rsidR="0069096F">
              <w:rPr>
                <w:rFonts w:ascii="Times New Roman" w:hAnsi="Times New Roman"/>
                <w:bCs w:val="0"/>
              </w:rPr>
              <w:t>19</w:t>
            </w:r>
            <w:r>
              <w:rPr>
                <w:rFonts w:ascii="Times New Roman" w:hAnsi="Times New Roman"/>
                <w:bCs w:val="0"/>
              </w:rPr>
              <w:t>,</w:t>
            </w:r>
            <w:r w:rsidR="00D83D2E">
              <w:rPr>
                <w:rFonts w:ascii="Times New Roman" w:hAnsi="Times New Roman"/>
                <w:bCs w:val="0"/>
              </w:rPr>
              <w:t>171</w:t>
            </w:r>
            <w:r>
              <w:rPr>
                <w:rFonts w:ascii="Times New Roman" w:hAnsi="Times New Roman"/>
                <w:bCs w:val="0"/>
              </w:rPr>
              <w:t>,</w:t>
            </w:r>
            <w:r w:rsidR="00D83D2E">
              <w:rPr>
                <w:rFonts w:ascii="Times New Roman" w:hAnsi="Times New Roman"/>
                <w:bCs w:val="0"/>
              </w:rPr>
              <w:t>856</w:t>
            </w:r>
            <w:r>
              <w:rPr>
                <w:rFonts w:ascii="Times New Roman" w:hAnsi="Times New Roman"/>
                <w:bCs w:val="0"/>
              </w:rPr>
              <w:t>)</w:t>
            </w:r>
          </w:p>
        </w:tc>
        <w:tc>
          <w:tcPr>
            <w:tcW w:w="1315" w:type="dxa"/>
            <w:tcBorders>
              <w:top w:val="single" w:sz="4" w:space="0" w:color="auto"/>
              <w:bottom w:val="double" w:sz="4" w:space="0" w:color="auto"/>
            </w:tcBorders>
            <w:vAlign w:val="bottom"/>
          </w:tcPr>
          <w:p w:rsidR="00C84D94" w:rsidRPr="00B46F2F" w:rsidRDefault="00C84D94">
            <w:pPr>
              <w:pStyle w:val="Heading3"/>
              <w:tabs>
                <w:tab w:val="clear" w:pos="3402"/>
                <w:tab w:val="clear" w:pos="8222"/>
              </w:tabs>
              <w:ind w:left="-108"/>
              <w:jc w:val="right"/>
              <w:rPr>
                <w:rFonts w:ascii="Times New Roman" w:hAnsi="Times New Roman"/>
                <w:bCs w:val="0"/>
              </w:rPr>
            </w:pPr>
            <w:r>
              <w:rPr>
                <w:rFonts w:ascii="Times New Roman" w:hAnsi="Times New Roman"/>
                <w:bCs w:val="0"/>
              </w:rPr>
              <w:t>(</w:t>
            </w:r>
            <w:r w:rsidR="0069096F">
              <w:rPr>
                <w:rFonts w:ascii="Times New Roman" w:hAnsi="Times New Roman"/>
                <w:bCs w:val="0"/>
              </w:rPr>
              <w:t>19</w:t>
            </w:r>
            <w:r>
              <w:rPr>
                <w:rFonts w:ascii="Times New Roman" w:hAnsi="Times New Roman"/>
                <w:bCs w:val="0"/>
              </w:rPr>
              <w:t>,</w:t>
            </w:r>
            <w:r w:rsidR="00D83D2E">
              <w:rPr>
                <w:rFonts w:ascii="Times New Roman" w:hAnsi="Times New Roman"/>
                <w:bCs w:val="0"/>
              </w:rPr>
              <w:t>171</w:t>
            </w:r>
            <w:r>
              <w:rPr>
                <w:rFonts w:ascii="Times New Roman" w:hAnsi="Times New Roman"/>
                <w:bCs w:val="0"/>
              </w:rPr>
              <w:t>,</w:t>
            </w:r>
            <w:r w:rsidR="00D83D2E">
              <w:rPr>
                <w:rFonts w:ascii="Times New Roman" w:hAnsi="Times New Roman"/>
                <w:bCs w:val="0"/>
              </w:rPr>
              <w:t>856</w:t>
            </w:r>
            <w:r>
              <w:rPr>
                <w:rFonts w:ascii="Times New Roman" w:hAnsi="Times New Roman"/>
                <w:bCs w:val="0"/>
              </w:rPr>
              <w:t>)</w:t>
            </w:r>
          </w:p>
        </w:tc>
        <w:tc>
          <w:tcPr>
            <w:tcW w:w="236" w:type="dxa"/>
            <w:vAlign w:val="bottom"/>
          </w:tcPr>
          <w:p w:rsidR="00C84D94" w:rsidRPr="00B46F2F" w:rsidRDefault="00C84D94" w:rsidP="00116C07">
            <w:pPr>
              <w:tabs>
                <w:tab w:val="left" w:pos="432"/>
              </w:tabs>
              <w:jc w:val="right"/>
              <w:rPr>
                <w:rFonts w:ascii="Times New Roman" w:hAnsi="Times New Roman"/>
                <w:b/>
                <w:sz w:val="20"/>
              </w:rPr>
            </w:pPr>
          </w:p>
        </w:tc>
        <w:tc>
          <w:tcPr>
            <w:tcW w:w="1312" w:type="dxa"/>
            <w:tcBorders>
              <w:top w:val="single" w:sz="4" w:space="0" w:color="auto"/>
              <w:bottom w:val="double" w:sz="4" w:space="0" w:color="auto"/>
            </w:tcBorders>
            <w:vAlign w:val="bottom"/>
          </w:tcPr>
          <w:p w:rsidR="00C84D94" w:rsidRPr="00B46F2F" w:rsidRDefault="00C84D94" w:rsidP="003B01CA">
            <w:pPr>
              <w:pStyle w:val="Heading3"/>
              <w:tabs>
                <w:tab w:val="clear" w:pos="3402"/>
                <w:tab w:val="clear" w:pos="8222"/>
              </w:tabs>
              <w:ind w:left="-108"/>
              <w:jc w:val="right"/>
              <w:rPr>
                <w:rFonts w:ascii="Times New Roman" w:hAnsi="Times New Roman"/>
                <w:bCs w:val="0"/>
              </w:rPr>
            </w:pPr>
            <w:r>
              <w:rPr>
                <w:rFonts w:ascii="Times New Roman" w:hAnsi="Times New Roman"/>
                <w:bCs w:val="0"/>
              </w:rPr>
              <w:t>(3,842,301)</w:t>
            </w:r>
          </w:p>
        </w:tc>
      </w:tr>
    </w:tbl>
    <w:p w:rsidR="004C7FC4" w:rsidRDefault="004C7FC4" w:rsidP="004C7FC4">
      <w:pPr>
        <w:rPr>
          <w:rFonts w:ascii="Times New Roman" w:hAnsi="Times New Roman"/>
          <w:b/>
        </w:rPr>
      </w:pPr>
    </w:p>
    <w:p w:rsidR="006B2C86" w:rsidRPr="00B46F2F" w:rsidRDefault="006B2C86" w:rsidP="006B2C86">
      <w:pPr>
        <w:rPr>
          <w:rFonts w:ascii="Times New Roman" w:hAnsi="Times New Roman"/>
        </w:rPr>
      </w:pPr>
      <w:r w:rsidRPr="00B46F2F">
        <w:rPr>
          <w:rFonts w:ascii="Times New Roman" w:hAnsi="Times New Roman"/>
          <w:b/>
          <w:sz w:val="20"/>
        </w:rPr>
        <w:t xml:space="preserve">10.  </w:t>
      </w:r>
      <w:r w:rsidR="00963D05">
        <w:rPr>
          <w:rFonts w:ascii="Times New Roman" w:hAnsi="Times New Roman"/>
          <w:b/>
          <w:sz w:val="20"/>
        </w:rPr>
        <w:t>(Loss)/p</w:t>
      </w:r>
      <w:r w:rsidRPr="00B46F2F">
        <w:rPr>
          <w:rFonts w:ascii="Times New Roman" w:hAnsi="Times New Roman"/>
          <w:b/>
          <w:sz w:val="20"/>
        </w:rPr>
        <w:t>rofit per redeemable participating preference share - basic and diluted</w:t>
      </w:r>
    </w:p>
    <w:p w:rsidR="006B2C86" w:rsidRPr="00B46F2F" w:rsidRDefault="006B2C86" w:rsidP="006B2C86">
      <w:pPr>
        <w:pStyle w:val="BodyText"/>
        <w:tabs>
          <w:tab w:val="clear" w:pos="3402"/>
          <w:tab w:val="clear" w:pos="8222"/>
        </w:tabs>
        <w:ind w:left="360"/>
        <w:rPr>
          <w:rFonts w:ascii="Times New Roman" w:hAnsi="Times New Roman"/>
        </w:rPr>
      </w:pPr>
      <w:r w:rsidRPr="00B46F2F">
        <w:rPr>
          <w:rFonts w:ascii="Times New Roman" w:hAnsi="Times New Roman"/>
        </w:rPr>
        <w:t xml:space="preserve">Basic </w:t>
      </w:r>
      <w:r w:rsidR="00963D05">
        <w:rPr>
          <w:rFonts w:ascii="Times New Roman" w:hAnsi="Times New Roman"/>
        </w:rPr>
        <w:t>(loss)/</w:t>
      </w:r>
      <w:r w:rsidRPr="00B46F2F">
        <w:rPr>
          <w:rFonts w:ascii="Times New Roman" w:hAnsi="Times New Roman"/>
        </w:rPr>
        <w:t xml:space="preserve">profit per redeemable participating preference share is calculated by dividing the net </w:t>
      </w:r>
      <w:r w:rsidR="007720F6">
        <w:rPr>
          <w:rFonts w:ascii="Times New Roman" w:hAnsi="Times New Roman"/>
        </w:rPr>
        <w:t>loss</w:t>
      </w:r>
      <w:r w:rsidRPr="00B46F2F">
        <w:rPr>
          <w:rFonts w:ascii="Times New Roman" w:hAnsi="Times New Roman"/>
        </w:rPr>
        <w:t xml:space="preserve"> attributable to redeemable participating preference shares of £</w:t>
      </w:r>
      <w:r w:rsidR="00D228F8">
        <w:rPr>
          <w:rFonts w:ascii="Times New Roman" w:hAnsi="Times New Roman"/>
        </w:rPr>
        <w:t>1</w:t>
      </w:r>
      <w:r w:rsidR="007720F6">
        <w:rPr>
          <w:rFonts w:ascii="Times New Roman" w:hAnsi="Times New Roman"/>
        </w:rPr>
        <w:t>4</w:t>
      </w:r>
      <w:r w:rsidR="00E21312">
        <w:rPr>
          <w:rFonts w:ascii="Times New Roman" w:hAnsi="Times New Roman"/>
        </w:rPr>
        <w:t>,</w:t>
      </w:r>
      <w:r w:rsidR="007720F6">
        <w:rPr>
          <w:rFonts w:ascii="Times New Roman" w:hAnsi="Times New Roman"/>
        </w:rPr>
        <w:t>631</w:t>
      </w:r>
      <w:r w:rsidR="00E21312">
        <w:rPr>
          <w:rFonts w:ascii="Times New Roman" w:hAnsi="Times New Roman"/>
        </w:rPr>
        <w:t>,</w:t>
      </w:r>
      <w:r w:rsidR="007720F6">
        <w:rPr>
          <w:rFonts w:ascii="Times New Roman" w:hAnsi="Times New Roman"/>
        </w:rPr>
        <w:t>731</w:t>
      </w:r>
      <w:r w:rsidRPr="00B46F2F">
        <w:rPr>
          <w:rFonts w:ascii="Times New Roman" w:hAnsi="Times New Roman"/>
        </w:rPr>
        <w:t xml:space="preserve"> (31 December 201</w:t>
      </w:r>
      <w:r w:rsidR="00C84D94">
        <w:rPr>
          <w:rFonts w:ascii="Times New Roman" w:hAnsi="Times New Roman"/>
        </w:rPr>
        <w:t>7</w:t>
      </w:r>
      <w:r w:rsidRPr="00B46F2F">
        <w:rPr>
          <w:rFonts w:ascii="Times New Roman" w:hAnsi="Times New Roman"/>
        </w:rPr>
        <w:t xml:space="preserve">: </w:t>
      </w:r>
      <w:r w:rsidR="00963D05">
        <w:rPr>
          <w:rFonts w:ascii="Times New Roman" w:hAnsi="Times New Roman"/>
        </w:rPr>
        <w:t xml:space="preserve">gain of </w:t>
      </w:r>
      <w:r w:rsidR="00C84D94" w:rsidRPr="00B46F2F">
        <w:rPr>
          <w:rFonts w:ascii="Times New Roman" w:hAnsi="Times New Roman"/>
        </w:rPr>
        <w:t>£</w:t>
      </w:r>
      <w:r w:rsidR="00C84D94">
        <w:rPr>
          <w:rFonts w:ascii="Times New Roman" w:hAnsi="Times New Roman"/>
        </w:rPr>
        <w:t>1,378,538</w:t>
      </w:r>
      <w:r w:rsidRPr="00B46F2F">
        <w:rPr>
          <w:rFonts w:ascii="Times New Roman" w:hAnsi="Times New Roman"/>
        </w:rPr>
        <w:t xml:space="preserve">) by the weighted average number of redeemable participating preference shares outstanding during the year of </w:t>
      </w:r>
      <w:r w:rsidR="00E21312">
        <w:rPr>
          <w:rFonts w:ascii="Times New Roman" w:hAnsi="Times New Roman"/>
        </w:rPr>
        <w:t>10</w:t>
      </w:r>
      <w:r w:rsidR="00E8529A">
        <w:rPr>
          <w:rFonts w:ascii="Times New Roman" w:hAnsi="Times New Roman"/>
        </w:rPr>
        <w:t>6</w:t>
      </w:r>
      <w:r w:rsidR="00E21312">
        <w:rPr>
          <w:rFonts w:ascii="Times New Roman" w:hAnsi="Times New Roman"/>
        </w:rPr>
        <w:t>,</w:t>
      </w:r>
      <w:r w:rsidR="007720F6">
        <w:rPr>
          <w:rFonts w:ascii="Times New Roman" w:hAnsi="Times New Roman"/>
        </w:rPr>
        <w:t>487,250</w:t>
      </w:r>
      <w:r w:rsidR="00E21312">
        <w:rPr>
          <w:rFonts w:ascii="Times New Roman" w:hAnsi="Times New Roman"/>
        </w:rPr>
        <w:t xml:space="preserve"> </w:t>
      </w:r>
      <w:r w:rsidRPr="00B46F2F">
        <w:rPr>
          <w:rFonts w:ascii="Times New Roman" w:hAnsi="Times New Roman"/>
        </w:rPr>
        <w:t>shares (31 December 201</w:t>
      </w:r>
      <w:r w:rsidR="00C84D94">
        <w:rPr>
          <w:rFonts w:ascii="Times New Roman" w:hAnsi="Times New Roman"/>
        </w:rPr>
        <w:t>7</w:t>
      </w:r>
      <w:r w:rsidRPr="00B46F2F">
        <w:rPr>
          <w:rFonts w:ascii="Times New Roman" w:hAnsi="Times New Roman"/>
        </w:rPr>
        <w:t xml:space="preserve">: </w:t>
      </w:r>
      <w:r w:rsidR="00C84D94">
        <w:rPr>
          <w:rFonts w:ascii="Times New Roman" w:hAnsi="Times New Roman"/>
        </w:rPr>
        <w:t xml:space="preserve">106,513,003 </w:t>
      </w:r>
      <w:r w:rsidRPr="00B46F2F">
        <w:rPr>
          <w:rFonts w:ascii="Times New Roman" w:hAnsi="Times New Roman"/>
        </w:rPr>
        <w:t>shares).</w:t>
      </w:r>
    </w:p>
    <w:p w:rsidR="006B2C86" w:rsidRPr="00B46F2F" w:rsidRDefault="006B2C86" w:rsidP="006B2C86">
      <w:pPr>
        <w:pStyle w:val="BodyText"/>
        <w:tabs>
          <w:tab w:val="clear" w:pos="3402"/>
          <w:tab w:val="clear" w:pos="8222"/>
        </w:tabs>
        <w:ind w:left="360"/>
        <w:rPr>
          <w:rFonts w:ascii="Times New Roman" w:hAnsi="Times New Roman"/>
        </w:rPr>
      </w:pPr>
    </w:p>
    <w:p w:rsidR="006B2C86" w:rsidRPr="00E5676A" w:rsidRDefault="006B2C86" w:rsidP="006B2C86">
      <w:pPr>
        <w:rPr>
          <w:rFonts w:ascii="Times New Roman" w:hAnsi="Times New Roman"/>
          <w:b/>
        </w:rPr>
      </w:pPr>
      <w:r>
        <w:rPr>
          <w:rFonts w:ascii="Times New Roman" w:hAnsi="Times New Roman"/>
          <w:b/>
          <w:sz w:val="20"/>
        </w:rPr>
        <w:t xml:space="preserve">11.  </w:t>
      </w:r>
      <w:r w:rsidRPr="00E5676A">
        <w:rPr>
          <w:rFonts w:ascii="Times New Roman" w:hAnsi="Times New Roman"/>
          <w:b/>
          <w:sz w:val="20"/>
        </w:rPr>
        <w:t>Dividends</w:t>
      </w:r>
    </w:p>
    <w:p w:rsidR="006B2C86" w:rsidRDefault="006B2C86" w:rsidP="006B2C86">
      <w:pPr>
        <w:pStyle w:val="BodyText"/>
        <w:tabs>
          <w:tab w:val="clear" w:pos="3402"/>
          <w:tab w:val="clear" w:pos="8222"/>
        </w:tabs>
        <w:ind w:left="360"/>
        <w:rPr>
          <w:rFonts w:ascii="Times New Roman" w:hAnsi="Times New Roman"/>
        </w:rPr>
      </w:pPr>
      <w:r w:rsidRPr="00590B67">
        <w:rPr>
          <w:rFonts w:ascii="Times New Roman" w:hAnsi="Times New Roman"/>
        </w:rPr>
        <w:t>Dividends of 1.2</w:t>
      </w:r>
      <w:r w:rsidR="00C84D94">
        <w:rPr>
          <w:rFonts w:ascii="Times New Roman" w:hAnsi="Times New Roman"/>
        </w:rPr>
        <w:t>7</w:t>
      </w:r>
      <w:r w:rsidR="00E8529A">
        <w:rPr>
          <w:rFonts w:ascii="Times New Roman" w:hAnsi="Times New Roman"/>
        </w:rPr>
        <w:t>5</w:t>
      </w:r>
      <w:r w:rsidRPr="00590B67">
        <w:rPr>
          <w:rFonts w:ascii="Times New Roman" w:hAnsi="Times New Roman"/>
        </w:rPr>
        <w:t xml:space="preserve"> pence per share were paid on a quarterly basis during the year in the months o</w:t>
      </w:r>
      <w:r w:rsidR="007720F6">
        <w:rPr>
          <w:rFonts w:ascii="Times New Roman" w:hAnsi="Times New Roman"/>
        </w:rPr>
        <w:t xml:space="preserve">f </w:t>
      </w:r>
      <w:r w:rsidRPr="00590B67">
        <w:rPr>
          <w:rFonts w:ascii="Times New Roman" w:hAnsi="Times New Roman"/>
        </w:rPr>
        <w:t>January</w:t>
      </w:r>
      <w:r w:rsidR="007720F6">
        <w:rPr>
          <w:rFonts w:ascii="Times New Roman" w:hAnsi="Times New Roman"/>
        </w:rPr>
        <w:t>,</w:t>
      </w:r>
      <w:r w:rsidRPr="00590B67">
        <w:rPr>
          <w:rFonts w:ascii="Times New Roman" w:hAnsi="Times New Roman"/>
        </w:rPr>
        <w:t xml:space="preserve"> Apri</w:t>
      </w:r>
      <w:r w:rsidR="00D228F8">
        <w:rPr>
          <w:rFonts w:ascii="Times New Roman" w:hAnsi="Times New Roman"/>
        </w:rPr>
        <w:t>l</w:t>
      </w:r>
      <w:r w:rsidR="007720F6">
        <w:rPr>
          <w:rFonts w:ascii="Times New Roman" w:hAnsi="Times New Roman"/>
        </w:rPr>
        <w:t>, June  and</w:t>
      </w:r>
      <w:r w:rsidR="00D228F8">
        <w:rPr>
          <w:rFonts w:ascii="Times New Roman" w:hAnsi="Times New Roman"/>
        </w:rPr>
        <w:t xml:space="preserve"> </w:t>
      </w:r>
      <w:r w:rsidRPr="00590B67">
        <w:rPr>
          <w:rFonts w:ascii="Times New Roman" w:hAnsi="Times New Roman"/>
        </w:rPr>
        <w:t>October</w:t>
      </w:r>
      <w:r w:rsidR="00090F47" w:rsidRPr="00090F47">
        <w:rPr>
          <w:rFonts w:ascii="Times New Roman" w:hAnsi="Times New Roman"/>
        </w:rPr>
        <w:t xml:space="preserve"> </w:t>
      </w:r>
      <w:r w:rsidR="00090F47" w:rsidRPr="00590B67">
        <w:rPr>
          <w:rFonts w:ascii="Times New Roman" w:hAnsi="Times New Roman"/>
        </w:rPr>
        <w:t>totalling £</w:t>
      </w:r>
      <w:r w:rsidR="00090F47">
        <w:rPr>
          <w:rFonts w:ascii="Times New Roman" w:hAnsi="Times New Roman"/>
        </w:rPr>
        <w:t>5,</w:t>
      </w:r>
      <w:r w:rsidR="007720F6">
        <w:rPr>
          <w:rFonts w:ascii="Times New Roman" w:hAnsi="Times New Roman"/>
        </w:rPr>
        <w:t>430</w:t>
      </w:r>
      <w:r w:rsidR="00090F47">
        <w:rPr>
          <w:rFonts w:ascii="Times New Roman" w:hAnsi="Times New Roman"/>
        </w:rPr>
        <w:t>,</w:t>
      </w:r>
      <w:r w:rsidR="007720F6">
        <w:rPr>
          <w:rFonts w:ascii="Times New Roman" w:hAnsi="Times New Roman"/>
        </w:rPr>
        <w:t>850</w:t>
      </w:r>
      <w:r w:rsidR="00090F47" w:rsidRPr="00590B67">
        <w:rPr>
          <w:rFonts w:ascii="Times New Roman" w:hAnsi="Times New Roman"/>
        </w:rPr>
        <w:t xml:space="preserve"> (31 December 201</w:t>
      </w:r>
      <w:r w:rsidR="007720F6">
        <w:rPr>
          <w:rFonts w:ascii="Times New Roman" w:hAnsi="Times New Roman"/>
        </w:rPr>
        <w:t>7</w:t>
      </w:r>
      <w:r w:rsidR="00090F47" w:rsidRPr="00590B67">
        <w:rPr>
          <w:rFonts w:ascii="Times New Roman" w:hAnsi="Times New Roman"/>
        </w:rPr>
        <w:t>: £</w:t>
      </w:r>
      <w:r w:rsidR="00C84D94">
        <w:rPr>
          <w:rFonts w:ascii="Times New Roman" w:hAnsi="Times New Roman"/>
        </w:rPr>
        <w:t>5,381,981</w:t>
      </w:r>
      <w:r w:rsidR="00090F47" w:rsidRPr="00590B67">
        <w:rPr>
          <w:rFonts w:ascii="Times New Roman" w:hAnsi="Times New Roman"/>
        </w:rPr>
        <w:t>)</w:t>
      </w:r>
      <w:r w:rsidR="00090F47">
        <w:rPr>
          <w:rFonts w:ascii="Times New Roman" w:hAnsi="Times New Roman"/>
        </w:rPr>
        <w:t xml:space="preserve"> for the year</w:t>
      </w:r>
      <w:r w:rsidRPr="00387C93">
        <w:rPr>
          <w:rFonts w:ascii="Times New Roman" w:hAnsi="Times New Roman"/>
        </w:rPr>
        <w:t xml:space="preserve">. On </w:t>
      </w:r>
      <w:r w:rsidR="00ED04CB" w:rsidRPr="00387C93">
        <w:rPr>
          <w:rFonts w:ascii="Times New Roman" w:hAnsi="Times New Roman"/>
        </w:rPr>
        <w:t xml:space="preserve">31 </w:t>
      </w:r>
      <w:r w:rsidRPr="00387C93">
        <w:rPr>
          <w:rFonts w:ascii="Times New Roman" w:hAnsi="Times New Roman"/>
        </w:rPr>
        <w:t>January 201</w:t>
      </w:r>
      <w:r w:rsidR="00C84D94">
        <w:rPr>
          <w:rFonts w:ascii="Times New Roman" w:hAnsi="Times New Roman"/>
        </w:rPr>
        <w:t>9</w:t>
      </w:r>
      <w:r w:rsidRPr="00387C93">
        <w:rPr>
          <w:rFonts w:ascii="Times New Roman" w:hAnsi="Times New Roman"/>
        </w:rPr>
        <w:t xml:space="preserve"> a dividend of £</w:t>
      </w:r>
      <w:r w:rsidR="00E8529A" w:rsidRPr="00E8529A">
        <w:rPr>
          <w:rFonts w:ascii="Times New Roman" w:hAnsi="Times New Roman"/>
        </w:rPr>
        <w:t>1</w:t>
      </w:r>
      <w:r w:rsidR="00E8529A">
        <w:rPr>
          <w:rFonts w:ascii="Times New Roman" w:hAnsi="Times New Roman"/>
        </w:rPr>
        <w:t>,</w:t>
      </w:r>
      <w:r w:rsidR="00E8529A" w:rsidRPr="00E8529A">
        <w:rPr>
          <w:rFonts w:ascii="Times New Roman" w:hAnsi="Times New Roman"/>
        </w:rPr>
        <w:t>357</w:t>
      </w:r>
      <w:r w:rsidR="00E8529A">
        <w:rPr>
          <w:rFonts w:ascii="Times New Roman" w:hAnsi="Times New Roman"/>
        </w:rPr>
        <w:t>,</w:t>
      </w:r>
      <w:r w:rsidR="00E8529A" w:rsidRPr="00E8529A">
        <w:rPr>
          <w:rFonts w:ascii="Times New Roman" w:hAnsi="Times New Roman"/>
        </w:rPr>
        <w:t>712</w:t>
      </w:r>
      <w:r w:rsidRPr="00387C93">
        <w:rPr>
          <w:rFonts w:ascii="Times New Roman" w:hAnsi="Times New Roman"/>
        </w:rPr>
        <w:t xml:space="preserve"> was paid. In accordance with the requirements of IFRS, as this was approved on </w:t>
      </w:r>
      <w:r w:rsidR="00C84D94">
        <w:rPr>
          <w:rFonts w:ascii="Times New Roman" w:hAnsi="Times New Roman"/>
        </w:rPr>
        <w:t>3</w:t>
      </w:r>
      <w:r w:rsidRPr="00387C93">
        <w:rPr>
          <w:rFonts w:ascii="Times New Roman" w:hAnsi="Times New Roman"/>
        </w:rPr>
        <w:t xml:space="preserve"> January 201</w:t>
      </w:r>
      <w:r w:rsidR="00C84D94">
        <w:rPr>
          <w:rFonts w:ascii="Times New Roman" w:hAnsi="Times New Roman"/>
        </w:rPr>
        <w:t>9</w:t>
      </w:r>
      <w:r w:rsidRPr="00387C93">
        <w:rPr>
          <w:rFonts w:ascii="Times New Roman" w:hAnsi="Times New Roman"/>
        </w:rPr>
        <w:t>, being after the Statement of Financial Position date, no accrual was reflected in the 201</w:t>
      </w:r>
      <w:r w:rsidR="00C84D94">
        <w:rPr>
          <w:rFonts w:ascii="Times New Roman" w:hAnsi="Times New Roman"/>
        </w:rPr>
        <w:t>8</w:t>
      </w:r>
      <w:r w:rsidRPr="00387C93">
        <w:rPr>
          <w:rFonts w:ascii="Times New Roman" w:hAnsi="Times New Roman"/>
        </w:rPr>
        <w:t xml:space="preserve"> Financial Statements for this amount of £</w:t>
      </w:r>
      <w:r w:rsidR="00E8529A" w:rsidRPr="00E8529A">
        <w:rPr>
          <w:rFonts w:ascii="Times New Roman" w:hAnsi="Times New Roman"/>
        </w:rPr>
        <w:t>1</w:t>
      </w:r>
      <w:r w:rsidR="00E8529A">
        <w:rPr>
          <w:rFonts w:ascii="Times New Roman" w:hAnsi="Times New Roman"/>
        </w:rPr>
        <w:t>,</w:t>
      </w:r>
      <w:r w:rsidR="00E8529A" w:rsidRPr="00E8529A">
        <w:rPr>
          <w:rFonts w:ascii="Times New Roman" w:hAnsi="Times New Roman"/>
        </w:rPr>
        <w:t>357</w:t>
      </w:r>
      <w:r w:rsidR="00E8529A">
        <w:rPr>
          <w:rFonts w:ascii="Times New Roman" w:hAnsi="Times New Roman"/>
        </w:rPr>
        <w:t>,</w:t>
      </w:r>
      <w:r w:rsidR="00E8529A" w:rsidRPr="00E8529A">
        <w:rPr>
          <w:rFonts w:ascii="Times New Roman" w:hAnsi="Times New Roman"/>
        </w:rPr>
        <w:t>712</w:t>
      </w:r>
      <w:r w:rsidR="00E8529A" w:rsidRPr="00387C93">
        <w:rPr>
          <w:rFonts w:ascii="Times New Roman" w:hAnsi="Times New Roman"/>
        </w:rPr>
        <w:t xml:space="preserve"> </w:t>
      </w:r>
      <w:r w:rsidRPr="00387C93">
        <w:rPr>
          <w:rFonts w:ascii="Times New Roman" w:hAnsi="Times New Roman"/>
        </w:rPr>
        <w:t>(31 December 201</w:t>
      </w:r>
      <w:r w:rsidR="00C84D94">
        <w:rPr>
          <w:rFonts w:ascii="Times New Roman" w:hAnsi="Times New Roman"/>
        </w:rPr>
        <w:t>7</w:t>
      </w:r>
      <w:r w:rsidRPr="00387C93">
        <w:rPr>
          <w:rFonts w:ascii="Times New Roman" w:hAnsi="Times New Roman"/>
        </w:rPr>
        <w:t xml:space="preserve">: </w:t>
      </w:r>
      <w:r w:rsidR="00C84D94" w:rsidRPr="00387C93">
        <w:rPr>
          <w:rFonts w:ascii="Times New Roman" w:hAnsi="Times New Roman"/>
        </w:rPr>
        <w:t>£</w:t>
      </w:r>
      <w:r w:rsidR="00C84D94" w:rsidRPr="00E8529A">
        <w:rPr>
          <w:rFonts w:ascii="Times New Roman" w:hAnsi="Times New Roman"/>
        </w:rPr>
        <w:t>1</w:t>
      </w:r>
      <w:r w:rsidR="00C84D94">
        <w:rPr>
          <w:rFonts w:ascii="Times New Roman" w:hAnsi="Times New Roman"/>
        </w:rPr>
        <w:t>,</w:t>
      </w:r>
      <w:r w:rsidR="00C84D94" w:rsidRPr="00E8529A">
        <w:rPr>
          <w:rFonts w:ascii="Times New Roman" w:hAnsi="Times New Roman"/>
        </w:rPr>
        <w:t>357</w:t>
      </w:r>
      <w:r w:rsidR="00C84D94">
        <w:rPr>
          <w:rFonts w:ascii="Times New Roman" w:hAnsi="Times New Roman"/>
        </w:rPr>
        <w:t>,</w:t>
      </w:r>
      <w:r w:rsidR="00C84D94" w:rsidRPr="00E8529A">
        <w:rPr>
          <w:rFonts w:ascii="Times New Roman" w:hAnsi="Times New Roman"/>
        </w:rPr>
        <w:t>712</w:t>
      </w:r>
      <w:r w:rsidRPr="00387C93">
        <w:rPr>
          <w:rFonts w:ascii="Times New Roman" w:hAnsi="Times New Roman"/>
        </w:rPr>
        <w:t>).</w:t>
      </w:r>
      <w:r w:rsidRPr="00590B67">
        <w:rPr>
          <w:rFonts w:ascii="Times New Roman" w:hAnsi="Times New Roman"/>
        </w:rPr>
        <w:t xml:space="preserve"> </w:t>
      </w:r>
    </w:p>
    <w:p w:rsidR="006B2C86" w:rsidRPr="006B2C86" w:rsidRDefault="006B2C86" w:rsidP="006B2C86">
      <w:pPr>
        <w:pStyle w:val="BodyText"/>
        <w:tabs>
          <w:tab w:val="clear" w:pos="3402"/>
          <w:tab w:val="clear" w:pos="8222"/>
        </w:tabs>
        <w:ind w:left="360"/>
        <w:rPr>
          <w:rFonts w:ascii="Times New Roman" w:hAnsi="Times New Roman"/>
        </w:rPr>
      </w:pPr>
    </w:p>
    <w:p w:rsidR="004B71FC" w:rsidRPr="00B46F2F" w:rsidRDefault="004B71FC" w:rsidP="004B71FC">
      <w:pPr>
        <w:ind w:left="360" w:hanging="360"/>
        <w:rPr>
          <w:rFonts w:ascii="Times New Roman" w:hAnsi="Times New Roman"/>
        </w:rPr>
      </w:pPr>
      <w:bookmarkStart w:id="50" w:name="OLE_LINK12"/>
      <w:bookmarkStart w:id="51" w:name="OLE_LINK13"/>
      <w:r w:rsidRPr="00B46F2F">
        <w:rPr>
          <w:rFonts w:ascii="Times New Roman" w:hAnsi="Times New Roman"/>
          <w:b/>
          <w:sz w:val="20"/>
        </w:rPr>
        <w:t>1</w:t>
      </w:r>
      <w:r w:rsidR="00EE24D4" w:rsidRPr="00B46F2F">
        <w:rPr>
          <w:rFonts w:ascii="Times New Roman" w:hAnsi="Times New Roman"/>
          <w:b/>
          <w:sz w:val="20"/>
        </w:rPr>
        <w:t>2</w:t>
      </w:r>
      <w:r w:rsidRPr="00B46F2F">
        <w:rPr>
          <w:rFonts w:ascii="Times New Roman" w:hAnsi="Times New Roman"/>
          <w:b/>
          <w:sz w:val="20"/>
        </w:rPr>
        <w:t>.</w:t>
      </w:r>
      <w:r w:rsidRPr="00B46F2F">
        <w:rPr>
          <w:rFonts w:ascii="Times New Roman" w:hAnsi="Times New Roman"/>
          <w:b/>
          <w:sz w:val="20"/>
        </w:rPr>
        <w:tab/>
        <w:t>Taxation</w:t>
      </w:r>
    </w:p>
    <w:p w:rsidR="004B71FC" w:rsidRDefault="002E6FF3" w:rsidP="004B71FC">
      <w:pPr>
        <w:pStyle w:val="BodyText"/>
        <w:tabs>
          <w:tab w:val="clear" w:pos="3402"/>
          <w:tab w:val="clear" w:pos="8222"/>
        </w:tabs>
        <w:ind w:left="360"/>
        <w:rPr>
          <w:rFonts w:ascii="Times New Roman" w:hAnsi="Times New Roman"/>
        </w:rPr>
      </w:pPr>
      <w:r w:rsidRPr="00B46F2F">
        <w:rPr>
          <w:rFonts w:ascii="Times New Roman" w:hAnsi="Times New Roman"/>
        </w:rPr>
        <w:t>The Fund is subject to UK Corporati</w:t>
      </w:r>
      <w:r w:rsidR="00FC367D" w:rsidRPr="00B46F2F">
        <w:rPr>
          <w:rFonts w:ascii="Times New Roman" w:hAnsi="Times New Roman"/>
        </w:rPr>
        <w:t xml:space="preserve">on tax at a rate of </w:t>
      </w:r>
      <w:r w:rsidR="00673CD6">
        <w:rPr>
          <w:rFonts w:ascii="Times New Roman" w:hAnsi="Times New Roman"/>
        </w:rPr>
        <w:t>19</w:t>
      </w:r>
      <w:r w:rsidR="00FC367D" w:rsidRPr="00B46F2F">
        <w:rPr>
          <w:rFonts w:ascii="Times New Roman" w:hAnsi="Times New Roman"/>
        </w:rPr>
        <w:t>% (201</w:t>
      </w:r>
      <w:r w:rsidR="007720F6">
        <w:rPr>
          <w:rFonts w:ascii="Times New Roman" w:hAnsi="Times New Roman"/>
        </w:rPr>
        <w:t>7</w:t>
      </w:r>
      <w:r w:rsidRPr="00B46F2F">
        <w:rPr>
          <w:rFonts w:ascii="Times New Roman" w:hAnsi="Times New Roman"/>
        </w:rPr>
        <w:t xml:space="preserve">: </w:t>
      </w:r>
      <w:r w:rsidR="007720F6">
        <w:rPr>
          <w:rFonts w:ascii="Times New Roman" w:hAnsi="Times New Roman"/>
        </w:rPr>
        <w:t>19</w:t>
      </w:r>
      <w:r w:rsidR="00FC367D" w:rsidRPr="00B46F2F">
        <w:rPr>
          <w:rFonts w:ascii="Times New Roman" w:hAnsi="Times New Roman"/>
        </w:rPr>
        <w:t>%</w:t>
      </w:r>
      <w:r w:rsidRPr="00B46F2F">
        <w:rPr>
          <w:rFonts w:ascii="Times New Roman" w:hAnsi="Times New Roman"/>
        </w:rPr>
        <w:t xml:space="preserve">). </w:t>
      </w:r>
      <w:r w:rsidR="004B71FC" w:rsidRPr="00B46F2F">
        <w:rPr>
          <w:rFonts w:ascii="Times New Roman" w:hAnsi="Times New Roman"/>
        </w:rPr>
        <w:t xml:space="preserve">The Company adopted UK tax residency </w:t>
      </w:r>
      <w:r w:rsidR="00485E1F">
        <w:rPr>
          <w:rFonts w:ascii="Times New Roman" w:hAnsi="Times New Roman"/>
        </w:rPr>
        <w:t xml:space="preserve">on </w:t>
      </w:r>
      <w:r w:rsidR="004B71FC" w:rsidRPr="00B46F2F">
        <w:rPr>
          <w:rFonts w:ascii="Times New Roman" w:hAnsi="Times New Roman"/>
        </w:rPr>
        <w:t>11 October 2011. Since that date the Company has been managed in such a way as to be able to meet the conditions for approval as an investment trust under Section 1158 of the Corporation Tax Act 2010.</w:t>
      </w:r>
      <w:r w:rsidR="005171C9" w:rsidRPr="00B46F2F">
        <w:rPr>
          <w:rFonts w:ascii="Times New Roman" w:hAnsi="Times New Roman"/>
        </w:rPr>
        <w:t xml:space="preserve"> </w:t>
      </w:r>
      <w:r w:rsidRPr="00B46F2F">
        <w:rPr>
          <w:rFonts w:ascii="Times New Roman" w:hAnsi="Times New Roman"/>
        </w:rPr>
        <w:t>As an investment trust</w:t>
      </w:r>
      <w:r w:rsidR="005171C9" w:rsidRPr="00B46F2F">
        <w:rPr>
          <w:rFonts w:ascii="Times New Roman" w:hAnsi="Times New Roman"/>
        </w:rPr>
        <w:t>,</w:t>
      </w:r>
      <w:r w:rsidRPr="00B46F2F">
        <w:rPr>
          <w:rFonts w:ascii="Times New Roman" w:hAnsi="Times New Roman"/>
        </w:rPr>
        <w:t xml:space="preserve"> all capital gains are exempt from UK Corporat</w:t>
      </w:r>
      <w:r w:rsidR="005171C9" w:rsidRPr="00B46F2F">
        <w:rPr>
          <w:rFonts w:ascii="Times New Roman" w:hAnsi="Times New Roman"/>
        </w:rPr>
        <w:t>ion</w:t>
      </w:r>
      <w:r w:rsidRPr="00B46F2F">
        <w:rPr>
          <w:rFonts w:ascii="Times New Roman" w:hAnsi="Times New Roman"/>
        </w:rPr>
        <w:t xml:space="preserve"> </w:t>
      </w:r>
      <w:r w:rsidR="005171C9" w:rsidRPr="00B46F2F">
        <w:rPr>
          <w:rFonts w:ascii="Times New Roman" w:hAnsi="Times New Roman"/>
        </w:rPr>
        <w:t>t</w:t>
      </w:r>
      <w:r w:rsidRPr="00B46F2F">
        <w:rPr>
          <w:rFonts w:ascii="Times New Roman" w:hAnsi="Times New Roman"/>
        </w:rPr>
        <w:t>ax</w:t>
      </w:r>
      <w:r w:rsidR="004B71FC" w:rsidRPr="00B46F2F">
        <w:rPr>
          <w:rFonts w:ascii="Times New Roman" w:hAnsi="Times New Roman"/>
        </w:rPr>
        <w:t xml:space="preserve">.  On 7 December </w:t>
      </w:r>
      <w:r w:rsidR="009A5D33" w:rsidRPr="00B46F2F">
        <w:rPr>
          <w:rFonts w:ascii="Times New Roman" w:hAnsi="Times New Roman"/>
        </w:rPr>
        <w:t>201</w:t>
      </w:r>
      <w:r w:rsidR="009C1B4D" w:rsidRPr="00B46F2F">
        <w:rPr>
          <w:rFonts w:ascii="Times New Roman" w:hAnsi="Times New Roman"/>
        </w:rPr>
        <w:t>2</w:t>
      </w:r>
      <w:r w:rsidR="000620E4">
        <w:rPr>
          <w:rFonts w:ascii="Times New Roman" w:hAnsi="Times New Roman"/>
        </w:rPr>
        <w:t>,</w:t>
      </w:r>
      <w:r w:rsidR="004B71FC" w:rsidRPr="00B46F2F">
        <w:rPr>
          <w:rFonts w:ascii="Times New Roman" w:hAnsi="Times New Roman"/>
        </w:rPr>
        <w:t xml:space="preserve"> the Company received approval from HM Revenue &amp; Customs to be treated as an investment trust in accordance with Section 1158 of the Corporation Tax Act 2010 and will seek to remain so approved.</w:t>
      </w:r>
      <w:bookmarkEnd w:id="50"/>
      <w:bookmarkEnd w:id="51"/>
      <w:r w:rsidR="004B71FC" w:rsidRPr="00B46F2F">
        <w:rPr>
          <w:rFonts w:ascii="Times New Roman" w:hAnsi="Times New Roman"/>
        </w:rPr>
        <w:t xml:space="preserve"> </w:t>
      </w:r>
    </w:p>
    <w:p w:rsidR="00180734" w:rsidRDefault="00180734" w:rsidP="004B71FC">
      <w:pPr>
        <w:pStyle w:val="BodyText"/>
        <w:tabs>
          <w:tab w:val="clear" w:pos="3402"/>
          <w:tab w:val="clear" w:pos="8222"/>
        </w:tabs>
        <w:ind w:left="360"/>
        <w:rPr>
          <w:rFonts w:ascii="Times New Roman" w:hAnsi="Times New Roman"/>
        </w:rPr>
      </w:pPr>
    </w:p>
    <w:p w:rsidR="00225DD1" w:rsidRPr="00B46F2F" w:rsidRDefault="00225DD1" w:rsidP="004B71FC">
      <w:pPr>
        <w:pStyle w:val="BodyText"/>
        <w:tabs>
          <w:tab w:val="clear" w:pos="3402"/>
          <w:tab w:val="clear" w:pos="8222"/>
        </w:tabs>
        <w:ind w:left="360"/>
        <w:rPr>
          <w:rFonts w:ascii="Times New Roman" w:hAnsi="Times New Roman"/>
        </w:rPr>
      </w:pPr>
      <w:r w:rsidRPr="00225DD1">
        <w:rPr>
          <w:rFonts w:ascii="Times New Roman" w:hAnsi="Times New Roman"/>
        </w:rPr>
        <w:t>The Fund suffered £</w:t>
      </w:r>
      <w:r w:rsidR="00E8529A">
        <w:rPr>
          <w:rFonts w:ascii="Times New Roman" w:hAnsi="Times New Roman"/>
        </w:rPr>
        <w:t>1,0</w:t>
      </w:r>
      <w:r w:rsidR="007720F6">
        <w:rPr>
          <w:rFonts w:ascii="Times New Roman" w:hAnsi="Times New Roman"/>
        </w:rPr>
        <w:t>48</w:t>
      </w:r>
      <w:r w:rsidRPr="00225DD1">
        <w:rPr>
          <w:rFonts w:ascii="Times New Roman" w:hAnsi="Times New Roman"/>
        </w:rPr>
        <w:t>,</w:t>
      </w:r>
      <w:r w:rsidR="007720F6">
        <w:rPr>
          <w:rFonts w:ascii="Times New Roman" w:hAnsi="Times New Roman"/>
        </w:rPr>
        <w:t>851</w:t>
      </w:r>
      <w:r w:rsidRPr="00225DD1">
        <w:rPr>
          <w:rFonts w:ascii="Times New Roman" w:hAnsi="Times New Roman"/>
        </w:rPr>
        <w:t xml:space="preserve"> (201</w:t>
      </w:r>
      <w:r w:rsidR="00963D05">
        <w:rPr>
          <w:rFonts w:ascii="Times New Roman" w:hAnsi="Times New Roman"/>
        </w:rPr>
        <w:t>7</w:t>
      </w:r>
      <w:r w:rsidRPr="00225DD1">
        <w:rPr>
          <w:rFonts w:ascii="Times New Roman" w:hAnsi="Times New Roman"/>
        </w:rPr>
        <w:t>: £</w:t>
      </w:r>
      <w:r w:rsidR="007720F6">
        <w:rPr>
          <w:rFonts w:ascii="Times New Roman" w:hAnsi="Times New Roman"/>
        </w:rPr>
        <w:t>1,067</w:t>
      </w:r>
      <w:r w:rsidR="007720F6" w:rsidRPr="00225DD1">
        <w:rPr>
          <w:rFonts w:ascii="Times New Roman" w:hAnsi="Times New Roman"/>
        </w:rPr>
        <w:t>,</w:t>
      </w:r>
      <w:r w:rsidR="007720F6">
        <w:rPr>
          <w:rFonts w:ascii="Times New Roman" w:hAnsi="Times New Roman"/>
        </w:rPr>
        <w:t>358</w:t>
      </w:r>
      <w:r w:rsidRPr="00225DD1">
        <w:rPr>
          <w:rFonts w:ascii="Times New Roman" w:hAnsi="Times New Roman"/>
        </w:rPr>
        <w:t xml:space="preserve">) of withholding tax on foreign dividends during the year and this expense has been included in the </w:t>
      </w:r>
      <w:r w:rsidR="00E24A68">
        <w:rPr>
          <w:rFonts w:ascii="Times New Roman" w:hAnsi="Times New Roman"/>
        </w:rPr>
        <w:t>S</w:t>
      </w:r>
      <w:r w:rsidRPr="00225DD1">
        <w:rPr>
          <w:rFonts w:ascii="Times New Roman" w:hAnsi="Times New Roman"/>
        </w:rPr>
        <w:t xml:space="preserve">tatement of </w:t>
      </w:r>
      <w:r w:rsidR="00E24A68">
        <w:rPr>
          <w:rFonts w:ascii="Times New Roman" w:hAnsi="Times New Roman"/>
        </w:rPr>
        <w:t>C</w:t>
      </w:r>
      <w:r w:rsidRPr="00225DD1">
        <w:rPr>
          <w:rFonts w:ascii="Times New Roman" w:hAnsi="Times New Roman"/>
        </w:rPr>
        <w:t xml:space="preserve">omprehensive </w:t>
      </w:r>
      <w:r w:rsidR="00E24A68">
        <w:rPr>
          <w:rFonts w:ascii="Times New Roman" w:hAnsi="Times New Roman"/>
        </w:rPr>
        <w:t>I</w:t>
      </w:r>
      <w:r w:rsidRPr="00225DD1">
        <w:rPr>
          <w:rFonts w:ascii="Times New Roman" w:hAnsi="Times New Roman"/>
        </w:rPr>
        <w:t>ncome.</w:t>
      </w:r>
    </w:p>
    <w:p w:rsidR="004C7FC4" w:rsidRPr="00B46F2F" w:rsidRDefault="004C7FC4" w:rsidP="004C7FC4">
      <w:pPr>
        <w:rPr>
          <w:rFonts w:ascii="Times New Roman" w:hAnsi="Times New Roman"/>
          <w:b/>
        </w:rPr>
      </w:pPr>
    </w:p>
    <w:p w:rsidR="004B288D" w:rsidRPr="00B46F2F" w:rsidRDefault="004B288D" w:rsidP="004B288D">
      <w:pPr>
        <w:ind w:left="360" w:hanging="360"/>
        <w:rPr>
          <w:rFonts w:ascii="Times New Roman" w:hAnsi="Times New Roman"/>
        </w:rPr>
      </w:pPr>
      <w:r w:rsidRPr="00B46F2F">
        <w:rPr>
          <w:rFonts w:ascii="Times New Roman" w:hAnsi="Times New Roman"/>
          <w:b/>
          <w:sz w:val="20"/>
        </w:rPr>
        <w:t>1</w:t>
      </w:r>
      <w:r w:rsidR="00EE24D4" w:rsidRPr="00B46F2F">
        <w:rPr>
          <w:rFonts w:ascii="Times New Roman" w:hAnsi="Times New Roman"/>
          <w:b/>
          <w:sz w:val="20"/>
        </w:rPr>
        <w:t>3</w:t>
      </w:r>
      <w:r w:rsidRPr="00B46F2F">
        <w:rPr>
          <w:rFonts w:ascii="Times New Roman" w:hAnsi="Times New Roman"/>
          <w:b/>
          <w:sz w:val="20"/>
        </w:rPr>
        <w:t>.</w:t>
      </w:r>
      <w:r w:rsidRPr="00B46F2F">
        <w:rPr>
          <w:rFonts w:ascii="Times New Roman" w:hAnsi="Times New Roman"/>
          <w:b/>
          <w:sz w:val="20"/>
        </w:rPr>
        <w:tab/>
        <w:t>Related party transactions</w:t>
      </w:r>
    </w:p>
    <w:p w:rsidR="00180734" w:rsidRPr="00140415" w:rsidRDefault="00606E35" w:rsidP="00180734">
      <w:pPr>
        <w:pStyle w:val="BodyText"/>
        <w:tabs>
          <w:tab w:val="clear" w:pos="3402"/>
          <w:tab w:val="clear" w:pos="8222"/>
        </w:tabs>
        <w:ind w:left="360"/>
        <w:rPr>
          <w:rFonts w:ascii="Times New Roman" w:hAnsi="Times New Roman"/>
          <w:szCs w:val="20"/>
        </w:rPr>
      </w:pPr>
      <w:r w:rsidRPr="00B46F2F">
        <w:rPr>
          <w:rFonts w:ascii="Times New Roman" w:hAnsi="Times New Roman"/>
        </w:rPr>
        <w:t>T</w:t>
      </w:r>
      <w:r w:rsidR="004B288D" w:rsidRPr="00B46F2F">
        <w:rPr>
          <w:rFonts w:ascii="Times New Roman" w:hAnsi="Times New Roman"/>
        </w:rPr>
        <w:t xml:space="preserve">he </w:t>
      </w:r>
      <w:r w:rsidR="00C50392" w:rsidRPr="00B46F2F">
        <w:rPr>
          <w:rFonts w:ascii="Times New Roman" w:hAnsi="Times New Roman"/>
        </w:rPr>
        <w:t>d</w:t>
      </w:r>
      <w:r w:rsidR="004B288D" w:rsidRPr="00B46F2F">
        <w:rPr>
          <w:rFonts w:ascii="Times New Roman" w:hAnsi="Times New Roman"/>
        </w:rPr>
        <w:t>irectors are regarded as related parties.  Total directors’ fees paid during the year amounted to £</w:t>
      </w:r>
      <w:r w:rsidR="007720F6">
        <w:rPr>
          <w:rFonts w:ascii="Times New Roman" w:hAnsi="Times New Roman"/>
        </w:rPr>
        <w:t>10</w:t>
      </w:r>
      <w:r w:rsidR="0069096F">
        <w:rPr>
          <w:rFonts w:ascii="Times New Roman" w:hAnsi="Times New Roman"/>
        </w:rPr>
        <w:t>1</w:t>
      </w:r>
      <w:r w:rsidR="007720F6">
        <w:rPr>
          <w:rFonts w:ascii="Times New Roman" w:hAnsi="Times New Roman"/>
        </w:rPr>
        <w:t>,</w:t>
      </w:r>
      <w:r w:rsidR="0069096F">
        <w:rPr>
          <w:rFonts w:ascii="Times New Roman" w:hAnsi="Times New Roman"/>
        </w:rPr>
        <w:t>500</w:t>
      </w:r>
      <w:r w:rsidR="004B288D" w:rsidRPr="00B46F2F">
        <w:rPr>
          <w:rFonts w:ascii="Times New Roman" w:hAnsi="Times New Roman"/>
        </w:rPr>
        <w:t xml:space="preserve"> </w:t>
      </w:r>
      <w:r w:rsidR="00F950AF">
        <w:rPr>
          <w:rFonts w:ascii="Times New Roman" w:hAnsi="Times New Roman"/>
        </w:rPr>
        <w:t xml:space="preserve">of which </w:t>
      </w:r>
      <w:r w:rsidR="00C41A3C">
        <w:rPr>
          <w:rFonts w:ascii="Times New Roman" w:hAnsi="Times New Roman"/>
        </w:rPr>
        <w:t xml:space="preserve">        </w:t>
      </w:r>
      <w:r w:rsidR="007720F6" w:rsidRPr="00B46F2F">
        <w:rPr>
          <w:rFonts w:ascii="Times New Roman" w:hAnsi="Times New Roman"/>
        </w:rPr>
        <w:t>£</w:t>
      </w:r>
      <w:r w:rsidR="007720F6">
        <w:rPr>
          <w:rFonts w:ascii="Times New Roman" w:hAnsi="Times New Roman"/>
        </w:rPr>
        <w:t>29,500</w:t>
      </w:r>
      <w:r w:rsidR="00F950AF">
        <w:rPr>
          <w:rFonts w:ascii="Times New Roman" w:hAnsi="Times New Roman"/>
        </w:rPr>
        <w:t xml:space="preserve"> was due at year end </w:t>
      </w:r>
      <w:r w:rsidR="004B288D" w:rsidRPr="00B46F2F">
        <w:rPr>
          <w:rFonts w:ascii="Times New Roman" w:hAnsi="Times New Roman"/>
        </w:rPr>
        <w:t>(</w:t>
      </w:r>
      <w:r w:rsidR="00FC367D" w:rsidRPr="00B46F2F">
        <w:rPr>
          <w:rFonts w:ascii="Times New Roman" w:hAnsi="Times New Roman"/>
        </w:rPr>
        <w:t>201</w:t>
      </w:r>
      <w:r w:rsidR="00C84D94">
        <w:rPr>
          <w:rFonts w:ascii="Times New Roman" w:hAnsi="Times New Roman"/>
        </w:rPr>
        <w:t>7</w:t>
      </w:r>
      <w:r w:rsidR="004B288D" w:rsidRPr="00B46F2F">
        <w:rPr>
          <w:rFonts w:ascii="Times New Roman" w:hAnsi="Times New Roman"/>
        </w:rPr>
        <w:t xml:space="preserve">: </w:t>
      </w:r>
      <w:r w:rsidR="00FC367D" w:rsidRPr="00B46F2F">
        <w:rPr>
          <w:rFonts w:ascii="Times New Roman" w:hAnsi="Times New Roman"/>
        </w:rPr>
        <w:t xml:space="preserve">£85,000 </w:t>
      </w:r>
      <w:r w:rsidR="004B288D" w:rsidRPr="00B46F2F">
        <w:rPr>
          <w:rFonts w:ascii="Times New Roman" w:hAnsi="Times New Roman"/>
        </w:rPr>
        <w:t xml:space="preserve">of which </w:t>
      </w:r>
      <w:r w:rsidR="00180734" w:rsidRPr="00B46F2F">
        <w:rPr>
          <w:rFonts w:ascii="Times New Roman" w:hAnsi="Times New Roman"/>
          <w:szCs w:val="20"/>
        </w:rPr>
        <w:t>£</w:t>
      </w:r>
      <w:r w:rsidR="00140415">
        <w:rPr>
          <w:rFonts w:ascii="Times New Roman" w:hAnsi="Times New Roman"/>
          <w:szCs w:val="20"/>
        </w:rPr>
        <w:t>nil</w:t>
      </w:r>
      <w:r w:rsidR="00FC367D" w:rsidRPr="00B46F2F">
        <w:rPr>
          <w:rFonts w:ascii="Times New Roman" w:hAnsi="Times New Roman"/>
        </w:rPr>
        <w:t xml:space="preserve"> </w:t>
      </w:r>
      <w:r w:rsidR="00EA4FAC" w:rsidRPr="00B46F2F">
        <w:rPr>
          <w:rFonts w:ascii="Times New Roman" w:hAnsi="Times New Roman"/>
        </w:rPr>
        <w:t>was due at the year end</w:t>
      </w:r>
      <w:r w:rsidR="002E5B69" w:rsidRPr="00B46F2F">
        <w:rPr>
          <w:rFonts w:ascii="Times New Roman" w:hAnsi="Times New Roman"/>
        </w:rPr>
        <w:t>)</w:t>
      </w:r>
      <w:r w:rsidR="004B288D" w:rsidRPr="00B46F2F">
        <w:rPr>
          <w:rFonts w:ascii="Times New Roman" w:hAnsi="Times New Roman"/>
        </w:rPr>
        <w:t xml:space="preserve">.  </w:t>
      </w:r>
      <w:r w:rsidR="00FB7C5E" w:rsidRPr="00B46F2F">
        <w:rPr>
          <w:rFonts w:ascii="Times New Roman" w:hAnsi="Times New Roman"/>
          <w:szCs w:val="20"/>
        </w:rPr>
        <w:t xml:space="preserve">Each </w:t>
      </w:r>
      <w:r w:rsidR="009C1B4D" w:rsidRPr="00B46F2F">
        <w:rPr>
          <w:rFonts w:ascii="Times New Roman" w:hAnsi="Times New Roman"/>
          <w:szCs w:val="20"/>
        </w:rPr>
        <w:t>non-executive</w:t>
      </w:r>
      <w:r w:rsidR="00FB7C5E" w:rsidRPr="00B46F2F">
        <w:rPr>
          <w:rFonts w:ascii="Times New Roman" w:hAnsi="Times New Roman"/>
          <w:szCs w:val="20"/>
        </w:rPr>
        <w:t xml:space="preserve"> </w:t>
      </w:r>
      <w:r w:rsidR="00DE60AD" w:rsidRPr="00B46F2F">
        <w:rPr>
          <w:rFonts w:ascii="Times New Roman" w:hAnsi="Times New Roman"/>
          <w:szCs w:val="20"/>
        </w:rPr>
        <w:t>d</w:t>
      </w:r>
      <w:r w:rsidR="00FB7C5E" w:rsidRPr="00B46F2F">
        <w:rPr>
          <w:rFonts w:ascii="Times New Roman" w:hAnsi="Times New Roman"/>
          <w:szCs w:val="20"/>
        </w:rPr>
        <w:t>irector</w:t>
      </w:r>
      <w:r w:rsidR="00442123" w:rsidRPr="00B46F2F">
        <w:rPr>
          <w:rFonts w:ascii="Times New Roman" w:hAnsi="Times New Roman"/>
          <w:szCs w:val="20"/>
        </w:rPr>
        <w:t xml:space="preserve">, other than Mr. </w:t>
      </w:r>
      <w:proofErr w:type="spellStart"/>
      <w:r w:rsidR="00442123" w:rsidRPr="00B46F2F">
        <w:rPr>
          <w:rFonts w:ascii="Times New Roman" w:hAnsi="Times New Roman"/>
          <w:szCs w:val="20"/>
        </w:rPr>
        <w:t>Orrico</w:t>
      </w:r>
      <w:proofErr w:type="spellEnd"/>
      <w:r w:rsidR="00442123" w:rsidRPr="00B46F2F">
        <w:rPr>
          <w:rFonts w:ascii="Times New Roman" w:hAnsi="Times New Roman"/>
          <w:szCs w:val="20"/>
        </w:rPr>
        <w:t>,</w:t>
      </w:r>
      <w:r w:rsidR="00FB7C5E" w:rsidRPr="00B46F2F">
        <w:rPr>
          <w:rFonts w:ascii="Times New Roman" w:hAnsi="Times New Roman"/>
          <w:szCs w:val="20"/>
        </w:rPr>
        <w:t xml:space="preserve"> was paid a fee of £</w:t>
      </w:r>
      <w:r w:rsidR="002D339D" w:rsidRPr="00B46F2F">
        <w:rPr>
          <w:rFonts w:ascii="Times New Roman" w:hAnsi="Times New Roman"/>
          <w:szCs w:val="20"/>
        </w:rPr>
        <w:t>2</w:t>
      </w:r>
      <w:r w:rsidR="007720F6">
        <w:rPr>
          <w:rFonts w:ascii="Times New Roman" w:hAnsi="Times New Roman"/>
          <w:szCs w:val="20"/>
        </w:rPr>
        <w:t>1</w:t>
      </w:r>
      <w:r w:rsidR="002D339D" w:rsidRPr="00B46F2F">
        <w:rPr>
          <w:rFonts w:ascii="Times New Roman" w:hAnsi="Times New Roman"/>
          <w:szCs w:val="20"/>
        </w:rPr>
        <w:t>,00</w:t>
      </w:r>
      <w:r w:rsidR="00FB7C5E" w:rsidRPr="00B46F2F">
        <w:rPr>
          <w:rFonts w:ascii="Times New Roman" w:hAnsi="Times New Roman"/>
          <w:szCs w:val="20"/>
        </w:rPr>
        <w:t>0 in respect of the financial year</w:t>
      </w:r>
      <w:r w:rsidR="00BB783A">
        <w:rPr>
          <w:rFonts w:ascii="Times New Roman" w:hAnsi="Times New Roman"/>
          <w:szCs w:val="20"/>
        </w:rPr>
        <w:t xml:space="preserve"> (2017: </w:t>
      </w:r>
      <w:r w:rsidR="00BB783A" w:rsidRPr="00B46F2F">
        <w:rPr>
          <w:rFonts w:ascii="Times New Roman" w:hAnsi="Times New Roman"/>
          <w:szCs w:val="20"/>
        </w:rPr>
        <w:t>£2</w:t>
      </w:r>
      <w:r w:rsidR="00974B79">
        <w:rPr>
          <w:rFonts w:ascii="Times New Roman" w:hAnsi="Times New Roman"/>
          <w:szCs w:val="20"/>
        </w:rPr>
        <w:t>0</w:t>
      </w:r>
      <w:r w:rsidR="00BB783A" w:rsidRPr="00B46F2F">
        <w:rPr>
          <w:rFonts w:ascii="Times New Roman" w:hAnsi="Times New Roman"/>
          <w:szCs w:val="20"/>
        </w:rPr>
        <w:t>,000</w:t>
      </w:r>
      <w:r w:rsidR="00BB783A">
        <w:rPr>
          <w:rFonts w:ascii="Times New Roman" w:hAnsi="Times New Roman"/>
          <w:szCs w:val="20"/>
        </w:rPr>
        <w:t>)</w:t>
      </w:r>
      <w:r w:rsidR="00404E3C">
        <w:rPr>
          <w:rFonts w:ascii="Times New Roman" w:hAnsi="Times New Roman"/>
          <w:szCs w:val="20"/>
        </w:rPr>
        <w:t>,</w:t>
      </w:r>
      <w:r w:rsidR="00FB7C5E" w:rsidRPr="00B46F2F">
        <w:rPr>
          <w:rFonts w:ascii="Times New Roman" w:hAnsi="Times New Roman"/>
          <w:szCs w:val="20"/>
        </w:rPr>
        <w:t xml:space="preserve"> the Chairman was paid a fee of £2</w:t>
      </w:r>
      <w:r w:rsidR="00963D05">
        <w:rPr>
          <w:rFonts w:ascii="Times New Roman" w:hAnsi="Times New Roman"/>
          <w:szCs w:val="20"/>
        </w:rPr>
        <w:t>6</w:t>
      </w:r>
      <w:r w:rsidR="00FB7C5E" w:rsidRPr="00B46F2F">
        <w:rPr>
          <w:rFonts w:ascii="Times New Roman" w:hAnsi="Times New Roman"/>
          <w:szCs w:val="20"/>
        </w:rPr>
        <w:t>,</w:t>
      </w:r>
      <w:r w:rsidR="007720F6">
        <w:rPr>
          <w:rFonts w:ascii="Times New Roman" w:hAnsi="Times New Roman"/>
          <w:szCs w:val="20"/>
        </w:rPr>
        <w:t>5</w:t>
      </w:r>
      <w:r w:rsidR="00FB7C5E" w:rsidRPr="00B46F2F">
        <w:rPr>
          <w:rFonts w:ascii="Times New Roman" w:hAnsi="Times New Roman"/>
          <w:szCs w:val="20"/>
        </w:rPr>
        <w:t>00</w:t>
      </w:r>
      <w:r w:rsidR="00FC367D" w:rsidRPr="00B46F2F">
        <w:rPr>
          <w:rFonts w:ascii="Times New Roman" w:hAnsi="Times New Roman"/>
          <w:szCs w:val="20"/>
        </w:rPr>
        <w:t xml:space="preserve"> </w:t>
      </w:r>
      <w:r w:rsidR="00FC367D" w:rsidRPr="00B46F2F">
        <w:rPr>
          <w:rFonts w:ascii="Times New Roman" w:hAnsi="Times New Roman"/>
        </w:rPr>
        <w:t>(201</w:t>
      </w:r>
      <w:r w:rsidR="007720F6">
        <w:rPr>
          <w:rFonts w:ascii="Times New Roman" w:hAnsi="Times New Roman"/>
        </w:rPr>
        <w:t>7</w:t>
      </w:r>
      <w:r w:rsidR="00FC367D" w:rsidRPr="00B46F2F">
        <w:rPr>
          <w:rFonts w:ascii="Times New Roman" w:hAnsi="Times New Roman"/>
        </w:rPr>
        <w:t xml:space="preserve">: </w:t>
      </w:r>
      <w:r w:rsidR="00C84D94" w:rsidRPr="00B46F2F">
        <w:rPr>
          <w:rFonts w:ascii="Times New Roman" w:hAnsi="Times New Roman"/>
          <w:szCs w:val="20"/>
        </w:rPr>
        <w:t>£25,000</w:t>
      </w:r>
      <w:r w:rsidR="00FC367D" w:rsidRPr="00B46F2F">
        <w:rPr>
          <w:rFonts w:ascii="Times New Roman" w:hAnsi="Times New Roman"/>
        </w:rPr>
        <w:t>)</w:t>
      </w:r>
      <w:r w:rsidR="00B836DB">
        <w:rPr>
          <w:rFonts w:ascii="Times New Roman" w:hAnsi="Times New Roman"/>
        </w:rPr>
        <w:t xml:space="preserve"> and the Chairman of the </w:t>
      </w:r>
      <w:r w:rsidR="00404E3C">
        <w:rPr>
          <w:rFonts w:ascii="Times New Roman" w:hAnsi="Times New Roman"/>
        </w:rPr>
        <w:t>A</w:t>
      </w:r>
      <w:r w:rsidR="00B836DB">
        <w:rPr>
          <w:rFonts w:ascii="Times New Roman" w:hAnsi="Times New Roman"/>
        </w:rPr>
        <w:t xml:space="preserve">udit </w:t>
      </w:r>
      <w:r w:rsidR="00404E3C">
        <w:rPr>
          <w:rFonts w:ascii="Times New Roman" w:hAnsi="Times New Roman"/>
        </w:rPr>
        <w:t>C</w:t>
      </w:r>
      <w:r w:rsidR="00B836DB">
        <w:rPr>
          <w:rFonts w:ascii="Times New Roman" w:hAnsi="Times New Roman"/>
        </w:rPr>
        <w:t xml:space="preserve">ommittee </w:t>
      </w:r>
      <w:r w:rsidR="00B836DB" w:rsidRPr="00B46F2F">
        <w:rPr>
          <w:rFonts w:ascii="Times New Roman" w:hAnsi="Times New Roman"/>
          <w:szCs w:val="20"/>
        </w:rPr>
        <w:t>£2</w:t>
      </w:r>
      <w:r w:rsidR="00180734">
        <w:rPr>
          <w:rFonts w:ascii="Times New Roman" w:hAnsi="Times New Roman"/>
          <w:szCs w:val="20"/>
        </w:rPr>
        <w:t>2</w:t>
      </w:r>
      <w:r w:rsidR="00B836DB" w:rsidRPr="00B46F2F">
        <w:rPr>
          <w:rFonts w:ascii="Times New Roman" w:hAnsi="Times New Roman"/>
          <w:szCs w:val="20"/>
        </w:rPr>
        <w:t>,</w:t>
      </w:r>
      <w:r w:rsidR="00B836DB">
        <w:rPr>
          <w:rFonts w:ascii="Times New Roman" w:hAnsi="Times New Roman"/>
          <w:szCs w:val="20"/>
        </w:rPr>
        <w:t>0</w:t>
      </w:r>
      <w:r w:rsidR="00B836DB" w:rsidRPr="00B46F2F">
        <w:rPr>
          <w:rFonts w:ascii="Times New Roman" w:hAnsi="Times New Roman"/>
          <w:szCs w:val="20"/>
        </w:rPr>
        <w:t>00</w:t>
      </w:r>
      <w:r w:rsidR="00B836DB">
        <w:rPr>
          <w:rFonts w:ascii="Times New Roman" w:hAnsi="Times New Roman"/>
          <w:szCs w:val="20"/>
        </w:rPr>
        <w:t xml:space="preserve"> </w:t>
      </w:r>
      <w:r w:rsidR="00B836DB" w:rsidRPr="00B46F2F">
        <w:rPr>
          <w:rFonts w:ascii="Times New Roman" w:hAnsi="Times New Roman"/>
        </w:rPr>
        <w:t>(201</w:t>
      </w:r>
      <w:r w:rsidR="00B836DB">
        <w:rPr>
          <w:rFonts w:ascii="Times New Roman" w:hAnsi="Times New Roman"/>
        </w:rPr>
        <w:t>7</w:t>
      </w:r>
      <w:r w:rsidR="00B836DB" w:rsidRPr="00B46F2F">
        <w:rPr>
          <w:rFonts w:ascii="Times New Roman" w:hAnsi="Times New Roman"/>
        </w:rPr>
        <w:t xml:space="preserve">: </w:t>
      </w:r>
      <w:r w:rsidR="00B836DB" w:rsidRPr="00B46F2F">
        <w:rPr>
          <w:rFonts w:ascii="Times New Roman" w:hAnsi="Times New Roman"/>
          <w:szCs w:val="20"/>
        </w:rPr>
        <w:t>£2</w:t>
      </w:r>
      <w:r w:rsidR="00B836DB">
        <w:rPr>
          <w:rFonts w:ascii="Times New Roman" w:hAnsi="Times New Roman"/>
          <w:szCs w:val="20"/>
        </w:rPr>
        <w:t>0</w:t>
      </w:r>
      <w:r w:rsidR="00B836DB" w:rsidRPr="00B46F2F">
        <w:rPr>
          <w:rFonts w:ascii="Times New Roman" w:hAnsi="Times New Roman"/>
          <w:szCs w:val="20"/>
        </w:rPr>
        <w:t>,000</w:t>
      </w:r>
      <w:r w:rsidR="00B836DB" w:rsidRPr="00B46F2F">
        <w:rPr>
          <w:rFonts w:ascii="Times New Roman" w:hAnsi="Times New Roman"/>
        </w:rPr>
        <w:t>)</w:t>
      </w:r>
      <w:r w:rsidR="00FC367D" w:rsidRPr="00B46F2F">
        <w:rPr>
          <w:rFonts w:ascii="Times New Roman" w:hAnsi="Times New Roman"/>
        </w:rPr>
        <w:t>.</w:t>
      </w:r>
      <w:r w:rsidR="0084306F">
        <w:rPr>
          <w:rFonts w:ascii="Times New Roman" w:hAnsi="Times New Roman"/>
        </w:rPr>
        <w:t xml:space="preserve"> Mr </w:t>
      </w:r>
      <w:proofErr w:type="spellStart"/>
      <w:r w:rsidR="0084306F">
        <w:rPr>
          <w:rFonts w:ascii="Times New Roman" w:hAnsi="Times New Roman"/>
        </w:rPr>
        <w:t>Orrico</w:t>
      </w:r>
      <w:proofErr w:type="spellEnd"/>
      <w:r w:rsidR="0084306F">
        <w:rPr>
          <w:rFonts w:ascii="Times New Roman" w:hAnsi="Times New Roman"/>
        </w:rPr>
        <w:t xml:space="preserve"> waived his fee in 201</w:t>
      </w:r>
      <w:r w:rsidR="00C84D94">
        <w:rPr>
          <w:rFonts w:ascii="Times New Roman" w:hAnsi="Times New Roman"/>
        </w:rPr>
        <w:t>8</w:t>
      </w:r>
      <w:r w:rsidR="0075060A">
        <w:rPr>
          <w:rFonts w:ascii="Times New Roman" w:hAnsi="Times New Roman"/>
        </w:rPr>
        <w:t xml:space="preserve"> and 201</w:t>
      </w:r>
      <w:r w:rsidR="00C84D94">
        <w:rPr>
          <w:rFonts w:ascii="Times New Roman" w:hAnsi="Times New Roman"/>
        </w:rPr>
        <w:t>7</w:t>
      </w:r>
      <w:r w:rsidR="0075060A">
        <w:rPr>
          <w:rFonts w:ascii="Times New Roman" w:hAnsi="Times New Roman"/>
        </w:rPr>
        <w:t>.</w:t>
      </w:r>
      <w:r w:rsidR="00140415">
        <w:rPr>
          <w:rFonts w:ascii="Times New Roman" w:hAnsi="Times New Roman"/>
        </w:rPr>
        <w:t xml:space="preserve"> </w:t>
      </w:r>
      <w:r w:rsidR="00180734" w:rsidRPr="00E54387">
        <w:rPr>
          <w:rFonts w:ascii="Times New Roman" w:hAnsi="Times New Roman"/>
          <w:szCs w:val="20"/>
        </w:rPr>
        <w:t>The fees payable to the directors were increased on 1 July 2018 as disclosed in the Directors' Report on page 19</w:t>
      </w:r>
      <w:r w:rsidR="00180734">
        <w:rPr>
          <w:rFonts w:ascii="Times New Roman" w:hAnsi="Times New Roman"/>
          <w:szCs w:val="20"/>
        </w:rPr>
        <w:t>.</w:t>
      </w:r>
    </w:p>
    <w:p w:rsidR="00485E1F" w:rsidRDefault="00485E1F" w:rsidP="00AF7B93">
      <w:pPr>
        <w:pStyle w:val="BodyText"/>
        <w:tabs>
          <w:tab w:val="clear" w:pos="3402"/>
          <w:tab w:val="clear" w:pos="8222"/>
        </w:tabs>
        <w:ind w:left="360"/>
        <w:rPr>
          <w:rFonts w:ascii="Times New Roman" w:hAnsi="Times New Roman"/>
          <w:szCs w:val="20"/>
        </w:rPr>
      </w:pPr>
    </w:p>
    <w:p w:rsidR="00F52563" w:rsidRPr="00B46F2F" w:rsidRDefault="00F57753" w:rsidP="00F57753">
      <w:pPr>
        <w:pStyle w:val="BodyText"/>
        <w:tabs>
          <w:tab w:val="clear" w:pos="3402"/>
          <w:tab w:val="clear" w:pos="8222"/>
        </w:tabs>
        <w:ind w:left="360"/>
        <w:rPr>
          <w:rFonts w:ascii="Times New Roman" w:hAnsi="Times New Roman"/>
        </w:rPr>
      </w:pPr>
      <w:r w:rsidRPr="00B46F2F">
        <w:rPr>
          <w:rFonts w:ascii="Times New Roman" w:hAnsi="Times New Roman"/>
          <w:szCs w:val="20"/>
        </w:rPr>
        <w:t xml:space="preserve">The Investment Manager is also regarded as a related party due to </w:t>
      </w:r>
      <w:r w:rsidR="00AA7AB2" w:rsidRPr="00B46F2F">
        <w:rPr>
          <w:rFonts w:ascii="Times New Roman" w:hAnsi="Times New Roman"/>
          <w:szCs w:val="20"/>
        </w:rPr>
        <w:t>common ownership</w:t>
      </w:r>
      <w:r w:rsidRPr="00B46F2F">
        <w:rPr>
          <w:rFonts w:ascii="Times New Roman" w:hAnsi="Times New Roman"/>
          <w:szCs w:val="20"/>
        </w:rPr>
        <w:t xml:space="preserve">.  Total management fees paid during the year amounted </w:t>
      </w:r>
      <w:r w:rsidRPr="00B46F2F">
        <w:rPr>
          <w:rFonts w:ascii="Times New Roman" w:hAnsi="Times New Roman"/>
        </w:rPr>
        <w:t>to £</w:t>
      </w:r>
      <w:r w:rsidR="00E8529A">
        <w:rPr>
          <w:rFonts w:ascii="Times New Roman" w:hAnsi="Times New Roman"/>
        </w:rPr>
        <w:t>8</w:t>
      </w:r>
      <w:r w:rsidR="007720F6">
        <w:rPr>
          <w:rFonts w:ascii="Times New Roman" w:hAnsi="Times New Roman"/>
        </w:rPr>
        <w:t>25</w:t>
      </w:r>
      <w:r w:rsidR="00E21312">
        <w:rPr>
          <w:rFonts w:ascii="Times New Roman" w:hAnsi="Times New Roman"/>
        </w:rPr>
        <w:t>,</w:t>
      </w:r>
      <w:r w:rsidR="007720F6">
        <w:rPr>
          <w:rFonts w:ascii="Times New Roman" w:hAnsi="Times New Roman"/>
        </w:rPr>
        <w:t>61</w:t>
      </w:r>
      <w:r w:rsidR="0069096F">
        <w:rPr>
          <w:rFonts w:ascii="Times New Roman" w:hAnsi="Times New Roman"/>
        </w:rPr>
        <w:t>5</w:t>
      </w:r>
      <w:r w:rsidRPr="00B46F2F">
        <w:rPr>
          <w:rFonts w:ascii="Times New Roman" w:hAnsi="Times New Roman"/>
        </w:rPr>
        <w:t xml:space="preserve"> (</w:t>
      </w:r>
      <w:r w:rsidR="00FC367D" w:rsidRPr="00B46F2F">
        <w:rPr>
          <w:rFonts w:ascii="Times New Roman" w:hAnsi="Times New Roman"/>
        </w:rPr>
        <w:t>201</w:t>
      </w:r>
      <w:r w:rsidR="007720F6">
        <w:rPr>
          <w:rFonts w:ascii="Times New Roman" w:hAnsi="Times New Roman"/>
        </w:rPr>
        <w:t>7</w:t>
      </w:r>
      <w:r w:rsidRPr="00B46F2F">
        <w:rPr>
          <w:rFonts w:ascii="Times New Roman" w:hAnsi="Times New Roman"/>
        </w:rPr>
        <w:t xml:space="preserve">: </w:t>
      </w:r>
      <w:r w:rsidR="00C84D94" w:rsidRPr="00B46F2F">
        <w:rPr>
          <w:rFonts w:ascii="Times New Roman" w:hAnsi="Times New Roman"/>
        </w:rPr>
        <w:t>£</w:t>
      </w:r>
      <w:r w:rsidR="00C84D94">
        <w:rPr>
          <w:rFonts w:ascii="Times New Roman" w:hAnsi="Times New Roman"/>
        </w:rPr>
        <w:t>860,300</w:t>
      </w:r>
      <w:r w:rsidRPr="00B46F2F">
        <w:rPr>
          <w:rFonts w:ascii="Times New Roman" w:hAnsi="Times New Roman"/>
        </w:rPr>
        <w:t>).</w:t>
      </w:r>
    </w:p>
    <w:p w:rsidR="00F57753" w:rsidRPr="00B46F2F" w:rsidRDefault="00F57753" w:rsidP="00F57753">
      <w:pPr>
        <w:pStyle w:val="BodyText"/>
        <w:tabs>
          <w:tab w:val="clear" w:pos="3402"/>
          <w:tab w:val="clear" w:pos="8222"/>
        </w:tabs>
        <w:ind w:left="360"/>
        <w:rPr>
          <w:rFonts w:ascii="Times New Roman" w:hAnsi="Times New Roman"/>
        </w:rPr>
      </w:pPr>
    </w:p>
    <w:p w:rsidR="004429FF" w:rsidRPr="00B46F2F" w:rsidRDefault="004B288D" w:rsidP="00882689">
      <w:pPr>
        <w:pStyle w:val="BodyText"/>
        <w:tabs>
          <w:tab w:val="clear" w:pos="3402"/>
          <w:tab w:val="clear" w:pos="8222"/>
        </w:tabs>
        <w:ind w:left="360"/>
        <w:rPr>
          <w:rFonts w:ascii="Times New Roman" w:hAnsi="Times New Roman"/>
        </w:rPr>
      </w:pPr>
      <w:r w:rsidRPr="00B46F2F">
        <w:rPr>
          <w:rFonts w:ascii="Times New Roman" w:hAnsi="Times New Roman"/>
        </w:rPr>
        <w:t>The fees for the above are all arm</w:t>
      </w:r>
      <w:r w:rsidR="0016075F">
        <w:rPr>
          <w:rFonts w:ascii="Times New Roman" w:hAnsi="Times New Roman"/>
        </w:rPr>
        <w:t>’</w:t>
      </w:r>
      <w:r w:rsidRPr="00B46F2F">
        <w:rPr>
          <w:rFonts w:ascii="Times New Roman" w:hAnsi="Times New Roman"/>
        </w:rPr>
        <w:t xml:space="preserve">s length transactions.  </w:t>
      </w:r>
    </w:p>
    <w:p w:rsidR="00DA5E13" w:rsidRPr="00B46F2F" w:rsidRDefault="00DA5E13" w:rsidP="00DA5E13">
      <w:pPr>
        <w:pStyle w:val="Heading2"/>
        <w:tabs>
          <w:tab w:val="right" w:pos="8222"/>
        </w:tabs>
        <w:rPr>
          <w:rFonts w:ascii="Times New Roman" w:hAnsi="Times New Roman"/>
          <w:szCs w:val="22"/>
        </w:rPr>
      </w:pPr>
      <w:r w:rsidRPr="009170B8">
        <w:rPr>
          <w:rFonts w:ascii="Times New Roman" w:hAnsi="Times New Roman"/>
          <w:szCs w:val="22"/>
        </w:rPr>
        <w:t xml:space="preserve">Notes to the </w:t>
      </w:r>
      <w:r w:rsidRPr="00B46F2F">
        <w:rPr>
          <w:rFonts w:ascii="Times New Roman" w:hAnsi="Times New Roman"/>
          <w:szCs w:val="22"/>
        </w:rPr>
        <w:t xml:space="preserve">Financial Statements </w:t>
      </w:r>
      <w:r>
        <w:rPr>
          <w:rFonts w:ascii="Times New Roman" w:hAnsi="Times New Roman"/>
          <w:szCs w:val="22"/>
        </w:rPr>
        <w:t xml:space="preserve">of the Fund </w:t>
      </w:r>
      <w:r w:rsidRPr="00B46F2F">
        <w:rPr>
          <w:rFonts w:ascii="Times New Roman" w:hAnsi="Times New Roman"/>
          <w:szCs w:val="22"/>
        </w:rPr>
        <w:t>(continued)</w:t>
      </w:r>
    </w:p>
    <w:p w:rsidR="00DA5E13" w:rsidRDefault="00DA5E13" w:rsidP="00DA5E13">
      <w:pPr>
        <w:pStyle w:val="Heading2"/>
        <w:tabs>
          <w:tab w:val="right" w:pos="8222"/>
        </w:tabs>
        <w:rPr>
          <w:rFonts w:ascii="Times New Roman" w:hAnsi="Times New Roman"/>
          <w:sz w:val="20"/>
          <w:szCs w:val="20"/>
        </w:rPr>
      </w:pPr>
      <w:r w:rsidRPr="00B46F2F">
        <w:rPr>
          <w:rFonts w:ascii="Times New Roman" w:hAnsi="Times New Roman"/>
          <w:sz w:val="20"/>
          <w:szCs w:val="20"/>
        </w:rPr>
        <w:t>For the year ended 31 December 201</w:t>
      </w:r>
      <w:r>
        <w:rPr>
          <w:rFonts w:ascii="Times New Roman" w:hAnsi="Times New Roman"/>
          <w:sz w:val="20"/>
          <w:szCs w:val="20"/>
        </w:rPr>
        <w:t>8</w:t>
      </w:r>
    </w:p>
    <w:p w:rsidR="00682F72" w:rsidRPr="00B46F2F" w:rsidRDefault="00682F72" w:rsidP="00AF7B93">
      <w:pPr>
        <w:pStyle w:val="BodyText"/>
        <w:tabs>
          <w:tab w:val="clear" w:pos="3402"/>
          <w:tab w:val="clear" w:pos="8222"/>
        </w:tabs>
        <w:ind w:left="360"/>
        <w:rPr>
          <w:rFonts w:ascii="Times New Roman" w:hAnsi="Times New Roman"/>
        </w:rPr>
      </w:pPr>
    </w:p>
    <w:p w:rsidR="004B288D" w:rsidRPr="00B46F2F" w:rsidRDefault="004B288D" w:rsidP="004B288D">
      <w:pPr>
        <w:ind w:left="360" w:hanging="360"/>
        <w:rPr>
          <w:rFonts w:ascii="Times New Roman" w:hAnsi="Times New Roman"/>
          <w:b/>
          <w:sz w:val="20"/>
        </w:rPr>
      </w:pPr>
      <w:r w:rsidRPr="00B46F2F">
        <w:rPr>
          <w:rFonts w:ascii="Times New Roman" w:hAnsi="Times New Roman"/>
          <w:b/>
          <w:sz w:val="20"/>
        </w:rPr>
        <w:t>1</w:t>
      </w:r>
      <w:r w:rsidR="00EE24D4" w:rsidRPr="00B46F2F">
        <w:rPr>
          <w:rFonts w:ascii="Times New Roman" w:hAnsi="Times New Roman"/>
          <w:b/>
          <w:sz w:val="20"/>
        </w:rPr>
        <w:t>4</w:t>
      </w:r>
      <w:r w:rsidRPr="00B46F2F">
        <w:rPr>
          <w:rFonts w:ascii="Times New Roman" w:hAnsi="Times New Roman"/>
          <w:b/>
          <w:sz w:val="20"/>
        </w:rPr>
        <w:t xml:space="preserve">. </w:t>
      </w:r>
      <w:r w:rsidR="001F4E53" w:rsidRPr="00B46F2F">
        <w:rPr>
          <w:rFonts w:ascii="Times New Roman" w:hAnsi="Times New Roman"/>
          <w:b/>
          <w:sz w:val="20"/>
        </w:rPr>
        <w:t xml:space="preserve"> </w:t>
      </w:r>
      <w:r w:rsidR="001F4E53" w:rsidRPr="00B46F2F">
        <w:rPr>
          <w:rFonts w:ascii="Times New Roman" w:hAnsi="Times New Roman"/>
          <w:b/>
          <w:sz w:val="20"/>
        </w:rPr>
        <w:tab/>
      </w:r>
      <w:r w:rsidRPr="00B46F2F">
        <w:rPr>
          <w:rFonts w:ascii="Times New Roman" w:hAnsi="Times New Roman"/>
          <w:b/>
          <w:sz w:val="20"/>
        </w:rPr>
        <w:t xml:space="preserve">Loan payable </w:t>
      </w:r>
    </w:p>
    <w:p w:rsidR="001F4E53" w:rsidRPr="00B46F2F" w:rsidRDefault="001F4E53" w:rsidP="001F4E53">
      <w:pPr>
        <w:ind w:left="360"/>
        <w:jc w:val="both"/>
        <w:rPr>
          <w:rFonts w:ascii="Times New Roman" w:hAnsi="Times New Roman"/>
          <w:sz w:val="20"/>
          <w:szCs w:val="20"/>
        </w:rPr>
      </w:pPr>
      <w:r w:rsidRPr="00B46F2F">
        <w:rPr>
          <w:rFonts w:ascii="Times New Roman" w:hAnsi="Times New Roman"/>
          <w:sz w:val="20"/>
          <w:szCs w:val="20"/>
        </w:rPr>
        <w:t xml:space="preserve">The Fund </w:t>
      </w:r>
      <w:r w:rsidR="0048685B" w:rsidRPr="00B46F2F">
        <w:rPr>
          <w:rFonts w:ascii="Times New Roman" w:hAnsi="Times New Roman"/>
          <w:sz w:val="20"/>
          <w:szCs w:val="20"/>
        </w:rPr>
        <w:t>has</w:t>
      </w:r>
      <w:r w:rsidRPr="00B46F2F">
        <w:rPr>
          <w:rFonts w:ascii="Times New Roman" w:hAnsi="Times New Roman"/>
          <w:sz w:val="20"/>
          <w:szCs w:val="20"/>
        </w:rPr>
        <w:t xml:space="preserve"> a Credit </w:t>
      </w:r>
      <w:r w:rsidR="000372DC">
        <w:rPr>
          <w:rFonts w:ascii="Times New Roman" w:hAnsi="Times New Roman"/>
          <w:sz w:val="20"/>
          <w:szCs w:val="20"/>
        </w:rPr>
        <w:t xml:space="preserve">Facility </w:t>
      </w:r>
      <w:r w:rsidRPr="00B46F2F">
        <w:rPr>
          <w:rFonts w:ascii="Times New Roman" w:hAnsi="Times New Roman"/>
          <w:sz w:val="20"/>
          <w:szCs w:val="20"/>
        </w:rPr>
        <w:t xml:space="preserve">Agreement with Royal Bank of Canada (“RBC”) whereby RBC provides </w:t>
      </w:r>
      <w:r w:rsidR="0048685B" w:rsidRPr="00B46F2F">
        <w:rPr>
          <w:rFonts w:ascii="Times New Roman" w:hAnsi="Times New Roman"/>
          <w:sz w:val="20"/>
          <w:szCs w:val="20"/>
        </w:rPr>
        <w:t>an on Demand</w:t>
      </w:r>
      <w:r w:rsidRPr="00B46F2F">
        <w:rPr>
          <w:rFonts w:ascii="Times New Roman" w:hAnsi="Times New Roman"/>
          <w:sz w:val="20"/>
          <w:szCs w:val="20"/>
        </w:rPr>
        <w:t xml:space="preserve"> Credit Facility (the “Credit Facility”), with a maximum princip</w:t>
      </w:r>
      <w:r w:rsidR="0048685B" w:rsidRPr="00B46F2F">
        <w:rPr>
          <w:rFonts w:ascii="Times New Roman" w:hAnsi="Times New Roman"/>
          <w:sz w:val="20"/>
          <w:szCs w:val="20"/>
        </w:rPr>
        <w:t>al amount of the lesser of CAD</w:t>
      </w:r>
      <w:r w:rsidR="000D7F18">
        <w:rPr>
          <w:rFonts w:ascii="Times New Roman" w:hAnsi="Times New Roman"/>
          <w:sz w:val="20"/>
          <w:szCs w:val="20"/>
        </w:rPr>
        <w:t xml:space="preserve"> </w:t>
      </w:r>
      <w:r w:rsidR="0048685B" w:rsidRPr="00B46F2F">
        <w:rPr>
          <w:rFonts w:ascii="Times New Roman" w:hAnsi="Times New Roman"/>
          <w:sz w:val="20"/>
          <w:szCs w:val="20"/>
        </w:rPr>
        <w:t>65</w:t>
      </w:r>
      <w:r w:rsidRPr="00B46F2F">
        <w:rPr>
          <w:rFonts w:ascii="Times New Roman" w:hAnsi="Times New Roman"/>
          <w:sz w:val="20"/>
          <w:szCs w:val="20"/>
        </w:rPr>
        <w:t>,000,000 and 25</w:t>
      </w:r>
      <w:r w:rsidR="000348B8" w:rsidRPr="00B46F2F">
        <w:rPr>
          <w:rFonts w:ascii="Times New Roman" w:hAnsi="Times New Roman"/>
          <w:sz w:val="20"/>
          <w:szCs w:val="20"/>
        </w:rPr>
        <w:t xml:space="preserve"> per cent.</w:t>
      </w:r>
      <w:r w:rsidRPr="00B46F2F">
        <w:rPr>
          <w:rFonts w:ascii="Times New Roman" w:hAnsi="Times New Roman"/>
          <w:sz w:val="20"/>
          <w:szCs w:val="20"/>
        </w:rPr>
        <w:t xml:space="preserve"> of the </w:t>
      </w:r>
      <w:r w:rsidR="00485E1F">
        <w:rPr>
          <w:rFonts w:ascii="Times New Roman" w:hAnsi="Times New Roman"/>
          <w:sz w:val="20"/>
          <w:szCs w:val="20"/>
        </w:rPr>
        <w:t>t</w:t>
      </w:r>
      <w:r w:rsidR="00485E1F" w:rsidRPr="00B46F2F">
        <w:rPr>
          <w:rFonts w:ascii="Times New Roman" w:hAnsi="Times New Roman"/>
          <w:sz w:val="20"/>
          <w:szCs w:val="20"/>
        </w:rPr>
        <w:t xml:space="preserve">otal </w:t>
      </w:r>
      <w:r w:rsidR="00485E1F">
        <w:rPr>
          <w:rFonts w:ascii="Times New Roman" w:hAnsi="Times New Roman"/>
          <w:sz w:val="20"/>
          <w:szCs w:val="20"/>
        </w:rPr>
        <w:t>a</w:t>
      </w:r>
      <w:r w:rsidR="00485E1F" w:rsidRPr="00B46F2F">
        <w:rPr>
          <w:rFonts w:ascii="Times New Roman" w:hAnsi="Times New Roman"/>
          <w:sz w:val="20"/>
          <w:szCs w:val="20"/>
        </w:rPr>
        <w:t xml:space="preserve">sset </w:t>
      </w:r>
      <w:r w:rsidR="00485E1F">
        <w:rPr>
          <w:rFonts w:ascii="Times New Roman" w:hAnsi="Times New Roman"/>
          <w:sz w:val="20"/>
          <w:szCs w:val="20"/>
        </w:rPr>
        <w:t>v</w:t>
      </w:r>
      <w:r w:rsidR="00485E1F" w:rsidRPr="00B46F2F">
        <w:rPr>
          <w:rFonts w:ascii="Times New Roman" w:hAnsi="Times New Roman"/>
          <w:sz w:val="20"/>
          <w:szCs w:val="20"/>
        </w:rPr>
        <w:t xml:space="preserve">alue </w:t>
      </w:r>
      <w:r w:rsidRPr="00B46F2F">
        <w:rPr>
          <w:rFonts w:ascii="Times New Roman" w:hAnsi="Times New Roman"/>
          <w:sz w:val="20"/>
          <w:szCs w:val="20"/>
        </w:rPr>
        <w:t>of the Fund.</w:t>
      </w:r>
      <w:r w:rsidR="00606E35" w:rsidRPr="00B46F2F">
        <w:rPr>
          <w:rFonts w:ascii="Times New Roman" w:hAnsi="Times New Roman"/>
          <w:sz w:val="20"/>
          <w:szCs w:val="20"/>
        </w:rPr>
        <w:t xml:space="preserve"> </w:t>
      </w:r>
    </w:p>
    <w:p w:rsidR="001F4E53" w:rsidRPr="00B46F2F" w:rsidRDefault="001F4E53" w:rsidP="00606E35">
      <w:pPr>
        <w:jc w:val="both"/>
        <w:rPr>
          <w:rFonts w:ascii="Times New Roman" w:hAnsi="Times New Roman"/>
          <w:sz w:val="20"/>
          <w:szCs w:val="20"/>
        </w:rPr>
      </w:pPr>
    </w:p>
    <w:p w:rsidR="00225DD1" w:rsidRDefault="00606E35" w:rsidP="00C87A19">
      <w:pPr>
        <w:ind w:left="360"/>
        <w:jc w:val="both"/>
        <w:rPr>
          <w:rFonts w:ascii="Times New Roman" w:hAnsi="Times New Roman"/>
          <w:sz w:val="20"/>
          <w:szCs w:val="20"/>
        </w:rPr>
      </w:pPr>
      <w:r w:rsidRPr="00387C93">
        <w:rPr>
          <w:rFonts w:ascii="Times New Roman" w:hAnsi="Times New Roman"/>
          <w:sz w:val="20"/>
          <w:szCs w:val="20"/>
        </w:rPr>
        <w:t xml:space="preserve">At 31 December </w:t>
      </w:r>
      <w:r w:rsidR="00A80A42" w:rsidRPr="00387C93">
        <w:rPr>
          <w:rFonts w:ascii="Times New Roman" w:hAnsi="Times New Roman"/>
          <w:sz w:val="20"/>
          <w:szCs w:val="20"/>
        </w:rPr>
        <w:t>201</w:t>
      </w:r>
      <w:r w:rsidR="007720F6">
        <w:rPr>
          <w:rFonts w:ascii="Times New Roman" w:hAnsi="Times New Roman"/>
          <w:sz w:val="20"/>
          <w:szCs w:val="20"/>
        </w:rPr>
        <w:t>8</w:t>
      </w:r>
      <w:r w:rsidR="0084306F" w:rsidRPr="00387C93">
        <w:rPr>
          <w:rFonts w:ascii="Times New Roman" w:hAnsi="Times New Roman"/>
          <w:sz w:val="20"/>
          <w:szCs w:val="20"/>
        </w:rPr>
        <w:t>,</w:t>
      </w:r>
      <w:r w:rsidRPr="00387C93">
        <w:rPr>
          <w:rFonts w:ascii="Times New Roman" w:hAnsi="Times New Roman"/>
          <w:sz w:val="20"/>
          <w:szCs w:val="20"/>
        </w:rPr>
        <w:t xml:space="preserve"> t</w:t>
      </w:r>
      <w:r w:rsidR="00C50392" w:rsidRPr="00387C93">
        <w:rPr>
          <w:rFonts w:ascii="Times New Roman" w:hAnsi="Times New Roman"/>
          <w:sz w:val="20"/>
          <w:szCs w:val="20"/>
        </w:rPr>
        <w:t>he Bankers’ A</w:t>
      </w:r>
      <w:r w:rsidR="001F4E53" w:rsidRPr="00387C93">
        <w:rPr>
          <w:rFonts w:ascii="Times New Roman" w:hAnsi="Times New Roman"/>
          <w:sz w:val="20"/>
          <w:szCs w:val="20"/>
        </w:rPr>
        <w:t>cceptance drawn under the Credit Facility totals CAD</w:t>
      </w:r>
      <w:r w:rsidR="000D7F18" w:rsidRPr="00387C93">
        <w:rPr>
          <w:rFonts w:ascii="Times New Roman" w:hAnsi="Times New Roman"/>
          <w:sz w:val="20"/>
          <w:szCs w:val="20"/>
        </w:rPr>
        <w:t xml:space="preserve"> </w:t>
      </w:r>
      <w:r w:rsidR="00C80A3C">
        <w:rPr>
          <w:rFonts w:ascii="Times New Roman" w:hAnsi="Times New Roman"/>
          <w:sz w:val="20"/>
          <w:szCs w:val="20"/>
        </w:rPr>
        <w:t>35</w:t>
      </w:r>
      <w:r w:rsidR="00E21312" w:rsidRPr="00387C93">
        <w:rPr>
          <w:rFonts w:ascii="Times New Roman" w:hAnsi="Times New Roman"/>
          <w:sz w:val="20"/>
          <w:szCs w:val="20"/>
        </w:rPr>
        <w:t>,000,000</w:t>
      </w:r>
      <w:r w:rsidR="001F4E53" w:rsidRPr="00387C93">
        <w:rPr>
          <w:rFonts w:ascii="Times New Roman" w:hAnsi="Times New Roman"/>
          <w:sz w:val="20"/>
        </w:rPr>
        <w:t xml:space="preserve"> </w:t>
      </w:r>
      <w:r w:rsidR="001F4E53" w:rsidRPr="00387C93">
        <w:rPr>
          <w:rFonts w:ascii="Times New Roman" w:hAnsi="Times New Roman"/>
          <w:sz w:val="20"/>
          <w:szCs w:val="20"/>
        </w:rPr>
        <w:t xml:space="preserve">(GBP equivalent </w:t>
      </w:r>
      <w:r w:rsidR="00E24A68">
        <w:rPr>
          <w:rFonts w:ascii="Times New Roman" w:hAnsi="Times New Roman"/>
          <w:sz w:val="20"/>
          <w:szCs w:val="20"/>
        </w:rPr>
        <w:t xml:space="preserve">at amortised cost </w:t>
      </w:r>
      <w:r w:rsidR="001F4E53" w:rsidRPr="00387C93">
        <w:rPr>
          <w:rFonts w:ascii="Times New Roman" w:hAnsi="Times New Roman"/>
          <w:sz w:val="20"/>
          <w:szCs w:val="20"/>
        </w:rPr>
        <w:t>of £</w:t>
      </w:r>
      <w:r w:rsidR="00C80A3C">
        <w:rPr>
          <w:rFonts w:ascii="Times New Roman" w:hAnsi="Times New Roman"/>
          <w:sz w:val="20"/>
          <w:szCs w:val="20"/>
        </w:rPr>
        <w:t>20</w:t>
      </w:r>
      <w:r w:rsidR="00E21312" w:rsidRPr="00387C93">
        <w:rPr>
          <w:rFonts w:ascii="Times New Roman" w:hAnsi="Times New Roman"/>
          <w:sz w:val="20"/>
          <w:szCs w:val="20"/>
        </w:rPr>
        <w:t>,</w:t>
      </w:r>
      <w:r w:rsidR="0069096F">
        <w:rPr>
          <w:rFonts w:ascii="Times New Roman" w:hAnsi="Times New Roman"/>
          <w:sz w:val="20"/>
          <w:szCs w:val="20"/>
        </w:rPr>
        <w:t>025</w:t>
      </w:r>
      <w:r w:rsidR="00E21312" w:rsidRPr="00387C93">
        <w:rPr>
          <w:rFonts w:ascii="Times New Roman" w:hAnsi="Times New Roman"/>
          <w:sz w:val="20"/>
          <w:szCs w:val="20"/>
        </w:rPr>
        <w:t>,</w:t>
      </w:r>
      <w:r w:rsidR="0069096F">
        <w:rPr>
          <w:rFonts w:ascii="Times New Roman" w:hAnsi="Times New Roman"/>
          <w:sz w:val="20"/>
          <w:szCs w:val="20"/>
        </w:rPr>
        <w:t>095</w:t>
      </w:r>
      <w:r w:rsidR="001F4E53" w:rsidRPr="00387C93">
        <w:rPr>
          <w:rFonts w:ascii="Times New Roman" w:hAnsi="Times New Roman"/>
          <w:sz w:val="20"/>
          <w:szCs w:val="20"/>
        </w:rPr>
        <w:t>)</w:t>
      </w:r>
      <w:r w:rsidR="0043020D" w:rsidRPr="00387C93">
        <w:rPr>
          <w:rFonts w:ascii="Times New Roman" w:hAnsi="Times New Roman"/>
          <w:sz w:val="20"/>
          <w:szCs w:val="20"/>
        </w:rPr>
        <w:t xml:space="preserve"> </w:t>
      </w:r>
      <w:r w:rsidR="001F4E53" w:rsidRPr="00387C93">
        <w:rPr>
          <w:rFonts w:ascii="Times New Roman" w:hAnsi="Times New Roman"/>
          <w:sz w:val="20"/>
          <w:szCs w:val="20"/>
        </w:rPr>
        <w:t xml:space="preserve">(31 December </w:t>
      </w:r>
      <w:r w:rsidR="00A80A42" w:rsidRPr="00387C93">
        <w:rPr>
          <w:rFonts w:ascii="Times New Roman" w:hAnsi="Times New Roman"/>
          <w:sz w:val="20"/>
          <w:szCs w:val="20"/>
        </w:rPr>
        <w:t>201</w:t>
      </w:r>
      <w:r w:rsidR="00C84D94">
        <w:rPr>
          <w:rFonts w:ascii="Times New Roman" w:hAnsi="Times New Roman"/>
          <w:sz w:val="20"/>
          <w:szCs w:val="20"/>
        </w:rPr>
        <w:t>7</w:t>
      </w:r>
      <w:r w:rsidR="001F4E53" w:rsidRPr="00387C93">
        <w:rPr>
          <w:rFonts w:ascii="Times New Roman" w:hAnsi="Times New Roman"/>
          <w:sz w:val="20"/>
          <w:szCs w:val="20"/>
        </w:rPr>
        <w:t xml:space="preserve">: </w:t>
      </w:r>
      <w:r w:rsidR="00C84D94" w:rsidRPr="00387C93">
        <w:rPr>
          <w:rFonts w:ascii="Times New Roman" w:hAnsi="Times New Roman"/>
          <w:sz w:val="20"/>
          <w:szCs w:val="20"/>
        </w:rPr>
        <w:t xml:space="preserve">CAD </w:t>
      </w:r>
      <w:r w:rsidR="00C84D94">
        <w:rPr>
          <w:rFonts w:ascii="Times New Roman" w:hAnsi="Times New Roman"/>
          <w:sz w:val="20"/>
          <w:szCs w:val="20"/>
        </w:rPr>
        <w:t>61</w:t>
      </w:r>
      <w:r w:rsidR="00C84D94" w:rsidRPr="00387C93">
        <w:rPr>
          <w:rFonts w:ascii="Times New Roman" w:hAnsi="Times New Roman"/>
          <w:sz w:val="20"/>
          <w:szCs w:val="20"/>
        </w:rPr>
        <w:t>,000,000</w:t>
      </w:r>
      <w:r w:rsidR="00C84D94" w:rsidRPr="00387C93">
        <w:rPr>
          <w:rFonts w:ascii="Times New Roman" w:hAnsi="Times New Roman"/>
          <w:sz w:val="20"/>
        </w:rPr>
        <w:t xml:space="preserve"> </w:t>
      </w:r>
      <w:r w:rsidR="00C84D94" w:rsidRPr="00387C93">
        <w:rPr>
          <w:rFonts w:ascii="Times New Roman" w:hAnsi="Times New Roman"/>
          <w:sz w:val="20"/>
          <w:szCs w:val="20"/>
        </w:rPr>
        <w:t xml:space="preserve">(GBP equivalent </w:t>
      </w:r>
      <w:r w:rsidR="00C84D94">
        <w:rPr>
          <w:rFonts w:ascii="Times New Roman" w:hAnsi="Times New Roman"/>
          <w:sz w:val="20"/>
          <w:szCs w:val="20"/>
        </w:rPr>
        <w:t xml:space="preserve">at amortised cost </w:t>
      </w:r>
      <w:r w:rsidR="00C84D94" w:rsidRPr="00387C93">
        <w:rPr>
          <w:rFonts w:ascii="Times New Roman" w:hAnsi="Times New Roman"/>
          <w:sz w:val="20"/>
          <w:szCs w:val="20"/>
        </w:rPr>
        <w:t>of £3</w:t>
      </w:r>
      <w:r w:rsidR="00C84D94">
        <w:rPr>
          <w:rFonts w:ascii="Times New Roman" w:hAnsi="Times New Roman"/>
          <w:sz w:val="20"/>
          <w:szCs w:val="20"/>
        </w:rPr>
        <w:t>5</w:t>
      </w:r>
      <w:r w:rsidR="00C84D94" w:rsidRPr="00387C93">
        <w:rPr>
          <w:rFonts w:ascii="Times New Roman" w:hAnsi="Times New Roman"/>
          <w:sz w:val="20"/>
          <w:szCs w:val="20"/>
        </w:rPr>
        <w:t>,</w:t>
      </w:r>
      <w:r w:rsidR="00C84D94">
        <w:rPr>
          <w:rFonts w:ascii="Times New Roman" w:hAnsi="Times New Roman"/>
          <w:sz w:val="20"/>
          <w:szCs w:val="20"/>
        </w:rPr>
        <w:t>814</w:t>
      </w:r>
      <w:r w:rsidR="00C84D94" w:rsidRPr="00387C93">
        <w:rPr>
          <w:rFonts w:ascii="Times New Roman" w:hAnsi="Times New Roman"/>
          <w:sz w:val="20"/>
          <w:szCs w:val="20"/>
        </w:rPr>
        <w:t>,</w:t>
      </w:r>
      <w:r w:rsidR="00C84D94">
        <w:rPr>
          <w:rFonts w:ascii="Times New Roman" w:hAnsi="Times New Roman"/>
          <w:sz w:val="20"/>
          <w:szCs w:val="20"/>
        </w:rPr>
        <w:t>484</w:t>
      </w:r>
      <w:r w:rsidR="00C84D94" w:rsidRPr="00387C93">
        <w:rPr>
          <w:rFonts w:ascii="Times New Roman" w:hAnsi="Times New Roman"/>
          <w:sz w:val="20"/>
          <w:szCs w:val="20"/>
        </w:rPr>
        <w:t>)</w:t>
      </w:r>
      <w:r w:rsidR="001F4E53" w:rsidRPr="00387C93">
        <w:rPr>
          <w:rFonts w:ascii="Times New Roman" w:hAnsi="Times New Roman"/>
          <w:sz w:val="20"/>
          <w:szCs w:val="20"/>
        </w:rPr>
        <w:t>).</w:t>
      </w:r>
      <w:r w:rsidR="002E6FF3" w:rsidRPr="00387C93">
        <w:rPr>
          <w:rFonts w:ascii="Times New Roman" w:hAnsi="Times New Roman"/>
          <w:sz w:val="20"/>
          <w:szCs w:val="20"/>
        </w:rPr>
        <w:t xml:space="preserve"> </w:t>
      </w:r>
      <w:r w:rsidR="000D7F18" w:rsidRPr="00387C93">
        <w:rPr>
          <w:rFonts w:ascii="Times New Roman" w:hAnsi="Times New Roman"/>
          <w:sz w:val="20"/>
          <w:szCs w:val="20"/>
        </w:rPr>
        <w:t xml:space="preserve">The </w:t>
      </w:r>
      <w:r w:rsidR="00594B38">
        <w:rPr>
          <w:rFonts w:ascii="Times New Roman" w:hAnsi="Times New Roman"/>
          <w:sz w:val="20"/>
          <w:szCs w:val="20"/>
        </w:rPr>
        <w:t xml:space="preserve">loan value of </w:t>
      </w:r>
      <w:r w:rsidR="00594B38" w:rsidRPr="00387C93">
        <w:rPr>
          <w:rFonts w:ascii="Times New Roman" w:hAnsi="Times New Roman"/>
          <w:sz w:val="20"/>
          <w:szCs w:val="20"/>
        </w:rPr>
        <w:t xml:space="preserve">CAD </w:t>
      </w:r>
      <w:r w:rsidR="00C80A3C">
        <w:rPr>
          <w:rFonts w:ascii="Times New Roman" w:hAnsi="Times New Roman"/>
          <w:sz w:val="20"/>
          <w:szCs w:val="20"/>
        </w:rPr>
        <w:t>35</w:t>
      </w:r>
      <w:r w:rsidR="00594B38" w:rsidRPr="00387C93">
        <w:rPr>
          <w:rFonts w:ascii="Times New Roman" w:hAnsi="Times New Roman"/>
          <w:sz w:val="20"/>
          <w:szCs w:val="20"/>
        </w:rPr>
        <w:t>,000,000</w:t>
      </w:r>
      <w:r w:rsidR="00594B38">
        <w:rPr>
          <w:rFonts w:ascii="Times New Roman" w:hAnsi="Times New Roman"/>
          <w:sz w:val="20"/>
          <w:szCs w:val="20"/>
        </w:rPr>
        <w:t xml:space="preserve"> was made up of </w:t>
      </w:r>
      <w:r w:rsidR="00C80A3C">
        <w:rPr>
          <w:rFonts w:ascii="Times New Roman" w:hAnsi="Times New Roman"/>
          <w:sz w:val="20"/>
          <w:szCs w:val="20"/>
        </w:rPr>
        <w:t>one loan issued on 20 December 2018</w:t>
      </w:r>
      <w:r w:rsidR="00594B38">
        <w:rPr>
          <w:rFonts w:ascii="Times New Roman" w:hAnsi="Times New Roman"/>
          <w:sz w:val="20"/>
          <w:szCs w:val="20"/>
        </w:rPr>
        <w:t xml:space="preserve">, maturing on </w:t>
      </w:r>
      <w:r w:rsidR="00C80A3C">
        <w:rPr>
          <w:rFonts w:ascii="Times New Roman" w:hAnsi="Times New Roman"/>
          <w:sz w:val="20"/>
          <w:szCs w:val="20"/>
        </w:rPr>
        <w:t>19</w:t>
      </w:r>
      <w:r w:rsidR="00594B38">
        <w:rPr>
          <w:rFonts w:ascii="Times New Roman" w:hAnsi="Times New Roman"/>
          <w:sz w:val="20"/>
          <w:szCs w:val="20"/>
        </w:rPr>
        <w:t xml:space="preserve"> February 201</w:t>
      </w:r>
      <w:r w:rsidR="00C80A3C">
        <w:rPr>
          <w:rFonts w:ascii="Times New Roman" w:hAnsi="Times New Roman"/>
          <w:sz w:val="20"/>
          <w:szCs w:val="20"/>
        </w:rPr>
        <w:t>9</w:t>
      </w:r>
      <w:r w:rsidR="00594B38">
        <w:rPr>
          <w:rFonts w:ascii="Times New Roman" w:hAnsi="Times New Roman"/>
          <w:sz w:val="20"/>
          <w:szCs w:val="20"/>
        </w:rPr>
        <w:t>.</w:t>
      </w:r>
    </w:p>
    <w:p w:rsidR="00225DD1" w:rsidRDefault="00225DD1" w:rsidP="001F4E53">
      <w:pPr>
        <w:ind w:left="360"/>
        <w:jc w:val="both"/>
        <w:rPr>
          <w:rFonts w:ascii="Times New Roman" w:hAnsi="Times New Roman"/>
          <w:sz w:val="20"/>
          <w:szCs w:val="20"/>
        </w:rPr>
      </w:pPr>
    </w:p>
    <w:p w:rsidR="001F4E53" w:rsidRDefault="00606E35" w:rsidP="001F4E53">
      <w:pPr>
        <w:ind w:left="360"/>
        <w:jc w:val="both"/>
        <w:rPr>
          <w:rFonts w:ascii="Times New Roman" w:hAnsi="Times New Roman"/>
          <w:sz w:val="20"/>
          <w:szCs w:val="20"/>
        </w:rPr>
      </w:pPr>
      <w:r w:rsidRPr="000D7F18">
        <w:rPr>
          <w:rFonts w:ascii="Times New Roman" w:hAnsi="Times New Roman"/>
          <w:sz w:val="20"/>
          <w:szCs w:val="20"/>
        </w:rPr>
        <w:t>A</w:t>
      </w:r>
      <w:r w:rsidR="000530EB">
        <w:rPr>
          <w:rFonts w:ascii="Times New Roman" w:hAnsi="Times New Roman"/>
          <w:sz w:val="20"/>
          <w:szCs w:val="20"/>
        </w:rPr>
        <w:t>s a</w:t>
      </w:r>
      <w:r w:rsidRPr="000D7F18">
        <w:rPr>
          <w:rFonts w:ascii="Times New Roman" w:hAnsi="Times New Roman"/>
          <w:sz w:val="20"/>
          <w:szCs w:val="20"/>
        </w:rPr>
        <w:t xml:space="preserve">t 31 December </w:t>
      </w:r>
      <w:r w:rsidR="006179DC" w:rsidRPr="000D7F18">
        <w:rPr>
          <w:rFonts w:ascii="Times New Roman" w:hAnsi="Times New Roman"/>
          <w:sz w:val="20"/>
          <w:szCs w:val="20"/>
        </w:rPr>
        <w:t>201</w:t>
      </w:r>
      <w:r w:rsidR="00C80A3C">
        <w:rPr>
          <w:rFonts w:ascii="Times New Roman" w:hAnsi="Times New Roman"/>
          <w:sz w:val="20"/>
          <w:szCs w:val="20"/>
        </w:rPr>
        <w:t>8</w:t>
      </w:r>
      <w:r w:rsidR="0084306F">
        <w:rPr>
          <w:rFonts w:ascii="Times New Roman" w:hAnsi="Times New Roman"/>
          <w:sz w:val="20"/>
          <w:szCs w:val="20"/>
        </w:rPr>
        <w:t>,</w:t>
      </w:r>
      <w:r w:rsidRPr="000D7F18">
        <w:rPr>
          <w:rFonts w:ascii="Times New Roman" w:hAnsi="Times New Roman"/>
          <w:sz w:val="20"/>
          <w:szCs w:val="20"/>
        </w:rPr>
        <w:t xml:space="preserve"> p</w:t>
      </w:r>
      <w:r w:rsidR="001F4E53" w:rsidRPr="000D7F18">
        <w:rPr>
          <w:rFonts w:ascii="Times New Roman" w:hAnsi="Times New Roman"/>
          <w:sz w:val="20"/>
          <w:szCs w:val="20"/>
        </w:rPr>
        <w:t>re-paid interest and stamping fees of £</w:t>
      </w:r>
      <w:r w:rsidR="00C80A3C">
        <w:rPr>
          <w:rFonts w:ascii="Times New Roman" w:hAnsi="Times New Roman"/>
          <w:sz w:val="20"/>
          <w:szCs w:val="20"/>
        </w:rPr>
        <w:t>80</w:t>
      </w:r>
      <w:r w:rsidR="00E21312">
        <w:rPr>
          <w:rFonts w:ascii="Times New Roman" w:hAnsi="Times New Roman"/>
          <w:sz w:val="20"/>
          <w:szCs w:val="20"/>
        </w:rPr>
        <w:t>,</w:t>
      </w:r>
      <w:r w:rsidR="00C80A3C">
        <w:rPr>
          <w:rFonts w:ascii="Times New Roman" w:hAnsi="Times New Roman"/>
          <w:sz w:val="20"/>
          <w:szCs w:val="20"/>
        </w:rPr>
        <w:t>143</w:t>
      </w:r>
      <w:r w:rsidR="001F4E53" w:rsidRPr="000D7F18">
        <w:rPr>
          <w:rFonts w:ascii="Times New Roman" w:hAnsi="Times New Roman"/>
          <w:sz w:val="20"/>
          <w:szCs w:val="20"/>
        </w:rPr>
        <w:t xml:space="preserve"> (31 December </w:t>
      </w:r>
      <w:r w:rsidR="00581281" w:rsidRPr="000D7F18">
        <w:rPr>
          <w:rFonts w:ascii="Times New Roman" w:hAnsi="Times New Roman"/>
          <w:sz w:val="20"/>
          <w:szCs w:val="20"/>
        </w:rPr>
        <w:t>201</w:t>
      </w:r>
      <w:r w:rsidR="00C80A3C">
        <w:rPr>
          <w:rFonts w:ascii="Times New Roman" w:hAnsi="Times New Roman"/>
          <w:sz w:val="20"/>
          <w:szCs w:val="20"/>
        </w:rPr>
        <w:t>7</w:t>
      </w:r>
      <w:r w:rsidR="001F4E53" w:rsidRPr="000D7F18">
        <w:rPr>
          <w:rFonts w:ascii="Times New Roman" w:hAnsi="Times New Roman"/>
          <w:sz w:val="20"/>
          <w:szCs w:val="20"/>
        </w:rPr>
        <w:t xml:space="preserve">: </w:t>
      </w:r>
      <w:r w:rsidR="00C84D94" w:rsidRPr="000D7F18">
        <w:rPr>
          <w:rFonts w:ascii="Times New Roman" w:hAnsi="Times New Roman"/>
          <w:sz w:val="20"/>
          <w:szCs w:val="20"/>
        </w:rPr>
        <w:t>£</w:t>
      </w:r>
      <w:r w:rsidR="00C84D94">
        <w:rPr>
          <w:rFonts w:ascii="Times New Roman" w:hAnsi="Times New Roman"/>
          <w:sz w:val="20"/>
          <w:szCs w:val="20"/>
        </w:rPr>
        <w:t>90,551</w:t>
      </w:r>
      <w:r w:rsidR="001F4E53" w:rsidRPr="000D7F18">
        <w:rPr>
          <w:rFonts w:ascii="Times New Roman" w:hAnsi="Times New Roman"/>
          <w:sz w:val="20"/>
          <w:szCs w:val="20"/>
        </w:rPr>
        <w:t xml:space="preserve">) were paid on the Bankers’ </w:t>
      </w:r>
      <w:r w:rsidR="007A03AD" w:rsidRPr="000D7F18">
        <w:rPr>
          <w:rFonts w:ascii="Times New Roman" w:hAnsi="Times New Roman"/>
          <w:sz w:val="20"/>
          <w:szCs w:val="20"/>
        </w:rPr>
        <w:t>A</w:t>
      </w:r>
      <w:r w:rsidR="001F4E53" w:rsidRPr="000D7F18">
        <w:rPr>
          <w:rFonts w:ascii="Times New Roman" w:hAnsi="Times New Roman"/>
          <w:sz w:val="20"/>
          <w:szCs w:val="20"/>
        </w:rPr>
        <w:t xml:space="preserve">cceptance and these costs are being amortised over </w:t>
      </w:r>
      <w:r w:rsidR="00D228F8">
        <w:rPr>
          <w:rFonts w:ascii="Times New Roman" w:hAnsi="Times New Roman"/>
          <w:sz w:val="20"/>
          <w:szCs w:val="20"/>
        </w:rPr>
        <w:t xml:space="preserve">a period of </w:t>
      </w:r>
      <w:r w:rsidR="00C80A3C">
        <w:rPr>
          <w:rFonts w:ascii="Times New Roman" w:hAnsi="Times New Roman"/>
          <w:sz w:val="20"/>
          <w:szCs w:val="20"/>
        </w:rPr>
        <w:t>61</w:t>
      </w:r>
      <w:r w:rsidR="0053089D">
        <w:rPr>
          <w:rFonts w:ascii="Times New Roman" w:hAnsi="Times New Roman"/>
          <w:sz w:val="20"/>
          <w:szCs w:val="20"/>
        </w:rPr>
        <w:t xml:space="preserve"> days</w:t>
      </w:r>
      <w:r w:rsidR="000D7F18" w:rsidRPr="000D7F18">
        <w:rPr>
          <w:rFonts w:ascii="Times New Roman" w:hAnsi="Times New Roman"/>
          <w:sz w:val="20"/>
          <w:szCs w:val="20"/>
        </w:rPr>
        <w:t xml:space="preserve"> </w:t>
      </w:r>
      <w:r w:rsidR="0053089D">
        <w:rPr>
          <w:rFonts w:ascii="Times New Roman" w:hAnsi="Times New Roman"/>
          <w:sz w:val="20"/>
          <w:szCs w:val="20"/>
        </w:rPr>
        <w:t xml:space="preserve">for </w:t>
      </w:r>
      <w:r w:rsidR="00C80A3C">
        <w:rPr>
          <w:rFonts w:ascii="Times New Roman" w:hAnsi="Times New Roman"/>
          <w:sz w:val="20"/>
          <w:szCs w:val="20"/>
        </w:rPr>
        <w:t>the loan</w:t>
      </w:r>
      <w:r w:rsidR="001F4E53" w:rsidRPr="000D7F18">
        <w:rPr>
          <w:rFonts w:ascii="Times New Roman" w:hAnsi="Times New Roman"/>
          <w:sz w:val="20"/>
          <w:szCs w:val="20"/>
        </w:rPr>
        <w:t xml:space="preserve"> </w:t>
      </w:r>
      <w:r w:rsidRPr="000D7F18">
        <w:rPr>
          <w:rFonts w:ascii="Times New Roman" w:hAnsi="Times New Roman"/>
          <w:sz w:val="20"/>
          <w:szCs w:val="20"/>
        </w:rPr>
        <w:t xml:space="preserve">(31 December </w:t>
      </w:r>
      <w:r w:rsidR="00581281" w:rsidRPr="000D7F18">
        <w:rPr>
          <w:rFonts w:ascii="Times New Roman" w:hAnsi="Times New Roman"/>
          <w:sz w:val="20"/>
          <w:szCs w:val="20"/>
        </w:rPr>
        <w:t>201</w:t>
      </w:r>
      <w:r w:rsidR="00C80A3C">
        <w:rPr>
          <w:rFonts w:ascii="Times New Roman" w:hAnsi="Times New Roman"/>
          <w:sz w:val="20"/>
          <w:szCs w:val="20"/>
        </w:rPr>
        <w:t>7</w:t>
      </w:r>
      <w:r w:rsidRPr="000D7F18">
        <w:rPr>
          <w:rFonts w:ascii="Times New Roman" w:hAnsi="Times New Roman"/>
          <w:sz w:val="20"/>
          <w:szCs w:val="20"/>
        </w:rPr>
        <w:t xml:space="preserve">: </w:t>
      </w:r>
      <w:r w:rsidR="00C80A3C">
        <w:rPr>
          <w:rFonts w:ascii="Times New Roman" w:hAnsi="Times New Roman"/>
          <w:sz w:val="20"/>
          <w:szCs w:val="20"/>
        </w:rPr>
        <w:t xml:space="preserve">between 32 and </w:t>
      </w:r>
      <w:r w:rsidR="0053089D">
        <w:rPr>
          <w:rFonts w:ascii="Times New Roman" w:hAnsi="Times New Roman"/>
          <w:sz w:val="20"/>
          <w:szCs w:val="20"/>
        </w:rPr>
        <w:t>9</w:t>
      </w:r>
      <w:r w:rsidR="00C80A3C">
        <w:rPr>
          <w:rFonts w:ascii="Times New Roman" w:hAnsi="Times New Roman"/>
          <w:sz w:val="20"/>
          <w:szCs w:val="20"/>
        </w:rPr>
        <w:t>2</w:t>
      </w:r>
      <w:r w:rsidR="00581281" w:rsidRPr="000D7F18">
        <w:rPr>
          <w:rFonts w:ascii="Times New Roman" w:hAnsi="Times New Roman"/>
          <w:sz w:val="20"/>
          <w:szCs w:val="20"/>
        </w:rPr>
        <w:t xml:space="preserve"> days</w:t>
      </w:r>
      <w:r w:rsidRPr="000D7F18">
        <w:rPr>
          <w:rFonts w:ascii="Times New Roman" w:hAnsi="Times New Roman"/>
          <w:sz w:val="20"/>
          <w:szCs w:val="20"/>
        </w:rPr>
        <w:t>)</w:t>
      </w:r>
      <w:r w:rsidR="001F4E53" w:rsidRPr="000D7F18">
        <w:rPr>
          <w:rFonts w:ascii="Times New Roman" w:hAnsi="Times New Roman"/>
          <w:sz w:val="20"/>
          <w:szCs w:val="20"/>
        </w:rPr>
        <w:t xml:space="preserve">. Interest paid on the Bankers’ </w:t>
      </w:r>
      <w:r w:rsidR="007A03AD" w:rsidRPr="000D7F18">
        <w:rPr>
          <w:rFonts w:ascii="Times New Roman" w:hAnsi="Times New Roman"/>
          <w:sz w:val="20"/>
          <w:szCs w:val="20"/>
        </w:rPr>
        <w:t>A</w:t>
      </w:r>
      <w:r w:rsidR="001F4E53" w:rsidRPr="000D7F18">
        <w:rPr>
          <w:rFonts w:ascii="Times New Roman" w:hAnsi="Times New Roman"/>
          <w:sz w:val="20"/>
          <w:szCs w:val="20"/>
        </w:rPr>
        <w:t>cceptance totalled £</w:t>
      </w:r>
      <w:r w:rsidR="00C80A3C">
        <w:rPr>
          <w:rFonts w:ascii="Times New Roman" w:hAnsi="Times New Roman"/>
          <w:sz w:val="20"/>
          <w:szCs w:val="20"/>
        </w:rPr>
        <w:t>534</w:t>
      </w:r>
      <w:r w:rsidR="00E21312">
        <w:rPr>
          <w:rFonts w:ascii="Times New Roman" w:hAnsi="Times New Roman"/>
          <w:sz w:val="20"/>
          <w:szCs w:val="20"/>
        </w:rPr>
        <w:t>,</w:t>
      </w:r>
      <w:r w:rsidR="00C80A3C">
        <w:rPr>
          <w:rFonts w:ascii="Times New Roman" w:hAnsi="Times New Roman"/>
          <w:sz w:val="20"/>
          <w:szCs w:val="20"/>
        </w:rPr>
        <w:t>814</w:t>
      </w:r>
      <w:r w:rsidR="001F4E53" w:rsidRPr="000D7F18">
        <w:rPr>
          <w:rFonts w:ascii="Times New Roman" w:hAnsi="Times New Roman"/>
          <w:sz w:val="20"/>
          <w:szCs w:val="20"/>
        </w:rPr>
        <w:t xml:space="preserve"> (31 December </w:t>
      </w:r>
      <w:r w:rsidR="00581281" w:rsidRPr="000D7F18">
        <w:rPr>
          <w:rFonts w:ascii="Times New Roman" w:hAnsi="Times New Roman"/>
          <w:sz w:val="20"/>
          <w:szCs w:val="20"/>
        </w:rPr>
        <w:t>201</w:t>
      </w:r>
      <w:r w:rsidR="00C80A3C">
        <w:rPr>
          <w:rFonts w:ascii="Times New Roman" w:hAnsi="Times New Roman"/>
          <w:sz w:val="20"/>
          <w:szCs w:val="20"/>
        </w:rPr>
        <w:t>7</w:t>
      </w:r>
      <w:r w:rsidR="001F4E53" w:rsidRPr="000D7F18">
        <w:rPr>
          <w:rFonts w:ascii="Times New Roman" w:hAnsi="Times New Roman"/>
          <w:sz w:val="20"/>
          <w:szCs w:val="20"/>
        </w:rPr>
        <w:t xml:space="preserve">: </w:t>
      </w:r>
      <w:r w:rsidR="00C84D94" w:rsidRPr="000D7F18">
        <w:rPr>
          <w:rFonts w:ascii="Times New Roman" w:hAnsi="Times New Roman"/>
          <w:sz w:val="20"/>
          <w:szCs w:val="20"/>
        </w:rPr>
        <w:t>£</w:t>
      </w:r>
      <w:r w:rsidR="00C84D94">
        <w:rPr>
          <w:rFonts w:ascii="Times New Roman" w:hAnsi="Times New Roman"/>
          <w:sz w:val="20"/>
          <w:szCs w:val="20"/>
        </w:rPr>
        <w:t>391,279</w:t>
      </w:r>
      <w:r w:rsidR="001F4E53" w:rsidRPr="000D7F18">
        <w:rPr>
          <w:rFonts w:ascii="Times New Roman" w:hAnsi="Times New Roman"/>
          <w:sz w:val="20"/>
          <w:szCs w:val="20"/>
        </w:rPr>
        <w:t>).</w:t>
      </w:r>
    </w:p>
    <w:p w:rsidR="00E24A68" w:rsidRPr="009170B8" w:rsidRDefault="00E24A68" w:rsidP="001F4E53">
      <w:pPr>
        <w:ind w:left="360"/>
        <w:jc w:val="both"/>
        <w:rPr>
          <w:rFonts w:ascii="Times New Roman" w:hAnsi="Times New Roman"/>
          <w:sz w:val="20"/>
          <w:szCs w:val="20"/>
        </w:rPr>
      </w:pPr>
    </w:p>
    <w:p w:rsidR="003F06D8" w:rsidRPr="009170B8" w:rsidRDefault="001F4E53" w:rsidP="001F4E53">
      <w:pPr>
        <w:ind w:left="360"/>
        <w:jc w:val="both"/>
        <w:rPr>
          <w:rFonts w:ascii="Times New Roman" w:hAnsi="Times New Roman"/>
          <w:sz w:val="20"/>
          <w:szCs w:val="20"/>
        </w:rPr>
      </w:pPr>
      <w:r w:rsidRPr="009170B8">
        <w:rPr>
          <w:rFonts w:ascii="Times New Roman" w:hAnsi="Times New Roman"/>
          <w:sz w:val="20"/>
          <w:szCs w:val="20"/>
        </w:rPr>
        <w:t xml:space="preserve">Interest is calculated at an annual </w:t>
      </w:r>
      <w:r w:rsidR="000348B8" w:rsidRPr="009170B8">
        <w:rPr>
          <w:rFonts w:ascii="Times New Roman" w:hAnsi="Times New Roman"/>
          <w:sz w:val="20"/>
          <w:szCs w:val="20"/>
        </w:rPr>
        <w:t>percentage</w:t>
      </w:r>
      <w:r w:rsidRPr="009170B8">
        <w:rPr>
          <w:rFonts w:ascii="Times New Roman" w:hAnsi="Times New Roman"/>
          <w:sz w:val="20"/>
          <w:szCs w:val="20"/>
        </w:rPr>
        <w:t xml:space="preserve"> equal to, in the case of Prime Loans, the Prime Rate minus 0.35</w:t>
      </w:r>
      <w:r w:rsidR="000348B8" w:rsidRPr="009170B8">
        <w:rPr>
          <w:rFonts w:ascii="Times New Roman" w:hAnsi="Times New Roman"/>
          <w:sz w:val="20"/>
          <w:szCs w:val="20"/>
        </w:rPr>
        <w:t xml:space="preserve"> per cent</w:t>
      </w:r>
      <w:r w:rsidRPr="009170B8">
        <w:rPr>
          <w:rFonts w:ascii="Times New Roman" w:hAnsi="Times New Roman"/>
          <w:sz w:val="20"/>
          <w:szCs w:val="20"/>
        </w:rPr>
        <w:t xml:space="preserve">. In the case of a Bankers’ </w:t>
      </w:r>
      <w:r w:rsidR="00606E35" w:rsidRPr="009170B8">
        <w:rPr>
          <w:rFonts w:ascii="Times New Roman" w:hAnsi="Times New Roman"/>
          <w:sz w:val="20"/>
          <w:szCs w:val="20"/>
        </w:rPr>
        <w:t>A</w:t>
      </w:r>
      <w:r w:rsidRPr="009170B8">
        <w:rPr>
          <w:rFonts w:ascii="Times New Roman" w:hAnsi="Times New Roman"/>
          <w:sz w:val="20"/>
          <w:szCs w:val="20"/>
        </w:rPr>
        <w:t>c</w:t>
      </w:r>
      <w:r w:rsidR="00606E35" w:rsidRPr="009170B8">
        <w:rPr>
          <w:rFonts w:ascii="Times New Roman" w:hAnsi="Times New Roman"/>
          <w:sz w:val="20"/>
          <w:szCs w:val="20"/>
        </w:rPr>
        <w:t>ceptance, a stamping fee of 0.60</w:t>
      </w:r>
      <w:r w:rsidR="000348B8" w:rsidRPr="009170B8">
        <w:rPr>
          <w:rFonts w:ascii="Times New Roman" w:hAnsi="Times New Roman"/>
          <w:sz w:val="20"/>
          <w:szCs w:val="20"/>
        </w:rPr>
        <w:t xml:space="preserve"> per cent.</w:t>
      </w:r>
      <w:r w:rsidRPr="009170B8">
        <w:rPr>
          <w:rFonts w:ascii="Times New Roman" w:hAnsi="Times New Roman"/>
          <w:sz w:val="20"/>
          <w:szCs w:val="20"/>
        </w:rPr>
        <w:t xml:space="preserve"> per annum is payable.</w:t>
      </w:r>
      <w:r w:rsidR="003F06D8" w:rsidRPr="009170B8">
        <w:rPr>
          <w:rFonts w:ascii="Times New Roman" w:hAnsi="Times New Roman"/>
          <w:sz w:val="20"/>
          <w:szCs w:val="20"/>
        </w:rPr>
        <w:t xml:space="preserve"> </w:t>
      </w:r>
    </w:p>
    <w:p w:rsidR="003F06D8" w:rsidRPr="009170B8" w:rsidRDefault="003F06D8" w:rsidP="001F4E53">
      <w:pPr>
        <w:ind w:left="360"/>
        <w:jc w:val="both"/>
        <w:rPr>
          <w:rFonts w:ascii="Times New Roman" w:hAnsi="Times New Roman"/>
          <w:sz w:val="20"/>
          <w:szCs w:val="20"/>
        </w:rPr>
      </w:pPr>
    </w:p>
    <w:p w:rsidR="004B288D" w:rsidRPr="009170B8" w:rsidRDefault="004B288D" w:rsidP="004B288D">
      <w:pPr>
        <w:ind w:left="360" w:hanging="360"/>
        <w:rPr>
          <w:rFonts w:ascii="Times New Roman" w:hAnsi="Times New Roman"/>
          <w:b/>
          <w:sz w:val="20"/>
        </w:rPr>
      </w:pPr>
      <w:r w:rsidRPr="009170B8">
        <w:rPr>
          <w:rFonts w:ascii="Times New Roman" w:hAnsi="Times New Roman"/>
          <w:b/>
          <w:sz w:val="20"/>
        </w:rPr>
        <w:t>1</w:t>
      </w:r>
      <w:r w:rsidR="00EE24D4" w:rsidRPr="009170B8">
        <w:rPr>
          <w:rFonts w:ascii="Times New Roman" w:hAnsi="Times New Roman"/>
          <w:b/>
          <w:sz w:val="20"/>
        </w:rPr>
        <w:t>5</w:t>
      </w:r>
      <w:r w:rsidRPr="009170B8">
        <w:rPr>
          <w:rFonts w:ascii="Times New Roman" w:hAnsi="Times New Roman"/>
          <w:b/>
          <w:sz w:val="20"/>
        </w:rPr>
        <w:t>.</w:t>
      </w:r>
      <w:r w:rsidRPr="009170B8">
        <w:rPr>
          <w:rFonts w:ascii="Times New Roman" w:hAnsi="Times New Roman"/>
          <w:b/>
          <w:sz w:val="20"/>
        </w:rPr>
        <w:tab/>
        <w:t xml:space="preserve">Security </w:t>
      </w:r>
      <w:r w:rsidR="00556416">
        <w:rPr>
          <w:rFonts w:ascii="Times New Roman" w:hAnsi="Times New Roman"/>
          <w:b/>
          <w:sz w:val="20"/>
        </w:rPr>
        <w:t>a</w:t>
      </w:r>
      <w:r w:rsidRPr="009170B8">
        <w:rPr>
          <w:rFonts w:ascii="Times New Roman" w:hAnsi="Times New Roman"/>
          <w:b/>
          <w:sz w:val="20"/>
        </w:rPr>
        <w:t xml:space="preserve">greement  </w:t>
      </w:r>
    </w:p>
    <w:p w:rsidR="004B288D" w:rsidRPr="009170B8" w:rsidRDefault="004B288D" w:rsidP="00AF7B93">
      <w:pPr>
        <w:pStyle w:val="BodyText"/>
        <w:tabs>
          <w:tab w:val="clear" w:pos="3402"/>
          <w:tab w:val="clear" w:pos="8222"/>
        </w:tabs>
        <w:ind w:left="360"/>
        <w:rPr>
          <w:rFonts w:ascii="Times New Roman" w:hAnsi="Times New Roman"/>
        </w:rPr>
      </w:pPr>
      <w:r w:rsidRPr="009170B8">
        <w:rPr>
          <w:rFonts w:ascii="Times New Roman" w:hAnsi="Times New Roman"/>
        </w:rPr>
        <w:t xml:space="preserve">In </w:t>
      </w:r>
      <w:r w:rsidR="008C12B5">
        <w:rPr>
          <w:rFonts w:ascii="Times New Roman" w:hAnsi="Times New Roman"/>
        </w:rPr>
        <w:t xml:space="preserve">connection </w:t>
      </w:r>
      <w:r w:rsidRPr="009170B8">
        <w:rPr>
          <w:rFonts w:ascii="Times New Roman" w:hAnsi="Times New Roman"/>
        </w:rPr>
        <w:t xml:space="preserve">with </w:t>
      </w:r>
      <w:r w:rsidR="008C12B5">
        <w:rPr>
          <w:rFonts w:ascii="Times New Roman" w:hAnsi="Times New Roman"/>
        </w:rPr>
        <w:t xml:space="preserve">entry </w:t>
      </w:r>
      <w:r w:rsidRPr="009170B8">
        <w:rPr>
          <w:rFonts w:ascii="Times New Roman" w:hAnsi="Times New Roman"/>
        </w:rPr>
        <w:t>into the Credit Facility, the Fund has entered into a General Security Agreement</w:t>
      </w:r>
      <w:r w:rsidR="008C12B5">
        <w:rPr>
          <w:rFonts w:ascii="Times New Roman" w:hAnsi="Times New Roman"/>
        </w:rPr>
        <w:t xml:space="preserve"> with RBC, p</w:t>
      </w:r>
      <w:r w:rsidRPr="009170B8">
        <w:rPr>
          <w:rFonts w:ascii="Times New Roman" w:hAnsi="Times New Roman"/>
        </w:rPr>
        <w:t xml:space="preserve">ursuant to </w:t>
      </w:r>
      <w:r w:rsidR="008C12B5">
        <w:rPr>
          <w:rFonts w:ascii="Times New Roman" w:hAnsi="Times New Roman"/>
        </w:rPr>
        <w:t xml:space="preserve">which </w:t>
      </w:r>
      <w:r w:rsidRPr="009170B8">
        <w:rPr>
          <w:rFonts w:ascii="Times New Roman" w:hAnsi="Times New Roman"/>
        </w:rPr>
        <w:t xml:space="preserve">the Fund has granted </w:t>
      </w:r>
      <w:r w:rsidR="0048685B">
        <w:rPr>
          <w:rFonts w:ascii="Times New Roman" w:hAnsi="Times New Roman"/>
        </w:rPr>
        <w:t>RBC</w:t>
      </w:r>
      <w:r w:rsidRPr="009170B8">
        <w:rPr>
          <w:rFonts w:ascii="Times New Roman" w:hAnsi="Times New Roman"/>
        </w:rPr>
        <w:t xml:space="preserve"> interests in respect of </w:t>
      </w:r>
      <w:r w:rsidR="008C12B5">
        <w:rPr>
          <w:rFonts w:ascii="Times New Roman" w:hAnsi="Times New Roman"/>
        </w:rPr>
        <w:t>c</w:t>
      </w:r>
      <w:r w:rsidRPr="009170B8">
        <w:rPr>
          <w:rFonts w:ascii="Times New Roman" w:hAnsi="Times New Roman"/>
        </w:rPr>
        <w:t xml:space="preserve">ollateral, being all present and </w:t>
      </w:r>
      <w:r w:rsidR="008C12B5">
        <w:rPr>
          <w:rFonts w:ascii="Times New Roman" w:hAnsi="Times New Roman"/>
        </w:rPr>
        <w:t xml:space="preserve">future </w:t>
      </w:r>
      <w:r w:rsidRPr="009170B8">
        <w:rPr>
          <w:rFonts w:ascii="Times New Roman" w:hAnsi="Times New Roman"/>
        </w:rPr>
        <w:t>personal property</w:t>
      </w:r>
      <w:r w:rsidR="008C12B5">
        <w:rPr>
          <w:rFonts w:ascii="Times New Roman" w:hAnsi="Times New Roman"/>
        </w:rPr>
        <w:t>,</w:t>
      </w:r>
      <w:r w:rsidRPr="009170B8">
        <w:rPr>
          <w:rFonts w:ascii="Times New Roman" w:hAnsi="Times New Roman"/>
        </w:rPr>
        <w:t xml:space="preserve"> including the </w:t>
      </w:r>
      <w:r w:rsidR="008C12B5">
        <w:rPr>
          <w:rFonts w:ascii="Times New Roman" w:hAnsi="Times New Roman"/>
        </w:rPr>
        <w:t>s</w:t>
      </w:r>
      <w:r w:rsidR="008C12B5" w:rsidRPr="009170B8">
        <w:rPr>
          <w:rFonts w:ascii="Times New Roman" w:hAnsi="Times New Roman"/>
        </w:rPr>
        <w:t xml:space="preserve">ecurities </w:t>
      </w:r>
      <w:r w:rsidR="008C12B5">
        <w:rPr>
          <w:rFonts w:ascii="Times New Roman" w:hAnsi="Times New Roman"/>
        </w:rPr>
        <w:t>p</w:t>
      </w:r>
      <w:r w:rsidR="008C12B5" w:rsidRPr="009170B8">
        <w:rPr>
          <w:rFonts w:ascii="Times New Roman" w:hAnsi="Times New Roman"/>
        </w:rPr>
        <w:t>ortfolio</w:t>
      </w:r>
      <w:r w:rsidRPr="009170B8">
        <w:rPr>
          <w:rFonts w:ascii="Times New Roman" w:hAnsi="Times New Roman"/>
        </w:rPr>
        <w:t xml:space="preserve">, as security for the Fund’s obligations under the Credit Facility.   </w:t>
      </w:r>
    </w:p>
    <w:p w:rsidR="002173A6" w:rsidRDefault="002173A6" w:rsidP="009D1000">
      <w:pPr>
        <w:ind w:left="360"/>
        <w:jc w:val="both"/>
        <w:rPr>
          <w:rFonts w:ascii="Times New Roman" w:hAnsi="Times New Roman"/>
          <w:sz w:val="20"/>
          <w:szCs w:val="20"/>
        </w:rPr>
      </w:pPr>
    </w:p>
    <w:p w:rsidR="005B78AB" w:rsidRPr="00173383" w:rsidRDefault="005B78AB" w:rsidP="005B78AB">
      <w:pPr>
        <w:ind w:left="360" w:hanging="360"/>
        <w:rPr>
          <w:rFonts w:ascii="Times New Roman" w:hAnsi="Times New Roman"/>
          <w:b/>
          <w:sz w:val="20"/>
        </w:rPr>
      </w:pPr>
      <w:r w:rsidRPr="003A4138">
        <w:rPr>
          <w:rFonts w:ascii="Times New Roman" w:hAnsi="Times New Roman"/>
          <w:b/>
          <w:sz w:val="20"/>
        </w:rPr>
        <w:t xml:space="preserve">16. </w:t>
      </w:r>
      <w:r>
        <w:rPr>
          <w:rFonts w:ascii="Times New Roman" w:hAnsi="Times New Roman"/>
          <w:b/>
          <w:sz w:val="20"/>
        </w:rPr>
        <w:t>Financial instruments</w:t>
      </w:r>
    </w:p>
    <w:p w:rsidR="005B78AB" w:rsidRDefault="005B78AB" w:rsidP="005B78AB">
      <w:pPr>
        <w:ind w:left="284"/>
        <w:rPr>
          <w:rFonts w:ascii="Times New Roman" w:hAnsi="Times New Roman"/>
          <w:i/>
          <w:sz w:val="20"/>
          <w:szCs w:val="20"/>
        </w:rPr>
      </w:pPr>
    </w:p>
    <w:p w:rsidR="005B78AB" w:rsidRPr="009170B8" w:rsidRDefault="005B78AB" w:rsidP="005B78AB">
      <w:pPr>
        <w:ind w:left="284"/>
        <w:rPr>
          <w:rFonts w:ascii="Times New Roman" w:hAnsi="Times New Roman"/>
          <w:i/>
          <w:sz w:val="20"/>
          <w:szCs w:val="20"/>
        </w:rPr>
      </w:pPr>
      <w:r w:rsidRPr="009170B8">
        <w:rPr>
          <w:rFonts w:ascii="Times New Roman" w:hAnsi="Times New Roman"/>
          <w:i/>
          <w:sz w:val="20"/>
          <w:szCs w:val="20"/>
        </w:rPr>
        <w:t>Fair values</w:t>
      </w:r>
    </w:p>
    <w:p w:rsidR="009D1000" w:rsidRDefault="005B78AB" w:rsidP="00831C7C">
      <w:pPr>
        <w:ind w:left="284"/>
        <w:jc w:val="both"/>
        <w:rPr>
          <w:rFonts w:ascii="Times New Roman" w:hAnsi="Times New Roman"/>
          <w:sz w:val="20"/>
          <w:szCs w:val="20"/>
        </w:rPr>
      </w:pPr>
      <w:r w:rsidRPr="009170B8">
        <w:rPr>
          <w:rFonts w:ascii="Times New Roman" w:hAnsi="Times New Roman"/>
          <w:sz w:val="20"/>
          <w:szCs w:val="20"/>
        </w:rPr>
        <w:t>The carrying amounts of the investments, accrued income, other receivables, cash and cash equivalents</w:t>
      </w:r>
      <w:r w:rsidR="00963D05">
        <w:rPr>
          <w:rFonts w:ascii="Times New Roman" w:hAnsi="Times New Roman"/>
          <w:sz w:val="20"/>
          <w:szCs w:val="20"/>
        </w:rPr>
        <w:t>, loan payable</w:t>
      </w:r>
      <w:r w:rsidRPr="009170B8">
        <w:rPr>
          <w:rFonts w:ascii="Times New Roman" w:hAnsi="Times New Roman"/>
          <w:sz w:val="20"/>
          <w:szCs w:val="20"/>
        </w:rPr>
        <w:t xml:space="preserve"> and other payables approx</w:t>
      </w:r>
      <w:r w:rsidR="00AD54D4">
        <w:rPr>
          <w:rFonts w:ascii="Times New Roman" w:hAnsi="Times New Roman"/>
          <w:sz w:val="20"/>
          <w:szCs w:val="20"/>
        </w:rPr>
        <w:t>i</w:t>
      </w:r>
      <w:r w:rsidRPr="009170B8">
        <w:rPr>
          <w:rFonts w:ascii="Times New Roman" w:hAnsi="Times New Roman"/>
          <w:sz w:val="20"/>
          <w:szCs w:val="20"/>
        </w:rPr>
        <w:t>mate their fair values.</w:t>
      </w:r>
      <w:r w:rsidRPr="00AA2CBC">
        <w:rPr>
          <w:color w:val="1F497D"/>
          <w:lang w:val="en-CA"/>
        </w:rPr>
        <w:t xml:space="preserve"> </w:t>
      </w:r>
      <w:r w:rsidRPr="00E5676A">
        <w:rPr>
          <w:rFonts w:ascii="Times New Roman" w:hAnsi="Times New Roman"/>
          <w:sz w:val="20"/>
          <w:szCs w:val="20"/>
        </w:rPr>
        <w:t xml:space="preserve">In 2015, the percentage of the value of portfolio assets which may be invested in securities listed </w:t>
      </w:r>
      <w:r w:rsidR="00AD54D4">
        <w:rPr>
          <w:rFonts w:ascii="Times New Roman" w:hAnsi="Times New Roman"/>
          <w:sz w:val="20"/>
          <w:szCs w:val="20"/>
        </w:rPr>
        <w:t>o</w:t>
      </w:r>
      <w:r w:rsidRPr="00E5676A">
        <w:rPr>
          <w:rFonts w:ascii="Times New Roman" w:hAnsi="Times New Roman"/>
          <w:sz w:val="20"/>
          <w:szCs w:val="20"/>
        </w:rPr>
        <w:t xml:space="preserve">n </w:t>
      </w:r>
      <w:r w:rsidR="00AD54D4">
        <w:rPr>
          <w:rFonts w:ascii="Times New Roman" w:hAnsi="Times New Roman"/>
          <w:sz w:val="20"/>
          <w:szCs w:val="20"/>
        </w:rPr>
        <w:t xml:space="preserve">a </w:t>
      </w:r>
      <w:r w:rsidRPr="00E5676A">
        <w:rPr>
          <w:rFonts w:ascii="Times New Roman" w:hAnsi="Times New Roman"/>
          <w:sz w:val="20"/>
          <w:szCs w:val="20"/>
        </w:rPr>
        <w:t xml:space="preserve">recognized stock exchange outside Canada </w:t>
      </w:r>
      <w:r w:rsidR="00AD54D4">
        <w:rPr>
          <w:rFonts w:ascii="Times New Roman" w:hAnsi="Times New Roman"/>
          <w:sz w:val="20"/>
          <w:szCs w:val="20"/>
        </w:rPr>
        <w:t>was</w:t>
      </w:r>
      <w:r w:rsidRPr="00E5676A">
        <w:rPr>
          <w:rFonts w:ascii="Times New Roman" w:hAnsi="Times New Roman"/>
          <w:sz w:val="20"/>
          <w:szCs w:val="20"/>
        </w:rPr>
        <w:t xml:space="preserve"> increased to up to 40 percent</w:t>
      </w:r>
      <w:r>
        <w:rPr>
          <w:rFonts w:ascii="Times New Roman" w:hAnsi="Times New Roman"/>
          <w:sz w:val="20"/>
          <w:szCs w:val="20"/>
        </w:rPr>
        <w:t>.</w:t>
      </w:r>
    </w:p>
    <w:p w:rsidR="00831C7C" w:rsidRPr="00831C7C" w:rsidRDefault="00831C7C" w:rsidP="00831C7C">
      <w:pPr>
        <w:ind w:left="284"/>
        <w:jc w:val="both"/>
        <w:rPr>
          <w:rFonts w:ascii="Times New Roman" w:hAnsi="Times New Roman"/>
          <w:sz w:val="20"/>
          <w:szCs w:val="20"/>
        </w:rPr>
      </w:pPr>
    </w:p>
    <w:p w:rsidR="009D1000" w:rsidRPr="00E5676A" w:rsidRDefault="009D1000" w:rsidP="009D1000">
      <w:pPr>
        <w:ind w:left="284"/>
        <w:rPr>
          <w:rFonts w:ascii="Times New Roman" w:hAnsi="Times New Roman"/>
          <w:i/>
          <w:sz w:val="20"/>
          <w:szCs w:val="20"/>
        </w:rPr>
      </w:pPr>
      <w:r w:rsidRPr="00E5676A">
        <w:rPr>
          <w:rFonts w:ascii="Times New Roman" w:hAnsi="Times New Roman"/>
          <w:i/>
          <w:sz w:val="20"/>
          <w:szCs w:val="20"/>
        </w:rPr>
        <w:t>Management of</w:t>
      </w:r>
      <w:r w:rsidR="00556416">
        <w:rPr>
          <w:rFonts w:ascii="Times New Roman" w:hAnsi="Times New Roman"/>
          <w:i/>
          <w:sz w:val="20"/>
          <w:szCs w:val="20"/>
        </w:rPr>
        <w:t xml:space="preserve"> c</w:t>
      </w:r>
      <w:r w:rsidRPr="00E5676A">
        <w:rPr>
          <w:rFonts w:ascii="Times New Roman" w:hAnsi="Times New Roman"/>
          <w:i/>
          <w:sz w:val="20"/>
          <w:szCs w:val="20"/>
        </w:rPr>
        <w:t>apital</w:t>
      </w:r>
    </w:p>
    <w:p w:rsidR="009D1000" w:rsidRDefault="009D1000" w:rsidP="009D1000">
      <w:pPr>
        <w:ind w:left="284"/>
        <w:jc w:val="both"/>
        <w:rPr>
          <w:rFonts w:ascii="Times New Roman" w:hAnsi="Times New Roman"/>
          <w:sz w:val="20"/>
          <w:szCs w:val="20"/>
        </w:rPr>
      </w:pPr>
      <w:r>
        <w:rPr>
          <w:rFonts w:ascii="Times New Roman" w:hAnsi="Times New Roman"/>
          <w:sz w:val="20"/>
          <w:szCs w:val="20"/>
        </w:rPr>
        <w:t>The investment Manager manages the capital of the Fund in accordance with the Fund’s investment objectives and policies.</w:t>
      </w:r>
    </w:p>
    <w:p w:rsidR="009D1000" w:rsidRDefault="009D1000" w:rsidP="009D1000">
      <w:pPr>
        <w:ind w:left="284"/>
        <w:jc w:val="both"/>
        <w:rPr>
          <w:rFonts w:ascii="Times New Roman" w:hAnsi="Times New Roman"/>
          <w:sz w:val="20"/>
          <w:szCs w:val="20"/>
        </w:rPr>
      </w:pPr>
    </w:p>
    <w:p w:rsidR="009D1000" w:rsidRDefault="009D1000" w:rsidP="009D1000">
      <w:pPr>
        <w:ind w:left="284"/>
        <w:jc w:val="both"/>
        <w:rPr>
          <w:rFonts w:ascii="Times New Roman" w:hAnsi="Times New Roman"/>
          <w:sz w:val="20"/>
          <w:szCs w:val="20"/>
        </w:rPr>
      </w:pPr>
      <w:r w:rsidRPr="006A75D1">
        <w:rPr>
          <w:rFonts w:ascii="Times New Roman" w:hAnsi="Times New Roman"/>
          <w:sz w:val="20"/>
          <w:szCs w:val="20"/>
        </w:rPr>
        <w:t>The capital structure of the Fund consists of proceeds from the issue of preference shares, loans and reserve accounts.  The Investment Manager manages and adjusts its capital in response to general economic conditions, the risk characteristics of the underlying assets and working capital requirements.  Generally speaking, the Fund will reduce leverage when investments are likely to decrease in value and will increase leverage when investment appreciation is anticipated.  In order to maintain or adjust its capital structure, the Fund may borrow or repay debt under its Credit Facility or undertake other activities deemed appropriate under the specific circumstances.  The Fund and the Company do not have any externally imposed capital requirements.  However, the Fund is subject to bank covenants in respect of leverage and complied with those covenants for the whole of both 201</w:t>
      </w:r>
      <w:r w:rsidR="00963D05">
        <w:rPr>
          <w:rFonts w:ascii="Times New Roman" w:hAnsi="Times New Roman"/>
          <w:sz w:val="20"/>
          <w:szCs w:val="20"/>
        </w:rPr>
        <w:t>8</w:t>
      </w:r>
      <w:r w:rsidRPr="006A75D1">
        <w:rPr>
          <w:rFonts w:ascii="Times New Roman" w:hAnsi="Times New Roman"/>
          <w:sz w:val="20"/>
          <w:szCs w:val="20"/>
        </w:rPr>
        <w:t xml:space="preserve"> and 201</w:t>
      </w:r>
      <w:r w:rsidR="00963D05">
        <w:rPr>
          <w:rFonts w:ascii="Times New Roman" w:hAnsi="Times New Roman"/>
          <w:sz w:val="20"/>
          <w:szCs w:val="20"/>
        </w:rPr>
        <w:t>7</w:t>
      </w:r>
      <w:r w:rsidRPr="006A75D1">
        <w:rPr>
          <w:rFonts w:ascii="Times New Roman" w:hAnsi="Times New Roman"/>
          <w:sz w:val="20"/>
          <w:szCs w:val="20"/>
        </w:rPr>
        <w:t>.</w:t>
      </w:r>
    </w:p>
    <w:p w:rsidR="009D1000" w:rsidRDefault="009D1000" w:rsidP="00842C90">
      <w:pPr>
        <w:ind w:left="284"/>
        <w:jc w:val="both"/>
        <w:rPr>
          <w:rFonts w:ascii="Times New Roman" w:hAnsi="Times New Roman"/>
          <w:i/>
          <w:sz w:val="20"/>
          <w:szCs w:val="20"/>
        </w:rPr>
      </w:pPr>
    </w:p>
    <w:p w:rsidR="00E810EF" w:rsidRPr="009170B8" w:rsidRDefault="00E810EF" w:rsidP="00E810EF">
      <w:pPr>
        <w:ind w:left="284"/>
        <w:rPr>
          <w:rFonts w:ascii="Times New Roman" w:hAnsi="Times New Roman"/>
          <w:i/>
          <w:sz w:val="20"/>
          <w:szCs w:val="20"/>
        </w:rPr>
      </w:pPr>
      <w:r w:rsidRPr="009170B8">
        <w:rPr>
          <w:rFonts w:ascii="Times New Roman" w:hAnsi="Times New Roman"/>
          <w:i/>
          <w:sz w:val="20"/>
          <w:szCs w:val="20"/>
        </w:rPr>
        <w:t>Investment and trading activities</w:t>
      </w:r>
    </w:p>
    <w:p w:rsidR="00E810EF" w:rsidRPr="009170B8" w:rsidRDefault="00E810EF" w:rsidP="00B12E46">
      <w:pPr>
        <w:ind w:left="284"/>
        <w:jc w:val="both"/>
        <w:rPr>
          <w:rFonts w:ascii="Times New Roman" w:hAnsi="Times New Roman"/>
          <w:sz w:val="20"/>
          <w:szCs w:val="20"/>
        </w:rPr>
      </w:pPr>
      <w:r w:rsidRPr="009170B8">
        <w:rPr>
          <w:rFonts w:ascii="Times New Roman" w:hAnsi="Times New Roman"/>
          <w:sz w:val="20"/>
          <w:szCs w:val="20"/>
        </w:rPr>
        <w:t>It is intended that the Fund will continue through</w:t>
      </w:r>
      <w:r w:rsidR="003D69D7" w:rsidRPr="009170B8">
        <w:rPr>
          <w:rFonts w:ascii="Times New Roman" w:hAnsi="Times New Roman"/>
          <w:sz w:val="20"/>
          <w:szCs w:val="20"/>
        </w:rPr>
        <w:t xml:space="preserve">out its life to be </w:t>
      </w:r>
      <w:r w:rsidR="00606E35" w:rsidRPr="009170B8">
        <w:rPr>
          <w:rFonts w:ascii="Times New Roman" w:hAnsi="Times New Roman"/>
          <w:sz w:val="20"/>
          <w:szCs w:val="20"/>
        </w:rPr>
        <w:t xml:space="preserve">primarily </w:t>
      </w:r>
      <w:r w:rsidR="003D69D7" w:rsidRPr="009170B8">
        <w:rPr>
          <w:rFonts w:ascii="Times New Roman" w:hAnsi="Times New Roman"/>
          <w:sz w:val="20"/>
          <w:szCs w:val="20"/>
        </w:rPr>
        <w:t>invested in Canadian</w:t>
      </w:r>
      <w:r w:rsidR="000620E4">
        <w:rPr>
          <w:rFonts w:ascii="Times New Roman" w:hAnsi="Times New Roman"/>
          <w:sz w:val="20"/>
          <w:szCs w:val="20"/>
        </w:rPr>
        <w:t xml:space="preserve"> and U.S.</w:t>
      </w:r>
      <w:r w:rsidR="003D69D7" w:rsidRPr="009170B8">
        <w:rPr>
          <w:rFonts w:ascii="Times New Roman" w:hAnsi="Times New Roman"/>
          <w:sz w:val="20"/>
          <w:szCs w:val="20"/>
        </w:rPr>
        <w:t xml:space="preserve"> </w:t>
      </w:r>
      <w:r w:rsidR="00606E35" w:rsidRPr="009170B8">
        <w:rPr>
          <w:rFonts w:ascii="Times New Roman" w:hAnsi="Times New Roman"/>
          <w:sz w:val="20"/>
          <w:szCs w:val="20"/>
        </w:rPr>
        <w:t>e</w:t>
      </w:r>
      <w:r w:rsidR="0047208B" w:rsidRPr="009170B8">
        <w:rPr>
          <w:rFonts w:ascii="Times New Roman" w:hAnsi="Times New Roman"/>
          <w:sz w:val="20"/>
          <w:szCs w:val="20"/>
        </w:rPr>
        <w:t xml:space="preserve">quities </w:t>
      </w:r>
      <w:r w:rsidR="00606E35" w:rsidRPr="009170B8">
        <w:rPr>
          <w:rFonts w:ascii="Times New Roman" w:hAnsi="Times New Roman"/>
          <w:sz w:val="20"/>
          <w:szCs w:val="20"/>
        </w:rPr>
        <w:t>p</w:t>
      </w:r>
      <w:r w:rsidR="0047208B" w:rsidRPr="009170B8">
        <w:rPr>
          <w:rFonts w:ascii="Times New Roman" w:hAnsi="Times New Roman"/>
          <w:sz w:val="20"/>
          <w:szCs w:val="20"/>
        </w:rPr>
        <w:t>ortfolio.</w:t>
      </w:r>
      <w:r w:rsidR="00610199">
        <w:rPr>
          <w:rFonts w:ascii="Times New Roman" w:hAnsi="Times New Roman"/>
          <w:sz w:val="20"/>
          <w:szCs w:val="20"/>
        </w:rPr>
        <w:t xml:space="preserve">  </w:t>
      </w:r>
    </w:p>
    <w:p w:rsidR="000620E4" w:rsidRDefault="000620E4" w:rsidP="00B12E46">
      <w:pPr>
        <w:ind w:left="284"/>
        <w:jc w:val="both"/>
        <w:rPr>
          <w:rFonts w:ascii="Times New Roman" w:hAnsi="Times New Roman"/>
          <w:sz w:val="20"/>
          <w:szCs w:val="20"/>
        </w:rPr>
      </w:pPr>
    </w:p>
    <w:p w:rsidR="002A2620" w:rsidRPr="009170B8" w:rsidRDefault="002A2620" w:rsidP="00B12E46">
      <w:pPr>
        <w:ind w:left="284"/>
        <w:jc w:val="both"/>
        <w:rPr>
          <w:rFonts w:ascii="Times New Roman" w:hAnsi="Times New Roman"/>
          <w:sz w:val="20"/>
          <w:szCs w:val="20"/>
        </w:rPr>
      </w:pPr>
      <w:r w:rsidRPr="009170B8">
        <w:rPr>
          <w:rFonts w:ascii="Times New Roman" w:hAnsi="Times New Roman"/>
          <w:sz w:val="20"/>
          <w:szCs w:val="20"/>
        </w:rPr>
        <w:t>The Fund’s investing activities expose it to various types of risk that are associated with the financial instruments and markets in which it invests. The most important types of financial risk to which the Fund is exposed are market price risk</w:t>
      </w:r>
      <w:r w:rsidR="00B7569A" w:rsidRPr="009170B8">
        <w:rPr>
          <w:rFonts w:ascii="Times New Roman" w:hAnsi="Times New Roman"/>
          <w:sz w:val="20"/>
          <w:szCs w:val="20"/>
        </w:rPr>
        <w:t>,</w:t>
      </w:r>
      <w:r w:rsidRPr="009170B8">
        <w:rPr>
          <w:rFonts w:ascii="Times New Roman" w:hAnsi="Times New Roman"/>
          <w:sz w:val="20"/>
          <w:szCs w:val="20"/>
        </w:rPr>
        <w:t xml:space="preserve"> interest rate risk</w:t>
      </w:r>
      <w:r w:rsidR="00B7569A" w:rsidRPr="009170B8">
        <w:rPr>
          <w:rFonts w:ascii="Times New Roman" w:hAnsi="Times New Roman"/>
          <w:sz w:val="20"/>
          <w:szCs w:val="20"/>
        </w:rPr>
        <w:t xml:space="preserve"> and currency risk</w:t>
      </w:r>
      <w:r w:rsidRPr="009170B8">
        <w:rPr>
          <w:rFonts w:ascii="Times New Roman" w:hAnsi="Times New Roman"/>
          <w:sz w:val="20"/>
          <w:szCs w:val="20"/>
        </w:rPr>
        <w:t>.</w:t>
      </w:r>
      <w:r w:rsidR="00775264">
        <w:rPr>
          <w:rFonts w:ascii="Times New Roman" w:hAnsi="Times New Roman"/>
          <w:sz w:val="20"/>
          <w:szCs w:val="20"/>
        </w:rPr>
        <w:t xml:space="preserve"> </w:t>
      </w:r>
    </w:p>
    <w:p w:rsidR="00E810EF" w:rsidRPr="009170B8" w:rsidRDefault="00E810EF" w:rsidP="008568DA">
      <w:pPr>
        <w:ind w:left="284"/>
        <w:rPr>
          <w:rFonts w:ascii="Times New Roman" w:hAnsi="Times New Roman"/>
          <w:sz w:val="20"/>
          <w:szCs w:val="20"/>
        </w:rPr>
      </w:pPr>
    </w:p>
    <w:p w:rsidR="00980C12" w:rsidRPr="009170B8" w:rsidRDefault="00980C12" w:rsidP="00980C12">
      <w:pPr>
        <w:ind w:left="284"/>
        <w:rPr>
          <w:rFonts w:ascii="Times New Roman" w:hAnsi="Times New Roman"/>
          <w:i/>
          <w:sz w:val="20"/>
          <w:szCs w:val="20"/>
        </w:rPr>
      </w:pPr>
      <w:r w:rsidRPr="009170B8">
        <w:rPr>
          <w:rFonts w:ascii="Times New Roman" w:hAnsi="Times New Roman"/>
          <w:i/>
          <w:sz w:val="20"/>
          <w:szCs w:val="20"/>
        </w:rPr>
        <w:t xml:space="preserve">Credit risk </w:t>
      </w:r>
    </w:p>
    <w:p w:rsidR="00980C12" w:rsidRDefault="00980C12" w:rsidP="00980C12">
      <w:pPr>
        <w:autoSpaceDE w:val="0"/>
        <w:autoSpaceDN w:val="0"/>
        <w:adjustRightInd w:val="0"/>
        <w:ind w:left="284"/>
        <w:jc w:val="both"/>
        <w:rPr>
          <w:rFonts w:ascii="Times New Roman" w:hAnsi="Times New Roman"/>
          <w:color w:val="000000"/>
          <w:sz w:val="20"/>
          <w:szCs w:val="20"/>
        </w:rPr>
      </w:pPr>
      <w:r w:rsidRPr="009170B8">
        <w:rPr>
          <w:rFonts w:ascii="Times New Roman" w:hAnsi="Times New Roman"/>
          <w:color w:val="000000"/>
          <w:sz w:val="20"/>
          <w:szCs w:val="20"/>
        </w:rPr>
        <w:t>Credit risk is the risk that an issuer or counterparty may be unable or unwilling to meet a commitment that it has entered into with the Fund.</w:t>
      </w:r>
    </w:p>
    <w:p w:rsidR="00C96F7B" w:rsidRDefault="00C96F7B" w:rsidP="00980C12">
      <w:pPr>
        <w:autoSpaceDE w:val="0"/>
        <w:autoSpaceDN w:val="0"/>
        <w:adjustRightInd w:val="0"/>
        <w:ind w:left="284"/>
        <w:jc w:val="both"/>
        <w:rPr>
          <w:rFonts w:ascii="Times New Roman" w:hAnsi="Times New Roman"/>
          <w:color w:val="000000"/>
          <w:sz w:val="20"/>
          <w:szCs w:val="20"/>
        </w:rPr>
      </w:pPr>
    </w:p>
    <w:p w:rsidR="00C96F7B" w:rsidRPr="009170B8" w:rsidRDefault="00C96F7B" w:rsidP="00980C12">
      <w:pPr>
        <w:autoSpaceDE w:val="0"/>
        <w:autoSpaceDN w:val="0"/>
        <w:adjustRightInd w:val="0"/>
        <w:ind w:left="284"/>
        <w:jc w:val="both"/>
        <w:rPr>
          <w:rFonts w:ascii="Times New Roman" w:hAnsi="Times New Roman"/>
          <w:color w:val="000000"/>
          <w:sz w:val="20"/>
          <w:szCs w:val="20"/>
        </w:rPr>
      </w:pPr>
      <w:r w:rsidRPr="009170B8">
        <w:rPr>
          <w:rFonts w:ascii="Times New Roman" w:hAnsi="Times New Roman"/>
          <w:color w:val="000000"/>
          <w:sz w:val="20"/>
          <w:szCs w:val="20"/>
        </w:rPr>
        <w:t>The Fund’s principal financial assets are bank balances and cash, other receivables and investments as set out in the Statement of Financial Position which represents the Fund’s maximum exposure to credit risk in relation to the financial assets.</w:t>
      </w:r>
      <w:r>
        <w:rPr>
          <w:rFonts w:ascii="Times New Roman" w:hAnsi="Times New Roman"/>
          <w:color w:val="000000"/>
          <w:sz w:val="20"/>
          <w:szCs w:val="20"/>
        </w:rPr>
        <w:t xml:space="preserve"> </w:t>
      </w:r>
      <w:r w:rsidRPr="009170B8">
        <w:rPr>
          <w:rFonts w:ascii="Times New Roman" w:hAnsi="Times New Roman"/>
          <w:color w:val="000000"/>
          <w:sz w:val="20"/>
          <w:szCs w:val="20"/>
        </w:rPr>
        <w:t>The credit risk on bank balances is limited because the counterparties are banks with high credit ratings of AA- and A+ assigned by Standard and Poor’s rating agency.</w:t>
      </w:r>
      <w:r>
        <w:rPr>
          <w:rFonts w:ascii="Times New Roman" w:hAnsi="Times New Roman"/>
          <w:color w:val="000000"/>
          <w:sz w:val="20"/>
          <w:szCs w:val="20"/>
        </w:rPr>
        <w:t xml:space="preserve"> </w:t>
      </w:r>
      <w:r w:rsidRPr="009170B8">
        <w:rPr>
          <w:rFonts w:ascii="Times New Roman" w:hAnsi="Times New Roman"/>
          <w:color w:val="000000"/>
          <w:sz w:val="20"/>
          <w:szCs w:val="20"/>
        </w:rPr>
        <w:t>All transactions in listed securities are settled upon delivery using approved brokers.</w:t>
      </w:r>
    </w:p>
    <w:p w:rsidR="000620E4" w:rsidRDefault="000620E4" w:rsidP="00E5676A">
      <w:pPr>
        <w:autoSpaceDE w:val="0"/>
        <w:autoSpaceDN w:val="0"/>
        <w:adjustRightInd w:val="0"/>
        <w:jc w:val="both"/>
        <w:rPr>
          <w:rFonts w:ascii="Times New Roman" w:hAnsi="Times New Roman"/>
          <w:color w:val="000000"/>
          <w:sz w:val="20"/>
          <w:szCs w:val="20"/>
        </w:rPr>
      </w:pPr>
    </w:p>
    <w:p w:rsidR="00DA5E13" w:rsidRDefault="00DA5E13" w:rsidP="00E5676A">
      <w:pPr>
        <w:autoSpaceDE w:val="0"/>
        <w:autoSpaceDN w:val="0"/>
        <w:adjustRightInd w:val="0"/>
        <w:jc w:val="both"/>
        <w:rPr>
          <w:rFonts w:ascii="Times New Roman" w:hAnsi="Times New Roman"/>
          <w:color w:val="000000"/>
          <w:sz w:val="20"/>
          <w:szCs w:val="20"/>
        </w:rPr>
      </w:pPr>
    </w:p>
    <w:p w:rsidR="00DA5E13" w:rsidRPr="00B46F2F" w:rsidRDefault="00DA5E13" w:rsidP="00DA5E13">
      <w:pPr>
        <w:pStyle w:val="Heading2"/>
        <w:tabs>
          <w:tab w:val="right" w:pos="8222"/>
        </w:tabs>
        <w:rPr>
          <w:rFonts w:ascii="Times New Roman" w:hAnsi="Times New Roman"/>
        </w:rPr>
      </w:pPr>
      <w:r w:rsidRPr="009170B8">
        <w:rPr>
          <w:rFonts w:ascii="Times New Roman" w:hAnsi="Times New Roman"/>
        </w:rPr>
        <w:t xml:space="preserve">Notes to the </w:t>
      </w:r>
      <w:r w:rsidRPr="00B46F2F">
        <w:rPr>
          <w:rFonts w:ascii="Times New Roman" w:hAnsi="Times New Roman"/>
        </w:rPr>
        <w:t xml:space="preserve">Financial Statements </w:t>
      </w:r>
      <w:r>
        <w:rPr>
          <w:rFonts w:ascii="Times New Roman" w:hAnsi="Times New Roman"/>
        </w:rPr>
        <w:t xml:space="preserve">of the Fund </w:t>
      </w:r>
      <w:r w:rsidRPr="00B46F2F">
        <w:rPr>
          <w:rFonts w:ascii="Times New Roman" w:hAnsi="Times New Roman"/>
        </w:rPr>
        <w:t>(continued)</w:t>
      </w:r>
    </w:p>
    <w:p w:rsidR="00DA5E13" w:rsidRPr="00B46F2F" w:rsidRDefault="00DA5E13" w:rsidP="00DA5E13">
      <w:pPr>
        <w:pStyle w:val="Heading3"/>
        <w:rPr>
          <w:rFonts w:ascii="Times New Roman" w:hAnsi="Times New Roman"/>
          <w:b w:val="0"/>
        </w:rPr>
      </w:pPr>
      <w:r w:rsidRPr="00B46F2F">
        <w:rPr>
          <w:rFonts w:ascii="Times New Roman" w:hAnsi="Times New Roman"/>
        </w:rPr>
        <w:t>For the year ended 31 December 201</w:t>
      </w:r>
      <w:r>
        <w:rPr>
          <w:rFonts w:ascii="Times New Roman" w:hAnsi="Times New Roman"/>
        </w:rPr>
        <w:t>8</w:t>
      </w:r>
    </w:p>
    <w:p w:rsidR="00DA5E13" w:rsidRPr="00C87A19" w:rsidRDefault="00DA5E13" w:rsidP="00DA5E13">
      <w:pPr>
        <w:pStyle w:val="Heading2"/>
        <w:tabs>
          <w:tab w:val="right" w:pos="8222"/>
        </w:tabs>
        <w:rPr>
          <w:rFonts w:ascii="Times New Roman" w:hAnsi="Times New Roman"/>
          <w:szCs w:val="22"/>
        </w:rPr>
      </w:pPr>
    </w:p>
    <w:p w:rsidR="00DA5E13" w:rsidRDefault="00DA5E13" w:rsidP="00DA5E13">
      <w:pPr>
        <w:pStyle w:val="BodyText"/>
        <w:tabs>
          <w:tab w:val="clear" w:pos="3402"/>
          <w:tab w:val="clear" w:pos="8222"/>
        </w:tabs>
        <w:ind w:left="426" w:hanging="426"/>
        <w:rPr>
          <w:rFonts w:ascii="Times New Roman" w:hAnsi="Times New Roman"/>
          <w:b/>
        </w:rPr>
      </w:pPr>
      <w:r w:rsidRPr="00B46F2F">
        <w:rPr>
          <w:rFonts w:ascii="Times New Roman" w:hAnsi="Times New Roman"/>
          <w:b/>
        </w:rPr>
        <w:t>16. Financial instruments (continued)</w:t>
      </w:r>
    </w:p>
    <w:p w:rsidR="00DA5E13" w:rsidRDefault="00DA5E13" w:rsidP="00E5676A">
      <w:pPr>
        <w:autoSpaceDE w:val="0"/>
        <w:autoSpaceDN w:val="0"/>
        <w:adjustRightInd w:val="0"/>
        <w:jc w:val="both"/>
        <w:rPr>
          <w:rFonts w:ascii="Times New Roman" w:hAnsi="Times New Roman"/>
          <w:color w:val="000000"/>
          <w:sz w:val="20"/>
          <w:szCs w:val="20"/>
        </w:rPr>
      </w:pPr>
    </w:p>
    <w:p w:rsidR="00C96F7B" w:rsidRPr="009170B8" w:rsidRDefault="00C96F7B" w:rsidP="00C96F7B">
      <w:pPr>
        <w:ind w:left="284"/>
        <w:rPr>
          <w:rFonts w:ascii="Times New Roman" w:hAnsi="Times New Roman"/>
          <w:i/>
          <w:sz w:val="20"/>
          <w:szCs w:val="20"/>
        </w:rPr>
      </w:pPr>
      <w:r w:rsidRPr="009170B8">
        <w:rPr>
          <w:rFonts w:ascii="Times New Roman" w:hAnsi="Times New Roman"/>
          <w:i/>
          <w:sz w:val="20"/>
          <w:szCs w:val="20"/>
        </w:rPr>
        <w:t xml:space="preserve">Credit risk </w:t>
      </w:r>
      <w:r>
        <w:rPr>
          <w:rFonts w:ascii="Times New Roman" w:hAnsi="Times New Roman"/>
          <w:i/>
          <w:sz w:val="20"/>
          <w:szCs w:val="20"/>
        </w:rPr>
        <w:t>(continued)</w:t>
      </w:r>
    </w:p>
    <w:p w:rsidR="00693822" w:rsidRDefault="00980C12" w:rsidP="00E5676A">
      <w:pPr>
        <w:autoSpaceDE w:val="0"/>
        <w:autoSpaceDN w:val="0"/>
        <w:adjustRightInd w:val="0"/>
        <w:ind w:left="284"/>
        <w:jc w:val="both"/>
        <w:rPr>
          <w:rFonts w:ascii="Times New Roman" w:hAnsi="Times New Roman"/>
          <w:sz w:val="20"/>
          <w:szCs w:val="20"/>
        </w:rPr>
      </w:pPr>
      <w:r w:rsidRPr="009170B8">
        <w:rPr>
          <w:rFonts w:ascii="Times New Roman" w:hAnsi="Times New Roman"/>
          <w:color w:val="000000"/>
          <w:sz w:val="20"/>
          <w:szCs w:val="20"/>
        </w:rPr>
        <w:t>The risk of default is considered minimal as delivery of securities sold is only made once the broker has received payment. Payment is made on a purchase once the securities have been received by the broker. The trade will fail if either party fails to meet its obligations.</w:t>
      </w:r>
      <w:r w:rsidR="00956B95">
        <w:rPr>
          <w:rFonts w:ascii="Times New Roman" w:hAnsi="Times New Roman"/>
          <w:color w:val="000000"/>
          <w:sz w:val="20"/>
          <w:szCs w:val="20"/>
        </w:rPr>
        <w:t xml:space="preserve">  </w:t>
      </w:r>
      <w:r w:rsidR="00956B95" w:rsidRPr="008A279D">
        <w:rPr>
          <w:rFonts w:ascii="Times New Roman" w:hAnsi="Times New Roman"/>
          <w:color w:val="000000"/>
          <w:sz w:val="20"/>
          <w:szCs w:val="20"/>
        </w:rPr>
        <w:t>Where the Investment</w:t>
      </w:r>
      <w:r w:rsidR="00956B95" w:rsidRPr="008A279D">
        <w:rPr>
          <w:rFonts w:ascii="Times New Roman" w:hAnsi="Times New Roman"/>
          <w:i/>
          <w:sz w:val="20"/>
          <w:szCs w:val="20"/>
        </w:rPr>
        <w:t xml:space="preserve"> </w:t>
      </w:r>
      <w:r w:rsidR="00956B95" w:rsidRPr="008A279D">
        <w:rPr>
          <w:rFonts w:ascii="Times New Roman" w:hAnsi="Times New Roman"/>
          <w:sz w:val="20"/>
          <w:szCs w:val="20"/>
        </w:rPr>
        <w:t xml:space="preserve">Manager makes an investment in debt or corporate securities, the credit rating of the issuer is taken into account to manage the Company’s exposure to risk of default.  </w:t>
      </w:r>
      <w:r w:rsidR="00956B95" w:rsidRPr="001F5EE5">
        <w:rPr>
          <w:rFonts w:ascii="Times New Roman" w:hAnsi="Times New Roman"/>
          <w:sz w:val="20"/>
          <w:szCs w:val="20"/>
        </w:rPr>
        <w:t>Investments in debt or corporate securities are across a variety of sectors and geographical markets, to avoid concentration of credit risk.</w:t>
      </w:r>
    </w:p>
    <w:p w:rsidR="00FA5D2E" w:rsidRPr="00E5676A" w:rsidRDefault="00FA5D2E">
      <w:pPr>
        <w:autoSpaceDE w:val="0"/>
        <w:autoSpaceDN w:val="0"/>
        <w:adjustRightInd w:val="0"/>
        <w:ind w:left="284"/>
        <w:jc w:val="both"/>
        <w:rPr>
          <w:rFonts w:ascii="Times New Roman" w:hAnsi="Times New Roman"/>
          <w:sz w:val="20"/>
          <w:szCs w:val="20"/>
        </w:rPr>
      </w:pPr>
    </w:p>
    <w:p w:rsidR="0068366F" w:rsidRDefault="00882689" w:rsidP="00C87A19">
      <w:pPr>
        <w:autoSpaceDE w:val="0"/>
        <w:autoSpaceDN w:val="0"/>
        <w:adjustRightInd w:val="0"/>
        <w:ind w:left="284"/>
        <w:jc w:val="both"/>
        <w:rPr>
          <w:rFonts w:ascii="Times New Roman" w:hAnsi="Times New Roman"/>
          <w:sz w:val="20"/>
          <w:szCs w:val="20"/>
        </w:rPr>
      </w:pPr>
      <w:r w:rsidRPr="00B46F2F">
        <w:rPr>
          <w:rFonts w:ascii="Times New Roman" w:hAnsi="Times New Roman"/>
          <w:sz w:val="20"/>
          <w:szCs w:val="20"/>
        </w:rPr>
        <w:t>The Fund’s maximum exposure to credit risk is the carry value of the assets on the Statement of Financial Position.</w:t>
      </w:r>
    </w:p>
    <w:p w:rsidR="00831C7C" w:rsidRDefault="00831C7C" w:rsidP="00AC5183">
      <w:pPr>
        <w:rPr>
          <w:rFonts w:ascii="Times New Roman" w:hAnsi="Times New Roman"/>
          <w:i/>
          <w:sz w:val="20"/>
          <w:szCs w:val="20"/>
        </w:rPr>
      </w:pPr>
    </w:p>
    <w:p w:rsidR="00720B02" w:rsidRPr="009170B8" w:rsidRDefault="00720B02" w:rsidP="000B2A92">
      <w:pPr>
        <w:ind w:left="284"/>
        <w:rPr>
          <w:rFonts w:ascii="Times New Roman" w:hAnsi="Times New Roman"/>
          <w:i/>
          <w:sz w:val="20"/>
          <w:szCs w:val="20"/>
        </w:rPr>
      </w:pPr>
      <w:r w:rsidRPr="00B46F2F">
        <w:rPr>
          <w:rFonts w:ascii="Times New Roman" w:hAnsi="Times New Roman"/>
          <w:i/>
          <w:sz w:val="20"/>
          <w:szCs w:val="20"/>
        </w:rPr>
        <w:t>Market price risk</w:t>
      </w:r>
    </w:p>
    <w:p w:rsidR="004271CB" w:rsidRDefault="00720B02" w:rsidP="000B2A92">
      <w:pPr>
        <w:pStyle w:val="BodyText"/>
        <w:tabs>
          <w:tab w:val="clear" w:pos="3402"/>
          <w:tab w:val="clear" w:pos="8222"/>
        </w:tabs>
        <w:ind w:left="284"/>
        <w:rPr>
          <w:rFonts w:ascii="Times New Roman" w:hAnsi="Times New Roman"/>
          <w:szCs w:val="20"/>
        </w:rPr>
      </w:pPr>
      <w:r w:rsidRPr="009170B8">
        <w:rPr>
          <w:rFonts w:ascii="Times New Roman" w:hAnsi="Times New Roman"/>
          <w:szCs w:val="20"/>
        </w:rPr>
        <w:t>Market price risk is the risk that the fair value or future cash flows of a financial instrument will fluctuate because of changes in market prices (other than those arising from interest rate risk or currency risk), whether those changes are caused by factors specific to the individual financial instrument or its issuer, or factors affecting similar financial instruments traded in the market.</w:t>
      </w:r>
      <w:r w:rsidR="00ED2964" w:rsidRPr="009170B8">
        <w:rPr>
          <w:rFonts w:ascii="Times New Roman" w:hAnsi="Times New Roman"/>
          <w:szCs w:val="20"/>
        </w:rPr>
        <w:t xml:space="preserve"> </w:t>
      </w:r>
      <w:r w:rsidRPr="009170B8">
        <w:rPr>
          <w:rFonts w:ascii="Times New Roman" w:hAnsi="Times New Roman"/>
          <w:szCs w:val="20"/>
        </w:rPr>
        <w:t>The Fund’s exposure to market price risk is comprised mainly of movements in the value of the</w:t>
      </w:r>
      <w:r w:rsidR="00980EDC" w:rsidRPr="009170B8">
        <w:rPr>
          <w:rFonts w:ascii="Times New Roman" w:hAnsi="Times New Roman"/>
          <w:szCs w:val="20"/>
        </w:rPr>
        <w:t xml:space="preserve"> Fund’s investments. </w:t>
      </w:r>
    </w:p>
    <w:p w:rsidR="00956B95" w:rsidRDefault="00956B95" w:rsidP="000B2A92">
      <w:pPr>
        <w:pStyle w:val="BodyText"/>
        <w:tabs>
          <w:tab w:val="clear" w:pos="3402"/>
          <w:tab w:val="clear" w:pos="8222"/>
        </w:tabs>
        <w:ind w:left="284"/>
        <w:rPr>
          <w:rFonts w:ascii="Times New Roman" w:hAnsi="Times New Roman"/>
          <w:szCs w:val="20"/>
        </w:rPr>
      </w:pPr>
    </w:p>
    <w:p w:rsidR="00956B95" w:rsidRPr="009170B8" w:rsidRDefault="00956B95" w:rsidP="000B2A92">
      <w:pPr>
        <w:pStyle w:val="BodyText"/>
        <w:tabs>
          <w:tab w:val="clear" w:pos="3402"/>
          <w:tab w:val="clear" w:pos="8222"/>
        </w:tabs>
        <w:ind w:left="284"/>
        <w:rPr>
          <w:rFonts w:ascii="Times New Roman" w:hAnsi="Times New Roman"/>
          <w:szCs w:val="20"/>
        </w:rPr>
      </w:pPr>
      <w:r w:rsidRPr="001F5EE5">
        <w:rPr>
          <w:rFonts w:ascii="Times New Roman" w:hAnsi="Times New Roman"/>
          <w:szCs w:val="20"/>
        </w:rPr>
        <w:t>It is the business of the Investment Manager to manage the portfolio and borrowings to achieve the best returns.  The Directors manage the risk inherent in the portfolio by monitor</w:t>
      </w:r>
      <w:r w:rsidR="008A279D" w:rsidRPr="001F5EE5">
        <w:rPr>
          <w:rFonts w:ascii="Times New Roman" w:hAnsi="Times New Roman"/>
          <w:szCs w:val="20"/>
        </w:rPr>
        <w:t>ing</w:t>
      </w:r>
      <w:r w:rsidRPr="001F5EE5">
        <w:rPr>
          <w:rFonts w:ascii="Times New Roman" w:hAnsi="Times New Roman"/>
          <w:szCs w:val="20"/>
        </w:rPr>
        <w:t xml:space="preserve">, on a formal basis, the Investment Manager’s compliance with the Company’s stated </w:t>
      </w:r>
      <w:r w:rsidR="008A279D" w:rsidRPr="001F5EE5">
        <w:rPr>
          <w:rFonts w:ascii="Times New Roman" w:hAnsi="Times New Roman"/>
          <w:szCs w:val="20"/>
        </w:rPr>
        <w:t>investment policy and</w:t>
      </w:r>
      <w:r w:rsidRPr="001F5EE5">
        <w:rPr>
          <w:rFonts w:ascii="Times New Roman" w:hAnsi="Times New Roman"/>
          <w:szCs w:val="20"/>
        </w:rPr>
        <w:t xml:space="preserve"> review</w:t>
      </w:r>
      <w:r w:rsidR="008A279D" w:rsidRPr="001F5EE5">
        <w:rPr>
          <w:rFonts w:ascii="Times New Roman" w:hAnsi="Times New Roman"/>
          <w:szCs w:val="20"/>
        </w:rPr>
        <w:t>ing</w:t>
      </w:r>
      <w:r w:rsidRPr="001F5EE5">
        <w:rPr>
          <w:rFonts w:ascii="Times New Roman" w:hAnsi="Times New Roman"/>
          <w:szCs w:val="20"/>
        </w:rPr>
        <w:t xml:space="preserve"> investment performance.</w:t>
      </w:r>
    </w:p>
    <w:p w:rsidR="007A4543" w:rsidRPr="009170B8" w:rsidRDefault="007A4543" w:rsidP="007A4543">
      <w:pPr>
        <w:ind w:firstLine="284"/>
        <w:rPr>
          <w:rFonts w:ascii="Times New Roman" w:hAnsi="Times New Roman"/>
          <w:i/>
          <w:sz w:val="20"/>
          <w:szCs w:val="20"/>
        </w:rPr>
      </w:pPr>
    </w:p>
    <w:p w:rsidR="00051C23" w:rsidRPr="009170B8" w:rsidRDefault="00136367" w:rsidP="00051C23">
      <w:pPr>
        <w:ind w:firstLine="284"/>
        <w:rPr>
          <w:rFonts w:ascii="Times New Roman" w:hAnsi="Times New Roman"/>
          <w:i/>
          <w:sz w:val="20"/>
          <w:szCs w:val="20"/>
        </w:rPr>
      </w:pPr>
      <w:r w:rsidRPr="009170B8">
        <w:rPr>
          <w:rFonts w:ascii="Times New Roman" w:hAnsi="Times New Roman"/>
          <w:i/>
          <w:sz w:val="20"/>
          <w:szCs w:val="20"/>
        </w:rPr>
        <w:t>Country risk</w:t>
      </w:r>
    </w:p>
    <w:p w:rsidR="00051C23" w:rsidRDefault="00051C23" w:rsidP="00B7569A">
      <w:pPr>
        <w:autoSpaceDE w:val="0"/>
        <w:autoSpaceDN w:val="0"/>
        <w:adjustRightInd w:val="0"/>
        <w:ind w:left="284"/>
        <w:jc w:val="both"/>
        <w:rPr>
          <w:rFonts w:ascii="Times New Roman" w:hAnsi="Times New Roman"/>
          <w:color w:val="000000"/>
          <w:sz w:val="20"/>
          <w:szCs w:val="20"/>
        </w:rPr>
      </w:pPr>
      <w:r w:rsidRPr="009170B8">
        <w:rPr>
          <w:rFonts w:ascii="Times New Roman" w:hAnsi="Times New Roman"/>
          <w:color w:val="000000"/>
          <w:sz w:val="20"/>
          <w:szCs w:val="20"/>
        </w:rPr>
        <w:t>On 17 January 2012</w:t>
      </w:r>
      <w:r w:rsidR="00E07C87">
        <w:rPr>
          <w:rFonts w:ascii="Times New Roman" w:hAnsi="Times New Roman"/>
          <w:color w:val="000000"/>
          <w:sz w:val="20"/>
          <w:szCs w:val="20"/>
        </w:rPr>
        <w:t>,</w:t>
      </w:r>
      <w:r w:rsidRPr="009170B8">
        <w:rPr>
          <w:rFonts w:ascii="Times New Roman" w:hAnsi="Times New Roman"/>
          <w:color w:val="000000"/>
          <w:sz w:val="20"/>
          <w:szCs w:val="20"/>
        </w:rPr>
        <w:t xml:space="preserve"> the Financial Reporting Council</w:t>
      </w:r>
      <w:r w:rsidR="00FB0C4F" w:rsidRPr="009170B8">
        <w:rPr>
          <w:rFonts w:ascii="Times New Roman" w:hAnsi="Times New Roman"/>
          <w:color w:val="000000"/>
          <w:sz w:val="20"/>
          <w:szCs w:val="20"/>
        </w:rPr>
        <w:t xml:space="preserve"> (</w:t>
      </w:r>
      <w:r w:rsidR="00A76C31">
        <w:rPr>
          <w:rFonts w:ascii="Times New Roman" w:hAnsi="Times New Roman"/>
          <w:color w:val="000000"/>
          <w:sz w:val="20"/>
          <w:szCs w:val="20"/>
        </w:rPr>
        <w:t xml:space="preserve">the </w:t>
      </w:r>
      <w:r w:rsidR="00FB0C4F" w:rsidRPr="009170B8">
        <w:rPr>
          <w:rFonts w:ascii="Times New Roman" w:hAnsi="Times New Roman"/>
          <w:color w:val="000000"/>
          <w:sz w:val="20"/>
          <w:szCs w:val="20"/>
        </w:rPr>
        <w:t>“FRC”)</w:t>
      </w:r>
      <w:r w:rsidRPr="009170B8">
        <w:rPr>
          <w:rFonts w:ascii="Times New Roman" w:hAnsi="Times New Roman"/>
          <w:color w:val="000000"/>
          <w:sz w:val="20"/>
          <w:szCs w:val="20"/>
        </w:rPr>
        <w:t xml:space="preserve"> released “Responding to the increased country and currency risk in financial reports”.</w:t>
      </w:r>
      <w:r w:rsidR="00A76C31">
        <w:rPr>
          <w:rFonts w:ascii="Times New Roman" w:hAnsi="Times New Roman"/>
          <w:color w:val="000000"/>
          <w:sz w:val="20"/>
          <w:szCs w:val="20"/>
        </w:rPr>
        <w:t xml:space="preserve">  </w:t>
      </w:r>
      <w:r w:rsidRPr="009170B8">
        <w:rPr>
          <w:rFonts w:ascii="Times New Roman" w:hAnsi="Times New Roman"/>
          <w:color w:val="000000"/>
          <w:sz w:val="20"/>
          <w:szCs w:val="20"/>
        </w:rPr>
        <w:t>Th</w:t>
      </w:r>
      <w:r w:rsidR="00A76C31">
        <w:rPr>
          <w:rFonts w:ascii="Times New Roman" w:hAnsi="Times New Roman"/>
          <w:color w:val="000000"/>
          <w:sz w:val="20"/>
          <w:szCs w:val="20"/>
        </w:rPr>
        <w:t>is updat</w:t>
      </w:r>
      <w:r w:rsidRPr="009170B8">
        <w:rPr>
          <w:rFonts w:ascii="Times New Roman" w:hAnsi="Times New Roman"/>
          <w:color w:val="000000"/>
          <w:sz w:val="20"/>
          <w:szCs w:val="20"/>
        </w:rPr>
        <w:t xml:space="preserve">e </w:t>
      </w:r>
      <w:r w:rsidR="00A76C31">
        <w:rPr>
          <w:rFonts w:ascii="Times New Roman" w:hAnsi="Times New Roman"/>
          <w:color w:val="000000"/>
          <w:sz w:val="20"/>
          <w:szCs w:val="20"/>
        </w:rPr>
        <w:t xml:space="preserve">from the </w:t>
      </w:r>
      <w:r w:rsidR="00FB0C4F" w:rsidRPr="009170B8">
        <w:rPr>
          <w:rFonts w:ascii="Times New Roman" w:hAnsi="Times New Roman"/>
          <w:color w:val="000000"/>
          <w:sz w:val="20"/>
          <w:szCs w:val="20"/>
        </w:rPr>
        <w:t xml:space="preserve">FRC </w:t>
      </w:r>
      <w:r w:rsidRPr="009170B8">
        <w:rPr>
          <w:rFonts w:ascii="Times New Roman" w:hAnsi="Times New Roman"/>
          <w:color w:val="000000"/>
          <w:sz w:val="20"/>
          <w:szCs w:val="20"/>
        </w:rPr>
        <w:t>include</w:t>
      </w:r>
      <w:r w:rsidR="00A76C31">
        <w:rPr>
          <w:rFonts w:ascii="Times New Roman" w:hAnsi="Times New Roman"/>
          <w:color w:val="000000"/>
          <w:sz w:val="20"/>
          <w:szCs w:val="20"/>
        </w:rPr>
        <w:t>d</w:t>
      </w:r>
      <w:r w:rsidRPr="009170B8">
        <w:rPr>
          <w:rFonts w:ascii="Times New Roman" w:hAnsi="Times New Roman"/>
          <w:color w:val="000000"/>
          <w:sz w:val="20"/>
          <w:szCs w:val="20"/>
        </w:rPr>
        <w:t xml:space="preserve"> guidance on responding to the increased country and currency risk as a result of funding pressures on certain European countries, the curtailment of capital spending programmes (austerity measures) and regime changes in the Middle East</w:t>
      </w:r>
      <w:r w:rsidR="00D67909">
        <w:rPr>
          <w:rFonts w:ascii="Times New Roman" w:hAnsi="Times New Roman"/>
          <w:color w:val="000000"/>
          <w:sz w:val="20"/>
          <w:szCs w:val="20"/>
        </w:rPr>
        <w:t xml:space="preserve">, and the ongoing uncertainty relating to the outcome of Brexit. </w:t>
      </w:r>
    </w:p>
    <w:p w:rsidR="005B78AB" w:rsidRDefault="005B78AB" w:rsidP="00B7569A">
      <w:pPr>
        <w:autoSpaceDE w:val="0"/>
        <w:autoSpaceDN w:val="0"/>
        <w:adjustRightInd w:val="0"/>
        <w:ind w:left="284"/>
        <w:jc w:val="both"/>
        <w:rPr>
          <w:rFonts w:ascii="Times New Roman" w:hAnsi="Times New Roman"/>
          <w:color w:val="000000"/>
          <w:sz w:val="20"/>
          <w:szCs w:val="20"/>
        </w:rPr>
      </w:pPr>
    </w:p>
    <w:p w:rsidR="009D1000" w:rsidRDefault="009D1000" w:rsidP="009D1000">
      <w:pPr>
        <w:ind w:left="284"/>
        <w:jc w:val="both"/>
        <w:rPr>
          <w:rFonts w:ascii="Times New Roman" w:hAnsi="Times New Roman"/>
          <w:sz w:val="20"/>
          <w:szCs w:val="20"/>
        </w:rPr>
      </w:pPr>
      <w:r w:rsidRPr="001F5EE5">
        <w:rPr>
          <w:rFonts w:ascii="Times New Roman" w:hAnsi="Times New Roman"/>
          <w:sz w:val="20"/>
          <w:szCs w:val="20"/>
        </w:rPr>
        <w:t>The Fund invests primarily in Canadian and U.S. securities. The Investment Manager monitors the Company’s exposure to foreign currencies on a daily basis.  The Board has reviewed the disclosures and believes that no additional disclosures are required because the Canadian and U.S. econom</w:t>
      </w:r>
      <w:r w:rsidR="00AD54D4">
        <w:rPr>
          <w:rFonts w:ascii="Times New Roman" w:hAnsi="Times New Roman"/>
          <w:sz w:val="20"/>
          <w:szCs w:val="20"/>
        </w:rPr>
        <w:t>ies</w:t>
      </w:r>
      <w:r w:rsidRPr="001F5EE5">
        <w:rPr>
          <w:rFonts w:ascii="Times New Roman" w:hAnsi="Times New Roman"/>
          <w:sz w:val="20"/>
          <w:szCs w:val="20"/>
        </w:rPr>
        <w:t xml:space="preserve"> are stable.</w:t>
      </w:r>
    </w:p>
    <w:p w:rsidR="000302D8" w:rsidRDefault="000302D8" w:rsidP="000302D8">
      <w:pPr>
        <w:ind w:left="284"/>
        <w:jc w:val="both"/>
        <w:rPr>
          <w:sz w:val="18"/>
          <w:szCs w:val="18"/>
        </w:rPr>
      </w:pPr>
    </w:p>
    <w:p w:rsidR="000302D8" w:rsidRPr="009170B8" w:rsidRDefault="000302D8" w:rsidP="000302D8">
      <w:pPr>
        <w:ind w:left="284"/>
        <w:jc w:val="both"/>
        <w:rPr>
          <w:rFonts w:ascii="Times New Roman" w:hAnsi="Times New Roman"/>
          <w:sz w:val="20"/>
          <w:szCs w:val="20"/>
        </w:rPr>
      </w:pPr>
      <w:r w:rsidRPr="00E54387">
        <w:rPr>
          <w:rFonts w:ascii="Times New Roman" w:hAnsi="Times New Roman"/>
          <w:sz w:val="20"/>
          <w:szCs w:val="20"/>
        </w:rPr>
        <w:t xml:space="preserve">The directors believe that the </w:t>
      </w:r>
      <w:r w:rsidR="00E214AD">
        <w:rPr>
          <w:rFonts w:ascii="Times New Roman" w:hAnsi="Times New Roman"/>
          <w:sz w:val="20"/>
          <w:szCs w:val="20"/>
        </w:rPr>
        <w:t>Fund</w:t>
      </w:r>
      <w:r w:rsidRPr="00E54387">
        <w:rPr>
          <w:rFonts w:ascii="Times New Roman" w:hAnsi="Times New Roman"/>
          <w:sz w:val="20"/>
          <w:szCs w:val="20"/>
        </w:rPr>
        <w:t xml:space="preserve"> has sufficient reserves and business controls to address any financial impact of the referendum held on 23 June 2016 in favour of Brexit, and have decided not to make a specific provision in the accounts.</w:t>
      </w:r>
    </w:p>
    <w:p w:rsidR="000302D8" w:rsidRPr="009170B8" w:rsidRDefault="000302D8" w:rsidP="00E54387">
      <w:pPr>
        <w:pStyle w:val="BodyText"/>
        <w:tabs>
          <w:tab w:val="clear" w:pos="3402"/>
          <w:tab w:val="clear" w:pos="8222"/>
        </w:tabs>
        <w:rPr>
          <w:rFonts w:ascii="Times New Roman" w:hAnsi="Times New Roman"/>
          <w:szCs w:val="20"/>
        </w:rPr>
      </w:pPr>
    </w:p>
    <w:p w:rsidR="009D1000" w:rsidRPr="009170B8" w:rsidRDefault="009D1000" w:rsidP="009D1000">
      <w:pPr>
        <w:pStyle w:val="BodyText"/>
        <w:tabs>
          <w:tab w:val="clear" w:pos="3402"/>
          <w:tab w:val="clear" w:pos="8222"/>
        </w:tabs>
        <w:ind w:left="284"/>
        <w:rPr>
          <w:rFonts w:ascii="Times New Roman" w:hAnsi="Times New Roman"/>
          <w:i/>
          <w:szCs w:val="20"/>
        </w:rPr>
      </w:pPr>
      <w:bookmarkStart w:id="52" w:name="OLE_LINK20"/>
      <w:bookmarkStart w:id="53" w:name="OLE_LINK21"/>
      <w:r w:rsidRPr="009170B8">
        <w:rPr>
          <w:rFonts w:ascii="Times New Roman" w:hAnsi="Times New Roman"/>
          <w:i/>
          <w:szCs w:val="20"/>
        </w:rPr>
        <w:t>Fair value measurements</w:t>
      </w:r>
    </w:p>
    <w:bookmarkEnd w:id="52"/>
    <w:bookmarkEnd w:id="53"/>
    <w:p w:rsidR="009D1000" w:rsidRPr="009170B8" w:rsidRDefault="009D1000" w:rsidP="009D1000">
      <w:pPr>
        <w:pStyle w:val="BodyText"/>
        <w:tabs>
          <w:tab w:val="clear" w:pos="3402"/>
          <w:tab w:val="clear" w:pos="8222"/>
        </w:tabs>
        <w:ind w:left="284"/>
        <w:rPr>
          <w:rFonts w:ascii="Times New Roman" w:hAnsi="Times New Roman"/>
          <w:color w:val="000000"/>
          <w:szCs w:val="20"/>
        </w:rPr>
      </w:pPr>
      <w:r w:rsidRPr="009170B8">
        <w:rPr>
          <w:rFonts w:ascii="Times New Roman" w:hAnsi="Times New Roman"/>
          <w:color w:val="000000"/>
          <w:szCs w:val="20"/>
        </w:rPr>
        <w:t>IFRS 13 establishes a fair value hierarchy that prioritises the inputs to valuation techniques used to measure fair value. The hierarchy gives the highest priority to unadjusted quoted prices in active markets for identical assets or liabilities (Level 1 measurements) and the lowest priority to unobservable inputs (Level 3 measurements). The three levels of the fair value hierarchy under IFRS 13 are as follows:</w:t>
      </w:r>
    </w:p>
    <w:p w:rsidR="009D1000" w:rsidRPr="009D1000" w:rsidRDefault="009D1000" w:rsidP="009D1000">
      <w:pPr>
        <w:pStyle w:val="BodyText"/>
        <w:tabs>
          <w:tab w:val="clear" w:pos="3402"/>
          <w:tab w:val="clear" w:pos="8222"/>
        </w:tabs>
        <w:ind w:left="284"/>
        <w:rPr>
          <w:rFonts w:ascii="Times New Roman" w:hAnsi="Times New Roman"/>
          <w:color w:val="000000"/>
          <w:szCs w:val="20"/>
        </w:rPr>
      </w:pPr>
    </w:p>
    <w:p w:rsidR="00880DF8" w:rsidRPr="009170B8" w:rsidRDefault="00AB3E61" w:rsidP="001F5383">
      <w:pPr>
        <w:pStyle w:val="BodyText"/>
        <w:numPr>
          <w:ilvl w:val="0"/>
          <w:numId w:val="6"/>
        </w:numPr>
        <w:tabs>
          <w:tab w:val="clear" w:pos="2464"/>
          <w:tab w:val="clear" w:pos="3402"/>
          <w:tab w:val="clear" w:pos="8222"/>
        </w:tabs>
        <w:ind w:left="709" w:hanging="425"/>
        <w:rPr>
          <w:rFonts w:ascii="Times New Roman" w:hAnsi="Times New Roman"/>
          <w:color w:val="000000"/>
          <w:szCs w:val="20"/>
        </w:rPr>
      </w:pPr>
      <w:r w:rsidRPr="009170B8">
        <w:rPr>
          <w:rFonts w:ascii="Times New Roman" w:hAnsi="Times New Roman"/>
          <w:color w:val="000000"/>
          <w:szCs w:val="20"/>
        </w:rPr>
        <w:t>Level 1 fair value measurements are those derived from quoted prices</w:t>
      </w:r>
      <w:r w:rsidR="0043020D" w:rsidRPr="009170B8">
        <w:rPr>
          <w:rFonts w:ascii="Times New Roman" w:hAnsi="Times New Roman"/>
          <w:color w:val="000000"/>
          <w:szCs w:val="20"/>
        </w:rPr>
        <w:t xml:space="preserve"> </w:t>
      </w:r>
      <w:r w:rsidRPr="009170B8">
        <w:rPr>
          <w:rFonts w:ascii="Times New Roman" w:hAnsi="Times New Roman"/>
          <w:color w:val="000000"/>
          <w:szCs w:val="20"/>
        </w:rPr>
        <w:t>(unadjusted) in active m</w:t>
      </w:r>
      <w:r w:rsidR="0043020D" w:rsidRPr="009170B8">
        <w:rPr>
          <w:rFonts w:ascii="Times New Roman" w:hAnsi="Times New Roman"/>
          <w:color w:val="000000"/>
          <w:szCs w:val="20"/>
        </w:rPr>
        <w:t xml:space="preserve">arkets for </w:t>
      </w:r>
      <w:r w:rsidRPr="009170B8">
        <w:rPr>
          <w:rFonts w:ascii="Times New Roman" w:hAnsi="Times New Roman"/>
          <w:color w:val="000000"/>
          <w:szCs w:val="20"/>
        </w:rPr>
        <w:t>identical assets or liabilities</w:t>
      </w:r>
      <w:r w:rsidR="00E24A68">
        <w:rPr>
          <w:rFonts w:ascii="Times New Roman" w:hAnsi="Times New Roman"/>
          <w:color w:val="000000"/>
          <w:szCs w:val="20"/>
        </w:rPr>
        <w:t>; or</w:t>
      </w:r>
    </w:p>
    <w:p w:rsidR="00890476" w:rsidRPr="009170B8" w:rsidRDefault="00AB3E61" w:rsidP="001F5383">
      <w:pPr>
        <w:pStyle w:val="BodyText"/>
        <w:numPr>
          <w:ilvl w:val="0"/>
          <w:numId w:val="6"/>
        </w:numPr>
        <w:tabs>
          <w:tab w:val="clear" w:pos="2464"/>
          <w:tab w:val="clear" w:pos="3402"/>
          <w:tab w:val="clear" w:pos="8222"/>
        </w:tabs>
        <w:ind w:left="709" w:hanging="425"/>
        <w:rPr>
          <w:rFonts w:ascii="Times New Roman" w:hAnsi="Times New Roman"/>
          <w:color w:val="000000"/>
          <w:szCs w:val="20"/>
        </w:rPr>
      </w:pPr>
      <w:r w:rsidRPr="009170B8">
        <w:rPr>
          <w:rFonts w:ascii="Times New Roman" w:hAnsi="Times New Roman"/>
          <w:color w:val="000000"/>
          <w:szCs w:val="20"/>
        </w:rPr>
        <w:t>Level 2 fair value measurements are those derived from inputs other than quoted prices included within Level 1 that are observable for the asset or liability, either directly (that is, as prices) or indirectly (that is, derived from prices)</w:t>
      </w:r>
      <w:r w:rsidR="00E24A68">
        <w:rPr>
          <w:rFonts w:ascii="Times New Roman" w:hAnsi="Times New Roman"/>
          <w:color w:val="000000"/>
          <w:szCs w:val="20"/>
        </w:rPr>
        <w:t>; or</w:t>
      </w:r>
    </w:p>
    <w:p w:rsidR="00890476" w:rsidRPr="009170B8" w:rsidRDefault="00890476" w:rsidP="001F5383">
      <w:pPr>
        <w:pStyle w:val="BodyText"/>
        <w:numPr>
          <w:ilvl w:val="0"/>
          <w:numId w:val="6"/>
        </w:numPr>
        <w:tabs>
          <w:tab w:val="clear" w:pos="2464"/>
          <w:tab w:val="clear" w:pos="3402"/>
          <w:tab w:val="clear" w:pos="8222"/>
        </w:tabs>
        <w:ind w:left="709" w:hanging="425"/>
        <w:rPr>
          <w:rFonts w:ascii="Times New Roman" w:hAnsi="Times New Roman"/>
          <w:color w:val="000000"/>
          <w:szCs w:val="20"/>
        </w:rPr>
      </w:pPr>
      <w:r w:rsidRPr="009170B8">
        <w:rPr>
          <w:rFonts w:ascii="Times New Roman" w:hAnsi="Times New Roman"/>
          <w:color w:val="000000"/>
          <w:szCs w:val="20"/>
        </w:rPr>
        <w:t>Level 3 fair value measurements are those derived from valuation techniques that include inputs for the asset or liability that are not based on observable market data (that is, unobservable inputs)</w:t>
      </w:r>
      <w:r w:rsidR="00225DD1">
        <w:rPr>
          <w:rFonts w:ascii="Times New Roman" w:hAnsi="Times New Roman"/>
          <w:color w:val="000000"/>
          <w:szCs w:val="20"/>
        </w:rPr>
        <w:t>.</w:t>
      </w:r>
      <w:r w:rsidRPr="009170B8">
        <w:rPr>
          <w:rFonts w:ascii="Times New Roman" w:hAnsi="Times New Roman"/>
          <w:color w:val="000000"/>
          <w:szCs w:val="20"/>
        </w:rPr>
        <w:t xml:space="preserve"> </w:t>
      </w:r>
    </w:p>
    <w:p w:rsidR="00890476" w:rsidRPr="009170B8" w:rsidRDefault="00890476" w:rsidP="000B2A92">
      <w:pPr>
        <w:pStyle w:val="BodyText"/>
        <w:tabs>
          <w:tab w:val="clear" w:pos="3402"/>
          <w:tab w:val="clear" w:pos="8222"/>
        </w:tabs>
        <w:ind w:left="284"/>
        <w:rPr>
          <w:rFonts w:ascii="Times New Roman" w:hAnsi="Times New Roman"/>
          <w:color w:val="000000"/>
          <w:szCs w:val="20"/>
        </w:rPr>
      </w:pPr>
    </w:p>
    <w:p w:rsidR="00FD4FC7" w:rsidRPr="009170B8" w:rsidRDefault="004F723D" w:rsidP="000B2A92">
      <w:pPr>
        <w:autoSpaceDE w:val="0"/>
        <w:autoSpaceDN w:val="0"/>
        <w:adjustRightInd w:val="0"/>
        <w:spacing w:line="240" w:lineRule="atLeast"/>
        <w:ind w:left="284"/>
        <w:jc w:val="both"/>
        <w:rPr>
          <w:rFonts w:ascii="Times New Roman" w:hAnsi="Times New Roman"/>
          <w:color w:val="000000"/>
          <w:sz w:val="20"/>
          <w:szCs w:val="20"/>
        </w:rPr>
      </w:pPr>
      <w:r w:rsidRPr="009170B8">
        <w:rPr>
          <w:rFonts w:ascii="Times New Roman" w:hAnsi="Times New Roman"/>
          <w:sz w:val="20"/>
          <w:szCs w:val="20"/>
        </w:rPr>
        <w:t xml:space="preserve">The level in the fair value hierarchy within which the fair value measurement is categorised in its entirety is determined on the basis of the lowest level input that is significant to the fair value measurement in its entirety. For this purpose, the significance of an input is assessed against the fair value measurement in its entirety. If a fair value measurement uses observable inputs that require significant adjustment based on unobservable inputs, that measurement is a level 3 measurement. Assessing the significance </w:t>
      </w:r>
      <w:r w:rsidRPr="009170B8">
        <w:rPr>
          <w:rFonts w:ascii="Times New Roman" w:hAnsi="Times New Roman"/>
          <w:color w:val="000000"/>
          <w:sz w:val="20"/>
          <w:szCs w:val="20"/>
        </w:rPr>
        <w:t xml:space="preserve">of a particular </w:t>
      </w:r>
      <w:r w:rsidR="00FD4FC7" w:rsidRPr="009170B8">
        <w:rPr>
          <w:rFonts w:ascii="Times New Roman" w:hAnsi="Times New Roman"/>
          <w:color w:val="000000"/>
          <w:sz w:val="20"/>
          <w:szCs w:val="20"/>
        </w:rPr>
        <w:t>input to the fair value measurement in its entirety requires judgment, considering factors specific to the asset or liability.</w:t>
      </w:r>
      <w:r w:rsidR="00FD4FC7" w:rsidRPr="009170B8">
        <w:rPr>
          <w:rFonts w:ascii="Times New Roman" w:hAnsi="Times New Roman"/>
          <w:sz w:val="20"/>
          <w:szCs w:val="20"/>
        </w:rPr>
        <w:t xml:space="preserve"> </w:t>
      </w:r>
    </w:p>
    <w:p w:rsidR="00140415" w:rsidRDefault="00140415">
      <w:pPr>
        <w:autoSpaceDE w:val="0"/>
        <w:autoSpaceDN w:val="0"/>
        <w:adjustRightInd w:val="0"/>
        <w:ind w:left="284"/>
        <w:jc w:val="both"/>
        <w:rPr>
          <w:rFonts w:ascii="Times New Roman" w:hAnsi="Times New Roman"/>
        </w:rPr>
      </w:pPr>
    </w:p>
    <w:p w:rsidR="00831C7C" w:rsidRPr="00AC5183" w:rsidRDefault="004B71FC">
      <w:pPr>
        <w:autoSpaceDE w:val="0"/>
        <w:autoSpaceDN w:val="0"/>
        <w:adjustRightInd w:val="0"/>
        <w:ind w:left="284"/>
        <w:jc w:val="both"/>
        <w:rPr>
          <w:rFonts w:ascii="Times New Roman" w:hAnsi="Times New Roman"/>
          <w:sz w:val="20"/>
          <w:szCs w:val="20"/>
        </w:rPr>
      </w:pPr>
      <w:r w:rsidRPr="009170B8">
        <w:rPr>
          <w:rFonts w:ascii="Times New Roman" w:hAnsi="Times New Roman"/>
          <w:sz w:val="20"/>
          <w:szCs w:val="20"/>
        </w:rPr>
        <w:t>The determination of what constitutes ‘observable’ requires significant judgment by the Fund. The Fund considers observable data to be that market data that is readily available, regularly distributed or updated, reliable and verifiable, not proprietary, and provided by independent sources that are actively involved in the relevant market.</w:t>
      </w:r>
    </w:p>
    <w:p w:rsidR="00C96F7B" w:rsidRPr="00B46F2F" w:rsidRDefault="00C96F7B" w:rsidP="00C96F7B">
      <w:pPr>
        <w:pStyle w:val="Heading2"/>
        <w:tabs>
          <w:tab w:val="right" w:pos="8222"/>
        </w:tabs>
        <w:rPr>
          <w:rFonts w:ascii="Times New Roman" w:hAnsi="Times New Roman"/>
        </w:rPr>
      </w:pPr>
      <w:r w:rsidRPr="009170B8">
        <w:rPr>
          <w:rFonts w:ascii="Times New Roman" w:hAnsi="Times New Roman"/>
        </w:rPr>
        <w:t xml:space="preserve">Notes to the </w:t>
      </w:r>
      <w:r w:rsidRPr="00B46F2F">
        <w:rPr>
          <w:rFonts w:ascii="Times New Roman" w:hAnsi="Times New Roman"/>
        </w:rPr>
        <w:t xml:space="preserve">Financial Statements </w:t>
      </w:r>
      <w:r>
        <w:rPr>
          <w:rFonts w:ascii="Times New Roman" w:hAnsi="Times New Roman"/>
        </w:rPr>
        <w:t xml:space="preserve">of the Fund </w:t>
      </w:r>
      <w:r w:rsidRPr="00B46F2F">
        <w:rPr>
          <w:rFonts w:ascii="Times New Roman" w:hAnsi="Times New Roman"/>
        </w:rPr>
        <w:t>(continued)</w:t>
      </w:r>
    </w:p>
    <w:p w:rsidR="00C96F7B" w:rsidRPr="00B46F2F" w:rsidRDefault="00C96F7B" w:rsidP="00C96F7B">
      <w:pPr>
        <w:pStyle w:val="Heading3"/>
        <w:rPr>
          <w:rFonts w:ascii="Times New Roman" w:hAnsi="Times New Roman"/>
          <w:b w:val="0"/>
        </w:rPr>
      </w:pPr>
      <w:r w:rsidRPr="00B46F2F">
        <w:rPr>
          <w:rFonts w:ascii="Times New Roman" w:hAnsi="Times New Roman"/>
        </w:rPr>
        <w:t>For the year ended 31 December 201</w:t>
      </w:r>
      <w:r>
        <w:rPr>
          <w:rFonts w:ascii="Times New Roman" w:hAnsi="Times New Roman"/>
        </w:rPr>
        <w:t>8</w:t>
      </w:r>
    </w:p>
    <w:p w:rsidR="00C96F7B" w:rsidRDefault="00C96F7B" w:rsidP="00C96F7B">
      <w:pPr>
        <w:pStyle w:val="BodyText"/>
        <w:tabs>
          <w:tab w:val="clear" w:pos="3402"/>
          <w:tab w:val="clear" w:pos="8222"/>
        </w:tabs>
        <w:ind w:left="426" w:hanging="426"/>
        <w:rPr>
          <w:rFonts w:ascii="Times New Roman" w:hAnsi="Times New Roman"/>
          <w:b/>
        </w:rPr>
      </w:pPr>
    </w:p>
    <w:p w:rsidR="00C96F7B" w:rsidRPr="00B46F2F" w:rsidRDefault="00C96F7B" w:rsidP="00C96F7B">
      <w:pPr>
        <w:pStyle w:val="BodyText"/>
        <w:tabs>
          <w:tab w:val="clear" w:pos="3402"/>
          <w:tab w:val="clear" w:pos="8222"/>
        </w:tabs>
        <w:ind w:left="426" w:hanging="426"/>
        <w:rPr>
          <w:rFonts w:ascii="Times New Roman" w:hAnsi="Times New Roman"/>
          <w:b/>
        </w:rPr>
      </w:pPr>
      <w:r w:rsidRPr="00B46F2F">
        <w:rPr>
          <w:rFonts w:ascii="Times New Roman" w:hAnsi="Times New Roman"/>
          <w:b/>
        </w:rPr>
        <w:t>16. Financial instruments (continued)</w:t>
      </w:r>
    </w:p>
    <w:p w:rsidR="00C96F7B" w:rsidRDefault="00C96F7B" w:rsidP="00C96F7B">
      <w:pPr>
        <w:autoSpaceDE w:val="0"/>
        <w:autoSpaceDN w:val="0"/>
        <w:adjustRightInd w:val="0"/>
        <w:spacing w:line="240" w:lineRule="atLeast"/>
        <w:ind w:left="284"/>
        <w:jc w:val="both"/>
        <w:rPr>
          <w:rFonts w:ascii="Times New Roman" w:hAnsi="Times New Roman"/>
          <w:sz w:val="20"/>
          <w:szCs w:val="20"/>
        </w:rPr>
      </w:pPr>
    </w:p>
    <w:p w:rsidR="00C96F7B" w:rsidRPr="007E6005" w:rsidRDefault="00C96F7B" w:rsidP="00C96F7B">
      <w:pPr>
        <w:pStyle w:val="BodyText"/>
        <w:tabs>
          <w:tab w:val="clear" w:pos="3402"/>
          <w:tab w:val="clear" w:pos="8222"/>
        </w:tabs>
        <w:ind w:left="284"/>
        <w:rPr>
          <w:rFonts w:ascii="Times New Roman" w:hAnsi="Times New Roman"/>
          <w:i/>
          <w:szCs w:val="20"/>
        </w:rPr>
      </w:pPr>
      <w:r w:rsidRPr="009170B8">
        <w:rPr>
          <w:rFonts w:ascii="Times New Roman" w:hAnsi="Times New Roman"/>
          <w:i/>
          <w:szCs w:val="20"/>
        </w:rPr>
        <w:t>Fair value measuremen</w:t>
      </w:r>
      <w:r>
        <w:rPr>
          <w:rFonts w:ascii="Times New Roman" w:hAnsi="Times New Roman"/>
          <w:i/>
          <w:szCs w:val="20"/>
        </w:rPr>
        <w:t>ts (continued)</w:t>
      </w:r>
    </w:p>
    <w:p w:rsidR="00980C12" w:rsidRDefault="00FD4FC7" w:rsidP="00882689">
      <w:pPr>
        <w:autoSpaceDE w:val="0"/>
        <w:autoSpaceDN w:val="0"/>
        <w:adjustRightInd w:val="0"/>
        <w:ind w:left="284"/>
        <w:jc w:val="both"/>
        <w:rPr>
          <w:rFonts w:ascii="Times New Roman" w:hAnsi="Times New Roman"/>
          <w:color w:val="000000"/>
          <w:sz w:val="20"/>
          <w:szCs w:val="20"/>
        </w:rPr>
      </w:pPr>
      <w:r w:rsidRPr="009170B8">
        <w:rPr>
          <w:rFonts w:ascii="Times New Roman" w:hAnsi="Times New Roman"/>
          <w:color w:val="000000"/>
          <w:sz w:val="20"/>
          <w:szCs w:val="20"/>
        </w:rPr>
        <w:t>The following table</w:t>
      </w:r>
      <w:r w:rsidR="009C1B4D" w:rsidRPr="009170B8">
        <w:rPr>
          <w:rFonts w:ascii="Times New Roman" w:hAnsi="Times New Roman"/>
          <w:color w:val="000000"/>
          <w:sz w:val="20"/>
          <w:szCs w:val="20"/>
        </w:rPr>
        <w:t>s</w:t>
      </w:r>
      <w:r w:rsidR="00B95CDE" w:rsidRPr="009170B8">
        <w:rPr>
          <w:rFonts w:ascii="Times New Roman" w:hAnsi="Times New Roman"/>
          <w:color w:val="000000"/>
          <w:sz w:val="20"/>
          <w:szCs w:val="20"/>
        </w:rPr>
        <w:t xml:space="preserve"> present</w:t>
      </w:r>
      <w:r w:rsidR="00675EE2" w:rsidRPr="009170B8">
        <w:rPr>
          <w:rFonts w:ascii="Times New Roman" w:hAnsi="Times New Roman"/>
          <w:color w:val="000000"/>
          <w:sz w:val="20"/>
          <w:szCs w:val="20"/>
        </w:rPr>
        <w:t xml:space="preserve"> the Fund</w:t>
      </w:r>
      <w:r w:rsidRPr="009170B8">
        <w:rPr>
          <w:rFonts w:ascii="Times New Roman" w:hAnsi="Times New Roman"/>
          <w:color w:val="000000"/>
          <w:sz w:val="20"/>
          <w:szCs w:val="20"/>
        </w:rPr>
        <w:t xml:space="preserve">’s financial </w:t>
      </w:r>
      <w:r w:rsidR="000302D8">
        <w:rPr>
          <w:rFonts w:ascii="Times New Roman" w:hAnsi="Times New Roman"/>
          <w:color w:val="000000"/>
          <w:sz w:val="20"/>
          <w:szCs w:val="20"/>
        </w:rPr>
        <w:t>instruments</w:t>
      </w:r>
      <w:r w:rsidR="000302D8" w:rsidRPr="009170B8">
        <w:rPr>
          <w:rFonts w:ascii="Times New Roman" w:hAnsi="Times New Roman"/>
          <w:color w:val="000000"/>
          <w:sz w:val="20"/>
          <w:szCs w:val="20"/>
        </w:rPr>
        <w:t xml:space="preserve"> </w:t>
      </w:r>
      <w:r w:rsidRPr="009170B8">
        <w:rPr>
          <w:rFonts w:ascii="Times New Roman" w:hAnsi="Times New Roman"/>
          <w:color w:val="000000"/>
          <w:sz w:val="20"/>
          <w:szCs w:val="20"/>
        </w:rPr>
        <w:t>by level within the valuation hierarchy as of 31 December</w:t>
      </w:r>
      <w:r w:rsidR="00F825B4" w:rsidRPr="009170B8">
        <w:rPr>
          <w:rFonts w:ascii="Times New Roman" w:hAnsi="Times New Roman"/>
          <w:color w:val="000000"/>
          <w:sz w:val="20"/>
          <w:szCs w:val="20"/>
        </w:rPr>
        <w:t xml:space="preserve"> </w:t>
      </w:r>
      <w:r w:rsidR="006179DC">
        <w:rPr>
          <w:rFonts w:ascii="Times New Roman" w:hAnsi="Times New Roman"/>
          <w:color w:val="000000"/>
          <w:sz w:val="20"/>
          <w:szCs w:val="20"/>
        </w:rPr>
        <w:t>201</w:t>
      </w:r>
      <w:r w:rsidR="00C84D94">
        <w:rPr>
          <w:rFonts w:ascii="Times New Roman" w:hAnsi="Times New Roman"/>
          <w:color w:val="000000"/>
          <w:sz w:val="20"/>
          <w:szCs w:val="20"/>
        </w:rPr>
        <w:t>8</w:t>
      </w:r>
      <w:r w:rsidR="006179DC">
        <w:rPr>
          <w:rFonts w:ascii="Times New Roman" w:hAnsi="Times New Roman"/>
          <w:color w:val="000000"/>
          <w:sz w:val="20"/>
          <w:szCs w:val="20"/>
        </w:rPr>
        <w:t xml:space="preserve"> and 201</w:t>
      </w:r>
      <w:r w:rsidR="00C84D94">
        <w:rPr>
          <w:rFonts w:ascii="Times New Roman" w:hAnsi="Times New Roman"/>
          <w:color w:val="000000"/>
          <w:sz w:val="20"/>
          <w:szCs w:val="20"/>
        </w:rPr>
        <w:t>7</w:t>
      </w:r>
      <w:r w:rsidR="009C1B4D" w:rsidRPr="009170B8">
        <w:rPr>
          <w:rFonts w:ascii="Times New Roman" w:hAnsi="Times New Roman"/>
          <w:color w:val="000000"/>
          <w:sz w:val="20"/>
          <w:szCs w:val="20"/>
        </w:rPr>
        <w:t>:</w:t>
      </w:r>
    </w:p>
    <w:p w:rsidR="008A279D" w:rsidRPr="009170B8" w:rsidRDefault="008A279D" w:rsidP="00882689">
      <w:pPr>
        <w:autoSpaceDE w:val="0"/>
        <w:autoSpaceDN w:val="0"/>
        <w:adjustRightInd w:val="0"/>
        <w:ind w:left="284"/>
        <w:jc w:val="both"/>
        <w:rPr>
          <w:rFonts w:ascii="Times New Roman" w:hAnsi="Times New Roman"/>
          <w:color w:val="000000"/>
          <w:sz w:val="20"/>
          <w:szCs w:val="20"/>
        </w:rPr>
      </w:pPr>
    </w:p>
    <w:tbl>
      <w:tblPr>
        <w:tblW w:w="10188" w:type="dxa"/>
        <w:tblLayout w:type="fixed"/>
        <w:tblLook w:val="01E0" w:firstRow="1" w:lastRow="1" w:firstColumn="1" w:lastColumn="1" w:noHBand="0" w:noVBand="0"/>
      </w:tblPr>
      <w:tblGrid>
        <w:gridCol w:w="4077"/>
        <w:gridCol w:w="1843"/>
        <w:gridCol w:w="1418"/>
        <w:gridCol w:w="1417"/>
        <w:gridCol w:w="1433"/>
      </w:tblGrid>
      <w:tr w:rsidR="00630C0D" w:rsidRPr="00B46F2F" w:rsidTr="00B74D7C">
        <w:tc>
          <w:tcPr>
            <w:tcW w:w="4077" w:type="dxa"/>
          </w:tcPr>
          <w:p w:rsidR="00630C0D" w:rsidRPr="009170B8" w:rsidRDefault="00630C0D" w:rsidP="009C1B4D">
            <w:pPr>
              <w:autoSpaceDE w:val="0"/>
              <w:autoSpaceDN w:val="0"/>
              <w:adjustRightInd w:val="0"/>
              <w:ind w:left="284"/>
              <w:jc w:val="both"/>
              <w:rPr>
                <w:rFonts w:ascii="Times New Roman" w:hAnsi="Times New Roman"/>
                <w:color w:val="000000"/>
                <w:sz w:val="20"/>
                <w:szCs w:val="20"/>
              </w:rPr>
            </w:pPr>
          </w:p>
        </w:tc>
        <w:tc>
          <w:tcPr>
            <w:tcW w:w="1843" w:type="dxa"/>
          </w:tcPr>
          <w:p w:rsidR="00630C0D" w:rsidRPr="00B46F2F" w:rsidRDefault="00630C0D" w:rsidP="004851CA">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Level 1</w:t>
            </w:r>
          </w:p>
        </w:tc>
        <w:tc>
          <w:tcPr>
            <w:tcW w:w="1418" w:type="dxa"/>
          </w:tcPr>
          <w:p w:rsidR="00630C0D" w:rsidRPr="00B46F2F" w:rsidRDefault="00630C0D" w:rsidP="004851CA">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Level 2</w:t>
            </w:r>
            <w:r w:rsidRPr="00B46F2F">
              <w:rPr>
                <w:rFonts w:ascii="Times New Roman" w:hAnsi="Times New Roman"/>
                <w:color w:val="000000"/>
                <w:sz w:val="20"/>
                <w:szCs w:val="20"/>
              </w:rPr>
              <w:tab/>
            </w:r>
          </w:p>
        </w:tc>
        <w:tc>
          <w:tcPr>
            <w:tcW w:w="1417" w:type="dxa"/>
          </w:tcPr>
          <w:p w:rsidR="00630C0D" w:rsidRPr="00B46F2F" w:rsidRDefault="00630C0D" w:rsidP="004851CA">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 xml:space="preserve">Level 3 </w:t>
            </w:r>
            <w:r w:rsidRPr="00B46F2F">
              <w:rPr>
                <w:rFonts w:ascii="Times New Roman" w:hAnsi="Times New Roman"/>
                <w:color w:val="000000"/>
                <w:sz w:val="20"/>
                <w:szCs w:val="20"/>
              </w:rPr>
              <w:tab/>
            </w:r>
          </w:p>
        </w:tc>
        <w:tc>
          <w:tcPr>
            <w:tcW w:w="1433" w:type="dxa"/>
          </w:tcPr>
          <w:p w:rsidR="00630C0D" w:rsidRPr="00B46F2F" w:rsidRDefault="00630C0D" w:rsidP="004851CA">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Total</w:t>
            </w:r>
          </w:p>
        </w:tc>
      </w:tr>
      <w:tr w:rsidR="00630C0D" w:rsidRPr="00B46F2F" w:rsidTr="00B74D7C">
        <w:tc>
          <w:tcPr>
            <w:tcW w:w="4077" w:type="dxa"/>
          </w:tcPr>
          <w:p w:rsidR="00630C0D" w:rsidRPr="00B46F2F" w:rsidRDefault="00882689">
            <w:pPr>
              <w:autoSpaceDE w:val="0"/>
              <w:autoSpaceDN w:val="0"/>
              <w:adjustRightInd w:val="0"/>
              <w:jc w:val="both"/>
              <w:rPr>
                <w:rFonts w:ascii="Times New Roman" w:hAnsi="Times New Roman"/>
                <w:color w:val="000000"/>
                <w:sz w:val="20"/>
                <w:szCs w:val="20"/>
              </w:rPr>
            </w:pPr>
            <w:r w:rsidRPr="00B46F2F">
              <w:rPr>
                <w:rFonts w:ascii="Times New Roman" w:hAnsi="Times New Roman"/>
                <w:color w:val="000000"/>
                <w:sz w:val="20"/>
                <w:szCs w:val="20"/>
              </w:rPr>
              <w:t xml:space="preserve">      31 December 201</w:t>
            </w:r>
            <w:r w:rsidR="005B25AA">
              <w:rPr>
                <w:rFonts w:ascii="Times New Roman" w:hAnsi="Times New Roman"/>
                <w:color w:val="000000"/>
                <w:sz w:val="20"/>
                <w:szCs w:val="20"/>
              </w:rPr>
              <w:t>8</w:t>
            </w:r>
          </w:p>
        </w:tc>
        <w:tc>
          <w:tcPr>
            <w:tcW w:w="1843" w:type="dxa"/>
          </w:tcPr>
          <w:p w:rsidR="00630C0D" w:rsidRPr="00B46F2F" w:rsidRDefault="00630C0D" w:rsidP="004851CA">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GBP</w:t>
            </w:r>
          </w:p>
        </w:tc>
        <w:tc>
          <w:tcPr>
            <w:tcW w:w="1418" w:type="dxa"/>
          </w:tcPr>
          <w:p w:rsidR="00630C0D" w:rsidRPr="00B46F2F" w:rsidRDefault="00630C0D" w:rsidP="004851CA">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GBP</w:t>
            </w:r>
          </w:p>
        </w:tc>
        <w:tc>
          <w:tcPr>
            <w:tcW w:w="1417" w:type="dxa"/>
          </w:tcPr>
          <w:p w:rsidR="00630C0D" w:rsidRPr="00B46F2F" w:rsidRDefault="00630C0D" w:rsidP="004851CA">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GBP</w:t>
            </w:r>
          </w:p>
        </w:tc>
        <w:tc>
          <w:tcPr>
            <w:tcW w:w="1433" w:type="dxa"/>
          </w:tcPr>
          <w:p w:rsidR="00630C0D" w:rsidRPr="00B46F2F" w:rsidRDefault="00630C0D" w:rsidP="004851CA">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GBP</w:t>
            </w:r>
          </w:p>
        </w:tc>
      </w:tr>
      <w:tr w:rsidR="00630C0D" w:rsidRPr="00B46F2F" w:rsidTr="00B74D7C">
        <w:tc>
          <w:tcPr>
            <w:tcW w:w="4077" w:type="dxa"/>
          </w:tcPr>
          <w:p w:rsidR="00630C0D" w:rsidRPr="00B46F2F" w:rsidRDefault="00630C0D" w:rsidP="00B95CDE">
            <w:pPr>
              <w:autoSpaceDE w:val="0"/>
              <w:autoSpaceDN w:val="0"/>
              <w:adjustRightInd w:val="0"/>
              <w:ind w:left="284"/>
              <w:jc w:val="both"/>
              <w:rPr>
                <w:rFonts w:ascii="Times New Roman" w:hAnsi="Times New Roman"/>
                <w:b/>
                <w:color w:val="000000"/>
                <w:sz w:val="20"/>
                <w:szCs w:val="20"/>
              </w:rPr>
            </w:pPr>
            <w:r w:rsidRPr="00B46F2F">
              <w:rPr>
                <w:rFonts w:ascii="Times New Roman" w:hAnsi="Times New Roman"/>
                <w:b/>
                <w:color w:val="000000"/>
                <w:sz w:val="20"/>
                <w:szCs w:val="20"/>
              </w:rPr>
              <w:t xml:space="preserve">Financial assets </w:t>
            </w:r>
          </w:p>
        </w:tc>
        <w:tc>
          <w:tcPr>
            <w:tcW w:w="1843" w:type="dxa"/>
          </w:tcPr>
          <w:p w:rsidR="00630C0D" w:rsidRPr="00B46F2F" w:rsidRDefault="00630C0D" w:rsidP="004851CA">
            <w:pPr>
              <w:autoSpaceDE w:val="0"/>
              <w:autoSpaceDN w:val="0"/>
              <w:adjustRightInd w:val="0"/>
              <w:jc w:val="right"/>
              <w:rPr>
                <w:rFonts w:ascii="Times New Roman" w:hAnsi="Times New Roman"/>
                <w:color w:val="000000"/>
                <w:sz w:val="20"/>
                <w:szCs w:val="20"/>
              </w:rPr>
            </w:pPr>
          </w:p>
        </w:tc>
        <w:tc>
          <w:tcPr>
            <w:tcW w:w="1418" w:type="dxa"/>
          </w:tcPr>
          <w:p w:rsidR="00630C0D" w:rsidRPr="00B46F2F" w:rsidRDefault="00630C0D" w:rsidP="004851CA">
            <w:pPr>
              <w:autoSpaceDE w:val="0"/>
              <w:autoSpaceDN w:val="0"/>
              <w:adjustRightInd w:val="0"/>
              <w:jc w:val="right"/>
              <w:rPr>
                <w:rFonts w:ascii="Times New Roman" w:hAnsi="Times New Roman"/>
                <w:color w:val="000000"/>
                <w:sz w:val="20"/>
                <w:szCs w:val="20"/>
              </w:rPr>
            </w:pPr>
          </w:p>
        </w:tc>
        <w:tc>
          <w:tcPr>
            <w:tcW w:w="1417" w:type="dxa"/>
          </w:tcPr>
          <w:p w:rsidR="00630C0D" w:rsidRPr="00B46F2F" w:rsidRDefault="00630C0D" w:rsidP="004851CA">
            <w:pPr>
              <w:autoSpaceDE w:val="0"/>
              <w:autoSpaceDN w:val="0"/>
              <w:adjustRightInd w:val="0"/>
              <w:jc w:val="right"/>
              <w:rPr>
                <w:rFonts w:ascii="Times New Roman" w:hAnsi="Times New Roman"/>
                <w:color w:val="000000"/>
                <w:sz w:val="20"/>
                <w:szCs w:val="20"/>
              </w:rPr>
            </w:pPr>
          </w:p>
        </w:tc>
        <w:tc>
          <w:tcPr>
            <w:tcW w:w="1433" w:type="dxa"/>
          </w:tcPr>
          <w:p w:rsidR="00630C0D" w:rsidRPr="00B46F2F" w:rsidRDefault="00630C0D" w:rsidP="004851CA">
            <w:pPr>
              <w:autoSpaceDE w:val="0"/>
              <w:autoSpaceDN w:val="0"/>
              <w:adjustRightInd w:val="0"/>
              <w:jc w:val="right"/>
              <w:rPr>
                <w:rFonts w:ascii="Times New Roman" w:hAnsi="Times New Roman"/>
                <w:color w:val="000000"/>
                <w:sz w:val="20"/>
                <w:szCs w:val="20"/>
              </w:rPr>
            </w:pPr>
          </w:p>
        </w:tc>
      </w:tr>
      <w:tr w:rsidR="00F825B4" w:rsidRPr="00B46F2F" w:rsidTr="00B74D7C">
        <w:tc>
          <w:tcPr>
            <w:tcW w:w="4077" w:type="dxa"/>
          </w:tcPr>
          <w:p w:rsidR="00F825B4" w:rsidRPr="00B46F2F" w:rsidRDefault="00F825B4" w:rsidP="00B95CDE">
            <w:pPr>
              <w:autoSpaceDE w:val="0"/>
              <w:autoSpaceDN w:val="0"/>
              <w:adjustRightInd w:val="0"/>
              <w:ind w:left="284"/>
              <w:jc w:val="both"/>
              <w:rPr>
                <w:rFonts w:ascii="Times New Roman" w:hAnsi="Times New Roman"/>
                <w:color w:val="000000"/>
                <w:sz w:val="20"/>
                <w:szCs w:val="20"/>
              </w:rPr>
            </w:pPr>
            <w:r w:rsidRPr="00B46F2F">
              <w:rPr>
                <w:rFonts w:ascii="Times New Roman" w:hAnsi="Times New Roman"/>
                <w:color w:val="000000"/>
                <w:sz w:val="20"/>
                <w:szCs w:val="20"/>
              </w:rPr>
              <w:t xml:space="preserve">Securities </w:t>
            </w:r>
          </w:p>
          <w:p w:rsidR="00F825B4" w:rsidRPr="00B46F2F" w:rsidRDefault="00F825B4" w:rsidP="00B95CDE">
            <w:pPr>
              <w:autoSpaceDE w:val="0"/>
              <w:autoSpaceDN w:val="0"/>
              <w:adjustRightInd w:val="0"/>
              <w:ind w:left="284"/>
              <w:jc w:val="both"/>
              <w:rPr>
                <w:rFonts w:ascii="Times New Roman" w:hAnsi="Times New Roman"/>
                <w:color w:val="000000"/>
                <w:sz w:val="20"/>
                <w:szCs w:val="20"/>
              </w:rPr>
            </w:pPr>
            <w:r w:rsidRPr="00B46F2F">
              <w:rPr>
                <w:rFonts w:ascii="Times New Roman" w:hAnsi="Times New Roman"/>
                <w:color w:val="000000"/>
                <w:sz w:val="20"/>
                <w:szCs w:val="20"/>
              </w:rPr>
              <w:t>(at fair value through profit or loss)</w:t>
            </w:r>
          </w:p>
        </w:tc>
        <w:tc>
          <w:tcPr>
            <w:tcW w:w="1843" w:type="dxa"/>
            <w:vAlign w:val="bottom"/>
          </w:tcPr>
          <w:p w:rsidR="005239D1" w:rsidRPr="00B46F2F" w:rsidRDefault="00E21312">
            <w:pPr>
              <w:autoSpaceDE w:val="0"/>
              <w:autoSpaceDN w:val="0"/>
              <w:adjustRightInd w:val="0"/>
              <w:jc w:val="right"/>
              <w:rPr>
                <w:rFonts w:ascii="Times New Roman" w:hAnsi="Times New Roman"/>
                <w:color w:val="000000"/>
                <w:sz w:val="20"/>
                <w:szCs w:val="20"/>
              </w:rPr>
            </w:pPr>
            <w:r w:rsidRPr="00E87342">
              <w:rPr>
                <w:rFonts w:ascii="Times New Roman" w:hAnsi="Times New Roman"/>
                <w:color w:val="000000"/>
                <w:sz w:val="20"/>
                <w:szCs w:val="20"/>
              </w:rPr>
              <w:t>1</w:t>
            </w:r>
            <w:r w:rsidR="005B25AA">
              <w:rPr>
                <w:rFonts w:ascii="Times New Roman" w:hAnsi="Times New Roman"/>
                <w:color w:val="000000"/>
                <w:sz w:val="20"/>
                <w:szCs w:val="20"/>
              </w:rPr>
              <w:t>14</w:t>
            </w:r>
            <w:r w:rsidRPr="00E87342">
              <w:rPr>
                <w:rFonts w:ascii="Times New Roman" w:hAnsi="Times New Roman"/>
                <w:color w:val="000000"/>
                <w:sz w:val="20"/>
                <w:szCs w:val="20"/>
              </w:rPr>
              <w:t>,</w:t>
            </w:r>
            <w:r w:rsidR="005B25AA">
              <w:rPr>
                <w:rFonts w:ascii="Times New Roman" w:hAnsi="Times New Roman"/>
                <w:color w:val="000000"/>
                <w:sz w:val="20"/>
                <w:szCs w:val="20"/>
              </w:rPr>
              <w:t>095</w:t>
            </w:r>
            <w:r w:rsidRPr="00E87342">
              <w:rPr>
                <w:rFonts w:ascii="Times New Roman" w:hAnsi="Times New Roman"/>
                <w:color w:val="000000"/>
                <w:sz w:val="20"/>
                <w:szCs w:val="20"/>
              </w:rPr>
              <w:t>,</w:t>
            </w:r>
            <w:r w:rsidR="005B25AA">
              <w:rPr>
                <w:rFonts w:ascii="Times New Roman" w:hAnsi="Times New Roman"/>
                <w:color w:val="000000"/>
                <w:sz w:val="20"/>
                <w:szCs w:val="20"/>
              </w:rPr>
              <w:t>281</w:t>
            </w:r>
          </w:p>
        </w:tc>
        <w:tc>
          <w:tcPr>
            <w:tcW w:w="1418" w:type="dxa"/>
            <w:vAlign w:val="bottom"/>
          </w:tcPr>
          <w:p w:rsidR="00F825B4" w:rsidRPr="00B46F2F" w:rsidRDefault="00711504" w:rsidP="004802E3">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w:t>
            </w:r>
          </w:p>
        </w:tc>
        <w:tc>
          <w:tcPr>
            <w:tcW w:w="1417" w:type="dxa"/>
            <w:vAlign w:val="bottom"/>
          </w:tcPr>
          <w:p w:rsidR="00F825B4" w:rsidRPr="00B46F2F" w:rsidRDefault="00711504" w:rsidP="004802E3">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w:t>
            </w:r>
          </w:p>
        </w:tc>
        <w:tc>
          <w:tcPr>
            <w:tcW w:w="1433" w:type="dxa"/>
            <w:vAlign w:val="bottom"/>
          </w:tcPr>
          <w:p w:rsidR="00F825B4" w:rsidRPr="00B46F2F" w:rsidRDefault="005B25AA">
            <w:pPr>
              <w:autoSpaceDE w:val="0"/>
              <w:autoSpaceDN w:val="0"/>
              <w:adjustRightInd w:val="0"/>
              <w:jc w:val="right"/>
              <w:rPr>
                <w:rFonts w:ascii="Times New Roman" w:hAnsi="Times New Roman"/>
                <w:color w:val="000000"/>
                <w:sz w:val="20"/>
                <w:szCs w:val="20"/>
              </w:rPr>
            </w:pPr>
            <w:r w:rsidRPr="00E87342">
              <w:rPr>
                <w:rFonts w:ascii="Times New Roman" w:hAnsi="Times New Roman"/>
                <w:color w:val="000000"/>
                <w:sz w:val="20"/>
                <w:szCs w:val="20"/>
              </w:rPr>
              <w:t>1</w:t>
            </w:r>
            <w:r>
              <w:rPr>
                <w:rFonts w:ascii="Times New Roman" w:hAnsi="Times New Roman"/>
                <w:color w:val="000000"/>
                <w:sz w:val="20"/>
                <w:szCs w:val="20"/>
              </w:rPr>
              <w:t>14</w:t>
            </w:r>
            <w:r w:rsidRPr="00E87342">
              <w:rPr>
                <w:rFonts w:ascii="Times New Roman" w:hAnsi="Times New Roman"/>
                <w:color w:val="000000"/>
                <w:sz w:val="20"/>
                <w:szCs w:val="20"/>
              </w:rPr>
              <w:t>,</w:t>
            </w:r>
            <w:r>
              <w:rPr>
                <w:rFonts w:ascii="Times New Roman" w:hAnsi="Times New Roman"/>
                <w:color w:val="000000"/>
                <w:sz w:val="20"/>
                <w:szCs w:val="20"/>
              </w:rPr>
              <w:t>095</w:t>
            </w:r>
            <w:r w:rsidRPr="00E87342">
              <w:rPr>
                <w:rFonts w:ascii="Times New Roman" w:hAnsi="Times New Roman"/>
                <w:color w:val="000000"/>
                <w:sz w:val="20"/>
                <w:szCs w:val="20"/>
              </w:rPr>
              <w:t>,</w:t>
            </w:r>
            <w:r>
              <w:rPr>
                <w:rFonts w:ascii="Times New Roman" w:hAnsi="Times New Roman"/>
                <w:color w:val="000000"/>
                <w:sz w:val="20"/>
                <w:szCs w:val="20"/>
              </w:rPr>
              <w:t>281</w:t>
            </w:r>
          </w:p>
        </w:tc>
      </w:tr>
    </w:tbl>
    <w:p w:rsidR="00270C3D" w:rsidRDefault="00270C3D" w:rsidP="009C1B4D">
      <w:pPr>
        <w:autoSpaceDE w:val="0"/>
        <w:autoSpaceDN w:val="0"/>
        <w:adjustRightInd w:val="0"/>
        <w:jc w:val="both"/>
        <w:rPr>
          <w:rFonts w:ascii="Times New Roman" w:hAnsi="Times New Roman"/>
          <w:color w:val="000000"/>
          <w:sz w:val="20"/>
          <w:szCs w:val="20"/>
        </w:rPr>
      </w:pPr>
    </w:p>
    <w:tbl>
      <w:tblPr>
        <w:tblW w:w="10207" w:type="dxa"/>
        <w:tblInd w:w="-34" w:type="dxa"/>
        <w:tblLayout w:type="fixed"/>
        <w:tblLook w:val="04A0" w:firstRow="1" w:lastRow="0" w:firstColumn="1" w:lastColumn="0" w:noHBand="0" w:noVBand="1"/>
      </w:tblPr>
      <w:tblGrid>
        <w:gridCol w:w="4111"/>
        <w:gridCol w:w="1843"/>
        <w:gridCol w:w="1455"/>
        <w:gridCol w:w="1388"/>
        <w:gridCol w:w="1410"/>
      </w:tblGrid>
      <w:tr w:rsidR="00A571FC" w:rsidRPr="009170B8" w:rsidTr="00B74D7C">
        <w:tc>
          <w:tcPr>
            <w:tcW w:w="4111" w:type="dxa"/>
          </w:tcPr>
          <w:p w:rsidR="00A571FC" w:rsidRPr="00B46F2F" w:rsidRDefault="009C1B4D">
            <w:pPr>
              <w:autoSpaceDE w:val="0"/>
              <w:autoSpaceDN w:val="0"/>
              <w:adjustRightInd w:val="0"/>
              <w:ind w:left="318"/>
              <w:jc w:val="both"/>
              <w:rPr>
                <w:rFonts w:ascii="Times New Roman" w:hAnsi="Times New Roman"/>
                <w:color w:val="000000"/>
                <w:sz w:val="20"/>
                <w:szCs w:val="20"/>
              </w:rPr>
            </w:pPr>
            <w:r w:rsidRPr="00B46F2F">
              <w:rPr>
                <w:rFonts w:ascii="Times New Roman" w:hAnsi="Times New Roman"/>
                <w:color w:val="000000"/>
                <w:sz w:val="20"/>
                <w:szCs w:val="20"/>
              </w:rPr>
              <w:t>31 December 201</w:t>
            </w:r>
            <w:r w:rsidR="005B25AA">
              <w:rPr>
                <w:rFonts w:ascii="Times New Roman" w:hAnsi="Times New Roman"/>
                <w:color w:val="000000"/>
                <w:sz w:val="20"/>
                <w:szCs w:val="20"/>
              </w:rPr>
              <w:t>7</w:t>
            </w:r>
          </w:p>
        </w:tc>
        <w:tc>
          <w:tcPr>
            <w:tcW w:w="1843" w:type="dxa"/>
          </w:tcPr>
          <w:p w:rsidR="00A571FC" w:rsidRPr="00B46F2F" w:rsidRDefault="00A571FC" w:rsidP="00460791">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Level 1</w:t>
            </w:r>
          </w:p>
        </w:tc>
        <w:tc>
          <w:tcPr>
            <w:tcW w:w="1455" w:type="dxa"/>
          </w:tcPr>
          <w:p w:rsidR="00A571FC" w:rsidRPr="00B46F2F" w:rsidRDefault="00A571FC" w:rsidP="004C6D51">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Level 2</w:t>
            </w:r>
            <w:r w:rsidRPr="00B46F2F">
              <w:rPr>
                <w:rFonts w:ascii="Times New Roman" w:hAnsi="Times New Roman"/>
                <w:color w:val="000000"/>
                <w:sz w:val="20"/>
                <w:szCs w:val="20"/>
              </w:rPr>
              <w:tab/>
            </w:r>
          </w:p>
        </w:tc>
        <w:tc>
          <w:tcPr>
            <w:tcW w:w="1388" w:type="dxa"/>
          </w:tcPr>
          <w:p w:rsidR="00A571FC" w:rsidRPr="00B46F2F" w:rsidRDefault="00A571FC" w:rsidP="004C6D51">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 xml:space="preserve">Level 3 </w:t>
            </w:r>
            <w:r w:rsidRPr="00B46F2F">
              <w:rPr>
                <w:rFonts w:ascii="Times New Roman" w:hAnsi="Times New Roman"/>
                <w:color w:val="000000"/>
                <w:sz w:val="20"/>
                <w:szCs w:val="20"/>
              </w:rPr>
              <w:tab/>
            </w:r>
          </w:p>
        </w:tc>
        <w:tc>
          <w:tcPr>
            <w:tcW w:w="1410" w:type="dxa"/>
          </w:tcPr>
          <w:p w:rsidR="00A571FC" w:rsidRPr="009170B8" w:rsidRDefault="00A571FC" w:rsidP="004C6D51">
            <w:pPr>
              <w:autoSpaceDE w:val="0"/>
              <w:autoSpaceDN w:val="0"/>
              <w:adjustRightInd w:val="0"/>
              <w:jc w:val="right"/>
              <w:rPr>
                <w:rFonts w:ascii="Times New Roman" w:hAnsi="Times New Roman"/>
                <w:color w:val="000000"/>
                <w:sz w:val="20"/>
                <w:szCs w:val="20"/>
              </w:rPr>
            </w:pPr>
            <w:r w:rsidRPr="00B46F2F">
              <w:rPr>
                <w:rFonts w:ascii="Times New Roman" w:hAnsi="Times New Roman"/>
                <w:color w:val="000000"/>
                <w:sz w:val="20"/>
                <w:szCs w:val="20"/>
              </w:rPr>
              <w:t>Total</w:t>
            </w:r>
          </w:p>
        </w:tc>
      </w:tr>
      <w:tr w:rsidR="00A571FC" w:rsidRPr="009170B8" w:rsidTr="00B74D7C">
        <w:tc>
          <w:tcPr>
            <w:tcW w:w="4111" w:type="dxa"/>
          </w:tcPr>
          <w:p w:rsidR="00A571FC" w:rsidRPr="009170B8" w:rsidRDefault="00A571FC" w:rsidP="004C6D51">
            <w:pPr>
              <w:autoSpaceDE w:val="0"/>
              <w:autoSpaceDN w:val="0"/>
              <w:adjustRightInd w:val="0"/>
              <w:jc w:val="both"/>
              <w:rPr>
                <w:rFonts w:ascii="Times New Roman" w:hAnsi="Times New Roman"/>
                <w:color w:val="000000"/>
                <w:sz w:val="20"/>
                <w:szCs w:val="20"/>
              </w:rPr>
            </w:pPr>
          </w:p>
        </w:tc>
        <w:tc>
          <w:tcPr>
            <w:tcW w:w="1843" w:type="dxa"/>
          </w:tcPr>
          <w:p w:rsidR="00A571FC" w:rsidRPr="009170B8" w:rsidRDefault="00A571FC" w:rsidP="00460791">
            <w:pPr>
              <w:autoSpaceDE w:val="0"/>
              <w:autoSpaceDN w:val="0"/>
              <w:adjustRightInd w:val="0"/>
              <w:jc w:val="right"/>
              <w:rPr>
                <w:rFonts w:ascii="Times New Roman" w:hAnsi="Times New Roman"/>
                <w:color w:val="000000"/>
                <w:sz w:val="20"/>
                <w:szCs w:val="20"/>
              </w:rPr>
            </w:pPr>
            <w:r w:rsidRPr="009170B8">
              <w:rPr>
                <w:rFonts w:ascii="Times New Roman" w:hAnsi="Times New Roman"/>
                <w:color w:val="000000"/>
                <w:sz w:val="20"/>
                <w:szCs w:val="20"/>
              </w:rPr>
              <w:t>GBP</w:t>
            </w:r>
          </w:p>
        </w:tc>
        <w:tc>
          <w:tcPr>
            <w:tcW w:w="1455" w:type="dxa"/>
          </w:tcPr>
          <w:p w:rsidR="00A571FC" w:rsidRPr="009170B8" w:rsidRDefault="00A571FC" w:rsidP="004C6D51">
            <w:pPr>
              <w:autoSpaceDE w:val="0"/>
              <w:autoSpaceDN w:val="0"/>
              <w:adjustRightInd w:val="0"/>
              <w:jc w:val="right"/>
              <w:rPr>
                <w:rFonts w:ascii="Times New Roman" w:hAnsi="Times New Roman"/>
                <w:color w:val="000000"/>
                <w:sz w:val="20"/>
                <w:szCs w:val="20"/>
              </w:rPr>
            </w:pPr>
            <w:r w:rsidRPr="009170B8">
              <w:rPr>
                <w:rFonts w:ascii="Times New Roman" w:hAnsi="Times New Roman"/>
                <w:color w:val="000000"/>
                <w:sz w:val="20"/>
                <w:szCs w:val="20"/>
              </w:rPr>
              <w:t>GBP</w:t>
            </w:r>
          </w:p>
        </w:tc>
        <w:tc>
          <w:tcPr>
            <w:tcW w:w="1388" w:type="dxa"/>
          </w:tcPr>
          <w:p w:rsidR="00A571FC" w:rsidRPr="009170B8" w:rsidRDefault="00A571FC" w:rsidP="004C6D51">
            <w:pPr>
              <w:autoSpaceDE w:val="0"/>
              <w:autoSpaceDN w:val="0"/>
              <w:adjustRightInd w:val="0"/>
              <w:jc w:val="right"/>
              <w:rPr>
                <w:rFonts w:ascii="Times New Roman" w:hAnsi="Times New Roman"/>
                <w:color w:val="000000"/>
                <w:sz w:val="20"/>
                <w:szCs w:val="20"/>
              </w:rPr>
            </w:pPr>
            <w:r w:rsidRPr="009170B8">
              <w:rPr>
                <w:rFonts w:ascii="Times New Roman" w:hAnsi="Times New Roman"/>
                <w:color w:val="000000"/>
                <w:sz w:val="20"/>
                <w:szCs w:val="20"/>
              </w:rPr>
              <w:t>GBP</w:t>
            </w:r>
          </w:p>
        </w:tc>
        <w:tc>
          <w:tcPr>
            <w:tcW w:w="1410" w:type="dxa"/>
          </w:tcPr>
          <w:p w:rsidR="00A571FC" w:rsidRPr="009170B8" w:rsidRDefault="00A571FC" w:rsidP="004C6D51">
            <w:pPr>
              <w:autoSpaceDE w:val="0"/>
              <w:autoSpaceDN w:val="0"/>
              <w:adjustRightInd w:val="0"/>
              <w:jc w:val="right"/>
              <w:rPr>
                <w:rFonts w:ascii="Times New Roman" w:hAnsi="Times New Roman"/>
                <w:color w:val="000000"/>
                <w:sz w:val="20"/>
                <w:szCs w:val="20"/>
              </w:rPr>
            </w:pPr>
            <w:r w:rsidRPr="009170B8">
              <w:rPr>
                <w:rFonts w:ascii="Times New Roman" w:hAnsi="Times New Roman"/>
                <w:color w:val="000000"/>
                <w:sz w:val="20"/>
                <w:szCs w:val="20"/>
              </w:rPr>
              <w:t>GBP</w:t>
            </w:r>
          </w:p>
        </w:tc>
      </w:tr>
      <w:tr w:rsidR="00A571FC" w:rsidRPr="009170B8" w:rsidTr="00B74D7C">
        <w:tc>
          <w:tcPr>
            <w:tcW w:w="4111" w:type="dxa"/>
          </w:tcPr>
          <w:p w:rsidR="00A571FC" w:rsidRPr="009170B8" w:rsidRDefault="00A571FC" w:rsidP="004C6D51">
            <w:pPr>
              <w:autoSpaceDE w:val="0"/>
              <w:autoSpaceDN w:val="0"/>
              <w:adjustRightInd w:val="0"/>
              <w:ind w:left="284"/>
              <w:jc w:val="both"/>
              <w:rPr>
                <w:rFonts w:ascii="Times New Roman" w:hAnsi="Times New Roman"/>
                <w:b/>
                <w:color w:val="000000"/>
                <w:sz w:val="20"/>
                <w:szCs w:val="20"/>
              </w:rPr>
            </w:pPr>
            <w:r w:rsidRPr="009170B8">
              <w:rPr>
                <w:rFonts w:ascii="Times New Roman" w:hAnsi="Times New Roman"/>
                <w:b/>
                <w:color w:val="000000"/>
                <w:sz w:val="20"/>
                <w:szCs w:val="20"/>
              </w:rPr>
              <w:t xml:space="preserve">Financial assets </w:t>
            </w:r>
          </w:p>
        </w:tc>
        <w:tc>
          <w:tcPr>
            <w:tcW w:w="1843" w:type="dxa"/>
          </w:tcPr>
          <w:p w:rsidR="00A571FC" w:rsidRPr="009170B8" w:rsidRDefault="00A571FC" w:rsidP="00460791">
            <w:pPr>
              <w:autoSpaceDE w:val="0"/>
              <w:autoSpaceDN w:val="0"/>
              <w:adjustRightInd w:val="0"/>
              <w:jc w:val="right"/>
              <w:rPr>
                <w:rFonts w:ascii="Times New Roman" w:hAnsi="Times New Roman"/>
                <w:color w:val="000000"/>
                <w:sz w:val="20"/>
                <w:szCs w:val="20"/>
              </w:rPr>
            </w:pPr>
          </w:p>
        </w:tc>
        <w:tc>
          <w:tcPr>
            <w:tcW w:w="1455" w:type="dxa"/>
          </w:tcPr>
          <w:p w:rsidR="00A571FC" w:rsidRPr="009170B8" w:rsidRDefault="00A571FC" w:rsidP="004C6D51">
            <w:pPr>
              <w:autoSpaceDE w:val="0"/>
              <w:autoSpaceDN w:val="0"/>
              <w:adjustRightInd w:val="0"/>
              <w:jc w:val="right"/>
              <w:rPr>
                <w:rFonts w:ascii="Times New Roman" w:hAnsi="Times New Roman"/>
                <w:color w:val="000000"/>
                <w:sz w:val="20"/>
                <w:szCs w:val="20"/>
              </w:rPr>
            </w:pPr>
          </w:p>
        </w:tc>
        <w:tc>
          <w:tcPr>
            <w:tcW w:w="1388" w:type="dxa"/>
          </w:tcPr>
          <w:p w:rsidR="00A571FC" w:rsidRPr="009170B8" w:rsidRDefault="00A571FC" w:rsidP="004C6D51">
            <w:pPr>
              <w:autoSpaceDE w:val="0"/>
              <w:autoSpaceDN w:val="0"/>
              <w:adjustRightInd w:val="0"/>
              <w:jc w:val="right"/>
              <w:rPr>
                <w:rFonts w:ascii="Times New Roman" w:hAnsi="Times New Roman"/>
                <w:color w:val="000000"/>
                <w:sz w:val="20"/>
                <w:szCs w:val="20"/>
              </w:rPr>
            </w:pPr>
          </w:p>
        </w:tc>
        <w:tc>
          <w:tcPr>
            <w:tcW w:w="1410" w:type="dxa"/>
          </w:tcPr>
          <w:p w:rsidR="00A571FC" w:rsidRPr="009170B8" w:rsidRDefault="00A571FC" w:rsidP="004C6D51">
            <w:pPr>
              <w:autoSpaceDE w:val="0"/>
              <w:autoSpaceDN w:val="0"/>
              <w:adjustRightInd w:val="0"/>
              <w:jc w:val="right"/>
              <w:rPr>
                <w:rFonts w:ascii="Times New Roman" w:hAnsi="Times New Roman"/>
                <w:color w:val="000000"/>
                <w:sz w:val="20"/>
                <w:szCs w:val="20"/>
              </w:rPr>
            </w:pPr>
          </w:p>
        </w:tc>
      </w:tr>
      <w:tr w:rsidR="00347DD0" w:rsidRPr="009170B8" w:rsidTr="00B74D7C">
        <w:tc>
          <w:tcPr>
            <w:tcW w:w="4111" w:type="dxa"/>
          </w:tcPr>
          <w:p w:rsidR="00347DD0" w:rsidRPr="009170B8" w:rsidRDefault="00347DD0" w:rsidP="004C6D51">
            <w:pPr>
              <w:autoSpaceDE w:val="0"/>
              <w:autoSpaceDN w:val="0"/>
              <w:adjustRightInd w:val="0"/>
              <w:ind w:left="284"/>
              <w:jc w:val="both"/>
              <w:rPr>
                <w:rFonts w:ascii="Times New Roman" w:hAnsi="Times New Roman"/>
                <w:color w:val="000000"/>
                <w:sz w:val="20"/>
                <w:szCs w:val="20"/>
              </w:rPr>
            </w:pPr>
            <w:r w:rsidRPr="009170B8">
              <w:rPr>
                <w:rFonts w:ascii="Times New Roman" w:hAnsi="Times New Roman"/>
                <w:color w:val="000000"/>
                <w:sz w:val="20"/>
                <w:szCs w:val="20"/>
              </w:rPr>
              <w:t xml:space="preserve">Securities </w:t>
            </w:r>
          </w:p>
          <w:p w:rsidR="00347DD0" w:rsidRPr="009170B8" w:rsidRDefault="00347DD0" w:rsidP="004C6D51">
            <w:pPr>
              <w:autoSpaceDE w:val="0"/>
              <w:autoSpaceDN w:val="0"/>
              <w:adjustRightInd w:val="0"/>
              <w:ind w:left="284"/>
              <w:jc w:val="both"/>
              <w:rPr>
                <w:rFonts w:ascii="Times New Roman" w:hAnsi="Times New Roman"/>
                <w:color w:val="000000"/>
                <w:sz w:val="20"/>
                <w:szCs w:val="20"/>
              </w:rPr>
            </w:pPr>
            <w:r w:rsidRPr="009170B8">
              <w:rPr>
                <w:rFonts w:ascii="Times New Roman" w:hAnsi="Times New Roman"/>
                <w:color w:val="000000"/>
                <w:sz w:val="20"/>
                <w:szCs w:val="20"/>
              </w:rPr>
              <w:t>(at fair value through profit or loss)</w:t>
            </w:r>
          </w:p>
        </w:tc>
        <w:tc>
          <w:tcPr>
            <w:tcW w:w="1843" w:type="dxa"/>
          </w:tcPr>
          <w:p w:rsidR="00FC5197" w:rsidRDefault="00FC5197">
            <w:pPr>
              <w:autoSpaceDE w:val="0"/>
              <w:autoSpaceDN w:val="0"/>
              <w:adjustRightInd w:val="0"/>
              <w:jc w:val="right"/>
              <w:rPr>
                <w:rFonts w:ascii="Times New Roman" w:hAnsi="Times New Roman"/>
                <w:color w:val="000000"/>
                <w:sz w:val="20"/>
                <w:szCs w:val="20"/>
              </w:rPr>
            </w:pPr>
          </w:p>
          <w:p w:rsidR="00347DD0" w:rsidRPr="009170B8" w:rsidRDefault="005B25AA">
            <w:pPr>
              <w:autoSpaceDE w:val="0"/>
              <w:autoSpaceDN w:val="0"/>
              <w:adjustRightInd w:val="0"/>
              <w:jc w:val="right"/>
              <w:rPr>
                <w:rFonts w:ascii="Times New Roman" w:hAnsi="Times New Roman"/>
                <w:color w:val="000000"/>
                <w:sz w:val="20"/>
                <w:szCs w:val="20"/>
              </w:rPr>
            </w:pPr>
            <w:r w:rsidRPr="00E87342">
              <w:rPr>
                <w:rFonts w:ascii="Times New Roman" w:hAnsi="Times New Roman"/>
                <w:color w:val="000000"/>
                <w:sz w:val="20"/>
                <w:szCs w:val="20"/>
              </w:rPr>
              <w:t>1</w:t>
            </w:r>
            <w:r>
              <w:rPr>
                <w:rFonts w:ascii="Times New Roman" w:hAnsi="Times New Roman"/>
                <w:color w:val="000000"/>
                <w:sz w:val="20"/>
                <w:szCs w:val="20"/>
              </w:rPr>
              <w:t>48</w:t>
            </w:r>
            <w:r w:rsidRPr="00E87342">
              <w:rPr>
                <w:rFonts w:ascii="Times New Roman" w:hAnsi="Times New Roman"/>
                <w:color w:val="000000"/>
                <w:sz w:val="20"/>
                <w:szCs w:val="20"/>
              </w:rPr>
              <w:t>,</w:t>
            </w:r>
            <w:r>
              <w:rPr>
                <w:rFonts w:ascii="Times New Roman" w:hAnsi="Times New Roman"/>
                <w:color w:val="000000"/>
                <w:sz w:val="20"/>
                <w:szCs w:val="20"/>
              </w:rPr>
              <w:t>464</w:t>
            </w:r>
            <w:r w:rsidRPr="00E87342">
              <w:rPr>
                <w:rFonts w:ascii="Times New Roman" w:hAnsi="Times New Roman"/>
                <w:color w:val="000000"/>
                <w:sz w:val="20"/>
                <w:szCs w:val="20"/>
              </w:rPr>
              <w:t>,</w:t>
            </w:r>
            <w:r>
              <w:rPr>
                <w:rFonts w:ascii="Times New Roman" w:hAnsi="Times New Roman"/>
                <w:color w:val="000000"/>
                <w:sz w:val="20"/>
                <w:szCs w:val="20"/>
              </w:rPr>
              <w:t>909</w:t>
            </w:r>
          </w:p>
        </w:tc>
        <w:tc>
          <w:tcPr>
            <w:tcW w:w="1455" w:type="dxa"/>
            <w:vAlign w:val="bottom"/>
          </w:tcPr>
          <w:p w:rsidR="00347DD0" w:rsidRPr="009170B8" w:rsidRDefault="00347DD0" w:rsidP="00590B67">
            <w:pPr>
              <w:autoSpaceDE w:val="0"/>
              <w:autoSpaceDN w:val="0"/>
              <w:adjustRightInd w:val="0"/>
              <w:jc w:val="right"/>
              <w:rPr>
                <w:rFonts w:ascii="Times New Roman" w:hAnsi="Times New Roman"/>
                <w:color w:val="000000"/>
                <w:sz w:val="20"/>
                <w:szCs w:val="20"/>
              </w:rPr>
            </w:pPr>
            <w:r w:rsidRPr="009170B8">
              <w:rPr>
                <w:rFonts w:ascii="Times New Roman" w:hAnsi="Times New Roman"/>
                <w:color w:val="000000"/>
                <w:sz w:val="20"/>
                <w:szCs w:val="20"/>
              </w:rPr>
              <w:t>-</w:t>
            </w:r>
          </w:p>
        </w:tc>
        <w:tc>
          <w:tcPr>
            <w:tcW w:w="1388" w:type="dxa"/>
            <w:vAlign w:val="bottom"/>
          </w:tcPr>
          <w:p w:rsidR="00347DD0" w:rsidRPr="009170B8" w:rsidRDefault="00347DD0" w:rsidP="00590B67">
            <w:pPr>
              <w:autoSpaceDE w:val="0"/>
              <w:autoSpaceDN w:val="0"/>
              <w:adjustRightInd w:val="0"/>
              <w:jc w:val="right"/>
              <w:rPr>
                <w:rFonts w:ascii="Times New Roman" w:hAnsi="Times New Roman"/>
                <w:color w:val="000000"/>
                <w:sz w:val="20"/>
                <w:szCs w:val="20"/>
              </w:rPr>
            </w:pPr>
            <w:r w:rsidRPr="009170B8">
              <w:rPr>
                <w:rFonts w:ascii="Times New Roman" w:hAnsi="Times New Roman"/>
                <w:color w:val="000000"/>
                <w:sz w:val="20"/>
                <w:szCs w:val="20"/>
              </w:rPr>
              <w:t>-</w:t>
            </w:r>
          </w:p>
        </w:tc>
        <w:tc>
          <w:tcPr>
            <w:tcW w:w="1410" w:type="dxa"/>
            <w:vAlign w:val="bottom"/>
          </w:tcPr>
          <w:p w:rsidR="00347DD0" w:rsidRPr="009170B8" w:rsidRDefault="005B25AA" w:rsidP="00590B67">
            <w:pPr>
              <w:autoSpaceDE w:val="0"/>
              <w:autoSpaceDN w:val="0"/>
              <w:adjustRightInd w:val="0"/>
              <w:jc w:val="right"/>
              <w:rPr>
                <w:rFonts w:ascii="Times New Roman" w:hAnsi="Times New Roman"/>
                <w:color w:val="000000"/>
                <w:sz w:val="20"/>
                <w:szCs w:val="20"/>
              </w:rPr>
            </w:pPr>
            <w:r w:rsidRPr="00E87342">
              <w:rPr>
                <w:rFonts w:ascii="Times New Roman" w:hAnsi="Times New Roman"/>
                <w:color w:val="000000"/>
                <w:sz w:val="20"/>
                <w:szCs w:val="20"/>
              </w:rPr>
              <w:t>1</w:t>
            </w:r>
            <w:r>
              <w:rPr>
                <w:rFonts w:ascii="Times New Roman" w:hAnsi="Times New Roman"/>
                <w:color w:val="000000"/>
                <w:sz w:val="20"/>
                <w:szCs w:val="20"/>
              </w:rPr>
              <w:t>48</w:t>
            </w:r>
            <w:r w:rsidRPr="00E87342">
              <w:rPr>
                <w:rFonts w:ascii="Times New Roman" w:hAnsi="Times New Roman"/>
                <w:color w:val="000000"/>
                <w:sz w:val="20"/>
                <w:szCs w:val="20"/>
              </w:rPr>
              <w:t>,</w:t>
            </w:r>
            <w:r>
              <w:rPr>
                <w:rFonts w:ascii="Times New Roman" w:hAnsi="Times New Roman"/>
                <w:color w:val="000000"/>
                <w:sz w:val="20"/>
                <w:szCs w:val="20"/>
              </w:rPr>
              <w:t>464</w:t>
            </w:r>
            <w:r w:rsidRPr="00E87342">
              <w:rPr>
                <w:rFonts w:ascii="Times New Roman" w:hAnsi="Times New Roman"/>
                <w:color w:val="000000"/>
                <w:sz w:val="20"/>
                <w:szCs w:val="20"/>
              </w:rPr>
              <w:t>,</w:t>
            </w:r>
            <w:r>
              <w:rPr>
                <w:rFonts w:ascii="Times New Roman" w:hAnsi="Times New Roman"/>
                <w:color w:val="000000"/>
                <w:sz w:val="20"/>
                <w:szCs w:val="20"/>
              </w:rPr>
              <w:t>909</w:t>
            </w:r>
          </w:p>
        </w:tc>
      </w:tr>
      <w:tr w:rsidR="00347DD0" w:rsidRPr="009170B8" w:rsidTr="00B74D7C">
        <w:tc>
          <w:tcPr>
            <w:tcW w:w="4111" w:type="dxa"/>
          </w:tcPr>
          <w:p w:rsidR="0048685B" w:rsidRPr="009170B8" w:rsidRDefault="0048685B" w:rsidP="004C6D51">
            <w:pPr>
              <w:autoSpaceDE w:val="0"/>
              <w:autoSpaceDN w:val="0"/>
              <w:adjustRightInd w:val="0"/>
              <w:jc w:val="both"/>
              <w:rPr>
                <w:rFonts w:ascii="Times New Roman" w:hAnsi="Times New Roman"/>
                <w:color w:val="000000"/>
                <w:sz w:val="20"/>
                <w:szCs w:val="20"/>
              </w:rPr>
            </w:pPr>
          </w:p>
        </w:tc>
        <w:tc>
          <w:tcPr>
            <w:tcW w:w="1843" w:type="dxa"/>
          </w:tcPr>
          <w:p w:rsidR="00347DD0" w:rsidRPr="009170B8" w:rsidRDefault="00347DD0" w:rsidP="004C6D51">
            <w:pPr>
              <w:autoSpaceDE w:val="0"/>
              <w:autoSpaceDN w:val="0"/>
              <w:adjustRightInd w:val="0"/>
              <w:jc w:val="both"/>
              <w:rPr>
                <w:rFonts w:ascii="Times New Roman" w:hAnsi="Times New Roman"/>
                <w:color w:val="000000"/>
                <w:sz w:val="20"/>
                <w:szCs w:val="20"/>
              </w:rPr>
            </w:pPr>
          </w:p>
        </w:tc>
        <w:tc>
          <w:tcPr>
            <w:tcW w:w="1455" w:type="dxa"/>
          </w:tcPr>
          <w:p w:rsidR="00347DD0" w:rsidRPr="009170B8" w:rsidRDefault="00347DD0" w:rsidP="004C6D51">
            <w:pPr>
              <w:autoSpaceDE w:val="0"/>
              <w:autoSpaceDN w:val="0"/>
              <w:adjustRightInd w:val="0"/>
              <w:jc w:val="both"/>
              <w:rPr>
                <w:rFonts w:ascii="Times New Roman" w:hAnsi="Times New Roman"/>
                <w:color w:val="000000"/>
                <w:sz w:val="20"/>
                <w:szCs w:val="20"/>
              </w:rPr>
            </w:pPr>
          </w:p>
        </w:tc>
        <w:tc>
          <w:tcPr>
            <w:tcW w:w="1388" w:type="dxa"/>
          </w:tcPr>
          <w:p w:rsidR="00347DD0" w:rsidRPr="009170B8" w:rsidRDefault="00347DD0" w:rsidP="004C6D51">
            <w:pPr>
              <w:autoSpaceDE w:val="0"/>
              <w:autoSpaceDN w:val="0"/>
              <w:adjustRightInd w:val="0"/>
              <w:jc w:val="both"/>
              <w:rPr>
                <w:rFonts w:ascii="Times New Roman" w:hAnsi="Times New Roman"/>
                <w:color w:val="000000"/>
                <w:sz w:val="20"/>
                <w:szCs w:val="20"/>
              </w:rPr>
            </w:pPr>
          </w:p>
        </w:tc>
        <w:tc>
          <w:tcPr>
            <w:tcW w:w="1410" w:type="dxa"/>
          </w:tcPr>
          <w:p w:rsidR="00347DD0" w:rsidRPr="009170B8" w:rsidRDefault="00347DD0" w:rsidP="004C6D51">
            <w:pPr>
              <w:autoSpaceDE w:val="0"/>
              <w:autoSpaceDN w:val="0"/>
              <w:adjustRightInd w:val="0"/>
              <w:jc w:val="both"/>
              <w:rPr>
                <w:rFonts w:ascii="Times New Roman" w:hAnsi="Times New Roman"/>
                <w:color w:val="000000"/>
                <w:sz w:val="20"/>
                <w:szCs w:val="20"/>
              </w:rPr>
            </w:pPr>
          </w:p>
        </w:tc>
      </w:tr>
    </w:tbl>
    <w:p w:rsidR="0084306F" w:rsidRDefault="0084306F" w:rsidP="00E5676A">
      <w:pPr>
        <w:pStyle w:val="BodyText"/>
        <w:rPr>
          <w:rFonts w:ascii="Times New Roman" w:hAnsi="Times New Roman"/>
          <w:color w:val="000000"/>
          <w:szCs w:val="20"/>
        </w:rPr>
      </w:pPr>
    </w:p>
    <w:p w:rsidR="00C672C9" w:rsidRPr="00B46F2F" w:rsidRDefault="00675EE2" w:rsidP="00D33726">
      <w:pPr>
        <w:autoSpaceDE w:val="0"/>
        <w:autoSpaceDN w:val="0"/>
        <w:adjustRightInd w:val="0"/>
        <w:ind w:left="284"/>
        <w:jc w:val="both"/>
        <w:rPr>
          <w:rFonts w:ascii="Times New Roman" w:hAnsi="Times New Roman"/>
          <w:color w:val="000000"/>
          <w:sz w:val="20"/>
          <w:szCs w:val="20"/>
        </w:rPr>
      </w:pPr>
      <w:r w:rsidRPr="00B46F2F">
        <w:rPr>
          <w:rFonts w:ascii="Times New Roman" w:hAnsi="Times New Roman"/>
          <w:color w:val="000000"/>
          <w:sz w:val="20"/>
          <w:szCs w:val="20"/>
        </w:rPr>
        <w:t>The Fund holds</w:t>
      </w:r>
      <w:r w:rsidR="00FD4FC7" w:rsidRPr="00B46F2F">
        <w:rPr>
          <w:rFonts w:ascii="Times New Roman" w:hAnsi="Times New Roman"/>
          <w:color w:val="000000"/>
          <w:sz w:val="20"/>
          <w:szCs w:val="20"/>
        </w:rPr>
        <w:t xml:space="preserve"> </w:t>
      </w:r>
      <w:r w:rsidR="00C672C9" w:rsidRPr="00B46F2F">
        <w:rPr>
          <w:rFonts w:ascii="Times New Roman" w:hAnsi="Times New Roman"/>
          <w:color w:val="000000"/>
          <w:sz w:val="20"/>
          <w:szCs w:val="20"/>
        </w:rPr>
        <w:t>securities</w:t>
      </w:r>
      <w:r w:rsidR="00FD4FC7" w:rsidRPr="00B46F2F">
        <w:rPr>
          <w:rFonts w:ascii="Times New Roman" w:hAnsi="Times New Roman"/>
          <w:color w:val="000000"/>
          <w:sz w:val="20"/>
          <w:szCs w:val="20"/>
        </w:rPr>
        <w:t xml:space="preserve"> that </w:t>
      </w:r>
      <w:r w:rsidR="00110ADF">
        <w:rPr>
          <w:rFonts w:ascii="Times New Roman" w:hAnsi="Times New Roman"/>
          <w:color w:val="000000"/>
          <w:sz w:val="20"/>
          <w:szCs w:val="20"/>
        </w:rPr>
        <w:t xml:space="preserve">are </w:t>
      </w:r>
      <w:r w:rsidR="00FD4FC7" w:rsidRPr="00B46F2F">
        <w:rPr>
          <w:rFonts w:ascii="Times New Roman" w:hAnsi="Times New Roman"/>
          <w:color w:val="000000"/>
          <w:sz w:val="20"/>
          <w:szCs w:val="20"/>
        </w:rPr>
        <w:t>trade</w:t>
      </w:r>
      <w:r w:rsidR="00110ADF">
        <w:rPr>
          <w:rFonts w:ascii="Times New Roman" w:hAnsi="Times New Roman"/>
          <w:color w:val="000000"/>
          <w:sz w:val="20"/>
          <w:szCs w:val="20"/>
        </w:rPr>
        <w:t>d</w:t>
      </w:r>
      <w:r w:rsidR="00FD4FC7" w:rsidRPr="00B46F2F">
        <w:rPr>
          <w:rFonts w:ascii="Times New Roman" w:hAnsi="Times New Roman"/>
          <w:color w:val="000000"/>
          <w:sz w:val="20"/>
          <w:szCs w:val="20"/>
        </w:rPr>
        <w:t xml:space="preserve"> in </w:t>
      </w:r>
      <w:r w:rsidRPr="00B46F2F">
        <w:rPr>
          <w:rFonts w:ascii="Times New Roman" w:hAnsi="Times New Roman"/>
          <w:color w:val="000000"/>
          <w:sz w:val="20"/>
          <w:szCs w:val="20"/>
        </w:rPr>
        <w:t xml:space="preserve">active </w:t>
      </w:r>
      <w:r w:rsidR="00FD4FC7" w:rsidRPr="00B46F2F">
        <w:rPr>
          <w:rFonts w:ascii="Times New Roman" w:hAnsi="Times New Roman"/>
          <w:color w:val="000000"/>
          <w:sz w:val="20"/>
          <w:szCs w:val="20"/>
        </w:rPr>
        <w:t>markets</w:t>
      </w:r>
      <w:r w:rsidR="0097628E" w:rsidRPr="00B46F2F">
        <w:rPr>
          <w:rFonts w:ascii="Times New Roman" w:hAnsi="Times New Roman"/>
          <w:color w:val="000000"/>
          <w:sz w:val="20"/>
          <w:szCs w:val="20"/>
        </w:rPr>
        <w:t xml:space="preserve">. </w:t>
      </w:r>
      <w:r w:rsidR="00FD4FC7" w:rsidRPr="00B46F2F">
        <w:rPr>
          <w:rFonts w:ascii="Times New Roman" w:hAnsi="Times New Roman"/>
          <w:color w:val="000000"/>
          <w:sz w:val="20"/>
          <w:szCs w:val="20"/>
        </w:rPr>
        <w:t>Such financial</w:t>
      </w:r>
      <w:r w:rsidR="00C672C9" w:rsidRPr="00B46F2F">
        <w:rPr>
          <w:rFonts w:ascii="Times New Roman" w:hAnsi="Times New Roman"/>
          <w:color w:val="000000"/>
          <w:sz w:val="20"/>
          <w:szCs w:val="20"/>
        </w:rPr>
        <w:t xml:space="preserve"> instruments are classified as L</w:t>
      </w:r>
      <w:r w:rsidR="00FD4FC7" w:rsidRPr="00B46F2F">
        <w:rPr>
          <w:rFonts w:ascii="Times New Roman" w:hAnsi="Times New Roman"/>
          <w:color w:val="000000"/>
          <w:sz w:val="20"/>
          <w:szCs w:val="20"/>
        </w:rPr>
        <w:t xml:space="preserve">evel </w:t>
      </w:r>
      <w:r w:rsidR="0097628E" w:rsidRPr="00B46F2F">
        <w:rPr>
          <w:rFonts w:ascii="Times New Roman" w:hAnsi="Times New Roman"/>
          <w:color w:val="000000"/>
          <w:sz w:val="20"/>
          <w:szCs w:val="20"/>
        </w:rPr>
        <w:t>1</w:t>
      </w:r>
      <w:r w:rsidR="00FD4FC7" w:rsidRPr="00B46F2F">
        <w:rPr>
          <w:rFonts w:ascii="Times New Roman" w:hAnsi="Times New Roman"/>
          <w:color w:val="000000"/>
          <w:sz w:val="20"/>
          <w:szCs w:val="20"/>
        </w:rPr>
        <w:t xml:space="preserve"> of t</w:t>
      </w:r>
      <w:r w:rsidR="00980C12" w:rsidRPr="00B46F2F">
        <w:rPr>
          <w:rFonts w:ascii="Times New Roman" w:hAnsi="Times New Roman"/>
          <w:color w:val="000000"/>
          <w:sz w:val="20"/>
          <w:szCs w:val="20"/>
        </w:rPr>
        <w:t>he IFRS 13</w:t>
      </w:r>
      <w:r w:rsidR="006343E1" w:rsidRPr="00B46F2F">
        <w:rPr>
          <w:rFonts w:ascii="Times New Roman" w:hAnsi="Times New Roman"/>
          <w:color w:val="000000"/>
          <w:sz w:val="20"/>
          <w:szCs w:val="20"/>
        </w:rPr>
        <w:t xml:space="preserve"> fair value hierarchy. </w:t>
      </w:r>
      <w:r w:rsidR="00C672C9" w:rsidRPr="00B46F2F">
        <w:rPr>
          <w:rFonts w:ascii="Times New Roman" w:hAnsi="Times New Roman"/>
          <w:color w:val="000000"/>
          <w:sz w:val="20"/>
          <w:szCs w:val="20"/>
        </w:rPr>
        <w:t>There were no transfers bet</w:t>
      </w:r>
      <w:r w:rsidR="008F4495" w:rsidRPr="00B46F2F">
        <w:rPr>
          <w:rFonts w:ascii="Times New Roman" w:hAnsi="Times New Roman"/>
          <w:color w:val="000000"/>
          <w:sz w:val="20"/>
          <w:szCs w:val="20"/>
        </w:rPr>
        <w:t>ween Level 1</w:t>
      </w:r>
      <w:r w:rsidR="0075060A">
        <w:rPr>
          <w:rFonts w:ascii="Times New Roman" w:hAnsi="Times New Roman"/>
          <w:color w:val="000000"/>
          <w:sz w:val="20"/>
          <w:szCs w:val="20"/>
        </w:rPr>
        <w:t>,</w:t>
      </w:r>
      <w:r w:rsidR="008F4495" w:rsidRPr="00B46F2F">
        <w:rPr>
          <w:rFonts w:ascii="Times New Roman" w:hAnsi="Times New Roman"/>
          <w:color w:val="000000"/>
          <w:sz w:val="20"/>
          <w:szCs w:val="20"/>
        </w:rPr>
        <w:t xml:space="preserve"> 2</w:t>
      </w:r>
      <w:r w:rsidR="0075060A">
        <w:rPr>
          <w:rFonts w:ascii="Times New Roman" w:hAnsi="Times New Roman"/>
          <w:color w:val="000000"/>
          <w:sz w:val="20"/>
          <w:szCs w:val="20"/>
        </w:rPr>
        <w:t xml:space="preserve"> and 3</w:t>
      </w:r>
      <w:r w:rsidR="008F4495" w:rsidRPr="00B46F2F">
        <w:rPr>
          <w:rFonts w:ascii="Times New Roman" w:hAnsi="Times New Roman"/>
          <w:color w:val="000000"/>
          <w:sz w:val="20"/>
          <w:szCs w:val="20"/>
        </w:rPr>
        <w:t xml:space="preserve"> in the year</w:t>
      </w:r>
      <w:r w:rsidR="006343E1" w:rsidRPr="00B46F2F">
        <w:rPr>
          <w:rFonts w:ascii="Times New Roman" w:hAnsi="Times New Roman"/>
          <w:color w:val="000000"/>
          <w:sz w:val="20"/>
          <w:szCs w:val="20"/>
        </w:rPr>
        <w:t>.</w:t>
      </w:r>
    </w:p>
    <w:p w:rsidR="000B2A92" w:rsidRPr="00B46F2F" w:rsidRDefault="000B2A92" w:rsidP="000B2A92">
      <w:pPr>
        <w:ind w:left="426"/>
        <w:rPr>
          <w:rFonts w:ascii="Times New Roman" w:hAnsi="Times New Roman"/>
          <w:sz w:val="20"/>
          <w:szCs w:val="20"/>
        </w:rPr>
      </w:pPr>
    </w:p>
    <w:p w:rsidR="006E7A21" w:rsidRPr="00B46F2F" w:rsidRDefault="006E7A21" w:rsidP="006E7A21">
      <w:pPr>
        <w:ind w:left="284"/>
        <w:rPr>
          <w:rFonts w:ascii="Times New Roman" w:hAnsi="Times New Roman"/>
          <w:i/>
          <w:sz w:val="20"/>
          <w:szCs w:val="20"/>
        </w:rPr>
      </w:pPr>
      <w:r w:rsidRPr="00B46F2F">
        <w:rPr>
          <w:rFonts w:ascii="Times New Roman" w:hAnsi="Times New Roman"/>
          <w:i/>
          <w:sz w:val="20"/>
          <w:szCs w:val="20"/>
        </w:rPr>
        <w:t>Price sensitivity</w:t>
      </w:r>
    </w:p>
    <w:p w:rsidR="00720B02" w:rsidRPr="00B46F2F" w:rsidRDefault="006E7A21" w:rsidP="00B7569A">
      <w:pPr>
        <w:pStyle w:val="BodyText"/>
        <w:tabs>
          <w:tab w:val="clear" w:pos="3402"/>
          <w:tab w:val="clear" w:pos="8222"/>
        </w:tabs>
        <w:ind w:left="284"/>
        <w:rPr>
          <w:rFonts w:ascii="Times New Roman" w:hAnsi="Times New Roman"/>
          <w:szCs w:val="20"/>
        </w:rPr>
      </w:pPr>
      <w:r w:rsidRPr="00B46F2F">
        <w:rPr>
          <w:rFonts w:ascii="Times New Roman" w:hAnsi="Times New Roman"/>
          <w:szCs w:val="20"/>
        </w:rPr>
        <w:t xml:space="preserve">At 31 December </w:t>
      </w:r>
      <w:r w:rsidR="00581281" w:rsidRPr="00B46F2F">
        <w:rPr>
          <w:rFonts w:ascii="Times New Roman" w:hAnsi="Times New Roman"/>
          <w:szCs w:val="20"/>
        </w:rPr>
        <w:t>201</w:t>
      </w:r>
      <w:r w:rsidR="00C84D94">
        <w:rPr>
          <w:rFonts w:ascii="Times New Roman" w:hAnsi="Times New Roman"/>
          <w:szCs w:val="20"/>
        </w:rPr>
        <w:t>8</w:t>
      </w:r>
      <w:r w:rsidRPr="00B46F2F">
        <w:rPr>
          <w:rFonts w:ascii="Times New Roman" w:hAnsi="Times New Roman"/>
          <w:szCs w:val="20"/>
        </w:rPr>
        <w:t>, if the market prices of the securities had been 30% higher with all other variables held constant, the increase in net assets attributable to holders of redeemable</w:t>
      </w:r>
      <w:r w:rsidR="005171C9" w:rsidRPr="00B46F2F">
        <w:rPr>
          <w:rFonts w:ascii="Times New Roman" w:hAnsi="Times New Roman"/>
          <w:szCs w:val="20"/>
        </w:rPr>
        <w:t xml:space="preserve"> participating preference</w:t>
      </w:r>
      <w:r w:rsidRPr="00B46F2F">
        <w:rPr>
          <w:rFonts w:ascii="Times New Roman" w:hAnsi="Times New Roman"/>
          <w:szCs w:val="20"/>
        </w:rPr>
        <w:t xml:space="preserve"> shares for the year would have been </w:t>
      </w:r>
      <w:bookmarkStart w:id="54" w:name="OLE_LINK50"/>
      <w:r w:rsidRPr="00B46F2F">
        <w:rPr>
          <w:rFonts w:ascii="Times New Roman" w:hAnsi="Times New Roman"/>
          <w:szCs w:val="20"/>
        </w:rPr>
        <w:t>£</w:t>
      </w:r>
      <w:r w:rsidR="005B25AA">
        <w:rPr>
          <w:rFonts w:ascii="Times New Roman" w:hAnsi="Times New Roman"/>
          <w:szCs w:val="20"/>
        </w:rPr>
        <w:t>34</w:t>
      </w:r>
      <w:r w:rsidR="00E21312">
        <w:rPr>
          <w:rFonts w:ascii="Times New Roman" w:hAnsi="Times New Roman"/>
          <w:szCs w:val="20"/>
        </w:rPr>
        <w:t>,</w:t>
      </w:r>
      <w:r w:rsidR="005B25AA">
        <w:rPr>
          <w:rFonts w:ascii="Times New Roman" w:hAnsi="Times New Roman"/>
          <w:szCs w:val="20"/>
        </w:rPr>
        <w:t>228</w:t>
      </w:r>
      <w:r w:rsidR="00E21312">
        <w:rPr>
          <w:rFonts w:ascii="Times New Roman" w:hAnsi="Times New Roman"/>
          <w:szCs w:val="20"/>
        </w:rPr>
        <w:t>,</w:t>
      </w:r>
      <w:r w:rsidR="005B25AA">
        <w:rPr>
          <w:rFonts w:ascii="Times New Roman" w:hAnsi="Times New Roman"/>
          <w:szCs w:val="20"/>
        </w:rPr>
        <w:t>584</w:t>
      </w:r>
      <w:r w:rsidRPr="00B46F2F">
        <w:rPr>
          <w:rFonts w:ascii="Times New Roman" w:hAnsi="Times New Roman"/>
          <w:szCs w:val="20"/>
        </w:rPr>
        <w:t xml:space="preserve"> </w:t>
      </w:r>
      <w:bookmarkEnd w:id="54"/>
      <w:r w:rsidRPr="00B46F2F">
        <w:rPr>
          <w:rFonts w:ascii="Times New Roman" w:hAnsi="Times New Roman"/>
          <w:szCs w:val="20"/>
        </w:rPr>
        <w:t>(</w:t>
      </w:r>
      <w:r w:rsidR="00581281" w:rsidRPr="00B46F2F">
        <w:rPr>
          <w:rFonts w:ascii="Times New Roman" w:hAnsi="Times New Roman"/>
          <w:szCs w:val="20"/>
        </w:rPr>
        <w:t>201</w:t>
      </w:r>
      <w:r w:rsidR="00C84D94">
        <w:rPr>
          <w:rFonts w:ascii="Times New Roman" w:hAnsi="Times New Roman"/>
          <w:szCs w:val="20"/>
        </w:rPr>
        <w:t>7</w:t>
      </w:r>
      <w:r w:rsidRPr="00B46F2F">
        <w:rPr>
          <w:rFonts w:ascii="Times New Roman" w:hAnsi="Times New Roman"/>
          <w:szCs w:val="20"/>
        </w:rPr>
        <w:t xml:space="preserve">: </w:t>
      </w:r>
      <w:r w:rsidR="00C84D94" w:rsidRPr="00B46F2F">
        <w:rPr>
          <w:rFonts w:ascii="Times New Roman" w:hAnsi="Times New Roman"/>
          <w:szCs w:val="20"/>
        </w:rPr>
        <w:t>£</w:t>
      </w:r>
      <w:r w:rsidR="00C84D94">
        <w:rPr>
          <w:rFonts w:ascii="Times New Roman" w:hAnsi="Times New Roman"/>
          <w:szCs w:val="20"/>
        </w:rPr>
        <w:t>44,539,472</w:t>
      </w:r>
      <w:r w:rsidRPr="00B46F2F">
        <w:rPr>
          <w:rFonts w:ascii="Times New Roman" w:hAnsi="Times New Roman"/>
          <w:szCs w:val="20"/>
        </w:rPr>
        <w:t xml:space="preserve">) higher, arising due to the increase in the fair value of financial assets at fair value through profit or loss by </w:t>
      </w:r>
      <w:r w:rsidR="005B25AA" w:rsidRPr="00B46F2F">
        <w:rPr>
          <w:rFonts w:ascii="Times New Roman" w:hAnsi="Times New Roman"/>
          <w:szCs w:val="20"/>
        </w:rPr>
        <w:t>£</w:t>
      </w:r>
      <w:r w:rsidR="005B25AA">
        <w:rPr>
          <w:rFonts w:ascii="Times New Roman" w:hAnsi="Times New Roman"/>
          <w:szCs w:val="20"/>
        </w:rPr>
        <w:t>34,228,584</w:t>
      </w:r>
      <w:r w:rsidR="005B25AA" w:rsidRPr="00B46F2F">
        <w:rPr>
          <w:rFonts w:ascii="Times New Roman" w:hAnsi="Times New Roman"/>
          <w:szCs w:val="20"/>
        </w:rPr>
        <w:t xml:space="preserve"> </w:t>
      </w:r>
      <w:r w:rsidRPr="00B46F2F">
        <w:rPr>
          <w:rFonts w:ascii="Times New Roman" w:hAnsi="Times New Roman"/>
          <w:szCs w:val="20"/>
        </w:rPr>
        <w:t>(</w:t>
      </w:r>
      <w:r w:rsidR="00581281" w:rsidRPr="00B46F2F">
        <w:rPr>
          <w:rFonts w:ascii="Times New Roman" w:hAnsi="Times New Roman"/>
          <w:szCs w:val="20"/>
        </w:rPr>
        <w:t>201</w:t>
      </w:r>
      <w:r w:rsidR="00C84D94">
        <w:rPr>
          <w:rFonts w:ascii="Times New Roman" w:hAnsi="Times New Roman"/>
          <w:szCs w:val="20"/>
        </w:rPr>
        <w:t>7</w:t>
      </w:r>
      <w:r w:rsidRPr="00B46F2F">
        <w:rPr>
          <w:rFonts w:ascii="Times New Roman" w:hAnsi="Times New Roman"/>
          <w:szCs w:val="20"/>
        </w:rPr>
        <w:t xml:space="preserve">: </w:t>
      </w:r>
      <w:r w:rsidR="00C84D94" w:rsidRPr="00B46F2F">
        <w:rPr>
          <w:rFonts w:ascii="Times New Roman" w:hAnsi="Times New Roman"/>
          <w:szCs w:val="20"/>
        </w:rPr>
        <w:t>£</w:t>
      </w:r>
      <w:r w:rsidR="00C84D94">
        <w:rPr>
          <w:rFonts w:ascii="Times New Roman" w:hAnsi="Times New Roman"/>
          <w:szCs w:val="20"/>
        </w:rPr>
        <w:t>44,539,472</w:t>
      </w:r>
      <w:r w:rsidRPr="00B46F2F">
        <w:rPr>
          <w:rFonts w:ascii="Times New Roman" w:hAnsi="Times New Roman"/>
          <w:szCs w:val="20"/>
        </w:rPr>
        <w:t>).</w:t>
      </w:r>
    </w:p>
    <w:p w:rsidR="006E7A21" w:rsidRPr="00B46F2F" w:rsidRDefault="006E7A21" w:rsidP="004802E3">
      <w:pPr>
        <w:rPr>
          <w:rFonts w:ascii="Times New Roman" w:hAnsi="Times New Roman"/>
          <w:sz w:val="20"/>
          <w:szCs w:val="20"/>
        </w:rPr>
      </w:pPr>
    </w:p>
    <w:p w:rsidR="00890476" w:rsidRPr="00B46F2F" w:rsidRDefault="00890476" w:rsidP="00890476">
      <w:pPr>
        <w:ind w:left="284"/>
        <w:jc w:val="both"/>
        <w:rPr>
          <w:rFonts w:ascii="Times New Roman" w:hAnsi="Times New Roman"/>
          <w:sz w:val="20"/>
          <w:szCs w:val="20"/>
        </w:rPr>
      </w:pPr>
      <w:r w:rsidRPr="00B46F2F">
        <w:rPr>
          <w:rFonts w:ascii="Times New Roman" w:hAnsi="Times New Roman"/>
          <w:sz w:val="20"/>
          <w:szCs w:val="20"/>
        </w:rPr>
        <w:t xml:space="preserve">At 31 December </w:t>
      </w:r>
      <w:r w:rsidR="00581281" w:rsidRPr="00B46F2F">
        <w:rPr>
          <w:rFonts w:ascii="Times New Roman" w:hAnsi="Times New Roman"/>
          <w:sz w:val="20"/>
          <w:szCs w:val="20"/>
        </w:rPr>
        <w:t>201</w:t>
      </w:r>
      <w:r w:rsidR="00963D05">
        <w:rPr>
          <w:rFonts w:ascii="Times New Roman" w:hAnsi="Times New Roman"/>
          <w:sz w:val="20"/>
          <w:szCs w:val="20"/>
        </w:rPr>
        <w:t>8</w:t>
      </w:r>
      <w:r w:rsidRPr="00B46F2F">
        <w:rPr>
          <w:rFonts w:ascii="Times New Roman" w:hAnsi="Times New Roman"/>
          <w:sz w:val="20"/>
          <w:szCs w:val="20"/>
        </w:rPr>
        <w:t>, if the market prices of the securities had been 30% lower with all other variables held constant, the decrease in net assets attributable to holders of redeemable shares for the year would have been equal, but opposite, to the figures stated above.</w:t>
      </w:r>
    </w:p>
    <w:p w:rsidR="00904B90" w:rsidRDefault="00904B90" w:rsidP="003D2940">
      <w:pPr>
        <w:ind w:left="284"/>
        <w:jc w:val="both"/>
        <w:rPr>
          <w:rFonts w:ascii="Times New Roman" w:hAnsi="Times New Roman"/>
          <w:i/>
          <w:sz w:val="20"/>
          <w:szCs w:val="20"/>
        </w:rPr>
      </w:pPr>
    </w:p>
    <w:p w:rsidR="00E73E45" w:rsidRPr="00B46F2F" w:rsidRDefault="00E73E45" w:rsidP="00E73E45">
      <w:pPr>
        <w:ind w:left="284"/>
        <w:rPr>
          <w:rFonts w:ascii="Times New Roman" w:hAnsi="Times New Roman"/>
          <w:i/>
          <w:sz w:val="20"/>
          <w:szCs w:val="20"/>
        </w:rPr>
      </w:pPr>
      <w:r w:rsidRPr="00B46F2F">
        <w:rPr>
          <w:rFonts w:ascii="Times New Roman" w:hAnsi="Times New Roman"/>
          <w:i/>
          <w:sz w:val="20"/>
          <w:szCs w:val="20"/>
        </w:rPr>
        <w:t>Interest rate risk</w:t>
      </w:r>
    </w:p>
    <w:p w:rsidR="00E73E45" w:rsidRPr="009170B8" w:rsidRDefault="00E73E45" w:rsidP="00E73E45">
      <w:pPr>
        <w:pStyle w:val="BodyText"/>
        <w:tabs>
          <w:tab w:val="clear" w:pos="3402"/>
          <w:tab w:val="clear" w:pos="8222"/>
        </w:tabs>
        <w:ind w:left="284"/>
        <w:rPr>
          <w:rFonts w:ascii="Times New Roman" w:hAnsi="Times New Roman"/>
          <w:szCs w:val="20"/>
        </w:rPr>
      </w:pPr>
      <w:r w:rsidRPr="00B46F2F">
        <w:rPr>
          <w:rFonts w:ascii="Times New Roman" w:hAnsi="Times New Roman"/>
          <w:szCs w:val="20"/>
        </w:rPr>
        <w:t>Interest rate risk is the risk that the fair value or future cash flows of a financial instrument will fluctuate because of changes in market interest rates.</w:t>
      </w:r>
    </w:p>
    <w:p w:rsidR="00E73E45" w:rsidRPr="009170B8" w:rsidRDefault="00E73E45" w:rsidP="00E73E45">
      <w:pPr>
        <w:ind w:left="284"/>
        <w:rPr>
          <w:rFonts w:ascii="Times New Roman" w:hAnsi="Times New Roman"/>
          <w:sz w:val="20"/>
          <w:szCs w:val="20"/>
        </w:rPr>
      </w:pPr>
    </w:p>
    <w:p w:rsidR="00E73E45" w:rsidRPr="009170B8" w:rsidRDefault="00E73E45" w:rsidP="00E73E45">
      <w:pPr>
        <w:autoSpaceDE w:val="0"/>
        <w:autoSpaceDN w:val="0"/>
        <w:adjustRightInd w:val="0"/>
        <w:ind w:left="284"/>
        <w:jc w:val="both"/>
        <w:rPr>
          <w:rFonts w:ascii="Times New Roman" w:hAnsi="Times New Roman"/>
          <w:color w:val="000000"/>
          <w:sz w:val="20"/>
          <w:szCs w:val="20"/>
        </w:rPr>
      </w:pPr>
      <w:r w:rsidRPr="009170B8">
        <w:rPr>
          <w:rFonts w:ascii="Times New Roman" w:hAnsi="Times New Roman"/>
          <w:color w:val="000000"/>
          <w:sz w:val="20"/>
          <w:szCs w:val="20"/>
        </w:rPr>
        <w:t xml:space="preserve">The Fund’s interest rate sensitive assets and liabilities mainly comprise cash and cash equivalents, debt securities and loan payable. The cash and cash equivalents are subject to floating rates and are considered to be part of the investment strategy of the Fund.  No other hedging is undertaken in respect of this interest rate risk. </w:t>
      </w:r>
    </w:p>
    <w:p w:rsidR="00E73E45" w:rsidRDefault="00E73E45" w:rsidP="003D2940">
      <w:pPr>
        <w:ind w:left="284"/>
        <w:jc w:val="both"/>
        <w:rPr>
          <w:rFonts w:ascii="Times New Roman" w:hAnsi="Times New Roman"/>
          <w:i/>
          <w:sz w:val="20"/>
          <w:szCs w:val="20"/>
        </w:rPr>
      </w:pPr>
    </w:p>
    <w:p w:rsidR="000A463E" w:rsidRDefault="000A463E" w:rsidP="000B2A92">
      <w:pPr>
        <w:ind w:left="284"/>
        <w:rPr>
          <w:rFonts w:ascii="Times New Roman" w:hAnsi="Times New Roman"/>
          <w:sz w:val="20"/>
          <w:szCs w:val="20"/>
        </w:rPr>
      </w:pPr>
      <w:r w:rsidRPr="009170B8">
        <w:rPr>
          <w:rFonts w:ascii="Times New Roman" w:hAnsi="Times New Roman"/>
          <w:sz w:val="20"/>
          <w:szCs w:val="20"/>
        </w:rPr>
        <w:t>The following table details the Fund’s exposure to interest rate risk at 31 December</w:t>
      </w:r>
      <w:r w:rsidR="00090F47">
        <w:rPr>
          <w:rFonts w:ascii="Times New Roman" w:hAnsi="Times New Roman"/>
          <w:sz w:val="20"/>
          <w:szCs w:val="20"/>
        </w:rPr>
        <w:t xml:space="preserve"> 201</w:t>
      </w:r>
      <w:r w:rsidR="00C84D94">
        <w:rPr>
          <w:rFonts w:ascii="Times New Roman" w:hAnsi="Times New Roman"/>
          <w:sz w:val="20"/>
          <w:szCs w:val="20"/>
        </w:rPr>
        <w:t>8</w:t>
      </w:r>
      <w:r w:rsidR="00090F47">
        <w:rPr>
          <w:rFonts w:ascii="Times New Roman" w:hAnsi="Times New Roman"/>
          <w:sz w:val="20"/>
          <w:szCs w:val="20"/>
        </w:rPr>
        <w:t xml:space="preserve"> and 201</w:t>
      </w:r>
      <w:r w:rsidR="00C84D94">
        <w:rPr>
          <w:rFonts w:ascii="Times New Roman" w:hAnsi="Times New Roman"/>
          <w:sz w:val="20"/>
          <w:szCs w:val="20"/>
        </w:rPr>
        <w:t>7</w:t>
      </w:r>
      <w:r w:rsidRPr="009170B8">
        <w:rPr>
          <w:rFonts w:ascii="Times New Roman" w:hAnsi="Times New Roman"/>
          <w:sz w:val="20"/>
          <w:szCs w:val="20"/>
        </w:rPr>
        <w:t>:</w:t>
      </w:r>
    </w:p>
    <w:p w:rsidR="00E73E45" w:rsidRPr="009170B8" w:rsidRDefault="00E73E45" w:rsidP="000B2A92">
      <w:pPr>
        <w:ind w:left="284"/>
        <w:rPr>
          <w:rFonts w:ascii="Times New Roman" w:hAnsi="Times New Roman"/>
          <w:sz w:val="20"/>
          <w:szCs w:val="20"/>
        </w:rPr>
      </w:pPr>
    </w:p>
    <w:tbl>
      <w:tblPr>
        <w:tblW w:w="9781" w:type="dxa"/>
        <w:tblInd w:w="392" w:type="dxa"/>
        <w:tblLayout w:type="fixed"/>
        <w:tblLook w:val="0000" w:firstRow="0" w:lastRow="0" w:firstColumn="0" w:lastColumn="0" w:noHBand="0" w:noVBand="0"/>
      </w:tblPr>
      <w:tblGrid>
        <w:gridCol w:w="1593"/>
        <w:gridCol w:w="1667"/>
        <w:gridCol w:w="1701"/>
        <w:gridCol w:w="1559"/>
        <w:gridCol w:w="1701"/>
        <w:gridCol w:w="284"/>
        <w:gridCol w:w="1276"/>
      </w:tblGrid>
      <w:tr w:rsidR="00B75FC8" w:rsidRPr="009170B8" w:rsidTr="00171C7E">
        <w:trPr>
          <w:cantSplit/>
        </w:trPr>
        <w:tc>
          <w:tcPr>
            <w:tcW w:w="1593" w:type="dxa"/>
          </w:tcPr>
          <w:p w:rsidR="00B75FC8" w:rsidRPr="009170B8" w:rsidRDefault="00B75FC8" w:rsidP="00590B67">
            <w:pPr>
              <w:rPr>
                <w:rFonts w:ascii="Times New Roman" w:hAnsi="Times New Roman"/>
                <w:sz w:val="20"/>
                <w:szCs w:val="20"/>
              </w:rPr>
            </w:pPr>
          </w:p>
        </w:tc>
        <w:tc>
          <w:tcPr>
            <w:tcW w:w="1667" w:type="dxa"/>
          </w:tcPr>
          <w:p w:rsidR="00B75FC8" w:rsidRPr="00B46F2F" w:rsidRDefault="00B75FC8" w:rsidP="00590B67">
            <w:pPr>
              <w:rPr>
                <w:rFonts w:ascii="Times New Roman" w:hAnsi="Times New Roman"/>
                <w:sz w:val="20"/>
                <w:szCs w:val="20"/>
              </w:rPr>
            </w:pPr>
          </w:p>
        </w:tc>
        <w:tc>
          <w:tcPr>
            <w:tcW w:w="1701" w:type="dxa"/>
          </w:tcPr>
          <w:p w:rsidR="00B75FC8" w:rsidRPr="00B46F2F" w:rsidRDefault="00B75FC8" w:rsidP="00590B67">
            <w:pPr>
              <w:jc w:val="right"/>
              <w:rPr>
                <w:rFonts w:ascii="Times New Roman" w:hAnsi="Times New Roman"/>
                <w:b/>
                <w:sz w:val="20"/>
                <w:szCs w:val="20"/>
              </w:rPr>
            </w:pPr>
          </w:p>
        </w:tc>
        <w:tc>
          <w:tcPr>
            <w:tcW w:w="4820" w:type="dxa"/>
            <w:gridSpan w:val="4"/>
          </w:tcPr>
          <w:p w:rsidR="00B75FC8" w:rsidRDefault="00B75FC8" w:rsidP="00171C7E">
            <w:pPr>
              <w:ind w:right="1291"/>
              <w:rPr>
                <w:rFonts w:ascii="Times New Roman" w:hAnsi="Times New Roman"/>
                <w:b/>
                <w:iCs/>
                <w:sz w:val="20"/>
                <w:szCs w:val="20"/>
              </w:rPr>
            </w:pPr>
            <w:r w:rsidRPr="00B46F2F">
              <w:rPr>
                <w:rFonts w:ascii="Times New Roman" w:hAnsi="Times New Roman"/>
                <w:b/>
                <w:sz w:val="20"/>
                <w:szCs w:val="20"/>
              </w:rPr>
              <w:t>F</w:t>
            </w:r>
            <w:r>
              <w:rPr>
                <w:rFonts w:ascii="Times New Roman" w:hAnsi="Times New Roman"/>
                <w:b/>
                <w:sz w:val="20"/>
                <w:szCs w:val="20"/>
              </w:rPr>
              <w:t>ixed and floating</w:t>
            </w:r>
            <w:r w:rsidRPr="00B46F2F">
              <w:rPr>
                <w:rFonts w:ascii="Times New Roman" w:hAnsi="Times New Roman"/>
                <w:b/>
                <w:sz w:val="20"/>
                <w:szCs w:val="20"/>
              </w:rPr>
              <w:t xml:space="preserve"> rate assets</w:t>
            </w:r>
          </w:p>
        </w:tc>
      </w:tr>
      <w:tr w:rsidR="00B75FC8" w:rsidRPr="009170B8" w:rsidTr="00171C7E">
        <w:tc>
          <w:tcPr>
            <w:tcW w:w="1593" w:type="dxa"/>
          </w:tcPr>
          <w:p w:rsidR="00B75FC8" w:rsidRPr="009170B8" w:rsidRDefault="00B75FC8" w:rsidP="00590B67">
            <w:pPr>
              <w:rPr>
                <w:rFonts w:ascii="Times New Roman" w:hAnsi="Times New Roman"/>
                <w:sz w:val="20"/>
                <w:szCs w:val="20"/>
              </w:rPr>
            </w:pPr>
          </w:p>
        </w:tc>
        <w:tc>
          <w:tcPr>
            <w:tcW w:w="1667" w:type="dxa"/>
          </w:tcPr>
          <w:p w:rsidR="00B75FC8" w:rsidRPr="00B46F2F" w:rsidRDefault="00B75FC8" w:rsidP="00590B67">
            <w:pPr>
              <w:rPr>
                <w:rFonts w:ascii="Times New Roman" w:hAnsi="Times New Roman"/>
                <w:sz w:val="20"/>
                <w:szCs w:val="20"/>
              </w:rPr>
            </w:pPr>
          </w:p>
        </w:tc>
        <w:tc>
          <w:tcPr>
            <w:tcW w:w="1701" w:type="dxa"/>
          </w:tcPr>
          <w:p w:rsidR="00B75FC8" w:rsidRPr="00B46F2F" w:rsidRDefault="00B75FC8">
            <w:pPr>
              <w:jc w:val="right"/>
              <w:rPr>
                <w:rFonts w:ascii="Times New Roman" w:hAnsi="Times New Roman"/>
                <w:b/>
                <w:sz w:val="20"/>
                <w:szCs w:val="20"/>
              </w:rPr>
            </w:pPr>
            <w:r>
              <w:rPr>
                <w:rFonts w:ascii="Times New Roman" w:hAnsi="Times New Roman"/>
                <w:b/>
                <w:sz w:val="20"/>
                <w:szCs w:val="20"/>
              </w:rPr>
              <w:t>Weighted average interest at year end</w:t>
            </w:r>
          </w:p>
        </w:tc>
        <w:tc>
          <w:tcPr>
            <w:tcW w:w="1559" w:type="dxa"/>
          </w:tcPr>
          <w:p w:rsidR="00B75FC8" w:rsidRPr="00B46F2F" w:rsidRDefault="00B75FC8" w:rsidP="003B01CA">
            <w:pPr>
              <w:jc w:val="right"/>
              <w:rPr>
                <w:rFonts w:ascii="Times New Roman" w:hAnsi="Times New Roman"/>
                <w:b/>
                <w:sz w:val="20"/>
                <w:szCs w:val="20"/>
              </w:rPr>
            </w:pPr>
          </w:p>
          <w:p w:rsidR="00B75FC8" w:rsidRDefault="00B75FC8">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8</w:t>
            </w:r>
          </w:p>
          <w:p w:rsidR="00BB783A" w:rsidRPr="00B46F2F" w:rsidRDefault="00BB783A">
            <w:pPr>
              <w:jc w:val="right"/>
              <w:rPr>
                <w:rFonts w:ascii="Times New Roman" w:hAnsi="Times New Roman"/>
                <w:b/>
                <w:sz w:val="20"/>
                <w:szCs w:val="20"/>
              </w:rPr>
            </w:pPr>
            <w:r>
              <w:rPr>
                <w:rFonts w:ascii="Times New Roman" w:hAnsi="Times New Roman"/>
                <w:b/>
                <w:sz w:val="20"/>
                <w:szCs w:val="20"/>
              </w:rPr>
              <w:t>GBP</w:t>
            </w:r>
          </w:p>
        </w:tc>
        <w:tc>
          <w:tcPr>
            <w:tcW w:w="1701" w:type="dxa"/>
          </w:tcPr>
          <w:p w:rsidR="00B75FC8" w:rsidRPr="00B46F2F" w:rsidRDefault="00B75FC8" w:rsidP="00590B67">
            <w:pPr>
              <w:jc w:val="right"/>
              <w:rPr>
                <w:rFonts w:ascii="Times New Roman" w:hAnsi="Times New Roman"/>
                <w:b/>
                <w:sz w:val="20"/>
                <w:szCs w:val="20"/>
              </w:rPr>
            </w:pPr>
            <w:r>
              <w:rPr>
                <w:rFonts w:ascii="Times New Roman" w:hAnsi="Times New Roman"/>
                <w:b/>
                <w:sz w:val="20"/>
                <w:szCs w:val="20"/>
              </w:rPr>
              <w:t>Weighted average interest at year end</w:t>
            </w:r>
          </w:p>
        </w:tc>
        <w:tc>
          <w:tcPr>
            <w:tcW w:w="284" w:type="dxa"/>
          </w:tcPr>
          <w:p w:rsidR="00B75FC8" w:rsidRPr="00B46F2F" w:rsidRDefault="00B75FC8" w:rsidP="00590B67">
            <w:pPr>
              <w:jc w:val="right"/>
              <w:rPr>
                <w:rFonts w:ascii="Times New Roman" w:hAnsi="Times New Roman"/>
                <w:b/>
                <w:sz w:val="20"/>
                <w:szCs w:val="20"/>
              </w:rPr>
            </w:pPr>
          </w:p>
        </w:tc>
        <w:tc>
          <w:tcPr>
            <w:tcW w:w="1276" w:type="dxa"/>
          </w:tcPr>
          <w:p w:rsidR="00B75FC8" w:rsidRPr="00B46F2F" w:rsidRDefault="00B75FC8" w:rsidP="00590B67">
            <w:pPr>
              <w:jc w:val="right"/>
              <w:rPr>
                <w:rFonts w:ascii="Times New Roman" w:hAnsi="Times New Roman"/>
                <w:b/>
                <w:sz w:val="20"/>
                <w:szCs w:val="20"/>
              </w:rPr>
            </w:pPr>
          </w:p>
          <w:p w:rsidR="00B75FC8" w:rsidRDefault="00B75FC8">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7</w:t>
            </w:r>
          </w:p>
          <w:p w:rsidR="00BB783A" w:rsidRPr="00B46F2F" w:rsidRDefault="00BB783A">
            <w:pPr>
              <w:jc w:val="right"/>
              <w:rPr>
                <w:rFonts w:ascii="Times New Roman" w:hAnsi="Times New Roman"/>
                <w:b/>
                <w:sz w:val="20"/>
                <w:szCs w:val="20"/>
              </w:rPr>
            </w:pPr>
            <w:r>
              <w:rPr>
                <w:rFonts w:ascii="Times New Roman" w:hAnsi="Times New Roman"/>
                <w:b/>
                <w:sz w:val="20"/>
                <w:szCs w:val="20"/>
              </w:rPr>
              <w:t>GBP</w:t>
            </w:r>
          </w:p>
        </w:tc>
      </w:tr>
      <w:tr w:rsidR="00B75FC8" w:rsidRPr="009170B8" w:rsidTr="00171C7E">
        <w:tc>
          <w:tcPr>
            <w:tcW w:w="1593" w:type="dxa"/>
          </w:tcPr>
          <w:p w:rsidR="00B75FC8" w:rsidRPr="009170B8" w:rsidRDefault="00B75FC8" w:rsidP="00590B67">
            <w:pPr>
              <w:rPr>
                <w:rFonts w:ascii="Times New Roman" w:hAnsi="Times New Roman"/>
                <w:sz w:val="20"/>
                <w:szCs w:val="20"/>
              </w:rPr>
            </w:pPr>
            <w:bookmarkStart w:id="55" w:name="_Hlk510628615"/>
          </w:p>
        </w:tc>
        <w:tc>
          <w:tcPr>
            <w:tcW w:w="1667" w:type="dxa"/>
          </w:tcPr>
          <w:p w:rsidR="00B75FC8" w:rsidRPr="00B46F2F" w:rsidRDefault="00B75FC8" w:rsidP="00590B67">
            <w:pPr>
              <w:rPr>
                <w:rFonts w:ascii="Times New Roman" w:hAnsi="Times New Roman"/>
                <w:sz w:val="20"/>
                <w:szCs w:val="20"/>
              </w:rPr>
            </w:pPr>
          </w:p>
        </w:tc>
        <w:tc>
          <w:tcPr>
            <w:tcW w:w="1701" w:type="dxa"/>
            <w:shd w:val="clear" w:color="auto" w:fill="auto"/>
          </w:tcPr>
          <w:p w:rsidR="00B75FC8" w:rsidRPr="00B46F2F" w:rsidRDefault="00B75FC8" w:rsidP="00590B67">
            <w:pPr>
              <w:jc w:val="right"/>
              <w:rPr>
                <w:rFonts w:ascii="Times New Roman" w:hAnsi="Times New Roman"/>
                <w:b/>
                <w:sz w:val="20"/>
                <w:szCs w:val="20"/>
              </w:rPr>
            </w:pPr>
          </w:p>
        </w:tc>
        <w:tc>
          <w:tcPr>
            <w:tcW w:w="1559" w:type="dxa"/>
          </w:tcPr>
          <w:p w:rsidR="00B75FC8" w:rsidRPr="00B46F2F" w:rsidRDefault="00B75FC8" w:rsidP="00590B67">
            <w:pPr>
              <w:jc w:val="right"/>
              <w:rPr>
                <w:rFonts w:ascii="Times New Roman" w:hAnsi="Times New Roman"/>
                <w:b/>
                <w:sz w:val="20"/>
                <w:szCs w:val="20"/>
              </w:rPr>
            </w:pPr>
          </w:p>
        </w:tc>
        <w:tc>
          <w:tcPr>
            <w:tcW w:w="1701" w:type="dxa"/>
          </w:tcPr>
          <w:p w:rsidR="00B75FC8" w:rsidRPr="00B46F2F" w:rsidRDefault="00B75FC8" w:rsidP="00590B67">
            <w:pPr>
              <w:jc w:val="right"/>
              <w:rPr>
                <w:rFonts w:ascii="Times New Roman" w:hAnsi="Times New Roman"/>
                <w:b/>
                <w:sz w:val="20"/>
                <w:szCs w:val="20"/>
              </w:rPr>
            </w:pPr>
          </w:p>
        </w:tc>
        <w:tc>
          <w:tcPr>
            <w:tcW w:w="284" w:type="dxa"/>
          </w:tcPr>
          <w:p w:rsidR="00B75FC8" w:rsidRPr="00B46F2F" w:rsidRDefault="00B75FC8" w:rsidP="00590B67">
            <w:pPr>
              <w:jc w:val="right"/>
              <w:rPr>
                <w:rFonts w:ascii="Times New Roman" w:hAnsi="Times New Roman"/>
                <w:b/>
                <w:sz w:val="20"/>
                <w:szCs w:val="20"/>
              </w:rPr>
            </w:pPr>
          </w:p>
        </w:tc>
        <w:tc>
          <w:tcPr>
            <w:tcW w:w="1276" w:type="dxa"/>
          </w:tcPr>
          <w:p w:rsidR="00B75FC8" w:rsidRPr="00B46F2F" w:rsidRDefault="00B75FC8" w:rsidP="00590B67">
            <w:pPr>
              <w:jc w:val="right"/>
              <w:rPr>
                <w:rFonts w:ascii="Times New Roman" w:hAnsi="Times New Roman"/>
                <w:b/>
                <w:sz w:val="20"/>
                <w:szCs w:val="20"/>
              </w:rPr>
            </w:pPr>
          </w:p>
        </w:tc>
      </w:tr>
      <w:bookmarkEnd w:id="55"/>
      <w:tr w:rsidR="00B75FC8" w:rsidRPr="009170B8" w:rsidTr="00171C7E">
        <w:trPr>
          <w:cantSplit/>
        </w:trPr>
        <w:tc>
          <w:tcPr>
            <w:tcW w:w="3260" w:type="dxa"/>
            <w:gridSpan w:val="2"/>
          </w:tcPr>
          <w:p w:rsidR="00B75FC8" w:rsidRPr="00B46F2F" w:rsidRDefault="00B75FC8" w:rsidP="00590B67">
            <w:pPr>
              <w:rPr>
                <w:rFonts w:ascii="Times New Roman" w:hAnsi="Times New Roman"/>
                <w:b/>
                <w:sz w:val="20"/>
                <w:szCs w:val="20"/>
              </w:rPr>
            </w:pPr>
            <w:r w:rsidRPr="00B46F2F">
              <w:rPr>
                <w:rFonts w:ascii="Times New Roman" w:hAnsi="Times New Roman"/>
                <w:b/>
                <w:sz w:val="20"/>
                <w:szCs w:val="20"/>
              </w:rPr>
              <w:t>Assets</w:t>
            </w:r>
          </w:p>
        </w:tc>
        <w:tc>
          <w:tcPr>
            <w:tcW w:w="1701" w:type="dxa"/>
            <w:shd w:val="clear" w:color="auto" w:fill="auto"/>
          </w:tcPr>
          <w:p w:rsidR="00B75FC8" w:rsidRPr="00B46F2F" w:rsidRDefault="00B75FC8" w:rsidP="00590B67">
            <w:pPr>
              <w:rPr>
                <w:rFonts w:ascii="Times New Roman" w:hAnsi="Times New Roman"/>
                <w:sz w:val="20"/>
                <w:szCs w:val="20"/>
              </w:rPr>
            </w:pPr>
          </w:p>
        </w:tc>
        <w:tc>
          <w:tcPr>
            <w:tcW w:w="1559" w:type="dxa"/>
          </w:tcPr>
          <w:p w:rsidR="00B75FC8" w:rsidRPr="00B46F2F" w:rsidRDefault="00B75FC8" w:rsidP="00590B67">
            <w:pPr>
              <w:rPr>
                <w:rFonts w:ascii="Times New Roman" w:hAnsi="Times New Roman"/>
                <w:sz w:val="20"/>
                <w:szCs w:val="20"/>
              </w:rPr>
            </w:pPr>
          </w:p>
        </w:tc>
        <w:tc>
          <w:tcPr>
            <w:tcW w:w="1701" w:type="dxa"/>
          </w:tcPr>
          <w:p w:rsidR="00B75FC8" w:rsidRPr="00B46F2F" w:rsidRDefault="00B75FC8" w:rsidP="00590B67">
            <w:pPr>
              <w:rPr>
                <w:rFonts w:ascii="Times New Roman" w:hAnsi="Times New Roman"/>
                <w:sz w:val="20"/>
                <w:szCs w:val="20"/>
              </w:rPr>
            </w:pPr>
          </w:p>
        </w:tc>
        <w:tc>
          <w:tcPr>
            <w:tcW w:w="284" w:type="dxa"/>
          </w:tcPr>
          <w:p w:rsidR="00B75FC8" w:rsidRPr="00B46F2F" w:rsidRDefault="00B75FC8" w:rsidP="00590B67">
            <w:pPr>
              <w:rPr>
                <w:rFonts w:ascii="Times New Roman" w:hAnsi="Times New Roman"/>
                <w:sz w:val="20"/>
                <w:szCs w:val="20"/>
              </w:rPr>
            </w:pPr>
          </w:p>
        </w:tc>
        <w:tc>
          <w:tcPr>
            <w:tcW w:w="1276" w:type="dxa"/>
          </w:tcPr>
          <w:p w:rsidR="00B75FC8" w:rsidRPr="00B46F2F" w:rsidRDefault="00B75FC8" w:rsidP="00590B67">
            <w:pPr>
              <w:rPr>
                <w:rFonts w:ascii="Times New Roman" w:hAnsi="Times New Roman"/>
                <w:sz w:val="20"/>
                <w:szCs w:val="20"/>
              </w:rPr>
            </w:pPr>
          </w:p>
        </w:tc>
      </w:tr>
      <w:tr w:rsidR="00B75FC8" w:rsidRPr="009170B8" w:rsidTr="00171C7E">
        <w:trPr>
          <w:cantSplit/>
        </w:trPr>
        <w:tc>
          <w:tcPr>
            <w:tcW w:w="3260" w:type="dxa"/>
            <w:gridSpan w:val="2"/>
          </w:tcPr>
          <w:p w:rsidR="00B75FC8" w:rsidRPr="00B46F2F" w:rsidRDefault="00B75FC8" w:rsidP="00590B67">
            <w:pPr>
              <w:rPr>
                <w:rFonts w:ascii="Times New Roman" w:hAnsi="Times New Roman"/>
                <w:b/>
                <w:sz w:val="20"/>
                <w:szCs w:val="20"/>
              </w:rPr>
            </w:pPr>
          </w:p>
        </w:tc>
        <w:tc>
          <w:tcPr>
            <w:tcW w:w="1701" w:type="dxa"/>
            <w:shd w:val="clear" w:color="auto" w:fill="auto"/>
          </w:tcPr>
          <w:p w:rsidR="00B75FC8" w:rsidRPr="00B46F2F" w:rsidRDefault="00B75FC8" w:rsidP="00590B67">
            <w:pPr>
              <w:rPr>
                <w:rFonts w:ascii="Times New Roman" w:hAnsi="Times New Roman"/>
                <w:sz w:val="20"/>
                <w:szCs w:val="20"/>
              </w:rPr>
            </w:pPr>
          </w:p>
        </w:tc>
        <w:tc>
          <w:tcPr>
            <w:tcW w:w="1559" w:type="dxa"/>
          </w:tcPr>
          <w:p w:rsidR="00B75FC8" w:rsidRPr="00B46F2F" w:rsidRDefault="00B75FC8" w:rsidP="00590B67">
            <w:pPr>
              <w:rPr>
                <w:rFonts w:ascii="Times New Roman" w:hAnsi="Times New Roman"/>
                <w:sz w:val="20"/>
                <w:szCs w:val="20"/>
              </w:rPr>
            </w:pPr>
          </w:p>
        </w:tc>
        <w:tc>
          <w:tcPr>
            <w:tcW w:w="1701" w:type="dxa"/>
          </w:tcPr>
          <w:p w:rsidR="00B75FC8" w:rsidRPr="00B46F2F" w:rsidRDefault="00B75FC8" w:rsidP="00590B67">
            <w:pPr>
              <w:rPr>
                <w:rFonts w:ascii="Times New Roman" w:hAnsi="Times New Roman"/>
                <w:sz w:val="20"/>
                <w:szCs w:val="20"/>
              </w:rPr>
            </w:pPr>
          </w:p>
        </w:tc>
        <w:tc>
          <w:tcPr>
            <w:tcW w:w="284" w:type="dxa"/>
          </w:tcPr>
          <w:p w:rsidR="00B75FC8" w:rsidRPr="00B46F2F" w:rsidRDefault="00B75FC8" w:rsidP="00590B67">
            <w:pPr>
              <w:rPr>
                <w:rFonts w:ascii="Times New Roman" w:hAnsi="Times New Roman"/>
                <w:sz w:val="20"/>
                <w:szCs w:val="20"/>
              </w:rPr>
            </w:pPr>
          </w:p>
        </w:tc>
        <w:tc>
          <w:tcPr>
            <w:tcW w:w="1276" w:type="dxa"/>
          </w:tcPr>
          <w:p w:rsidR="00B75FC8" w:rsidRPr="00B46F2F" w:rsidRDefault="00B75FC8" w:rsidP="00590B67">
            <w:pPr>
              <w:rPr>
                <w:rFonts w:ascii="Times New Roman" w:hAnsi="Times New Roman"/>
                <w:sz w:val="20"/>
                <w:szCs w:val="20"/>
              </w:rPr>
            </w:pPr>
          </w:p>
        </w:tc>
      </w:tr>
      <w:tr w:rsidR="00B75FC8" w:rsidRPr="009170B8" w:rsidTr="00171C7E">
        <w:trPr>
          <w:cantSplit/>
        </w:trPr>
        <w:tc>
          <w:tcPr>
            <w:tcW w:w="3260" w:type="dxa"/>
            <w:gridSpan w:val="2"/>
          </w:tcPr>
          <w:p w:rsidR="00B75FC8" w:rsidRPr="00B46F2F" w:rsidRDefault="00B75FC8" w:rsidP="00590B67">
            <w:pPr>
              <w:rPr>
                <w:rFonts w:ascii="Times New Roman" w:hAnsi="Times New Roman"/>
                <w:b/>
                <w:sz w:val="20"/>
                <w:szCs w:val="20"/>
              </w:rPr>
            </w:pPr>
            <w:r>
              <w:rPr>
                <w:rFonts w:ascii="Times New Roman" w:hAnsi="Times New Roman"/>
                <w:b/>
                <w:sz w:val="20"/>
                <w:szCs w:val="20"/>
              </w:rPr>
              <w:t>Fixed rate assets</w:t>
            </w:r>
          </w:p>
        </w:tc>
        <w:tc>
          <w:tcPr>
            <w:tcW w:w="1701" w:type="dxa"/>
            <w:shd w:val="clear" w:color="auto" w:fill="auto"/>
          </w:tcPr>
          <w:p w:rsidR="00B75FC8" w:rsidRPr="00B46F2F" w:rsidRDefault="00B75FC8" w:rsidP="00590B67">
            <w:pPr>
              <w:rPr>
                <w:rFonts w:ascii="Times New Roman" w:hAnsi="Times New Roman"/>
                <w:sz w:val="20"/>
                <w:szCs w:val="20"/>
              </w:rPr>
            </w:pPr>
          </w:p>
        </w:tc>
        <w:tc>
          <w:tcPr>
            <w:tcW w:w="1559" w:type="dxa"/>
          </w:tcPr>
          <w:p w:rsidR="00B75FC8" w:rsidRPr="00B46F2F" w:rsidRDefault="00B75FC8" w:rsidP="00590B67">
            <w:pPr>
              <w:rPr>
                <w:rFonts w:ascii="Times New Roman" w:hAnsi="Times New Roman"/>
                <w:sz w:val="20"/>
                <w:szCs w:val="20"/>
              </w:rPr>
            </w:pPr>
          </w:p>
        </w:tc>
        <w:tc>
          <w:tcPr>
            <w:tcW w:w="1701" w:type="dxa"/>
          </w:tcPr>
          <w:p w:rsidR="00B75FC8" w:rsidRPr="00B46F2F" w:rsidRDefault="00B75FC8" w:rsidP="00590B67">
            <w:pPr>
              <w:rPr>
                <w:rFonts w:ascii="Times New Roman" w:hAnsi="Times New Roman"/>
                <w:sz w:val="20"/>
                <w:szCs w:val="20"/>
              </w:rPr>
            </w:pPr>
          </w:p>
        </w:tc>
        <w:tc>
          <w:tcPr>
            <w:tcW w:w="284" w:type="dxa"/>
          </w:tcPr>
          <w:p w:rsidR="00B75FC8" w:rsidRPr="00B46F2F" w:rsidRDefault="00B75FC8" w:rsidP="00590B67">
            <w:pPr>
              <w:rPr>
                <w:rFonts w:ascii="Times New Roman" w:hAnsi="Times New Roman"/>
                <w:sz w:val="20"/>
                <w:szCs w:val="20"/>
              </w:rPr>
            </w:pPr>
          </w:p>
        </w:tc>
        <w:tc>
          <w:tcPr>
            <w:tcW w:w="1276" w:type="dxa"/>
          </w:tcPr>
          <w:p w:rsidR="00B75FC8" w:rsidRPr="00B46F2F" w:rsidRDefault="00B75FC8" w:rsidP="00590B67">
            <w:pPr>
              <w:rPr>
                <w:rFonts w:ascii="Times New Roman" w:hAnsi="Times New Roman"/>
                <w:sz w:val="20"/>
                <w:szCs w:val="20"/>
              </w:rPr>
            </w:pPr>
          </w:p>
        </w:tc>
      </w:tr>
      <w:tr w:rsidR="00B75FC8" w:rsidRPr="009170B8" w:rsidTr="00171C7E">
        <w:trPr>
          <w:cantSplit/>
        </w:trPr>
        <w:tc>
          <w:tcPr>
            <w:tcW w:w="3260" w:type="dxa"/>
            <w:gridSpan w:val="2"/>
          </w:tcPr>
          <w:p w:rsidR="00B75FC8" w:rsidRPr="00B46F2F" w:rsidRDefault="00B75FC8">
            <w:pPr>
              <w:rPr>
                <w:rFonts w:ascii="Times New Roman" w:hAnsi="Times New Roman"/>
                <w:sz w:val="20"/>
                <w:szCs w:val="20"/>
              </w:rPr>
            </w:pPr>
            <w:r w:rsidRPr="00B46F2F">
              <w:rPr>
                <w:rFonts w:ascii="Times New Roman" w:hAnsi="Times New Roman"/>
                <w:sz w:val="20"/>
                <w:szCs w:val="20"/>
              </w:rPr>
              <w:t>Debt securities</w:t>
            </w:r>
            <w:r>
              <w:rPr>
                <w:rFonts w:ascii="Times New Roman" w:hAnsi="Times New Roman"/>
                <w:sz w:val="20"/>
                <w:szCs w:val="20"/>
              </w:rPr>
              <w:t xml:space="preserve"> </w:t>
            </w:r>
          </w:p>
        </w:tc>
        <w:tc>
          <w:tcPr>
            <w:tcW w:w="1701" w:type="dxa"/>
            <w:shd w:val="clear" w:color="auto" w:fill="auto"/>
            <w:vAlign w:val="bottom"/>
          </w:tcPr>
          <w:p w:rsidR="00B75FC8" w:rsidRPr="00B46F2F" w:rsidRDefault="00B75FC8">
            <w:pPr>
              <w:jc w:val="right"/>
              <w:rPr>
                <w:rFonts w:ascii="Times New Roman" w:hAnsi="Times New Roman"/>
                <w:sz w:val="20"/>
                <w:szCs w:val="20"/>
              </w:rPr>
            </w:pPr>
            <w:r>
              <w:rPr>
                <w:rFonts w:ascii="Times New Roman" w:hAnsi="Times New Roman"/>
                <w:sz w:val="20"/>
                <w:szCs w:val="20"/>
              </w:rPr>
              <w:t>5.75%</w:t>
            </w:r>
          </w:p>
        </w:tc>
        <w:tc>
          <w:tcPr>
            <w:tcW w:w="1559" w:type="dxa"/>
            <w:vAlign w:val="bottom"/>
          </w:tcPr>
          <w:p w:rsidR="00B75FC8" w:rsidRPr="00B46F2F" w:rsidRDefault="00B75FC8">
            <w:pPr>
              <w:jc w:val="right"/>
              <w:rPr>
                <w:rFonts w:ascii="Times New Roman" w:hAnsi="Times New Roman"/>
                <w:sz w:val="20"/>
                <w:szCs w:val="20"/>
              </w:rPr>
            </w:pPr>
            <w:r>
              <w:rPr>
                <w:rFonts w:ascii="Times New Roman" w:hAnsi="Times New Roman"/>
                <w:sz w:val="20"/>
                <w:szCs w:val="20"/>
              </w:rPr>
              <w:t>1,</w:t>
            </w:r>
            <w:r w:rsidR="005B25AA">
              <w:rPr>
                <w:rFonts w:ascii="Times New Roman" w:hAnsi="Times New Roman"/>
                <w:sz w:val="20"/>
                <w:szCs w:val="20"/>
              </w:rPr>
              <w:t>154</w:t>
            </w:r>
            <w:r>
              <w:rPr>
                <w:rFonts w:ascii="Times New Roman" w:hAnsi="Times New Roman"/>
                <w:sz w:val="20"/>
                <w:szCs w:val="20"/>
              </w:rPr>
              <w:t>,</w:t>
            </w:r>
            <w:r w:rsidR="005B25AA">
              <w:rPr>
                <w:rFonts w:ascii="Times New Roman" w:hAnsi="Times New Roman"/>
                <w:sz w:val="20"/>
                <w:szCs w:val="20"/>
              </w:rPr>
              <w:t>809</w:t>
            </w:r>
          </w:p>
        </w:tc>
        <w:tc>
          <w:tcPr>
            <w:tcW w:w="1701" w:type="dxa"/>
          </w:tcPr>
          <w:p w:rsidR="00B75FC8" w:rsidRPr="00B46F2F" w:rsidRDefault="002A63A7">
            <w:pPr>
              <w:jc w:val="right"/>
              <w:rPr>
                <w:rFonts w:ascii="Times New Roman" w:hAnsi="Times New Roman"/>
                <w:sz w:val="20"/>
                <w:szCs w:val="20"/>
              </w:rPr>
            </w:pPr>
            <w:r>
              <w:rPr>
                <w:rFonts w:ascii="Times New Roman" w:hAnsi="Times New Roman"/>
                <w:sz w:val="20"/>
                <w:szCs w:val="20"/>
              </w:rPr>
              <w:t>5</w:t>
            </w:r>
            <w:r w:rsidR="00C84D94">
              <w:rPr>
                <w:rFonts w:ascii="Times New Roman" w:hAnsi="Times New Roman"/>
                <w:sz w:val="20"/>
                <w:szCs w:val="20"/>
              </w:rPr>
              <w:t>.</w:t>
            </w:r>
            <w:r>
              <w:rPr>
                <w:rFonts w:ascii="Times New Roman" w:hAnsi="Times New Roman"/>
                <w:sz w:val="20"/>
                <w:szCs w:val="20"/>
              </w:rPr>
              <w:t>7</w:t>
            </w:r>
            <w:r w:rsidR="00C84D94">
              <w:rPr>
                <w:rFonts w:ascii="Times New Roman" w:hAnsi="Times New Roman"/>
                <w:sz w:val="20"/>
                <w:szCs w:val="20"/>
              </w:rPr>
              <w:t>5</w:t>
            </w:r>
            <w:r>
              <w:rPr>
                <w:rFonts w:ascii="Times New Roman" w:hAnsi="Times New Roman"/>
                <w:sz w:val="20"/>
                <w:szCs w:val="20"/>
              </w:rPr>
              <w:t>%</w:t>
            </w:r>
          </w:p>
        </w:tc>
        <w:tc>
          <w:tcPr>
            <w:tcW w:w="284" w:type="dxa"/>
          </w:tcPr>
          <w:p w:rsidR="00B75FC8" w:rsidRDefault="00B75FC8" w:rsidP="003B01CA">
            <w:pPr>
              <w:jc w:val="right"/>
              <w:rPr>
                <w:rFonts w:ascii="Times New Roman" w:hAnsi="Times New Roman"/>
                <w:sz w:val="20"/>
                <w:szCs w:val="20"/>
              </w:rPr>
            </w:pPr>
          </w:p>
        </w:tc>
        <w:tc>
          <w:tcPr>
            <w:tcW w:w="1276" w:type="dxa"/>
            <w:vAlign w:val="bottom"/>
          </w:tcPr>
          <w:p w:rsidR="00B75FC8" w:rsidRPr="00B46F2F" w:rsidRDefault="00C84D94" w:rsidP="003B01CA">
            <w:pPr>
              <w:jc w:val="right"/>
              <w:rPr>
                <w:rFonts w:ascii="Times New Roman" w:hAnsi="Times New Roman"/>
                <w:sz w:val="20"/>
                <w:szCs w:val="20"/>
              </w:rPr>
            </w:pPr>
            <w:r>
              <w:rPr>
                <w:rFonts w:ascii="Times New Roman" w:hAnsi="Times New Roman"/>
                <w:sz w:val="20"/>
                <w:szCs w:val="20"/>
              </w:rPr>
              <w:t>1,208,649</w:t>
            </w:r>
          </w:p>
        </w:tc>
      </w:tr>
      <w:tr w:rsidR="00B75FC8" w:rsidRPr="009170B8" w:rsidTr="00171C7E">
        <w:trPr>
          <w:cantSplit/>
        </w:trPr>
        <w:tc>
          <w:tcPr>
            <w:tcW w:w="3260" w:type="dxa"/>
            <w:gridSpan w:val="2"/>
          </w:tcPr>
          <w:p w:rsidR="00B75FC8" w:rsidRPr="00B46F2F" w:rsidRDefault="00B75FC8" w:rsidP="00735183">
            <w:pPr>
              <w:rPr>
                <w:rFonts w:ascii="Times New Roman" w:hAnsi="Times New Roman"/>
                <w:sz w:val="20"/>
                <w:szCs w:val="20"/>
              </w:rPr>
            </w:pPr>
          </w:p>
        </w:tc>
        <w:tc>
          <w:tcPr>
            <w:tcW w:w="1701" w:type="dxa"/>
            <w:shd w:val="clear" w:color="auto" w:fill="auto"/>
            <w:vAlign w:val="bottom"/>
          </w:tcPr>
          <w:p w:rsidR="00B75FC8" w:rsidRDefault="00B75FC8">
            <w:pPr>
              <w:jc w:val="right"/>
              <w:rPr>
                <w:rFonts w:ascii="Times New Roman" w:hAnsi="Times New Roman"/>
                <w:sz w:val="20"/>
                <w:szCs w:val="20"/>
              </w:rPr>
            </w:pPr>
          </w:p>
        </w:tc>
        <w:tc>
          <w:tcPr>
            <w:tcW w:w="1559" w:type="dxa"/>
            <w:vAlign w:val="bottom"/>
          </w:tcPr>
          <w:p w:rsidR="00B75FC8" w:rsidRPr="00B46F2F" w:rsidRDefault="00B75FC8" w:rsidP="00590B67">
            <w:pPr>
              <w:jc w:val="right"/>
              <w:rPr>
                <w:rFonts w:ascii="Times New Roman" w:hAnsi="Times New Roman"/>
                <w:sz w:val="20"/>
                <w:szCs w:val="20"/>
              </w:rPr>
            </w:pPr>
          </w:p>
        </w:tc>
        <w:tc>
          <w:tcPr>
            <w:tcW w:w="1701" w:type="dxa"/>
          </w:tcPr>
          <w:p w:rsidR="00B75FC8" w:rsidRPr="00B46F2F" w:rsidRDefault="00B75FC8" w:rsidP="00590B67">
            <w:pPr>
              <w:jc w:val="right"/>
              <w:rPr>
                <w:rFonts w:ascii="Times New Roman" w:hAnsi="Times New Roman"/>
                <w:sz w:val="20"/>
                <w:szCs w:val="20"/>
              </w:rPr>
            </w:pPr>
          </w:p>
        </w:tc>
        <w:tc>
          <w:tcPr>
            <w:tcW w:w="284" w:type="dxa"/>
          </w:tcPr>
          <w:p w:rsidR="00B75FC8" w:rsidRDefault="00B75FC8" w:rsidP="003B01CA">
            <w:pPr>
              <w:jc w:val="right"/>
              <w:rPr>
                <w:rFonts w:ascii="Times New Roman" w:hAnsi="Times New Roman"/>
                <w:sz w:val="20"/>
                <w:szCs w:val="20"/>
              </w:rPr>
            </w:pPr>
          </w:p>
        </w:tc>
        <w:tc>
          <w:tcPr>
            <w:tcW w:w="1276" w:type="dxa"/>
            <w:vAlign w:val="bottom"/>
          </w:tcPr>
          <w:p w:rsidR="00B75FC8" w:rsidRDefault="00B75FC8" w:rsidP="003B01CA">
            <w:pPr>
              <w:jc w:val="right"/>
              <w:rPr>
                <w:rFonts w:ascii="Times New Roman" w:hAnsi="Times New Roman"/>
                <w:sz w:val="20"/>
                <w:szCs w:val="20"/>
              </w:rPr>
            </w:pPr>
          </w:p>
        </w:tc>
      </w:tr>
      <w:tr w:rsidR="00B75FC8" w:rsidRPr="009170B8" w:rsidTr="00171C7E">
        <w:trPr>
          <w:cantSplit/>
        </w:trPr>
        <w:tc>
          <w:tcPr>
            <w:tcW w:w="3260" w:type="dxa"/>
            <w:gridSpan w:val="2"/>
          </w:tcPr>
          <w:p w:rsidR="00B75FC8" w:rsidRPr="00C87A19" w:rsidRDefault="00B75FC8" w:rsidP="00590B67">
            <w:pPr>
              <w:rPr>
                <w:rFonts w:ascii="Times New Roman" w:hAnsi="Times New Roman"/>
                <w:b/>
                <w:sz w:val="20"/>
                <w:szCs w:val="20"/>
              </w:rPr>
            </w:pPr>
            <w:r w:rsidRPr="00C87A19">
              <w:rPr>
                <w:rFonts w:ascii="Times New Roman" w:hAnsi="Times New Roman"/>
                <w:b/>
                <w:sz w:val="20"/>
                <w:szCs w:val="20"/>
              </w:rPr>
              <w:t>Floating rate</w:t>
            </w:r>
            <w:r>
              <w:rPr>
                <w:rFonts w:ascii="Times New Roman" w:hAnsi="Times New Roman"/>
                <w:b/>
                <w:sz w:val="20"/>
                <w:szCs w:val="20"/>
              </w:rPr>
              <w:t xml:space="preserve"> assets</w:t>
            </w:r>
          </w:p>
        </w:tc>
        <w:tc>
          <w:tcPr>
            <w:tcW w:w="1701" w:type="dxa"/>
            <w:shd w:val="clear" w:color="auto" w:fill="auto"/>
            <w:vAlign w:val="bottom"/>
          </w:tcPr>
          <w:p w:rsidR="00B75FC8" w:rsidRDefault="00B75FC8">
            <w:pPr>
              <w:jc w:val="right"/>
              <w:rPr>
                <w:rFonts w:ascii="Times New Roman" w:hAnsi="Times New Roman"/>
                <w:sz w:val="20"/>
                <w:szCs w:val="20"/>
              </w:rPr>
            </w:pPr>
          </w:p>
        </w:tc>
        <w:tc>
          <w:tcPr>
            <w:tcW w:w="1559" w:type="dxa"/>
            <w:vAlign w:val="bottom"/>
          </w:tcPr>
          <w:p w:rsidR="00B75FC8" w:rsidRPr="00B46F2F" w:rsidRDefault="00B75FC8" w:rsidP="00590B67">
            <w:pPr>
              <w:jc w:val="right"/>
              <w:rPr>
                <w:rFonts w:ascii="Times New Roman" w:hAnsi="Times New Roman"/>
                <w:sz w:val="20"/>
                <w:szCs w:val="20"/>
              </w:rPr>
            </w:pPr>
          </w:p>
        </w:tc>
        <w:tc>
          <w:tcPr>
            <w:tcW w:w="1701" w:type="dxa"/>
          </w:tcPr>
          <w:p w:rsidR="00B75FC8" w:rsidRPr="00B46F2F" w:rsidRDefault="00B75FC8" w:rsidP="00590B67">
            <w:pPr>
              <w:jc w:val="right"/>
              <w:rPr>
                <w:rFonts w:ascii="Times New Roman" w:hAnsi="Times New Roman"/>
                <w:sz w:val="20"/>
                <w:szCs w:val="20"/>
              </w:rPr>
            </w:pPr>
          </w:p>
        </w:tc>
        <w:tc>
          <w:tcPr>
            <w:tcW w:w="284" w:type="dxa"/>
          </w:tcPr>
          <w:p w:rsidR="00B75FC8" w:rsidRDefault="00B75FC8" w:rsidP="003B01CA">
            <w:pPr>
              <w:jc w:val="right"/>
              <w:rPr>
                <w:rFonts w:ascii="Times New Roman" w:hAnsi="Times New Roman"/>
                <w:sz w:val="20"/>
                <w:szCs w:val="20"/>
              </w:rPr>
            </w:pPr>
          </w:p>
        </w:tc>
        <w:tc>
          <w:tcPr>
            <w:tcW w:w="1276" w:type="dxa"/>
            <w:vAlign w:val="bottom"/>
          </w:tcPr>
          <w:p w:rsidR="00B75FC8" w:rsidRDefault="00B75FC8" w:rsidP="003B01CA">
            <w:pPr>
              <w:jc w:val="right"/>
              <w:rPr>
                <w:rFonts w:ascii="Times New Roman" w:hAnsi="Times New Roman"/>
                <w:sz w:val="20"/>
                <w:szCs w:val="20"/>
              </w:rPr>
            </w:pPr>
          </w:p>
        </w:tc>
      </w:tr>
      <w:tr w:rsidR="00B75FC8" w:rsidRPr="009170B8" w:rsidTr="00171C7E">
        <w:trPr>
          <w:cantSplit/>
          <w:trHeight w:val="219"/>
        </w:trPr>
        <w:tc>
          <w:tcPr>
            <w:tcW w:w="3260" w:type="dxa"/>
            <w:gridSpan w:val="2"/>
          </w:tcPr>
          <w:p w:rsidR="00B75FC8" w:rsidRPr="00B46F2F" w:rsidRDefault="00B75FC8">
            <w:pPr>
              <w:rPr>
                <w:rFonts w:ascii="Times New Roman" w:hAnsi="Times New Roman"/>
                <w:sz w:val="20"/>
                <w:szCs w:val="20"/>
              </w:rPr>
            </w:pPr>
            <w:r w:rsidRPr="00B46F2F">
              <w:rPr>
                <w:rFonts w:ascii="Times New Roman" w:hAnsi="Times New Roman"/>
                <w:sz w:val="20"/>
                <w:szCs w:val="20"/>
              </w:rPr>
              <w:t>Cash and cash equivalents</w:t>
            </w:r>
            <w:r>
              <w:rPr>
                <w:rFonts w:ascii="Times New Roman" w:hAnsi="Times New Roman"/>
                <w:sz w:val="20"/>
                <w:szCs w:val="20"/>
              </w:rPr>
              <w:t xml:space="preserve"> </w:t>
            </w:r>
          </w:p>
        </w:tc>
        <w:tc>
          <w:tcPr>
            <w:tcW w:w="1701" w:type="dxa"/>
            <w:shd w:val="clear" w:color="auto" w:fill="auto"/>
          </w:tcPr>
          <w:p w:rsidR="00B75FC8" w:rsidRPr="00B46F2F" w:rsidRDefault="00B75FC8">
            <w:pPr>
              <w:jc w:val="right"/>
              <w:rPr>
                <w:rFonts w:ascii="Times New Roman" w:hAnsi="Times New Roman"/>
                <w:sz w:val="20"/>
                <w:szCs w:val="20"/>
              </w:rPr>
            </w:pPr>
            <w:r>
              <w:rPr>
                <w:rFonts w:ascii="Times New Roman" w:hAnsi="Times New Roman"/>
                <w:sz w:val="20"/>
                <w:szCs w:val="20"/>
              </w:rPr>
              <w:t>*</w:t>
            </w:r>
          </w:p>
        </w:tc>
        <w:tc>
          <w:tcPr>
            <w:tcW w:w="1559" w:type="dxa"/>
          </w:tcPr>
          <w:p w:rsidR="00B75FC8" w:rsidRPr="00B46F2F" w:rsidRDefault="005B25AA">
            <w:pPr>
              <w:jc w:val="right"/>
              <w:rPr>
                <w:rFonts w:ascii="Times New Roman" w:hAnsi="Times New Roman"/>
                <w:sz w:val="20"/>
                <w:szCs w:val="20"/>
              </w:rPr>
            </w:pPr>
            <w:r>
              <w:rPr>
                <w:rFonts w:ascii="Times New Roman" w:hAnsi="Times New Roman"/>
                <w:sz w:val="20"/>
                <w:szCs w:val="20"/>
              </w:rPr>
              <w:t>7</w:t>
            </w:r>
            <w:r w:rsidR="00B75FC8">
              <w:rPr>
                <w:rFonts w:ascii="Times New Roman" w:hAnsi="Times New Roman"/>
                <w:sz w:val="20"/>
                <w:szCs w:val="20"/>
              </w:rPr>
              <w:t>,</w:t>
            </w:r>
            <w:r>
              <w:rPr>
                <w:rFonts w:ascii="Times New Roman" w:hAnsi="Times New Roman"/>
                <w:sz w:val="20"/>
                <w:szCs w:val="20"/>
              </w:rPr>
              <w:t>889</w:t>
            </w:r>
            <w:r w:rsidR="00B75FC8">
              <w:rPr>
                <w:rFonts w:ascii="Times New Roman" w:hAnsi="Times New Roman"/>
                <w:sz w:val="20"/>
                <w:szCs w:val="20"/>
              </w:rPr>
              <w:t>,</w:t>
            </w:r>
            <w:r>
              <w:rPr>
                <w:rFonts w:ascii="Times New Roman" w:hAnsi="Times New Roman"/>
                <w:sz w:val="20"/>
                <w:szCs w:val="20"/>
              </w:rPr>
              <w:t>488</w:t>
            </w:r>
          </w:p>
        </w:tc>
        <w:tc>
          <w:tcPr>
            <w:tcW w:w="1701" w:type="dxa"/>
          </w:tcPr>
          <w:p w:rsidR="00B75FC8" w:rsidRPr="00B46F2F" w:rsidRDefault="002A63A7" w:rsidP="00590B67">
            <w:pPr>
              <w:jc w:val="right"/>
              <w:rPr>
                <w:rFonts w:ascii="Times New Roman" w:hAnsi="Times New Roman"/>
                <w:sz w:val="20"/>
                <w:szCs w:val="20"/>
              </w:rPr>
            </w:pPr>
            <w:r>
              <w:rPr>
                <w:rFonts w:ascii="Times New Roman" w:hAnsi="Times New Roman"/>
                <w:sz w:val="20"/>
                <w:szCs w:val="20"/>
              </w:rPr>
              <w:t>*</w:t>
            </w:r>
          </w:p>
        </w:tc>
        <w:tc>
          <w:tcPr>
            <w:tcW w:w="284" w:type="dxa"/>
          </w:tcPr>
          <w:p w:rsidR="00B75FC8" w:rsidRDefault="00B75FC8" w:rsidP="003B01CA">
            <w:pPr>
              <w:jc w:val="right"/>
              <w:rPr>
                <w:rFonts w:ascii="Times New Roman" w:hAnsi="Times New Roman"/>
                <w:sz w:val="20"/>
                <w:szCs w:val="20"/>
              </w:rPr>
            </w:pPr>
          </w:p>
        </w:tc>
        <w:tc>
          <w:tcPr>
            <w:tcW w:w="1276" w:type="dxa"/>
          </w:tcPr>
          <w:p w:rsidR="00B75FC8" w:rsidRPr="00B46F2F" w:rsidRDefault="00C84D94" w:rsidP="003B01CA">
            <w:pPr>
              <w:jc w:val="right"/>
              <w:rPr>
                <w:rFonts w:ascii="Times New Roman" w:hAnsi="Times New Roman"/>
                <w:sz w:val="20"/>
                <w:szCs w:val="20"/>
              </w:rPr>
            </w:pPr>
            <w:r>
              <w:rPr>
                <w:rFonts w:ascii="Times New Roman" w:hAnsi="Times New Roman"/>
                <w:sz w:val="20"/>
                <w:szCs w:val="20"/>
              </w:rPr>
              <w:t>9,328,518</w:t>
            </w:r>
          </w:p>
        </w:tc>
      </w:tr>
      <w:tr w:rsidR="00B75FC8" w:rsidRPr="009170B8" w:rsidTr="00171C7E">
        <w:tc>
          <w:tcPr>
            <w:tcW w:w="1593" w:type="dxa"/>
          </w:tcPr>
          <w:p w:rsidR="00B75FC8" w:rsidRPr="009170B8" w:rsidRDefault="00B75FC8" w:rsidP="00590B67">
            <w:pPr>
              <w:rPr>
                <w:rFonts w:ascii="Times New Roman" w:hAnsi="Times New Roman"/>
                <w:sz w:val="20"/>
                <w:szCs w:val="20"/>
              </w:rPr>
            </w:pPr>
          </w:p>
        </w:tc>
        <w:tc>
          <w:tcPr>
            <w:tcW w:w="1667" w:type="dxa"/>
          </w:tcPr>
          <w:p w:rsidR="00B75FC8" w:rsidRPr="00B46F2F" w:rsidRDefault="00B75FC8" w:rsidP="00590B67">
            <w:pPr>
              <w:rPr>
                <w:rFonts w:ascii="Times New Roman" w:hAnsi="Times New Roman"/>
                <w:sz w:val="20"/>
                <w:szCs w:val="20"/>
              </w:rPr>
            </w:pPr>
          </w:p>
        </w:tc>
        <w:tc>
          <w:tcPr>
            <w:tcW w:w="1701" w:type="dxa"/>
            <w:shd w:val="clear" w:color="auto" w:fill="auto"/>
          </w:tcPr>
          <w:p w:rsidR="00B75FC8" w:rsidRPr="00B46F2F" w:rsidRDefault="00B75FC8" w:rsidP="00590B67">
            <w:pPr>
              <w:jc w:val="right"/>
              <w:rPr>
                <w:rFonts w:ascii="Times New Roman" w:hAnsi="Times New Roman"/>
                <w:sz w:val="20"/>
                <w:szCs w:val="20"/>
              </w:rPr>
            </w:pPr>
          </w:p>
        </w:tc>
        <w:tc>
          <w:tcPr>
            <w:tcW w:w="1559" w:type="dxa"/>
            <w:tcBorders>
              <w:bottom w:val="single" w:sz="4" w:space="0" w:color="auto"/>
            </w:tcBorders>
          </w:tcPr>
          <w:p w:rsidR="00B75FC8" w:rsidRPr="00B46F2F" w:rsidRDefault="00B75FC8" w:rsidP="00590B67">
            <w:pPr>
              <w:jc w:val="right"/>
              <w:rPr>
                <w:rFonts w:ascii="Times New Roman" w:hAnsi="Times New Roman"/>
                <w:sz w:val="20"/>
                <w:szCs w:val="20"/>
              </w:rPr>
            </w:pPr>
          </w:p>
        </w:tc>
        <w:tc>
          <w:tcPr>
            <w:tcW w:w="1701" w:type="dxa"/>
          </w:tcPr>
          <w:p w:rsidR="00B75FC8" w:rsidRPr="00B46F2F" w:rsidRDefault="00B75FC8" w:rsidP="00590B67">
            <w:pPr>
              <w:jc w:val="right"/>
              <w:rPr>
                <w:rFonts w:ascii="Times New Roman" w:hAnsi="Times New Roman"/>
                <w:sz w:val="20"/>
                <w:szCs w:val="20"/>
              </w:rPr>
            </w:pPr>
          </w:p>
        </w:tc>
        <w:tc>
          <w:tcPr>
            <w:tcW w:w="284" w:type="dxa"/>
          </w:tcPr>
          <w:p w:rsidR="00B75FC8" w:rsidRPr="00B46F2F" w:rsidRDefault="00B75FC8" w:rsidP="00590B67">
            <w:pPr>
              <w:jc w:val="right"/>
              <w:rPr>
                <w:rFonts w:ascii="Times New Roman" w:hAnsi="Times New Roman"/>
                <w:sz w:val="20"/>
                <w:szCs w:val="20"/>
              </w:rPr>
            </w:pPr>
          </w:p>
        </w:tc>
        <w:tc>
          <w:tcPr>
            <w:tcW w:w="1276" w:type="dxa"/>
            <w:tcBorders>
              <w:bottom w:val="single" w:sz="4" w:space="0" w:color="auto"/>
            </w:tcBorders>
          </w:tcPr>
          <w:p w:rsidR="00B75FC8" w:rsidRPr="00B46F2F" w:rsidRDefault="00B75FC8" w:rsidP="00590B67">
            <w:pPr>
              <w:jc w:val="right"/>
              <w:rPr>
                <w:rFonts w:ascii="Times New Roman" w:hAnsi="Times New Roman"/>
                <w:sz w:val="20"/>
                <w:szCs w:val="20"/>
              </w:rPr>
            </w:pPr>
          </w:p>
        </w:tc>
      </w:tr>
      <w:tr w:rsidR="00B75FC8" w:rsidRPr="009170B8" w:rsidTr="00171C7E">
        <w:tc>
          <w:tcPr>
            <w:tcW w:w="1593" w:type="dxa"/>
          </w:tcPr>
          <w:p w:rsidR="00B75FC8" w:rsidRPr="009170B8" w:rsidRDefault="00B75FC8" w:rsidP="00590B67">
            <w:pPr>
              <w:rPr>
                <w:rFonts w:ascii="Times New Roman" w:hAnsi="Times New Roman"/>
                <w:sz w:val="20"/>
                <w:szCs w:val="20"/>
              </w:rPr>
            </w:pPr>
          </w:p>
        </w:tc>
        <w:tc>
          <w:tcPr>
            <w:tcW w:w="1667" w:type="dxa"/>
          </w:tcPr>
          <w:p w:rsidR="00B75FC8" w:rsidRPr="00B46F2F" w:rsidRDefault="00B75FC8" w:rsidP="00590B67">
            <w:pPr>
              <w:rPr>
                <w:rFonts w:ascii="Times New Roman" w:hAnsi="Times New Roman"/>
                <w:sz w:val="20"/>
                <w:szCs w:val="20"/>
              </w:rPr>
            </w:pPr>
          </w:p>
        </w:tc>
        <w:tc>
          <w:tcPr>
            <w:tcW w:w="1701" w:type="dxa"/>
            <w:shd w:val="clear" w:color="auto" w:fill="auto"/>
          </w:tcPr>
          <w:p w:rsidR="00B75FC8" w:rsidRPr="00B46F2F" w:rsidRDefault="00B75FC8">
            <w:pPr>
              <w:jc w:val="right"/>
              <w:rPr>
                <w:rFonts w:ascii="Times New Roman" w:hAnsi="Times New Roman"/>
                <w:b/>
                <w:sz w:val="20"/>
                <w:szCs w:val="20"/>
              </w:rPr>
            </w:pPr>
          </w:p>
        </w:tc>
        <w:tc>
          <w:tcPr>
            <w:tcW w:w="1559" w:type="dxa"/>
            <w:tcBorders>
              <w:top w:val="single" w:sz="4" w:space="0" w:color="auto"/>
              <w:bottom w:val="single" w:sz="4" w:space="0" w:color="auto"/>
            </w:tcBorders>
          </w:tcPr>
          <w:p w:rsidR="00B75FC8" w:rsidRPr="00B75FC8" w:rsidRDefault="0069096F">
            <w:pPr>
              <w:jc w:val="right"/>
              <w:rPr>
                <w:rFonts w:ascii="Times New Roman" w:hAnsi="Times New Roman"/>
                <w:b/>
                <w:sz w:val="20"/>
                <w:szCs w:val="20"/>
              </w:rPr>
            </w:pPr>
            <w:r>
              <w:rPr>
                <w:rFonts w:ascii="Times New Roman" w:hAnsi="Times New Roman"/>
                <w:b/>
                <w:sz w:val="20"/>
                <w:szCs w:val="20"/>
              </w:rPr>
              <w:t>9</w:t>
            </w:r>
            <w:r w:rsidR="00B75FC8" w:rsidRPr="00B75FC8">
              <w:rPr>
                <w:rFonts w:ascii="Times New Roman" w:hAnsi="Times New Roman"/>
                <w:b/>
                <w:sz w:val="20"/>
                <w:szCs w:val="20"/>
              </w:rPr>
              <w:t>,</w:t>
            </w:r>
            <w:r w:rsidR="005B25AA">
              <w:rPr>
                <w:rFonts w:ascii="Times New Roman" w:hAnsi="Times New Roman"/>
                <w:b/>
                <w:sz w:val="20"/>
                <w:szCs w:val="20"/>
              </w:rPr>
              <w:t>044</w:t>
            </w:r>
            <w:r w:rsidR="00B75FC8" w:rsidRPr="00B75FC8">
              <w:rPr>
                <w:rFonts w:ascii="Times New Roman" w:hAnsi="Times New Roman"/>
                <w:b/>
                <w:sz w:val="20"/>
                <w:szCs w:val="20"/>
              </w:rPr>
              <w:t>,</w:t>
            </w:r>
            <w:r w:rsidR="005B25AA">
              <w:rPr>
                <w:rFonts w:ascii="Times New Roman" w:hAnsi="Times New Roman"/>
                <w:b/>
                <w:sz w:val="20"/>
                <w:szCs w:val="20"/>
              </w:rPr>
              <w:t>29</w:t>
            </w:r>
            <w:r w:rsidR="00B75FC8" w:rsidRPr="00B75FC8">
              <w:rPr>
                <w:rFonts w:ascii="Times New Roman" w:hAnsi="Times New Roman"/>
                <w:b/>
                <w:sz w:val="20"/>
                <w:szCs w:val="20"/>
              </w:rPr>
              <w:t>7</w:t>
            </w:r>
          </w:p>
        </w:tc>
        <w:tc>
          <w:tcPr>
            <w:tcW w:w="1701" w:type="dxa"/>
          </w:tcPr>
          <w:p w:rsidR="00B75FC8" w:rsidRPr="00B46F2F" w:rsidRDefault="00B75FC8" w:rsidP="00590B67">
            <w:pPr>
              <w:jc w:val="right"/>
              <w:rPr>
                <w:rFonts w:ascii="Times New Roman" w:hAnsi="Times New Roman"/>
                <w:b/>
                <w:sz w:val="20"/>
                <w:szCs w:val="20"/>
              </w:rPr>
            </w:pPr>
          </w:p>
        </w:tc>
        <w:tc>
          <w:tcPr>
            <w:tcW w:w="284" w:type="dxa"/>
          </w:tcPr>
          <w:p w:rsidR="00B75FC8" w:rsidRDefault="00B75FC8" w:rsidP="00590B67">
            <w:pPr>
              <w:jc w:val="right"/>
              <w:rPr>
                <w:rFonts w:ascii="Times New Roman" w:hAnsi="Times New Roman"/>
                <w:b/>
                <w:sz w:val="20"/>
                <w:szCs w:val="20"/>
              </w:rPr>
            </w:pPr>
          </w:p>
        </w:tc>
        <w:tc>
          <w:tcPr>
            <w:tcW w:w="1276" w:type="dxa"/>
            <w:tcBorders>
              <w:top w:val="single" w:sz="4" w:space="0" w:color="auto"/>
              <w:bottom w:val="single" w:sz="4" w:space="0" w:color="auto"/>
            </w:tcBorders>
          </w:tcPr>
          <w:p w:rsidR="00B75FC8" w:rsidRPr="00B46F2F" w:rsidRDefault="00C84D94" w:rsidP="00590B67">
            <w:pPr>
              <w:jc w:val="right"/>
              <w:rPr>
                <w:rFonts w:ascii="Times New Roman" w:hAnsi="Times New Roman"/>
                <w:b/>
                <w:sz w:val="20"/>
                <w:szCs w:val="20"/>
              </w:rPr>
            </w:pPr>
            <w:r w:rsidRPr="00B75FC8">
              <w:rPr>
                <w:rFonts w:ascii="Times New Roman" w:hAnsi="Times New Roman"/>
                <w:b/>
                <w:sz w:val="20"/>
                <w:szCs w:val="20"/>
              </w:rPr>
              <w:t>10,537,167</w:t>
            </w:r>
          </w:p>
        </w:tc>
      </w:tr>
      <w:tr w:rsidR="00B75FC8" w:rsidRPr="009170B8" w:rsidTr="00171C7E">
        <w:trPr>
          <w:trHeight w:val="57"/>
        </w:trPr>
        <w:tc>
          <w:tcPr>
            <w:tcW w:w="3260" w:type="dxa"/>
            <w:gridSpan w:val="2"/>
          </w:tcPr>
          <w:p w:rsidR="00B75FC8" w:rsidRPr="00B46F2F" w:rsidRDefault="00B75FC8" w:rsidP="00590B67">
            <w:pPr>
              <w:jc w:val="right"/>
              <w:rPr>
                <w:rFonts w:ascii="Times New Roman" w:hAnsi="Times New Roman"/>
                <w:sz w:val="20"/>
                <w:szCs w:val="20"/>
              </w:rPr>
            </w:pPr>
          </w:p>
        </w:tc>
        <w:tc>
          <w:tcPr>
            <w:tcW w:w="1701" w:type="dxa"/>
            <w:shd w:val="clear" w:color="auto" w:fill="auto"/>
          </w:tcPr>
          <w:p w:rsidR="00B75FC8" w:rsidRPr="00B46F2F" w:rsidRDefault="00B75FC8" w:rsidP="00590B67">
            <w:pPr>
              <w:jc w:val="right"/>
              <w:rPr>
                <w:rFonts w:ascii="Times New Roman" w:hAnsi="Times New Roman"/>
                <w:sz w:val="20"/>
                <w:szCs w:val="20"/>
              </w:rPr>
            </w:pPr>
          </w:p>
        </w:tc>
        <w:tc>
          <w:tcPr>
            <w:tcW w:w="1559" w:type="dxa"/>
            <w:tcBorders>
              <w:top w:val="single" w:sz="4" w:space="0" w:color="auto"/>
            </w:tcBorders>
          </w:tcPr>
          <w:p w:rsidR="00B75FC8" w:rsidRPr="00B46F2F" w:rsidRDefault="00B75FC8" w:rsidP="00590B67">
            <w:pPr>
              <w:jc w:val="right"/>
              <w:rPr>
                <w:rFonts w:ascii="Times New Roman" w:hAnsi="Times New Roman"/>
                <w:sz w:val="20"/>
                <w:szCs w:val="20"/>
              </w:rPr>
            </w:pPr>
          </w:p>
        </w:tc>
        <w:tc>
          <w:tcPr>
            <w:tcW w:w="1701" w:type="dxa"/>
            <w:tcBorders>
              <w:right w:val="nil"/>
            </w:tcBorders>
          </w:tcPr>
          <w:p w:rsidR="00B75FC8" w:rsidRPr="00B46F2F" w:rsidRDefault="00B75FC8" w:rsidP="00590B67">
            <w:pPr>
              <w:jc w:val="right"/>
              <w:rPr>
                <w:rFonts w:ascii="Times New Roman" w:hAnsi="Times New Roman"/>
                <w:sz w:val="20"/>
                <w:szCs w:val="20"/>
              </w:rPr>
            </w:pPr>
          </w:p>
        </w:tc>
        <w:tc>
          <w:tcPr>
            <w:tcW w:w="284" w:type="dxa"/>
            <w:tcBorders>
              <w:right w:val="nil"/>
            </w:tcBorders>
          </w:tcPr>
          <w:p w:rsidR="00B75FC8" w:rsidRPr="00B46F2F" w:rsidRDefault="00B75FC8" w:rsidP="00590B67">
            <w:pPr>
              <w:jc w:val="right"/>
              <w:rPr>
                <w:rFonts w:ascii="Times New Roman" w:hAnsi="Times New Roman"/>
                <w:sz w:val="20"/>
                <w:szCs w:val="20"/>
              </w:rPr>
            </w:pPr>
          </w:p>
        </w:tc>
        <w:tc>
          <w:tcPr>
            <w:tcW w:w="1276" w:type="dxa"/>
            <w:tcBorders>
              <w:left w:val="nil"/>
            </w:tcBorders>
          </w:tcPr>
          <w:p w:rsidR="00B75FC8" w:rsidRPr="00B46F2F" w:rsidRDefault="00B75FC8" w:rsidP="00590B67">
            <w:pPr>
              <w:jc w:val="right"/>
              <w:rPr>
                <w:rFonts w:ascii="Times New Roman" w:hAnsi="Times New Roman"/>
                <w:sz w:val="20"/>
                <w:szCs w:val="20"/>
              </w:rPr>
            </w:pPr>
          </w:p>
        </w:tc>
      </w:tr>
      <w:tr w:rsidR="00B75FC8" w:rsidRPr="009170B8" w:rsidTr="00171C7E">
        <w:trPr>
          <w:trHeight w:val="56"/>
        </w:trPr>
        <w:tc>
          <w:tcPr>
            <w:tcW w:w="3260" w:type="dxa"/>
            <w:gridSpan w:val="2"/>
            <w:vAlign w:val="bottom"/>
          </w:tcPr>
          <w:p w:rsidR="00B75FC8" w:rsidRPr="00B46F2F" w:rsidRDefault="00B75FC8" w:rsidP="00590B67">
            <w:pPr>
              <w:rPr>
                <w:rFonts w:ascii="Times New Roman" w:hAnsi="Times New Roman"/>
                <w:b/>
                <w:sz w:val="20"/>
                <w:szCs w:val="20"/>
              </w:rPr>
            </w:pPr>
          </w:p>
        </w:tc>
        <w:tc>
          <w:tcPr>
            <w:tcW w:w="1701" w:type="dxa"/>
            <w:vAlign w:val="bottom"/>
          </w:tcPr>
          <w:p w:rsidR="00B75FC8" w:rsidRPr="00B46F2F" w:rsidRDefault="00B75FC8" w:rsidP="00590B67">
            <w:pPr>
              <w:jc w:val="right"/>
              <w:rPr>
                <w:rFonts w:ascii="Times New Roman" w:hAnsi="Times New Roman"/>
                <w:sz w:val="20"/>
                <w:szCs w:val="20"/>
              </w:rPr>
            </w:pPr>
          </w:p>
        </w:tc>
        <w:tc>
          <w:tcPr>
            <w:tcW w:w="1559" w:type="dxa"/>
          </w:tcPr>
          <w:p w:rsidR="00B75FC8" w:rsidRPr="00B46F2F" w:rsidRDefault="00B75FC8" w:rsidP="00590B67">
            <w:pPr>
              <w:jc w:val="right"/>
              <w:rPr>
                <w:rFonts w:ascii="Times New Roman" w:hAnsi="Times New Roman"/>
                <w:sz w:val="20"/>
                <w:szCs w:val="20"/>
              </w:rPr>
            </w:pPr>
          </w:p>
        </w:tc>
        <w:tc>
          <w:tcPr>
            <w:tcW w:w="1701" w:type="dxa"/>
            <w:tcBorders>
              <w:right w:val="nil"/>
            </w:tcBorders>
          </w:tcPr>
          <w:p w:rsidR="00B75FC8" w:rsidRPr="00B46F2F" w:rsidRDefault="00B75FC8" w:rsidP="00590B67">
            <w:pPr>
              <w:jc w:val="right"/>
              <w:rPr>
                <w:rFonts w:ascii="Times New Roman" w:hAnsi="Times New Roman"/>
                <w:sz w:val="20"/>
                <w:szCs w:val="20"/>
              </w:rPr>
            </w:pPr>
          </w:p>
        </w:tc>
        <w:tc>
          <w:tcPr>
            <w:tcW w:w="284" w:type="dxa"/>
            <w:tcBorders>
              <w:right w:val="nil"/>
            </w:tcBorders>
          </w:tcPr>
          <w:p w:rsidR="00B75FC8" w:rsidRPr="00B46F2F" w:rsidRDefault="00B75FC8" w:rsidP="00590B67">
            <w:pPr>
              <w:jc w:val="right"/>
              <w:rPr>
                <w:rFonts w:ascii="Times New Roman" w:hAnsi="Times New Roman"/>
                <w:sz w:val="20"/>
                <w:szCs w:val="20"/>
              </w:rPr>
            </w:pPr>
          </w:p>
        </w:tc>
        <w:tc>
          <w:tcPr>
            <w:tcW w:w="1276" w:type="dxa"/>
            <w:tcBorders>
              <w:left w:val="nil"/>
            </w:tcBorders>
            <w:vAlign w:val="bottom"/>
          </w:tcPr>
          <w:p w:rsidR="00B75FC8" w:rsidRPr="00B46F2F" w:rsidRDefault="00B75FC8" w:rsidP="00590B67">
            <w:pPr>
              <w:jc w:val="right"/>
              <w:rPr>
                <w:rFonts w:ascii="Times New Roman" w:hAnsi="Times New Roman"/>
                <w:sz w:val="20"/>
                <w:szCs w:val="20"/>
              </w:rPr>
            </w:pPr>
          </w:p>
        </w:tc>
      </w:tr>
    </w:tbl>
    <w:p w:rsidR="00735183" w:rsidRDefault="00B75FC8" w:rsidP="00C87A19">
      <w:pPr>
        <w:jc w:val="both"/>
        <w:rPr>
          <w:rFonts w:ascii="Times New Roman" w:hAnsi="Times New Roman"/>
          <w:sz w:val="20"/>
          <w:szCs w:val="20"/>
        </w:rPr>
      </w:pPr>
      <w:r w:rsidRPr="00171C7E">
        <w:rPr>
          <w:rFonts w:ascii="Times New Roman" w:hAnsi="Times New Roman"/>
          <w:sz w:val="20"/>
          <w:szCs w:val="20"/>
        </w:rPr>
        <w:t>*Interest on bank balances are not material to the financial statements</w:t>
      </w:r>
      <w:r w:rsidR="00536B8C">
        <w:rPr>
          <w:rFonts w:ascii="Times New Roman" w:hAnsi="Times New Roman"/>
          <w:sz w:val="20"/>
          <w:szCs w:val="20"/>
        </w:rPr>
        <w:t xml:space="preserve"> and are based on prevailing bank base rates.</w:t>
      </w:r>
    </w:p>
    <w:p w:rsidR="00735183" w:rsidRPr="00B46F2F" w:rsidRDefault="00735183" w:rsidP="00735183">
      <w:pPr>
        <w:pStyle w:val="Heading2"/>
        <w:tabs>
          <w:tab w:val="right" w:pos="8222"/>
        </w:tabs>
        <w:rPr>
          <w:rFonts w:ascii="Times New Roman" w:hAnsi="Times New Roman"/>
        </w:rPr>
      </w:pPr>
      <w:r w:rsidRPr="009170B8">
        <w:rPr>
          <w:rFonts w:ascii="Times New Roman" w:hAnsi="Times New Roman"/>
        </w:rPr>
        <w:t xml:space="preserve">Notes to the </w:t>
      </w:r>
      <w:r w:rsidRPr="00B46F2F">
        <w:rPr>
          <w:rFonts w:ascii="Times New Roman" w:hAnsi="Times New Roman"/>
        </w:rPr>
        <w:t xml:space="preserve">Financial Statements </w:t>
      </w:r>
      <w:r>
        <w:rPr>
          <w:rFonts w:ascii="Times New Roman" w:hAnsi="Times New Roman"/>
        </w:rPr>
        <w:t xml:space="preserve">of the Fund </w:t>
      </w:r>
      <w:r w:rsidRPr="00B46F2F">
        <w:rPr>
          <w:rFonts w:ascii="Times New Roman" w:hAnsi="Times New Roman"/>
        </w:rPr>
        <w:t>(continued)</w:t>
      </w:r>
    </w:p>
    <w:p w:rsidR="00735183" w:rsidRPr="00B46F2F" w:rsidRDefault="00735183" w:rsidP="00735183">
      <w:pPr>
        <w:pStyle w:val="Heading3"/>
        <w:rPr>
          <w:rFonts w:ascii="Times New Roman" w:hAnsi="Times New Roman"/>
          <w:b w:val="0"/>
        </w:rPr>
      </w:pPr>
      <w:r w:rsidRPr="00B46F2F">
        <w:rPr>
          <w:rFonts w:ascii="Times New Roman" w:hAnsi="Times New Roman"/>
        </w:rPr>
        <w:t>For the year ended 31 December 201</w:t>
      </w:r>
      <w:r w:rsidR="00C84D94">
        <w:rPr>
          <w:rFonts w:ascii="Times New Roman" w:hAnsi="Times New Roman"/>
        </w:rPr>
        <w:t>8</w:t>
      </w:r>
      <w:r w:rsidRPr="00B46F2F">
        <w:rPr>
          <w:rFonts w:ascii="Times New Roman" w:hAnsi="Times New Roman"/>
        </w:rPr>
        <w:t xml:space="preserve"> </w:t>
      </w:r>
    </w:p>
    <w:p w:rsidR="00735183" w:rsidRDefault="00735183" w:rsidP="00C87A19">
      <w:pPr>
        <w:jc w:val="both"/>
        <w:rPr>
          <w:rFonts w:ascii="Times New Roman" w:hAnsi="Times New Roman"/>
          <w:sz w:val="20"/>
          <w:szCs w:val="20"/>
        </w:rPr>
      </w:pPr>
    </w:p>
    <w:p w:rsidR="00735183" w:rsidRDefault="00735183" w:rsidP="00735183">
      <w:pPr>
        <w:pStyle w:val="BodyText"/>
        <w:tabs>
          <w:tab w:val="clear" w:pos="3402"/>
          <w:tab w:val="clear" w:pos="8222"/>
        </w:tabs>
        <w:ind w:left="426" w:hanging="426"/>
        <w:rPr>
          <w:rFonts w:ascii="Times New Roman" w:hAnsi="Times New Roman"/>
          <w:b/>
        </w:rPr>
      </w:pPr>
      <w:r w:rsidRPr="00B46F2F">
        <w:rPr>
          <w:rFonts w:ascii="Times New Roman" w:hAnsi="Times New Roman"/>
          <w:b/>
        </w:rPr>
        <w:t>16. Financial instruments (continued)</w:t>
      </w:r>
    </w:p>
    <w:p w:rsidR="00735183" w:rsidRPr="00B46F2F" w:rsidRDefault="00735183" w:rsidP="00735183">
      <w:pPr>
        <w:pStyle w:val="BodyText"/>
        <w:tabs>
          <w:tab w:val="clear" w:pos="3402"/>
          <w:tab w:val="clear" w:pos="8222"/>
        </w:tabs>
        <w:ind w:left="426" w:hanging="426"/>
        <w:rPr>
          <w:rFonts w:ascii="Times New Roman" w:hAnsi="Times New Roman"/>
          <w:b/>
        </w:rPr>
      </w:pPr>
    </w:p>
    <w:p w:rsidR="00735183" w:rsidRPr="00B46F2F" w:rsidRDefault="00735183" w:rsidP="00735183">
      <w:pPr>
        <w:ind w:left="284"/>
        <w:rPr>
          <w:rFonts w:ascii="Times New Roman" w:hAnsi="Times New Roman"/>
          <w:i/>
          <w:sz w:val="20"/>
          <w:szCs w:val="20"/>
        </w:rPr>
      </w:pPr>
      <w:r w:rsidRPr="00B46F2F">
        <w:rPr>
          <w:rFonts w:ascii="Times New Roman" w:hAnsi="Times New Roman"/>
          <w:i/>
          <w:sz w:val="20"/>
          <w:szCs w:val="20"/>
        </w:rPr>
        <w:t>Interest rate risk</w:t>
      </w:r>
      <w:r>
        <w:rPr>
          <w:rFonts w:ascii="Times New Roman" w:hAnsi="Times New Roman"/>
          <w:i/>
          <w:sz w:val="20"/>
          <w:szCs w:val="20"/>
        </w:rPr>
        <w:t xml:space="preserve"> (continued)</w:t>
      </w:r>
    </w:p>
    <w:p w:rsidR="00735183" w:rsidRDefault="00735183" w:rsidP="00C87A19">
      <w:pPr>
        <w:jc w:val="both"/>
        <w:rPr>
          <w:rFonts w:ascii="Times New Roman" w:hAnsi="Times New Roman"/>
          <w:sz w:val="20"/>
          <w:szCs w:val="20"/>
        </w:rPr>
      </w:pPr>
    </w:p>
    <w:tbl>
      <w:tblPr>
        <w:tblpPr w:leftFromText="180" w:rightFromText="180" w:vertAnchor="page" w:horzAnchor="margin" w:tblpX="534" w:tblpY="3064"/>
        <w:tblW w:w="10314" w:type="dxa"/>
        <w:tblLayout w:type="fixed"/>
        <w:tblLook w:val="0000" w:firstRow="0" w:lastRow="0" w:firstColumn="0" w:lastColumn="0" w:noHBand="0" w:noVBand="0"/>
      </w:tblPr>
      <w:tblGrid>
        <w:gridCol w:w="3085"/>
        <w:gridCol w:w="1701"/>
        <w:gridCol w:w="1559"/>
        <w:gridCol w:w="1701"/>
        <w:gridCol w:w="284"/>
        <w:gridCol w:w="1276"/>
        <w:gridCol w:w="425"/>
        <w:gridCol w:w="283"/>
      </w:tblGrid>
      <w:tr w:rsidR="002A63A7" w:rsidRPr="00B46F2F" w:rsidTr="00171C7E">
        <w:trPr>
          <w:trHeight w:val="282"/>
        </w:trPr>
        <w:tc>
          <w:tcPr>
            <w:tcW w:w="4786" w:type="dxa"/>
            <w:gridSpan w:val="2"/>
            <w:vAlign w:val="bottom"/>
          </w:tcPr>
          <w:p w:rsidR="002A63A7" w:rsidRPr="00882CE8" w:rsidRDefault="002A63A7" w:rsidP="00735183">
            <w:pPr>
              <w:rPr>
                <w:rFonts w:ascii="Times New Roman" w:hAnsi="Times New Roman"/>
                <w:b/>
                <w:sz w:val="20"/>
                <w:szCs w:val="20"/>
              </w:rPr>
            </w:pPr>
          </w:p>
        </w:tc>
        <w:tc>
          <w:tcPr>
            <w:tcW w:w="5528" w:type="dxa"/>
            <w:gridSpan w:val="6"/>
          </w:tcPr>
          <w:p w:rsidR="002A63A7" w:rsidRPr="00882CE8" w:rsidRDefault="008A0222" w:rsidP="00A5285B">
            <w:pPr>
              <w:rPr>
                <w:rFonts w:ascii="Times New Roman" w:hAnsi="Times New Roman"/>
                <w:b/>
                <w:sz w:val="20"/>
                <w:szCs w:val="20"/>
              </w:rPr>
            </w:pPr>
            <w:r>
              <w:rPr>
                <w:rFonts w:ascii="Times New Roman" w:hAnsi="Times New Roman"/>
                <w:b/>
                <w:sz w:val="20"/>
                <w:szCs w:val="20"/>
              </w:rPr>
              <w:t>F</w:t>
            </w:r>
            <w:r w:rsidR="002A63A7" w:rsidRPr="00882CE8">
              <w:rPr>
                <w:rFonts w:ascii="Times New Roman" w:hAnsi="Times New Roman"/>
                <w:b/>
                <w:sz w:val="20"/>
                <w:szCs w:val="20"/>
              </w:rPr>
              <w:t xml:space="preserve">loating rate </w:t>
            </w:r>
            <w:r>
              <w:rPr>
                <w:rFonts w:ascii="Times New Roman" w:hAnsi="Times New Roman"/>
                <w:b/>
                <w:sz w:val="20"/>
                <w:szCs w:val="20"/>
              </w:rPr>
              <w:t>liabilities</w:t>
            </w:r>
            <w:r w:rsidR="002A63A7" w:rsidRPr="00882CE8">
              <w:rPr>
                <w:rFonts w:ascii="Times New Roman" w:hAnsi="Times New Roman"/>
                <w:b/>
                <w:sz w:val="20"/>
                <w:szCs w:val="20"/>
              </w:rPr>
              <w:t xml:space="preserve"> </w:t>
            </w:r>
          </w:p>
        </w:tc>
      </w:tr>
      <w:tr w:rsidR="002A63A7" w:rsidRPr="00B46F2F" w:rsidTr="00171C7E">
        <w:trPr>
          <w:gridAfter w:val="1"/>
          <w:wAfter w:w="283" w:type="dxa"/>
          <w:trHeight w:val="285"/>
        </w:trPr>
        <w:tc>
          <w:tcPr>
            <w:tcW w:w="3085" w:type="dxa"/>
            <w:vAlign w:val="bottom"/>
          </w:tcPr>
          <w:p w:rsidR="002A63A7" w:rsidRPr="00882CE8" w:rsidRDefault="002A63A7" w:rsidP="002A63A7">
            <w:pPr>
              <w:rPr>
                <w:rFonts w:ascii="Times New Roman" w:hAnsi="Times New Roman"/>
                <w:sz w:val="20"/>
                <w:szCs w:val="20"/>
              </w:rPr>
            </w:pPr>
          </w:p>
        </w:tc>
        <w:tc>
          <w:tcPr>
            <w:tcW w:w="1701" w:type="dxa"/>
          </w:tcPr>
          <w:p w:rsidR="002A63A7" w:rsidRPr="00882CE8" w:rsidRDefault="002A63A7" w:rsidP="002A63A7">
            <w:pPr>
              <w:jc w:val="right"/>
              <w:rPr>
                <w:rFonts w:ascii="Times New Roman" w:hAnsi="Times New Roman"/>
                <w:b/>
                <w:sz w:val="20"/>
                <w:szCs w:val="20"/>
              </w:rPr>
            </w:pPr>
          </w:p>
        </w:tc>
        <w:tc>
          <w:tcPr>
            <w:tcW w:w="1559" w:type="dxa"/>
          </w:tcPr>
          <w:p w:rsidR="002A63A7" w:rsidRPr="00B46F2F" w:rsidRDefault="002A63A7" w:rsidP="003B01CA">
            <w:pPr>
              <w:jc w:val="right"/>
              <w:rPr>
                <w:rFonts w:ascii="Times New Roman" w:hAnsi="Times New Roman"/>
                <w:b/>
                <w:sz w:val="20"/>
                <w:szCs w:val="20"/>
              </w:rPr>
            </w:pPr>
          </w:p>
          <w:p w:rsidR="002A63A7" w:rsidRPr="00882CE8" w:rsidRDefault="002A63A7" w:rsidP="002A63A7">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8</w:t>
            </w:r>
          </w:p>
        </w:tc>
        <w:tc>
          <w:tcPr>
            <w:tcW w:w="1701" w:type="dxa"/>
          </w:tcPr>
          <w:p w:rsidR="002A63A7" w:rsidRPr="00882CE8" w:rsidRDefault="002A63A7" w:rsidP="002A63A7">
            <w:pPr>
              <w:jc w:val="right"/>
              <w:rPr>
                <w:rFonts w:ascii="Times New Roman" w:hAnsi="Times New Roman"/>
                <w:b/>
                <w:sz w:val="20"/>
                <w:szCs w:val="20"/>
              </w:rPr>
            </w:pPr>
          </w:p>
        </w:tc>
        <w:tc>
          <w:tcPr>
            <w:tcW w:w="284" w:type="dxa"/>
          </w:tcPr>
          <w:p w:rsidR="002A63A7" w:rsidRPr="00882CE8" w:rsidRDefault="002A63A7" w:rsidP="002A63A7">
            <w:pPr>
              <w:jc w:val="right"/>
              <w:rPr>
                <w:rFonts w:ascii="Times New Roman" w:hAnsi="Times New Roman"/>
                <w:b/>
                <w:sz w:val="20"/>
                <w:szCs w:val="20"/>
              </w:rPr>
            </w:pPr>
          </w:p>
        </w:tc>
        <w:tc>
          <w:tcPr>
            <w:tcW w:w="1276" w:type="dxa"/>
            <w:tcBorders>
              <w:right w:val="nil"/>
            </w:tcBorders>
          </w:tcPr>
          <w:p w:rsidR="002A63A7" w:rsidRPr="00B46F2F" w:rsidRDefault="002A63A7" w:rsidP="00171C7E">
            <w:pPr>
              <w:ind w:right="34"/>
              <w:jc w:val="right"/>
              <w:rPr>
                <w:rFonts w:ascii="Times New Roman" w:hAnsi="Times New Roman"/>
                <w:b/>
                <w:sz w:val="20"/>
                <w:szCs w:val="20"/>
              </w:rPr>
            </w:pPr>
          </w:p>
          <w:p w:rsidR="002A63A7" w:rsidRPr="00882CE8" w:rsidRDefault="002A63A7" w:rsidP="00C02E54">
            <w:pPr>
              <w:ind w:right="34"/>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7</w:t>
            </w:r>
          </w:p>
        </w:tc>
        <w:tc>
          <w:tcPr>
            <w:tcW w:w="425" w:type="dxa"/>
            <w:tcBorders>
              <w:left w:val="nil"/>
            </w:tcBorders>
            <w:vAlign w:val="bottom"/>
          </w:tcPr>
          <w:p w:rsidR="002A63A7" w:rsidRPr="00882CE8" w:rsidRDefault="002A63A7" w:rsidP="00171C7E">
            <w:pPr>
              <w:ind w:right="317"/>
              <w:jc w:val="right"/>
              <w:rPr>
                <w:rFonts w:ascii="Times New Roman" w:hAnsi="Times New Roman"/>
                <w:b/>
                <w:sz w:val="20"/>
                <w:szCs w:val="20"/>
              </w:rPr>
            </w:pPr>
          </w:p>
        </w:tc>
      </w:tr>
      <w:tr w:rsidR="002A63A7" w:rsidRPr="00B46F2F" w:rsidTr="00171C7E">
        <w:trPr>
          <w:gridAfter w:val="1"/>
          <w:wAfter w:w="283" w:type="dxa"/>
          <w:trHeight w:val="56"/>
        </w:trPr>
        <w:tc>
          <w:tcPr>
            <w:tcW w:w="3085" w:type="dxa"/>
            <w:vAlign w:val="bottom"/>
          </w:tcPr>
          <w:p w:rsidR="002A63A7" w:rsidRPr="00882CE8" w:rsidRDefault="002A63A7" w:rsidP="002A63A7">
            <w:pPr>
              <w:rPr>
                <w:rFonts w:ascii="Times New Roman" w:hAnsi="Times New Roman"/>
                <w:sz w:val="20"/>
                <w:szCs w:val="20"/>
              </w:rPr>
            </w:pPr>
          </w:p>
        </w:tc>
        <w:tc>
          <w:tcPr>
            <w:tcW w:w="1701" w:type="dxa"/>
          </w:tcPr>
          <w:p w:rsidR="002A63A7" w:rsidRPr="00882CE8" w:rsidRDefault="002A63A7" w:rsidP="002A63A7">
            <w:pPr>
              <w:jc w:val="right"/>
              <w:rPr>
                <w:rFonts w:ascii="Times New Roman" w:hAnsi="Times New Roman"/>
                <w:b/>
                <w:sz w:val="20"/>
                <w:szCs w:val="20"/>
              </w:rPr>
            </w:pPr>
          </w:p>
        </w:tc>
        <w:tc>
          <w:tcPr>
            <w:tcW w:w="1559" w:type="dxa"/>
          </w:tcPr>
          <w:p w:rsidR="002A63A7" w:rsidRPr="00882CE8" w:rsidRDefault="002A63A7" w:rsidP="002A63A7">
            <w:pPr>
              <w:jc w:val="right"/>
              <w:rPr>
                <w:rFonts w:ascii="Times New Roman" w:hAnsi="Times New Roman"/>
                <w:b/>
                <w:sz w:val="20"/>
                <w:szCs w:val="20"/>
              </w:rPr>
            </w:pPr>
            <w:r w:rsidRPr="00B46F2F">
              <w:rPr>
                <w:rFonts w:ascii="Times New Roman" w:hAnsi="Times New Roman"/>
                <w:b/>
                <w:sz w:val="20"/>
                <w:szCs w:val="20"/>
              </w:rPr>
              <w:t>GBP</w:t>
            </w:r>
          </w:p>
        </w:tc>
        <w:tc>
          <w:tcPr>
            <w:tcW w:w="1701" w:type="dxa"/>
          </w:tcPr>
          <w:p w:rsidR="002A63A7" w:rsidRPr="00882CE8" w:rsidRDefault="002A63A7" w:rsidP="002A63A7">
            <w:pPr>
              <w:jc w:val="right"/>
              <w:rPr>
                <w:rFonts w:ascii="Times New Roman" w:hAnsi="Times New Roman"/>
                <w:b/>
                <w:sz w:val="20"/>
                <w:szCs w:val="20"/>
              </w:rPr>
            </w:pPr>
          </w:p>
        </w:tc>
        <w:tc>
          <w:tcPr>
            <w:tcW w:w="284" w:type="dxa"/>
          </w:tcPr>
          <w:p w:rsidR="002A63A7" w:rsidRPr="00882CE8" w:rsidRDefault="002A63A7" w:rsidP="002A63A7">
            <w:pPr>
              <w:jc w:val="right"/>
              <w:rPr>
                <w:rFonts w:ascii="Times New Roman" w:hAnsi="Times New Roman"/>
                <w:b/>
                <w:sz w:val="20"/>
                <w:szCs w:val="20"/>
              </w:rPr>
            </w:pPr>
          </w:p>
        </w:tc>
        <w:tc>
          <w:tcPr>
            <w:tcW w:w="1276" w:type="dxa"/>
            <w:tcBorders>
              <w:right w:val="nil"/>
            </w:tcBorders>
          </w:tcPr>
          <w:p w:rsidR="002A63A7" w:rsidRPr="00882CE8" w:rsidRDefault="002A63A7" w:rsidP="00171C7E">
            <w:pPr>
              <w:ind w:right="34"/>
              <w:jc w:val="right"/>
              <w:rPr>
                <w:rFonts w:ascii="Times New Roman" w:hAnsi="Times New Roman"/>
                <w:b/>
                <w:sz w:val="20"/>
                <w:szCs w:val="20"/>
              </w:rPr>
            </w:pPr>
            <w:r w:rsidRPr="00B46F2F">
              <w:rPr>
                <w:rFonts w:ascii="Times New Roman" w:hAnsi="Times New Roman"/>
                <w:b/>
                <w:sz w:val="20"/>
                <w:szCs w:val="20"/>
              </w:rPr>
              <w:t>GBP</w:t>
            </w:r>
          </w:p>
        </w:tc>
        <w:tc>
          <w:tcPr>
            <w:tcW w:w="425" w:type="dxa"/>
            <w:tcBorders>
              <w:left w:val="nil"/>
            </w:tcBorders>
            <w:vAlign w:val="bottom"/>
          </w:tcPr>
          <w:p w:rsidR="002A63A7" w:rsidRPr="00882CE8" w:rsidRDefault="002A63A7" w:rsidP="00171C7E">
            <w:pPr>
              <w:ind w:right="317"/>
              <w:jc w:val="right"/>
              <w:rPr>
                <w:rFonts w:ascii="Times New Roman" w:hAnsi="Times New Roman"/>
                <w:b/>
                <w:sz w:val="20"/>
                <w:szCs w:val="20"/>
              </w:rPr>
            </w:pPr>
          </w:p>
        </w:tc>
      </w:tr>
      <w:tr w:rsidR="002A63A7" w:rsidRPr="00B46F2F" w:rsidTr="00171C7E">
        <w:trPr>
          <w:gridAfter w:val="1"/>
          <w:wAfter w:w="283" w:type="dxa"/>
          <w:trHeight w:val="56"/>
        </w:trPr>
        <w:tc>
          <w:tcPr>
            <w:tcW w:w="3085" w:type="dxa"/>
            <w:vAlign w:val="bottom"/>
          </w:tcPr>
          <w:p w:rsidR="002A63A7" w:rsidRPr="00882CE8" w:rsidRDefault="002A63A7" w:rsidP="002A63A7">
            <w:pPr>
              <w:rPr>
                <w:rFonts w:ascii="Times New Roman" w:hAnsi="Times New Roman"/>
                <w:b/>
                <w:sz w:val="20"/>
                <w:szCs w:val="20"/>
              </w:rPr>
            </w:pPr>
            <w:r w:rsidRPr="00882CE8">
              <w:rPr>
                <w:rFonts w:ascii="Times New Roman" w:hAnsi="Times New Roman"/>
                <w:b/>
                <w:sz w:val="20"/>
                <w:szCs w:val="20"/>
              </w:rPr>
              <w:t>Liabilities</w:t>
            </w:r>
          </w:p>
        </w:tc>
        <w:tc>
          <w:tcPr>
            <w:tcW w:w="1701" w:type="dxa"/>
            <w:vAlign w:val="bottom"/>
          </w:tcPr>
          <w:p w:rsidR="002A63A7" w:rsidRPr="00882CE8" w:rsidRDefault="002A63A7" w:rsidP="002A63A7">
            <w:pPr>
              <w:jc w:val="right"/>
              <w:rPr>
                <w:rFonts w:ascii="Times New Roman" w:hAnsi="Times New Roman"/>
                <w:sz w:val="20"/>
                <w:szCs w:val="20"/>
              </w:rPr>
            </w:pPr>
          </w:p>
        </w:tc>
        <w:tc>
          <w:tcPr>
            <w:tcW w:w="1559" w:type="dxa"/>
          </w:tcPr>
          <w:p w:rsidR="002A63A7" w:rsidRPr="00882CE8" w:rsidRDefault="002A63A7" w:rsidP="002A63A7">
            <w:pPr>
              <w:jc w:val="right"/>
              <w:rPr>
                <w:rFonts w:ascii="Times New Roman" w:hAnsi="Times New Roman"/>
                <w:sz w:val="20"/>
                <w:szCs w:val="20"/>
              </w:rPr>
            </w:pPr>
          </w:p>
        </w:tc>
        <w:tc>
          <w:tcPr>
            <w:tcW w:w="1701" w:type="dxa"/>
          </w:tcPr>
          <w:p w:rsidR="002A63A7" w:rsidRPr="00882CE8" w:rsidRDefault="002A63A7" w:rsidP="002A63A7">
            <w:pPr>
              <w:jc w:val="right"/>
              <w:rPr>
                <w:rFonts w:ascii="Times New Roman" w:hAnsi="Times New Roman"/>
                <w:sz w:val="20"/>
                <w:szCs w:val="20"/>
              </w:rPr>
            </w:pPr>
          </w:p>
        </w:tc>
        <w:tc>
          <w:tcPr>
            <w:tcW w:w="284" w:type="dxa"/>
          </w:tcPr>
          <w:p w:rsidR="002A63A7" w:rsidRPr="00882CE8" w:rsidRDefault="002A63A7" w:rsidP="002A63A7">
            <w:pPr>
              <w:jc w:val="right"/>
              <w:rPr>
                <w:rFonts w:ascii="Times New Roman" w:hAnsi="Times New Roman"/>
                <w:sz w:val="20"/>
                <w:szCs w:val="20"/>
              </w:rPr>
            </w:pPr>
          </w:p>
        </w:tc>
        <w:tc>
          <w:tcPr>
            <w:tcW w:w="1276" w:type="dxa"/>
            <w:tcBorders>
              <w:right w:val="nil"/>
            </w:tcBorders>
            <w:vAlign w:val="bottom"/>
          </w:tcPr>
          <w:p w:rsidR="002A63A7" w:rsidRPr="00882CE8" w:rsidRDefault="002A63A7" w:rsidP="00171C7E">
            <w:pPr>
              <w:ind w:right="34"/>
              <w:jc w:val="right"/>
              <w:rPr>
                <w:rFonts w:ascii="Times New Roman" w:hAnsi="Times New Roman"/>
                <w:sz w:val="20"/>
                <w:szCs w:val="20"/>
              </w:rPr>
            </w:pPr>
          </w:p>
        </w:tc>
        <w:tc>
          <w:tcPr>
            <w:tcW w:w="425" w:type="dxa"/>
            <w:tcBorders>
              <w:left w:val="nil"/>
            </w:tcBorders>
            <w:vAlign w:val="bottom"/>
          </w:tcPr>
          <w:p w:rsidR="002A63A7" w:rsidRPr="00882CE8" w:rsidRDefault="002A63A7" w:rsidP="00171C7E">
            <w:pPr>
              <w:ind w:right="317"/>
              <w:jc w:val="right"/>
              <w:rPr>
                <w:rFonts w:ascii="Times New Roman" w:hAnsi="Times New Roman"/>
                <w:sz w:val="20"/>
                <w:szCs w:val="20"/>
              </w:rPr>
            </w:pPr>
          </w:p>
        </w:tc>
      </w:tr>
      <w:tr w:rsidR="002A63A7" w:rsidRPr="00B46F2F" w:rsidTr="00171C7E">
        <w:trPr>
          <w:gridAfter w:val="1"/>
          <w:wAfter w:w="283" w:type="dxa"/>
          <w:trHeight w:val="56"/>
        </w:trPr>
        <w:tc>
          <w:tcPr>
            <w:tcW w:w="3085" w:type="dxa"/>
            <w:vAlign w:val="bottom"/>
          </w:tcPr>
          <w:p w:rsidR="002A63A7" w:rsidRPr="00882CE8" w:rsidRDefault="002A63A7" w:rsidP="002A63A7">
            <w:pPr>
              <w:rPr>
                <w:rFonts w:ascii="Times New Roman" w:hAnsi="Times New Roman"/>
                <w:b/>
                <w:sz w:val="20"/>
                <w:szCs w:val="20"/>
              </w:rPr>
            </w:pPr>
          </w:p>
        </w:tc>
        <w:tc>
          <w:tcPr>
            <w:tcW w:w="1701" w:type="dxa"/>
            <w:vAlign w:val="bottom"/>
          </w:tcPr>
          <w:p w:rsidR="002A63A7" w:rsidRPr="00882CE8" w:rsidRDefault="002A63A7" w:rsidP="002A63A7">
            <w:pPr>
              <w:jc w:val="right"/>
              <w:rPr>
                <w:rFonts w:ascii="Times New Roman" w:hAnsi="Times New Roman"/>
                <w:sz w:val="20"/>
                <w:szCs w:val="20"/>
              </w:rPr>
            </w:pPr>
          </w:p>
        </w:tc>
        <w:tc>
          <w:tcPr>
            <w:tcW w:w="1559" w:type="dxa"/>
          </w:tcPr>
          <w:p w:rsidR="002A63A7" w:rsidRPr="00882CE8" w:rsidRDefault="002A63A7" w:rsidP="002A63A7">
            <w:pPr>
              <w:jc w:val="right"/>
              <w:rPr>
                <w:rFonts w:ascii="Times New Roman" w:hAnsi="Times New Roman"/>
                <w:sz w:val="20"/>
                <w:szCs w:val="20"/>
              </w:rPr>
            </w:pPr>
          </w:p>
        </w:tc>
        <w:tc>
          <w:tcPr>
            <w:tcW w:w="1701" w:type="dxa"/>
          </w:tcPr>
          <w:p w:rsidR="002A63A7" w:rsidRPr="00882CE8" w:rsidRDefault="002A63A7" w:rsidP="002A63A7">
            <w:pPr>
              <w:jc w:val="right"/>
              <w:rPr>
                <w:rFonts w:ascii="Times New Roman" w:hAnsi="Times New Roman"/>
                <w:sz w:val="20"/>
                <w:szCs w:val="20"/>
              </w:rPr>
            </w:pPr>
          </w:p>
        </w:tc>
        <w:tc>
          <w:tcPr>
            <w:tcW w:w="284" w:type="dxa"/>
          </w:tcPr>
          <w:p w:rsidR="002A63A7" w:rsidRPr="00882CE8" w:rsidRDefault="002A63A7" w:rsidP="002A63A7">
            <w:pPr>
              <w:jc w:val="right"/>
              <w:rPr>
                <w:rFonts w:ascii="Times New Roman" w:hAnsi="Times New Roman"/>
                <w:sz w:val="20"/>
                <w:szCs w:val="20"/>
              </w:rPr>
            </w:pPr>
          </w:p>
        </w:tc>
        <w:tc>
          <w:tcPr>
            <w:tcW w:w="1276" w:type="dxa"/>
            <w:tcBorders>
              <w:right w:val="nil"/>
            </w:tcBorders>
            <w:vAlign w:val="bottom"/>
          </w:tcPr>
          <w:p w:rsidR="002A63A7" w:rsidRPr="00882CE8" w:rsidRDefault="002A63A7" w:rsidP="00171C7E">
            <w:pPr>
              <w:ind w:right="34"/>
              <w:jc w:val="right"/>
              <w:rPr>
                <w:rFonts w:ascii="Times New Roman" w:hAnsi="Times New Roman"/>
                <w:sz w:val="20"/>
                <w:szCs w:val="20"/>
              </w:rPr>
            </w:pPr>
          </w:p>
        </w:tc>
        <w:tc>
          <w:tcPr>
            <w:tcW w:w="425" w:type="dxa"/>
            <w:tcBorders>
              <w:left w:val="nil"/>
            </w:tcBorders>
            <w:vAlign w:val="bottom"/>
          </w:tcPr>
          <w:p w:rsidR="002A63A7" w:rsidRPr="00882CE8" w:rsidRDefault="002A63A7" w:rsidP="00171C7E">
            <w:pPr>
              <w:ind w:right="317"/>
              <w:jc w:val="right"/>
              <w:rPr>
                <w:rFonts w:ascii="Times New Roman" w:hAnsi="Times New Roman"/>
                <w:sz w:val="20"/>
                <w:szCs w:val="20"/>
              </w:rPr>
            </w:pPr>
          </w:p>
        </w:tc>
      </w:tr>
      <w:tr w:rsidR="002A63A7" w:rsidRPr="00B46F2F" w:rsidTr="00171C7E">
        <w:trPr>
          <w:gridAfter w:val="1"/>
          <w:wAfter w:w="283" w:type="dxa"/>
          <w:trHeight w:val="56"/>
        </w:trPr>
        <w:tc>
          <w:tcPr>
            <w:tcW w:w="3085" w:type="dxa"/>
            <w:vAlign w:val="bottom"/>
          </w:tcPr>
          <w:p w:rsidR="002A63A7" w:rsidRPr="00882CE8" w:rsidRDefault="002A63A7" w:rsidP="002A63A7">
            <w:pPr>
              <w:rPr>
                <w:rFonts w:ascii="Times New Roman" w:hAnsi="Times New Roman"/>
                <w:b/>
                <w:sz w:val="20"/>
                <w:szCs w:val="20"/>
              </w:rPr>
            </w:pPr>
            <w:r>
              <w:rPr>
                <w:rFonts w:ascii="Times New Roman" w:hAnsi="Times New Roman"/>
                <w:b/>
                <w:sz w:val="20"/>
                <w:szCs w:val="20"/>
              </w:rPr>
              <w:t>Floating rate liabilities</w:t>
            </w:r>
          </w:p>
        </w:tc>
        <w:tc>
          <w:tcPr>
            <w:tcW w:w="1701" w:type="dxa"/>
            <w:vAlign w:val="bottom"/>
          </w:tcPr>
          <w:p w:rsidR="002A63A7" w:rsidRPr="00882CE8" w:rsidRDefault="002A63A7" w:rsidP="002A63A7">
            <w:pPr>
              <w:rPr>
                <w:rFonts w:ascii="Times New Roman" w:hAnsi="Times New Roman"/>
                <w:sz w:val="20"/>
                <w:szCs w:val="20"/>
              </w:rPr>
            </w:pPr>
          </w:p>
        </w:tc>
        <w:tc>
          <w:tcPr>
            <w:tcW w:w="1559" w:type="dxa"/>
          </w:tcPr>
          <w:p w:rsidR="002A63A7" w:rsidRPr="00882CE8" w:rsidRDefault="002A63A7" w:rsidP="002A63A7">
            <w:pPr>
              <w:rPr>
                <w:rFonts w:ascii="Times New Roman" w:hAnsi="Times New Roman"/>
                <w:sz w:val="20"/>
                <w:szCs w:val="20"/>
              </w:rPr>
            </w:pPr>
          </w:p>
        </w:tc>
        <w:tc>
          <w:tcPr>
            <w:tcW w:w="1701" w:type="dxa"/>
          </w:tcPr>
          <w:p w:rsidR="002A63A7" w:rsidRPr="00882CE8" w:rsidRDefault="002A63A7" w:rsidP="002A63A7">
            <w:pPr>
              <w:rPr>
                <w:rFonts w:ascii="Times New Roman" w:hAnsi="Times New Roman"/>
                <w:sz w:val="20"/>
                <w:szCs w:val="20"/>
              </w:rPr>
            </w:pPr>
          </w:p>
        </w:tc>
        <w:tc>
          <w:tcPr>
            <w:tcW w:w="284" w:type="dxa"/>
          </w:tcPr>
          <w:p w:rsidR="002A63A7" w:rsidRPr="00882CE8" w:rsidRDefault="002A63A7" w:rsidP="002A63A7">
            <w:pPr>
              <w:rPr>
                <w:rFonts w:ascii="Times New Roman" w:hAnsi="Times New Roman"/>
                <w:sz w:val="20"/>
                <w:szCs w:val="20"/>
              </w:rPr>
            </w:pPr>
          </w:p>
        </w:tc>
        <w:tc>
          <w:tcPr>
            <w:tcW w:w="1276" w:type="dxa"/>
            <w:tcBorders>
              <w:right w:val="nil"/>
            </w:tcBorders>
            <w:vAlign w:val="bottom"/>
          </w:tcPr>
          <w:p w:rsidR="002A63A7" w:rsidRPr="00882CE8" w:rsidRDefault="002A63A7" w:rsidP="00171C7E">
            <w:pPr>
              <w:ind w:right="34"/>
              <w:rPr>
                <w:rFonts w:ascii="Times New Roman" w:hAnsi="Times New Roman"/>
                <w:sz w:val="20"/>
                <w:szCs w:val="20"/>
              </w:rPr>
            </w:pPr>
          </w:p>
        </w:tc>
        <w:tc>
          <w:tcPr>
            <w:tcW w:w="425" w:type="dxa"/>
            <w:tcBorders>
              <w:left w:val="nil"/>
            </w:tcBorders>
            <w:vAlign w:val="bottom"/>
          </w:tcPr>
          <w:p w:rsidR="002A63A7" w:rsidRPr="00882CE8" w:rsidRDefault="002A63A7" w:rsidP="00171C7E">
            <w:pPr>
              <w:ind w:right="317"/>
              <w:rPr>
                <w:rFonts w:ascii="Times New Roman" w:hAnsi="Times New Roman"/>
                <w:sz w:val="20"/>
                <w:szCs w:val="20"/>
              </w:rPr>
            </w:pPr>
          </w:p>
        </w:tc>
      </w:tr>
      <w:tr w:rsidR="00C84D94" w:rsidRPr="00B46F2F" w:rsidTr="00171C7E">
        <w:trPr>
          <w:gridAfter w:val="1"/>
          <w:wAfter w:w="283" w:type="dxa"/>
          <w:trHeight w:val="56"/>
        </w:trPr>
        <w:tc>
          <w:tcPr>
            <w:tcW w:w="3085" w:type="dxa"/>
            <w:vAlign w:val="bottom"/>
          </w:tcPr>
          <w:p w:rsidR="00C84D94" w:rsidRPr="00882CE8" w:rsidRDefault="00C84D94" w:rsidP="00C84D94">
            <w:pPr>
              <w:rPr>
                <w:rFonts w:ascii="Times New Roman" w:hAnsi="Times New Roman"/>
                <w:sz w:val="20"/>
                <w:szCs w:val="20"/>
              </w:rPr>
            </w:pPr>
            <w:r w:rsidRPr="00882CE8">
              <w:rPr>
                <w:rFonts w:ascii="Times New Roman" w:hAnsi="Times New Roman"/>
                <w:sz w:val="20"/>
                <w:szCs w:val="20"/>
              </w:rPr>
              <w:t>Loan payable</w:t>
            </w:r>
            <w:r>
              <w:rPr>
                <w:rFonts w:ascii="Times New Roman" w:hAnsi="Times New Roman"/>
                <w:sz w:val="20"/>
                <w:szCs w:val="20"/>
              </w:rPr>
              <w:t xml:space="preserve"> (see Note 14)</w:t>
            </w:r>
          </w:p>
        </w:tc>
        <w:tc>
          <w:tcPr>
            <w:tcW w:w="1701" w:type="dxa"/>
            <w:vAlign w:val="bottom"/>
          </w:tcPr>
          <w:p w:rsidR="00C84D94" w:rsidRPr="00882CE8" w:rsidRDefault="00C84D94" w:rsidP="00C84D94">
            <w:pPr>
              <w:jc w:val="right"/>
              <w:rPr>
                <w:rFonts w:ascii="Times New Roman" w:hAnsi="Times New Roman"/>
                <w:sz w:val="20"/>
                <w:szCs w:val="20"/>
              </w:rPr>
            </w:pPr>
          </w:p>
        </w:tc>
        <w:tc>
          <w:tcPr>
            <w:tcW w:w="1559" w:type="dxa"/>
            <w:vAlign w:val="bottom"/>
          </w:tcPr>
          <w:p w:rsidR="00C84D94" w:rsidRPr="00882CE8" w:rsidRDefault="005B25AA" w:rsidP="008B64A3">
            <w:pPr>
              <w:jc w:val="right"/>
              <w:rPr>
                <w:rFonts w:ascii="Times New Roman" w:hAnsi="Times New Roman"/>
                <w:sz w:val="20"/>
                <w:szCs w:val="20"/>
              </w:rPr>
            </w:pPr>
            <w:r>
              <w:rPr>
                <w:rFonts w:ascii="Times New Roman" w:hAnsi="Times New Roman"/>
                <w:sz w:val="20"/>
                <w:szCs w:val="20"/>
              </w:rPr>
              <w:t>20</w:t>
            </w:r>
            <w:r w:rsidR="00C84D94" w:rsidRPr="00882CE8">
              <w:rPr>
                <w:rFonts w:ascii="Times New Roman" w:hAnsi="Times New Roman"/>
                <w:sz w:val="20"/>
                <w:szCs w:val="20"/>
              </w:rPr>
              <w:t>,</w:t>
            </w:r>
            <w:r>
              <w:rPr>
                <w:rFonts w:ascii="Times New Roman" w:hAnsi="Times New Roman"/>
                <w:sz w:val="20"/>
                <w:szCs w:val="20"/>
              </w:rPr>
              <w:t>025</w:t>
            </w:r>
            <w:r w:rsidR="00C84D94" w:rsidRPr="00882CE8">
              <w:rPr>
                <w:rFonts w:ascii="Times New Roman" w:hAnsi="Times New Roman"/>
                <w:sz w:val="20"/>
                <w:szCs w:val="20"/>
              </w:rPr>
              <w:t>,</w:t>
            </w:r>
            <w:r>
              <w:rPr>
                <w:rFonts w:ascii="Times New Roman" w:hAnsi="Times New Roman"/>
                <w:sz w:val="20"/>
                <w:szCs w:val="20"/>
              </w:rPr>
              <w:t>095</w:t>
            </w:r>
          </w:p>
        </w:tc>
        <w:tc>
          <w:tcPr>
            <w:tcW w:w="1701" w:type="dxa"/>
          </w:tcPr>
          <w:p w:rsidR="00C84D94" w:rsidRPr="00882CE8" w:rsidRDefault="00C84D94" w:rsidP="00C84D94">
            <w:pPr>
              <w:jc w:val="right"/>
              <w:rPr>
                <w:rFonts w:ascii="Times New Roman" w:hAnsi="Times New Roman"/>
                <w:sz w:val="20"/>
                <w:szCs w:val="20"/>
              </w:rPr>
            </w:pPr>
          </w:p>
        </w:tc>
        <w:tc>
          <w:tcPr>
            <w:tcW w:w="284" w:type="dxa"/>
          </w:tcPr>
          <w:p w:rsidR="00C84D94" w:rsidRPr="00882CE8" w:rsidRDefault="00C84D94" w:rsidP="00C84D94">
            <w:pPr>
              <w:jc w:val="right"/>
              <w:rPr>
                <w:rFonts w:ascii="Times New Roman" w:hAnsi="Times New Roman"/>
                <w:sz w:val="20"/>
                <w:szCs w:val="20"/>
              </w:rPr>
            </w:pPr>
          </w:p>
        </w:tc>
        <w:tc>
          <w:tcPr>
            <w:tcW w:w="1276" w:type="dxa"/>
            <w:tcBorders>
              <w:right w:val="nil"/>
            </w:tcBorders>
            <w:vAlign w:val="bottom"/>
          </w:tcPr>
          <w:p w:rsidR="00C84D94" w:rsidRPr="00882CE8" w:rsidRDefault="00C84D94" w:rsidP="00C84D94">
            <w:pPr>
              <w:ind w:right="34"/>
              <w:jc w:val="right"/>
              <w:rPr>
                <w:rFonts w:ascii="Times New Roman" w:hAnsi="Times New Roman"/>
                <w:sz w:val="20"/>
                <w:szCs w:val="20"/>
              </w:rPr>
            </w:pPr>
            <w:r w:rsidRPr="00882CE8">
              <w:rPr>
                <w:rFonts w:ascii="Times New Roman" w:hAnsi="Times New Roman"/>
                <w:sz w:val="20"/>
                <w:szCs w:val="20"/>
              </w:rPr>
              <w:t>35,814,484</w:t>
            </w:r>
          </w:p>
        </w:tc>
        <w:tc>
          <w:tcPr>
            <w:tcW w:w="425" w:type="dxa"/>
            <w:tcBorders>
              <w:left w:val="nil"/>
            </w:tcBorders>
            <w:vAlign w:val="bottom"/>
          </w:tcPr>
          <w:p w:rsidR="00C84D94" w:rsidRPr="00882CE8" w:rsidRDefault="00C84D94" w:rsidP="00C84D94">
            <w:pPr>
              <w:ind w:right="317"/>
              <w:jc w:val="right"/>
              <w:rPr>
                <w:rFonts w:ascii="Times New Roman" w:hAnsi="Times New Roman"/>
                <w:sz w:val="20"/>
                <w:szCs w:val="20"/>
              </w:rPr>
            </w:pPr>
          </w:p>
        </w:tc>
      </w:tr>
      <w:tr w:rsidR="00C84D94" w:rsidRPr="00B46F2F" w:rsidTr="00171C7E">
        <w:trPr>
          <w:gridAfter w:val="1"/>
          <w:wAfter w:w="283" w:type="dxa"/>
          <w:trHeight w:val="56"/>
        </w:trPr>
        <w:tc>
          <w:tcPr>
            <w:tcW w:w="3085" w:type="dxa"/>
            <w:vAlign w:val="bottom"/>
          </w:tcPr>
          <w:p w:rsidR="00C84D94" w:rsidRPr="00882CE8" w:rsidRDefault="00C84D94" w:rsidP="00C84D94">
            <w:pPr>
              <w:rPr>
                <w:rFonts w:ascii="Times New Roman" w:hAnsi="Times New Roman"/>
                <w:sz w:val="20"/>
                <w:szCs w:val="20"/>
              </w:rPr>
            </w:pPr>
          </w:p>
        </w:tc>
        <w:tc>
          <w:tcPr>
            <w:tcW w:w="1701" w:type="dxa"/>
            <w:vAlign w:val="bottom"/>
          </w:tcPr>
          <w:p w:rsidR="00C84D94" w:rsidRPr="00882CE8" w:rsidRDefault="00C84D94" w:rsidP="00C84D94">
            <w:pPr>
              <w:jc w:val="right"/>
              <w:rPr>
                <w:rFonts w:ascii="Times New Roman" w:hAnsi="Times New Roman"/>
                <w:sz w:val="20"/>
                <w:szCs w:val="20"/>
              </w:rPr>
            </w:pPr>
          </w:p>
        </w:tc>
        <w:tc>
          <w:tcPr>
            <w:tcW w:w="1559" w:type="dxa"/>
            <w:tcBorders>
              <w:bottom w:val="single" w:sz="4" w:space="0" w:color="auto"/>
            </w:tcBorders>
            <w:vAlign w:val="bottom"/>
          </w:tcPr>
          <w:p w:rsidR="00C84D94" w:rsidRPr="00882CE8" w:rsidRDefault="00C84D94" w:rsidP="00C84D94">
            <w:pPr>
              <w:jc w:val="right"/>
              <w:rPr>
                <w:rFonts w:ascii="Times New Roman" w:hAnsi="Times New Roman"/>
                <w:sz w:val="20"/>
                <w:szCs w:val="20"/>
              </w:rPr>
            </w:pPr>
          </w:p>
        </w:tc>
        <w:tc>
          <w:tcPr>
            <w:tcW w:w="1701" w:type="dxa"/>
          </w:tcPr>
          <w:p w:rsidR="00C84D94" w:rsidRPr="00882CE8" w:rsidRDefault="00C84D94" w:rsidP="00C84D94">
            <w:pPr>
              <w:jc w:val="right"/>
              <w:rPr>
                <w:rFonts w:ascii="Times New Roman" w:hAnsi="Times New Roman"/>
                <w:sz w:val="20"/>
                <w:szCs w:val="20"/>
              </w:rPr>
            </w:pPr>
          </w:p>
        </w:tc>
        <w:tc>
          <w:tcPr>
            <w:tcW w:w="284" w:type="dxa"/>
          </w:tcPr>
          <w:p w:rsidR="00C84D94" w:rsidRPr="00882CE8" w:rsidRDefault="00C84D94" w:rsidP="00C84D94">
            <w:pPr>
              <w:jc w:val="right"/>
              <w:rPr>
                <w:rFonts w:ascii="Times New Roman" w:hAnsi="Times New Roman"/>
                <w:sz w:val="20"/>
                <w:szCs w:val="20"/>
              </w:rPr>
            </w:pPr>
          </w:p>
        </w:tc>
        <w:tc>
          <w:tcPr>
            <w:tcW w:w="1276" w:type="dxa"/>
            <w:tcBorders>
              <w:bottom w:val="single" w:sz="4" w:space="0" w:color="auto"/>
              <w:right w:val="nil"/>
            </w:tcBorders>
            <w:vAlign w:val="bottom"/>
          </w:tcPr>
          <w:p w:rsidR="00C84D94" w:rsidRPr="00882CE8" w:rsidRDefault="00C84D94" w:rsidP="00C84D94">
            <w:pPr>
              <w:ind w:right="34"/>
              <w:jc w:val="right"/>
              <w:rPr>
                <w:rFonts w:ascii="Times New Roman" w:hAnsi="Times New Roman"/>
                <w:sz w:val="20"/>
                <w:szCs w:val="20"/>
              </w:rPr>
            </w:pPr>
          </w:p>
        </w:tc>
        <w:tc>
          <w:tcPr>
            <w:tcW w:w="425" w:type="dxa"/>
            <w:tcBorders>
              <w:left w:val="nil"/>
            </w:tcBorders>
            <w:vAlign w:val="bottom"/>
          </w:tcPr>
          <w:p w:rsidR="00C84D94" w:rsidRPr="00882CE8" w:rsidRDefault="00C84D94" w:rsidP="00C84D94">
            <w:pPr>
              <w:ind w:right="317"/>
              <w:jc w:val="right"/>
              <w:rPr>
                <w:rFonts w:ascii="Times New Roman" w:hAnsi="Times New Roman"/>
                <w:sz w:val="20"/>
                <w:szCs w:val="20"/>
              </w:rPr>
            </w:pPr>
          </w:p>
        </w:tc>
      </w:tr>
      <w:tr w:rsidR="00C84D94" w:rsidRPr="00B46F2F" w:rsidTr="00171C7E">
        <w:trPr>
          <w:gridAfter w:val="1"/>
          <w:wAfter w:w="283" w:type="dxa"/>
          <w:trHeight w:val="56"/>
        </w:trPr>
        <w:tc>
          <w:tcPr>
            <w:tcW w:w="3085" w:type="dxa"/>
            <w:vAlign w:val="bottom"/>
          </w:tcPr>
          <w:p w:rsidR="00C84D94" w:rsidRPr="00882CE8" w:rsidRDefault="00C84D94" w:rsidP="00C84D94">
            <w:pPr>
              <w:rPr>
                <w:rFonts w:ascii="Times New Roman" w:hAnsi="Times New Roman"/>
                <w:sz w:val="20"/>
                <w:szCs w:val="20"/>
              </w:rPr>
            </w:pPr>
          </w:p>
        </w:tc>
        <w:tc>
          <w:tcPr>
            <w:tcW w:w="1701" w:type="dxa"/>
            <w:vAlign w:val="bottom"/>
          </w:tcPr>
          <w:p w:rsidR="00C84D94" w:rsidRPr="00C87A19" w:rsidRDefault="00C84D94" w:rsidP="00C84D94">
            <w:pPr>
              <w:jc w:val="right"/>
              <w:rPr>
                <w:rFonts w:ascii="Times New Roman" w:hAnsi="Times New Roman"/>
                <w:b/>
                <w:sz w:val="20"/>
                <w:szCs w:val="20"/>
              </w:rPr>
            </w:pPr>
          </w:p>
        </w:tc>
        <w:tc>
          <w:tcPr>
            <w:tcW w:w="1559" w:type="dxa"/>
            <w:tcBorders>
              <w:top w:val="single" w:sz="4" w:space="0" w:color="auto"/>
              <w:bottom w:val="single" w:sz="4" w:space="0" w:color="auto"/>
            </w:tcBorders>
            <w:vAlign w:val="bottom"/>
          </w:tcPr>
          <w:p w:rsidR="00C84D94" w:rsidRPr="00C87A19" w:rsidRDefault="005B25AA" w:rsidP="008B64A3">
            <w:pPr>
              <w:jc w:val="right"/>
              <w:rPr>
                <w:rFonts w:ascii="Times New Roman" w:hAnsi="Times New Roman"/>
                <w:b/>
                <w:sz w:val="20"/>
                <w:szCs w:val="20"/>
              </w:rPr>
            </w:pPr>
            <w:r>
              <w:rPr>
                <w:rFonts w:ascii="Times New Roman" w:hAnsi="Times New Roman"/>
                <w:b/>
                <w:sz w:val="20"/>
                <w:szCs w:val="20"/>
              </w:rPr>
              <w:t>20</w:t>
            </w:r>
            <w:r w:rsidR="00C84D94" w:rsidRPr="00C87A19">
              <w:rPr>
                <w:rFonts w:ascii="Times New Roman" w:hAnsi="Times New Roman"/>
                <w:b/>
                <w:sz w:val="20"/>
                <w:szCs w:val="20"/>
              </w:rPr>
              <w:t>,</w:t>
            </w:r>
            <w:r>
              <w:rPr>
                <w:rFonts w:ascii="Times New Roman" w:hAnsi="Times New Roman"/>
                <w:b/>
                <w:sz w:val="20"/>
                <w:szCs w:val="20"/>
              </w:rPr>
              <w:t>025,095</w:t>
            </w:r>
          </w:p>
        </w:tc>
        <w:tc>
          <w:tcPr>
            <w:tcW w:w="1701" w:type="dxa"/>
          </w:tcPr>
          <w:p w:rsidR="00C84D94" w:rsidRPr="00C87A19" w:rsidRDefault="00C84D94" w:rsidP="00C84D94">
            <w:pPr>
              <w:jc w:val="right"/>
              <w:rPr>
                <w:rFonts w:ascii="Times New Roman" w:hAnsi="Times New Roman"/>
                <w:b/>
                <w:sz w:val="20"/>
                <w:szCs w:val="20"/>
              </w:rPr>
            </w:pPr>
          </w:p>
        </w:tc>
        <w:tc>
          <w:tcPr>
            <w:tcW w:w="284" w:type="dxa"/>
          </w:tcPr>
          <w:p w:rsidR="00C84D94" w:rsidRPr="00C87A19" w:rsidRDefault="00C84D94" w:rsidP="00C84D94">
            <w:pPr>
              <w:jc w:val="right"/>
              <w:rPr>
                <w:rFonts w:ascii="Times New Roman" w:hAnsi="Times New Roman"/>
                <w:b/>
                <w:sz w:val="20"/>
                <w:szCs w:val="20"/>
              </w:rPr>
            </w:pPr>
          </w:p>
        </w:tc>
        <w:tc>
          <w:tcPr>
            <w:tcW w:w="1276" w:type="dxa"/>
            <w:tcBorders>
              <w:top w:val="single" w:sz="4" w:space="0" w:color="auto"/>
              <w:bottom w:val="single" w:sz="4" w:space="0" w:color="auto"/>
              <w:right w:val="nil"/>
            </w:tcBorders>
            <w:vAlign w:val="bottom"/>
          </w:tcPr>
          <w:p w:rsidR="00C84D94" w:rsidRPr="00C87A19" w:rsidRDefault="00C84D94" w:rsidP="00C84D94">
            <w:pPr>
              <w:ind w:right="34"/>
              <w:jc w:val="right"/>
              <w:rPr>
                <w:rFonts w:ascii="Times New Roman" w:hAnsi="Times New Roman"/>
                <w:b/>
                <w:sz w:val="20"/>
                <w:szCs w:val="20"/>
              </w:rPr>
            </w:pPr>
            <w:r w:rsidRPr="00C87A19">
              <w:rPr>
                <w:rFonts w:ascii="Times New Roman" w:hAnsi="Times New Roman"/>
                <w:b/>
                <w:sz w:val="20"/>
                <w:szCs w:val="20"/>
              </w:rPr>
              <w:t>35,814,484</w:t>
            </w:r>
          </w:p>
        </w:tc>
        <w:tc>
          <w:tcPr>
            <w:tcW w:w="425" w:type="dxa"/>
            <w:tcBorders>
              <w:left w:val="nil"/>
            </w:tcBorders>
            <w:vAlign w:val="bottom"/>
          </w:tcPr>
          <w:p w:rsidR="00C84D94" w:rsidRPr="00C87A19" w:rsidRDefault="00C84D94" w:rsidP="00C84D94">
            <w:pPr>
              <w:ind w:right="317"/>
              <w:jc w:val="right"/>
              <w:rPr>
                <w:rFonts w:ascii="Times New Roman" w:hAnsi="Times New Roman"/>
                <w:b/>
                <w:sz w:val="20"/>
                <w:szCs w:val="20"/>
              </w:rPr>
            </w:pPr>
          </w:p>
        </w:tc>
      </w:tr>
    </w:tbl>
    <w:p w:rsidR="00735183" w:rsidRDefault="00735183" w:rsidP="00C87A19">
      <w:pPr>
        <w:jc w:val="both"/>
        <w:rPr>
          <w:rFonts w:ascii="Times New Roman" w:hAnsi="Times New Roman"/>
          <w:sz w:val="20"/>
          <w:szCs w:val="20"/>
        </w:rPr>
      </w:pPr>
    </w:p>
    <w:p w:rsidR="00831C7C" w:rsidRDefault="00D47483" w:rsidP="006B259D">
      <w:pPr>
        <w:ind w:left="284"/>
        <w:jc w:val="both"/>
        <w:rPr>
          <w:rFonts w:ascii="Times New Roman" w:hAnsi="Times New Roman"/>
          <w:sz w:val="20"/>
          <w:szCs w:val="20"/>
        </w:rPr>
      </w:pPr>
      <w:r w:rsidRPr="009170B8">
        <w:rPr>
          <w:rFonts w:ascii="Times New Roman" w:hAnsi="Times New Roman"/>
          <w:sz w:val="20"/>
          <w:szCs w:val="20"/>
        </w:rPr>
        <w:t>The above analysis excludes short term debtors and creditors as all material amounts are non interest-bearing.</w:t>
      </w:r>
    </w:p>
    <w:p w:rsidR="00831C7C" w:rsidRPr="009170B8" w:rsidRDefault="00831C7C" w:rsidP="006F4D75">
      <w:pPr>
        <w:rPr>
          <w:rFonts w:ascii="Times New Roman" w:hAnsi="Times New Roman"/>
          <w:sz w:val="20"/>
          <w:szCs w:val="20"/>
        </w:rPr>
      </w:pPr>
    </w:p>
    <w:p w:rsidR="00980C12" w:rsidRPr="009170B8" w:rsidRDefault="00980C12" w:rsidP="00980C12">
      <w:pPr>
        <w:ind w:left="284"/>
        <w:rPr>
          <w:rFonts w:ascii="Times New Roman" w:hAnsi="Times New Roman"/>
          <w:i/>
          <w:sz w:val="20"/>
          <w:szCs w:val="20"/>
        </w:rPr>
      </w:pPr>
      <w:r w:rsidRPr="009170B8">
        <w:rPr>
          <w:rFonts w:ascii="Times New Roman" w:hAnsi="Times New Roman"/>
          <w:i/>
          <w:sz w:val="20"/>
          <w:szCs w:val="20"/>
        </w:rPr>
        <w:t>Interest rate sensitivity analysis</w:t>
      </w:r>
    </w:p>
    <w:p w:rsidR="00980C12" w:rsidRDefault="00581281" w:rsidP="00980C12">
      <w:pPr>
        <w:ind w:left="284"/>
        <w:jc w:val="both"/>
        <w:rPr>
          <w:rFonts w:ascii="Times New Roman" w:hAnsi="Times New Roman"/>
          <w:sz w:val="20"/>
          <w:szCs w:val="20"/>
        </w:rPr>
      </w:pPr>
      <w:r w:rsidRPr="000D7F18">
        <w:rPr>
          <w:rFonts w:ascii="Times New Roman" w:hAnsi="Times New Roman"/>
          <w:sz w:val="20"/>
          <w:szCs w:val="20"/>
        </w:rPr>
        <w:t>At 31 December 201</w:t>
      </w:r>
      <w:r w:rsidR="00C84D94">
        <w:rPr>
          <w:rFonts w:ascii="Times New Roman" w:hAnsi="Times New Roman"/>
          <w:sz w:val="20"/>
          <w:szCs w:val="20"/>
        </w:rPr>
        <w:t>8</w:t>
      </w:r>
      <w:r w:rsidR="00980C12" w:rsidRPr="000D7F18">
        <w:rPr>
          <w:rFonts w:ascii="Times New Roman" w:hAnsi="Times New Roman"/>
          <w:sz w:val="20"/>
          <w:szCs w:val="20"/>
        </w:rPr>
        <w:t>, had interest rates been 50 basis points higher and all other variables were held constant, the Company’s net assets attributable to redeemable</w:t>
      </w:r>
      <w:r w:rsidR="00673CD6">
        <w:rPr>
          <w:rFonts w:ascii="Times New Roman" w:hAnsi="Times New Roman"/>
          <w:sz w:val="20"/>
          <w:szCs w:val="20"/>
        </w:rPr>
        <w:t xml:space="preserve"> participating preference</w:t>
      </w:r>
      <w:r w:rsidR="00980C12" w:rsidRPr="000D7F18">
        <w:rPr>
          <w:rFonts w:ascii="Times New Roman" w:hAnsi="Times New Roman"/>
          <w:sz w:val="20"/>
          <w:szCs w:val="20"/>
        </w:rPr>
        <w:t xml:space="preserve"> shares for the year would have </w:t>
      </w:r>
      <w:r w:rsidR="00982005" w:rsidRPr="000D7F18">
        <w:rPr>
          <w:rFonts w:ascii="Times New Roman" w:hAnsi="Times New Roman"/>
          <w:sz w:val="20"/>
          <w:szCs w:val="20"/>
        </w:rPr>
        <w:t>de</w:t>
      </w:r>
      <w:r w:rsidR="00980C12" w:rsidRPr="000D7F18">
        <w:rPr>
          <w:rFonts w:ascii="Times New Roman" w:hAnsi="Times New Roman"/>
          <w:sz w:val="20"/>
          <w:szCs w:val="20"/>
        </w:rPr>
        <w:t xml:space="preserve">creased by </w:t>
      </w:r>
      <w:bookmarkStart w:id="56" w:name="OLE_LINK54"/>
      <w:r w:rsidR="00980C12" w:rsidRPr="000D7F18">
        <w:rPr>
          <w:rFonts w:ascii="Times New Roman" w:hAnsi="Times New Roman"/>
          <w:sz w:val="20"/>
          <w:szCs w:val="20"/>
        </w:rPr>
        <w:t>£</w:t>
      </w:r>
      <w:r w:rsidR="00BB783A">
        <w:rPr>
          <w:rFonts w:ascii="Times New Roman" w:hAnsi="Times New Roman"/>
          <w:sz w:val="20"/>
          <w:szCs w:val="20"/>
        </w:rPr>
        <w:t>77</w:t>
      </w:r>
      <w:r w:rsidR="00E21312">
        <w:rPr>
          <w:rFonts w:ascii="Times New Roman" w:hAnsi="Times New Roman"/>
          <w:sz w:val="20"/>
          <w:szCs w:val="20"/>
        </w:rPr>
        <w:t>,</w:t>
      </w:r>
      <w:r w:rsidR="0069096F">
        <w:rPr>
          <w:rFonts w:ascii="Times New Roman" w:hAnsi="Times New Roman"/>
          <w:sz w:val="20"/>
          <w:szCs w:val="20"/>
        </w:rPr>
        <w:t>5</w:t>
      </w:r>
      <w:r w:rsidR="00BB783A">
        <w:rPr>
          <w:rFonts w:ascii="Times New Roman" w:hAnsi="Times New Roman"/>
          <w:sz w:val="20"/>
          <w:szCs w:val="20"/>
        </w:rPr>
        <w:t>45</w:t>
      </w:r>
      <w:r w:rsidRPr="000D7F18">
        <w:rPr>
          <w:rFonts w:ascii="Times New Roman" w:hAnsi="Times New Roman"/>
          <w:sz w:val="20"/>
          <w:szCs w:val="20"/>
        </w:rPr>
        <w:t xml:space="preserve"> </w:t>
      </w:r>
      <w:bookmarkEnd w:id="56"/>
      <w:r w:rsidRPr="000D7F18">
        <w:rPr>
          <w:rFonts w:ascii="Times New Roman" w:hAnsi="Times New Roman"/>
          <w:sz w:val="20"/>
          <w:szCs w:val="20"/>
        </w:rPr>
        <w:t>(31 December 201</w:t>
      </w:r>
      <w:r w:rsidR="00C84D94">
        <w:rPr>
          <w:rFonts w:ascii="Times New Roman" w:hAnsi="Times New Roman"/>
          <w:sz w:val="20"/>
          <w:szCs w:val="20"/>
        </w:rPr>
        <w:t>7</w:t>
      </w:r>
      <w:r w:rsidR="00980C12" w:rsidRPr="000D7F18">
        <w:rPr>
          <w:rFonts w:ascii="Times New Roman" w:hAnsi="Times New Roman"/>
          <w:sz w:val="20"/>
          <w:szCs w:val="20"/>
        </w:rPr>
        <w:t xml:space="preserve">: </w:t>
      </w:r>
      <w:r w:rsidR="00C84D94" w:rsidRPr="000D7F18">
        <w:rPr>
          <w:rFonts w:ascii="Times New Roman" w:hAnsi="Times New Roman"/>
          <w:sz w:val="20"/>
          <w:szCs w:val="20"/>
        </w:rPr>
        <w:t>£</w:t>
      </w:r>
      <w:r w:rsidR="00C84D94">
        <w:rPr>
          <w:rFonts w:ascii="Times New Roman" w:hAnsi="Times New Roman"/>
          <w:sz w:val="20"/>
          <w:szCs w:val="20"/>
        </w:rPr>
        <w:t>155,794</w:t>
      </w:r>
      <w:r w:rsidR="00982005" w:rsidRPr="000D7F18">
        <w:rPr>
          <w:rFonts w:ascii="Times New Roman" w:hAnsi="Times New Roman"/>
          <w:sz w:val="20"/>
          <w:szCs w:val="20"/>
        </w:rPr>
        <w:t>) due to the de</w:t>
      </w:r>
      <w:r w:rsidR="00980C12" w:rsidRPr="000D7F18">
        <w:rPr>
          <w:rFonts w:ascii="Times New Roman" w:hAnsi="Times New Roman"/>
          <w:sz w:val="20"/>
          <w:szCs w:val="20"/>
        </w:rPr>
        <w:t>crease in market value of listed debt securities</w:t>
      </w:r>
      <w:r w:rsidR="00982005" w:rsidRPr="000D7F18">
        <w:rPr>
          <w:rFonts w:ascii="Times New Roman" w:hAnsi="Times New Roman"/>
          <w:sz w:val="20"/>
          <w:szCs w:val="20"/>
        </w:rPr>
        <w:t>,</w:t>
      </w:r>
      <w:r w:rsidR="00980C12" w:rsidRPr="000D7F18">
        <w:rPr>
          <w:rFonts w:ascii="Times New Roman" w:hAnsi="Times New Roman"/>
          <w:sz w:val="20"/>
          <w:szCs w:val="20"/>
        </w:rPr>
        <w:t xml:space="preserve"> an</w:t>
      </w:r>
      <w:r w:rsidR="00982005" w:rsidRPr="000D7F18">
        <w:rPr>
          <w:rFonts w:ascii="Times New Roman" w:hAnsi="Times New Roman"/>
          <w:sz w:val="20"/>
          <w:szCs w:val="20"/>
        </w:rPr>
        <w:t xml:space="preserve"> in</w:t>
      </w:r>
      <w:r w:rsidR="00980C12" w:rsidRPr="000D7F18">
        <w:rPr>
          <w:rFonts w:ascii="Times New Roman" w:hAnsi="Times New Roman"/>
          <w:sz w:val="20"/>
          <w:szCs w:val="20"/>
        </w:rPr>
        <w:t xml:space="preserve">crease </w:t>
      </w:r>
      <w:r w:rsidR="00982005" w:rsidRPr="000D7F18">
        <w:rPr>
          <w:rFonts w:ascii="Times New Roman" w:hAnsi="Times New Roman"/>
          <w:sz w:val="20"/>
          <w:szCs w:val="20"/>
        </w:rPr>
        <w:t>in interest payable on the loan and to a lesser extent an increase in interest earnings on cash and cash equivalents.</w:t>
      </w:r>
    </w:p>
    <w:p w:rsidR="00E73E45" w:rsidRPr="009170B8" w:rsidRDefault="00E73E45" w:rsidP="00980C12">
      <w:pPr>
        <w:ind w:left="284"/>
        <w:jc w:val="both"/>
        <w:rPr>
          <w:rFonts w:ascii="Times New Roman" w:hAnsi="Times New Roman"/>
          <w:sz w:val="20"/>
          <w:szCs w:val="20"/>
        </w:rPr>
      </w:pPr>
    </w:p>
    <w:p w:rsidR="009D6139" w:rsidRDefault="00442123" w:rsidP="009D6139">
      <w:pPr>
        <w:rPr>
          <w:rFonts w:ascii="Times New Roman" w:hAnsi="Times New Roman"/>
          <w:i/>
          <w:sz w:val="20"/>
          <w:szCs w:val="20"/>
        </w:rPr>
      </w:pPr>
      <w:r w:rsidRPr="00B46F2F">
        <w:rPr>
          <w:rFonts w:ascii="Times New Roman" w:hAnsi="Times New Roman"/>
          <w:i/>
          <w:sz w:val="20"/>
          <w:szCs w:val="20"/>
        </w:rPr>
        <w:t xml:space="preserve">      </w:t>
      </w:r>
      <w:r w:rsidR="00B57315" w:rsidRPr="00B46F2F">
        <w:rPr>
          <w:rFonts w:ascii="Times New Roman" w:hAnsi="Times New Roman"/>
          <w:i/>
          <w:sz w:val="20"/>
          <w:szCs w:val="20"/>
        </w:rPr>
        <w:t>Liquidity risk</w:t>
      </w:r>
    </w:p>
    <w:p w:rsidR="00136367" w:rsidRPr="00B46F2F" w:rsidRDefault="00B57315" w:rsidP="00735AEF">
      <w:pPr>
        <w:ind w:left="284"/>
        <w:jc w:val="both"/>
        <w:rPr>
          <w:rFonts w:ascii="Times New Roman" w:hAnsi="Times New Roman"/>
          <w:szCs w:val="20"/>
        </w:rPr>
      </w:pPr>
      <w:r w:rsidRPr="00B46F2F">
        <w:rPr>
          <w:rFonts w:ascii="Times New Roman" w:hAnsi="Times New Roman"/>
          <w:sz w:val="20"/>
          <w:szCs w:val="20"/>
        </w:rPr>
        <w:t>Liquidity risk is the risk that the Fund cannot meet its liabilities as they fall due. The Fund’s primary source of liquidity consis</w:t>
      </w:r>
      <w:r w:rsidR="006B74ED" w:rsidRPr="00B46F2F">
        <w:rPr>
          <w:rFonts w:ascii="Times New Roman" w:hAnsi="Times New Roman"/>
          <w:sz w:val="20"/>
          <w:szCs w:val="20"/>
        </w:rPr>
        <w:t xml:space="preserve">ts of cash and cash equivalents, </w:t>
      </w:r>
      <w:r w:rsidRPr="00B46F2F">
        <w:rPr>
          <w:rFonts w:ascii="Times New Roman" w:hAnsi="Times New Roman"/>
          <w:sz w:val="20"/>
          <w:szCs w:val="20"/>
        </w:rPr>
        <w:t>securities at fair value through profit or loss</w:t>
      </w:r>
      <w:r w:rsidR="006B74ED" w:rsidRPr="00B46F2F">
        <w:rPr>
          <w:rFonts w:ascii="Times New Roman" w:hAnsi="Times New Roman"/>
          <w:sz w:val="20"/>
          <w:szCs w:val="20"/>
        </w:rPr>
        <w:t xml:space="preserve"> and the Credit Facility</w:t>
      </w:r>
      <w:r w:rsidRPr="00B46F2F">
        <w:rPr>
          <w:rFonts w:ascii="Times New Roman" w:hAnsi="Times New Roman"/>
          <w:sz w:val="20"/>
          <w:szCs w:val="20"/>
        </w:rPr>
        <w:t>.</w:t>
      </w:r>
    </w:p>
    <w:p w:rsidR="00136367" w:rsidRPr="00B46F2F" w:rsidRDefault="00136367" w:rsidP="000E7780">
      <w:pPr>
        <w:rPr>
          <w:rFonts w:ascii="Times New Roman" w:hAnsi="Times New Roman"/>
        </w:rPr>
      </w:pPr>
    </w:p>
    <w:p w:rsidR="00773BEF" w:rsidRPr="00B46F2F" w:rsidRDefault="00B57315" w:rsidP="000B2A92">
      <w:pPr>
        <w:pStyle w:val="BodyText"/>
        <w:tabs>
          <w:tab w:val="clear" w:pos="3402"/>
          <w:tab w:val="clear" w:pos="8222"/>
        </w:tabs>
        <w:ind w:left="284"/>
        <w:rPr>
          <w:rFonts w:ascii="Times New Roman" w:hAnsi="Times New Roman"/>
        </w:rPr>
      </w:pPr>
      <w:r w:rsidRPr="00B46F2F">
        <w:rPr>
          <w:rFonts w:ascii="Times New Roman" w:hAnsi="Times New Roman"/>
        </w:rPr>
        <w:t>The Fund’s investments are conside</w:t>
      </w:r>
      <w:r w:rsidR="001E1F06" w:rsidRPr="00B46F2F">
        <w:rPr>
          <w:rFonts w:ascii="Times New Roman" w:hAnsi="Times New Roman"/>
        </w:rPr>
        <w:t>red to be readily realisable,</w:t>
      </w:r>
      <w:r w:rsidRPr="00B46F2F">
        <w:rPr>
          <w:rFonts w:ascii="Times New Roman" w:hAnsi="Times New Roman"/>
        </w:rPr>
        <w:t xml:space="preserve"> </w:t>
      </w:r>
      <w:r w:rsidR="00577741" w:rsidRPr="00B46F2F">
        <w:rPr>
          <w:rFonts w:ascii="Times New Roman" w:hAnsi="Times New Roman"/>
        </w:rPr>
        <w:t xml:space="preserve">predominantly issued by Canadian </w:t>
      </w:r>
      <w:r w:rsidR="00904B90">
        <w:rPr>
          <w:rFonts w:ascii="Times New Roman" w:hAnsi="Times New Roman"/>
        </w:rPr>
        <w:t xml:space="preserve">and U.S. </w:t>
      </w:r>
      <w:r w:rsidR="00F5336D" w:rsidRPr="00B46F2F">
        <w:rPr>
          <w:rFonts w:ascii="Times New Roman" w:hAnsi="Times New Roman"/>
        </w:rPr>
        <w:t>c</w:t>
      </w:r>
      <w:r w:rsidR="00EC3AF5" w:rsidRPr="00B46F2F">
        <w:rPr>
          <w:rFonts w:ascii="Times New Roman" w:hAnsi="Times New Roman"/>
        </w:rPr>
        <w:t>ompanies and REIT</w:t>
      </w:r>
      <w:r w:rsidR="00577741" w:rsidRPr="00B46F2F">
        <w:rPr>
          <w:rFonts w:ascii="Times New Roman" w:hAnsi="Times New Roman"/>
        </w:rPr>
        <w:t xml:space="preserve">s listed on </w:t>
      </w:r>
      <w:r w:rsidR="00C50392" w:rsidRPr="00B46F2F">
        <w:rPr>
          <w:rFonts w:ascii="Times New Roman" w:hAnsi="Times New Roman"/>
        </w:rPr>
        <w:t>a</w:t>
      </w:r>
      <w:r w:rsidR="00577741" w:rsidRPr="00B46F2F">
        <w:rPr>
          <w:rFonts w:ascii="Times New Roman" w:hAnsi="Times New Roman"/>
        </w:rPr>
        <w:t xml:space="preserve"> Canadian Stock Exchange and </w:t>
      </w:r>
      <w:r w:rsidRPr="00B46F2F">
        <w:rPr>
          <w:rFonts w:ascii="Times New Roman" w:hAnsi="Times New Roman"/>
        </w:rPr>
        <w:t xml:space="preserve">are </w:t>
      </w:r>
      <w:r w:rsidR="00577741" w:rsidRPr="00B46F2F">
        <w:rPr>
          <w:rFonts w:ascii="Times New Roman" w:hAnsi="Times New Roman"/>
        </w:rPr>
        <w:t>actively traded.</w:t>
      </w:r>
    </w:p>
    <w:p w:rsidR="00577741" w:rsidRPr="00B46F2F" w:rsidRDefault="00577741" w:rsidP="000B2A92">
      <w:pPr>
        <w:pStyle w:val="BodyText"/>
        <w:tabs>
          <w:tab w:val="clear" w:pos="3402"/>
          <w:tab w:val="clear" w:pos="8222"/>
        </w:tabs>
        <w:ind w:left="284"/>
        <w:rPr>
          <w:rFonts w:ascii="Times New Roman" w:hAnsi="Times New Roman"/>
        </w:rPr>
      </w:pPr>
    </w:p>
    <w:p w:rsidR="008317CE" w:rsidRDefault="005F2E9E" w:rsidP="000B2A92">
      <w:pPr>
        <w:pStyle w:val="BodyText"/>
        <w:tabs>
          <w:tab w:val="clear" w:pos="3402"/>
          <w:tab w:val="clear" w:pos="8222"/>
        </w:tabs>
        <w:ind w:left="284"/>
        <w:rPr>
          <w:rFonts w:ascii="Times New Roman" w:hAnsi="Times New Roman"/>
        </w:rPr>
      </w:pPr>
      <w:r w:rsidRPr="001B7B81">
        <w:rPr>
          <w:rFonts w:ascii="Times New Roman" w:hAnsi="Times New Roman"/>
        </w:rPr>
        <w:t xml:space="preserve">As at 31 December </w:t>
      </w:r>
      <w:r w:rsidR="002018EA" w:rsidRPr="001B7B81">
        <w:rPr>
          <w:rFonts w:ascii="Times New Roman" w:hAnsi="Times New Roman"/>
        </w:rPr>
        <w:t>201</w:t>
      </w:r>
      <w:r w:rsidR="00C84D94">
        <w:rPr>
          <w:rFonts w:ascii="Times New Roman" w:hAnsi="Times New Roman"/>
        </w:rPr>
        <w:t>8</w:t>
      </w:r>
      <w:r w:rsidR="00AF5553" w:rsidRPr="001B7B81">
        <w:rPr>
          <w:rFonts w:ascii="Times New Roman" w:hAnsi="Times New Roman"/>
        </w:rPr>
        <w:t xml:space="preserve">, the Fund’s </w:t>
      </w:r>
      <w:r w:rsidR="00904B90" w:rsidRPr="001B7B81">
        <w:rPr>
          <w:rFonts w:ascii="Times New Roman" w:hAnsi="Times New Roman"/>
        </w:rPr>
        <w:t xml:space="preserve">ability </w:t>
      </w:r>
      <w:r w:rsidR="00AF5553" w:rsidRPr="001B7B81">
        <w:rPr>
          <w:rFonts w:ascii="Times New Roman" w:hAnsi="Times New Roman"/>
        </w:rPr>
        <w:t>to</w:t>
      </w:r>
      <w:r w:rsidR="00773BEF" w:rsidRPr="001B7B81">
        <w:rPr>
          <w:rFonts w:ascii="Times New Roman" w:hAnsi="Times New Roman"/>
        </w:rPr>
        <w:t xml:space="preserve"> </w:t>
      </w:r>
      <w:r w:rsidR="00904B90" w:rsidRPr="001B7B81">
        <w:rPr>
          <w:rFonts w:ascii="Times New Roman" w:hAnsi="Times New Roman"/>
        </w:rPr>
        <w:t xml:space="preserve">manage </w:t>
      </w:r>
      <w:r w:rsidR="00773BEF" w:rsidRPr="001B7B81">
        <w:rPr>
          <w:rFonts w:ascii="Times New Roman" w:hAnsi="Times New Roman"/>
        </w:rPr>
        <w:t>liquidity risk was as follows:</w:t>
      </w:r>
    </w:p>
    <w:p w:rsidR="00E73E45" w:rsidRDefault="00E73E45" w:rsidP="000B2A92">
      <w:pPr>
        <w:pStyle w:val="BodyText"/>
        <w:tabs>
          <w:tab w:val="clear" w:pos="3402"/>
          <w:tab w:val="clear" w:pos="8222"/>
        </w:tabs>
        <w:ind w:left="284"/>
        <w:rPr>
          <w:rFonts w:ascii="Times New Roman" w:hAnsi="Times New Roman"/>
        </w:rPr>
      </w:pPr>
    </w:p>
    <w:tbl>
      <w:tblPr>
        <w:tblW w:w="10676" w:type="dxa"/>
        <w:tblLayout w:type="fixed"/>
        <w:tblLook w:val="01E0" w:firstRow="1" w:lastRow="1" w:firstColumn="1" w:lastColumn="1" w:noHBand="0" w:noVBand="0"/>
      </w:tblPr>
      <w:tblGrid>
        <w:gridCol w:w="3202"/>
        <w:gridCol w:w="450"/>
        <w:gridCol w:w="1843"/>
        <w:gridCol w:w="1276"/>
        <w:gridCol w:w="1275"/>
        <w:gridCol w:w="1277"/>
        <w:gridCol w:w="1353"/>
      </w:tblGrid>
      <w:tr w:rsidR="008D2F1B" w:rsidRPr="00B46F2F" w:rsidTr="00B74D7C">
        <w:tc>
          <w:tcPr>
            <w:tcW w:w="3202" w:type="dxa"/>
          </w:tcPr>
          <w:p w:rsidR="00077368" w:rsidRPr="00B46F2F" w:rsidRDefault="00077368" w:rsidP="00077368">
            <w:pPr>
              <w:pStyle w:val="BodyText"/>
              <w:tabs>
                <w:tab w:val="clear" w:pos="3402"/>
                <w:tab w:val="clear" w:pos="8222"/>
              </w:tabs>
              <w:rPr>
                <w:rFonts w:ascii="Times New Roman" w:hAnsi="Times New Roman"/>
              </w:rPr>
            </w:pPr>
          </w:p>
        </w:tc>
        <w:tc>
          <w:tcPr>
            <w:tcW w:w="450" w:type="dxa"/>
          </w:tcPr>
          <w:p w:rsidR="00077368" w:rsidRPr="00B46F2F" w:rsidRDefault="00077368" w:rsidP="00077368">
            <w:pPr>
              <w:pStyle w:val="BodyText"/>
              <w:tabs>
                <w:tab w:val="clear" w:pos="3402"/>
                <w:tab w:val="clear" w:pos="8222"/>
              </w:tabs>
              <w:rPr>
                <w:rFonts w:ascii="Times New Roman" w:hAnsi="Times New Roman"/>
              </w:rPr>
            </w:pPr>
          </w:p>
        </w:tc>
        <w:tc>
          <w:tcPr>
            <w:tcW w:w="1843" w:type="dxa"/>
          </w:tcPr>
          <w:p w:rsidR="00077368" w:rsidRPr="00B46F2F" w:rsidRDefault="00077368" w:rsidP="00077368">
            <w:pPr>
              <w:pStyle w:val="BodyText"/>
              <w:tabs>
                <w:tab w:val="clear" w:pos="3402"/>
                <w:tab w:val="clear" w:pos="8222"/>
              </w:tabs>
              <w:jc w:val="right"/>
              <w:rPr>
                <w:rFonts w:ascii="Times New Roman" w:hAnsi="Times New Roman"/>
                <w:b/>
              </w:rPr>
            </w:pPr>
            <w:r w:rsidRPr="00B46F2F">
              <w:rPr>
                <w:rFonts w:ascii="Times New Roman" w:hAnsi="Times New Roman"/>
                <w:b/>
              </w:rPr>
              <w:t xml:space="preserve">Less than </w:t>
            </w:r>
            <w:r w:rsidR="00F5336D" w:rsidRPr="00B46F2F">
              <w:rPr>
                <w:rFonts w:ascii="Times New Roman" w:hAnsi="Times New Roman"/>
                <w:b/>
              </w:rPr>
              <w:t xml:space="preserve"> </w:t>
            </w:r>
            <w:r w:rsidRPr="00B46F2F">
              <w:rPr>
                <w:rFonts w:ascii="Times New Roman" w:hAnsi="Times New Roman"/>
                <w:b/>
              </w:rPr>
              <w:t>1 month</w:t>
            </w:r>
          </w:p>
        </w:tc>
        <w:tc>
          <w:tcPr>
            <w:tcW w:w="1276" w:type="dxa"/>
          </w:tcPr>
          <w:p w:rsidR="00077368" w:rsidRPr="00B46F2F" w:rsidRDefault="00077368" w:rsidP="00077368">
            <w:pPr>
              <w:pStyle w:val="BodyText"/>
              <w:tabs>
                <w:tab w:val="clear" w:pos="3402"/>
                <w:tab w:val="clear" w:pos="8222"/>
              </w:tabs>
              <w:jc w:val="right"/>
              <w:rPr>
                <w:rFonts w:ascii="Times New Roman" w:hAnsi="Times New Roman"/>
                <w:b/>
              </w:rPr>
            </w:pPr>
            <w:r w:rsidRPr="00B46F2F">
              <w:rPr>
                <w:rFonts w:ascii="Times New Roman" w:hAnsi="Times New Roman"/>
                <w:b/>
              </w:rPr>
              <w:t>1-3 months</w:t>
            </w:r>
          </w:p>
        </w:tc>
        <w:tc>
          <w:tcPr>
            <w:tcW w:w="1275" w:type="dxa"/>
          </w:tcPr>
          <w:p w:rsidR="00077368" w:rsidRPr="00B46F2F" w:rsidRDefault="00077368" w:rsidP="0030797F">
            <w:pPr>
              <w:pStyle w:val="BodyText"/>
              <w:tabs>
                <w:tab w:val="clear" w:pos="3402"/>
                <w:tab w:val="clear" w:pos="8222"/>
              </w:tabs>
              <w:jc w:val="right"/>
              <w:rPr>
                <w:rFonts w:ascii="Times New Roman" w:hAnsi="Times New Roman"/>
                <w:b/>
              </w:rPr>
            </w:pPr>
            <w:r w:rsidRPr="00B46F2F">
              <w:rPr>
                <w:rFonts w:ascii="Times New Roman" w:hAnsi="Times New Roman"/>
                <w:b/>
              </w:rPr>
              <w:t>3</w:t>
            </w:r>
            <w:r w:rsidR="0030797F" w:rsidRPr="00B46F2F">
              <w:rPr>
                <w:rFonts w:ascii="Times New Roman" w:hAnsi="Times New Roman"/>
                <w:b/>
              </w:rPr>
              <w:t xml:space="preserve"> </w:t>
            </w:r>
            <w:r w:rsidRPr="00B46F2F">
              <w:rPr>
                <w:rFonts w:ascii="Times New Roman" w:hAnsi="Times New Roman"/>
                <w:b/>
              </w:rPr>
              <w:t>months to 1 year</w:t>
            </w:r>
          </w:p>
        </w:tc>
        <w:tc>
          <w:tcPr>
            <w:tcW w:w="1277" w:type="dxa"/>
          </w:tcPr>
          <w:p w:rsidR="00077368" w:rsidRPr="00B46F2F" w:rsidRDefault="00077368" w:rsidP="00077368">
            <w:pPr>
              <w:pStyle w:val="BodyText"/>
              <w:tabs>
                <w:tab w:val="clear" w:pos="3402"/>
                <w:tab w:val="clear" w:pos="8222"/>
              </w:tabs>
              <w:jc w:val="right"/>
              <w:rPr>
                <w:rFonts w:ascii="Times New Roman" w:hAnsi="Times New Roman"/>
                <w:b/>
              </w:rPr>
            </w:pPr>
            <w:r w:rsidRPr="00B46F2F">
              <w:rPr>
                <w:rFonts w:ascii="Times New Roman" w:hAnsi="Times New Roman"/>
                <w:b/>
              </w:rPr>
              <w:t>More than 1 year</w:t>
            </w:r>
          </w:p>
        </w:tc>
        <w:tc>
          <w:tcPr>
            <w:tcW w:w="1353" w:type="dxa"/>
          </w:tcPr>
          <w:p w:rsidR="00077368" w:rsidRPr="00B46F2F" w:rsidRDefault="00077368" w:rsidP="00077368">
            <w:pPr>
              <w:pStyle w:val="BodyText"/>
              <w:tabs>
                <w:tab w:val="clear" w:pos="3402"/>
                <w:tab w:val="clear" w:pos="8222"/>
              </w:tabs>
              <w:jc w:val="right"/>
              <w:rPr>
                <w:rFonts w:ascii="Times New Roman" w:hAnsi="Times New Roman"/>
                <w:b/>
              </w:rPr>
            </w:pPr>
          </w:p>
          <w:p w:rsidR="00077368" w:rsidRPr="00B46F2F" w:rsidRDefault="00077368" w:rsidP="00077368">
            <w:pPr>
              <w:pStyle w:val="BodyText"/>
              <w:tabs>
                <w:tab w:val="clear" w:pos="3402"/>
                <w:tab w:val="clear" w:pos="8222"/>
              </w:tabs>
              <w:jc w:val="right"/>
              <w:rPr>
                <w:rFonts w:ascii="Times New Roman" w:hAnsi="Times New Roman"/>
                <w:b/>
              </w:rPr>
            </w:pPr>
            <w:r w:rsidRPr="00B46F2F">
              <w:rPr>
                <w:rFonts w:ascii="Times New Roman" w:hAnsi="Times New Roman"/>
                <w:b/>
              </w:rPr>
              <w:t>Total</w:t>
            </w:r>
          </w:p>
        </w:tc>
      </w:tr>
      <w:tr w:rsidR="008D2F1B" w:rsidRPr="00B46F2F" w:rsidTr="00B74D7C">
        <w:tc>
          <w:tcPr>
            <w:tcW w:w="3202" w:type="dxa"/>
          </w:tcPr>
          <w:p w:rsidR="00077368" w:rsidRPr="00B46F2F" w:rsidRDefault="00077368" w:rsidP="00077368">
            <w:pPr>
              <w:pStyle w:val="BodyText"/>
              <w:tabs>
                <w:tab w:val="clear" w:pos="3402"/>
                <w:tab w:val="clear" w:pos="8222"/>
              </w:tabs>
              <w:rPr>
                <w:rFonts w:ascii="Times New Roman" w:hAnsi="Times New Roman"/>
              </w:rPr>
            </w:pPr>
          </w:p>
        </w:tc>
        <w:tc>
          <w:tcPr>
            <w:tcW w:w="450" w:type="dxa"/>
          </w:tcPr>
          <w:p w:rsidR="00077368" w:rsidRPr="00B46F2F" w:rsidRDefault="00077368" w:rsidP="00077368">
            <w:pPr>
              <w:pStyle w:val="BodyText"/>
              <w:tabs>
                <w:tab w:val="clear" w:pos="3402"/>
                <w:tab w:val="clear" w:pos="8222"/>
              </w:tabs>
              <w:rPr>
                <w:rFonts w:ascii="Times New Roman" w:hAnsi="Times New Roman"/>
              </w:rPr>
            </w:pPr>
          </w:p>
        </w:tc>
        <w:tc>
          <w:tcPr>
            <w:tcW w:w="1843" w:type="dxa"/>
          </w:tcPr>
          <w:p w:rsidR="00077368" w:rsidRPr="00B46F2F" w:rsidRDefault="008D4BB3" w:rsidP="00077368">
            <w:pPr>
              <w:pStyle w:val="BodyText"/>
              <w:tabs>
                <w:tab w:val="clear" w:pos="3402"/>
                <w:tab w:val="clear" w:pos="8222"/>
              </w:tabs>
              <w:jc w:val="right"/>
              <w:rPr>
                <w:rFonts w:ascii="Times New Roman" w:hAnsi="Times New Roman"/>
                <w:b/>
              </w:rPr>
            </w:pPr>
            <w:r w:rsidRPr="00B46F2F">
              <w:rPr>
                <w:rFonts w:ascii="Times New Roman" w:hAnsi="Times New Roman"/>
                <w:b/>
              </w:rPr>
              <w:t>GBP</w:t>
            </w:r>
          </w:p>
        </w:tc>
        <w:tc>
          <w:tcPr>
            <w:tcW w:w="1276" w:type="dxa"/>
          </w:tcPr>
          <w:p w:rsidR="00077368" w:rsidRPr="00B46F2F" w:rsidRDefault="008D4BB3" w:rsidP="00077368">
            <w:pPr>
              <w:pStyle w:val="BodyText"/>
              <w:tabs>
                <w:tab w:val="clear" w:pos="3402"/>
                <w:tab w:val="clear" w:pos="8222"/>
              </w:tabs>
              <w:jc w:val="right"/>
              <w:rPr>
                <w:rFonts w:ascii="Times New Roman" w:hAnsi="Times New Roman"/>
                <w:b/>
              </w:rPr>
            </w:pPr>
            <w:r w:rsidRPr="00B46F2F">
              <w:rPr>
                <w:rFonts w:ascii="Times New Roman" w:hAnsi="Times New Roman"/>
                <w:b/>
              </w:rPr>
              <w:t>GBP</w:t>
            </w:r>
          </w:p>
        </w:tc>
        <w:tc>
          <w:tcPr>
            <w:tcW w:w="1275" w:type="dxa"/>
          </w:tcPr>
          <w:p w:rsidR="00077368" w:rsidRPr="00B46F2F" w:rsidRDefault="008D4BB3" w:rsidP="00077368">
            <w:pPr>
              <w:pStyle w:val="BodyText"/>
              <w:tabs>
                <w:tab w:val="clear" w:pos="3402"/>
                <w:tab w:val="clear" w:pos="8222"/>
              </w:tabs>
              <w:jc w:val="right"/>
              <w:rPr>
                <w:rFonts w:ascii="Times New Roman" w:hAnsi="Times New Roman"/>
                <w:b/>
              </w:rPr>
            </w:pPr>
            <w:r w:rsidRPr="00B46F2F">
              <w:rPr>
                <w:rFonts w:ascii="Times New Roman" w:hAnsi="Times New Roman"/>
                <w:b/>
              </w:rPr>
              <w:t>GBP</w:t>
            </w:r>
          </w:p>
        </w:tc>
        <w:tc>
          <w:tcPr>
            <w:tcW w:w="1277" w:type="dxa"/>
          </w:tcPr>
          <w:p w:rsidR="00077368" w:rsidRPr="00B46F2F" w:rsidRDefault="008D4BB3" w:rsidP="00077368">
            <w:pPr>
              <w:pStyle w:val="BodyText"/>
              <w:tabs>
                <w:tab w:val="clear" w:pos="3402"/>
                <w:tab w:val="clear" w:pos="8222"/>
              </w:tabs>
              <w:jc w:val="right"/>
              <w:rPr>
                <w:rFonts w:ascii="Times New Roman" w:hAnsi="Times New Roman"/>
                <w:b/>
              </w:rPr>
            </w:pPr>
            <w:r w:rsidRPr="00B46F2F">
              <w:rPr>
                <w:rFonts w:ascii="Times New Roman" w:hAnsi="Times New Roman"/>
                <w:b/>
              </w:rPr>
              <w:t>GBP</w:t>
            </w:r>
          </w:p>
        </w:tc>
        <w:tc>
          <w:tcPr>
            <w:tcW w:w="1353" w:type="dxa"/>
          </w:tcPr>
          <w:p w:rsidR="00077368" w:rsidRPr="00B46F2F" w:rsidRDefault="008D4BB3" w:rsidP="00077368">
            <w:pPr>
              <w:pStyle w:val="BodyText"/>
              <w:tabs>
                <w:tab w:val="clear" w:pos="3402"/>
                <w:tab w:val="clear" w:pos="8222"/>
              </w:tabs>
              <w:jc w:val="right"/>
              <w:rPr>
                <w:rFonts w:ascii="Times New Roman" w:hAnsi="Times New Roman"/>
                <w:b/>
              </w:rPr>
            </w:pPr>
            <w:r w:rsidRPr="00B46F2F">
              <w:rPr>
                <w:rFonts w:ascii="Times New Roman" w:hAnsi="Times New Roman"/>
                <w:b/>
              </w:rPr>
              <w:t>GBP</w:t>
            </w:r>
          </w:p>
        </w:tc>
      </w:tr>
      <w:tr w:rsidR="008D2F1B" w:rsidRPr="00B46F2F" w:rsidTr="00B74D7C">
        <w:tc>
          <w:tcPr>
            <w:tcW w:w="3202" w:type="dxa"/>
          </w:tcPr>
          <w:p w:rsidR="00077368" w:rsidRPr="00B46F2F" w:rsidRDefault="00077368" w:rsidP="00810935">
            <w:pPr>
              <w:pStyle w:val="BodyText"/>
              <w:tabs>
                <w:tab w:val="clear" w:pos="3402"/>
                <w:tab w:val="clear" w:pos="8222"/>
              </w:tabs>
              <w:ind w:left="284"/>
              <w:rPr>
                <w:rFonts w:ascii="Times New Roman" w:hAnsi="Times New Roman"/>
                <w:b/>
              </w:rPr>
            </w:pPr>
            <w:r w:rsidRPr="00B46F2F">
              <w:rPr>
                <w:rFonts w:ascii="Times New Roman" w:hAnsi="Times New Roman"/>
                <w:b/>
              </w:rPr>
              <w:t>Assets</w:t>
            </w:r>
          </w:p>
        </w:tc>
        <w:tc>
          <w:tcPr>
            <w:tcW w:w="450" w:type="dxa"/>
          </w:tcPr>
          <w:p w:rsidR="00077368" w:rsidRPr="00B46F2F" w:rsidRDefault="00077368" w:rsidP="00077368">
            <w:pPr>
              <w:pStyle w:val="BodyText"/>
              <w:tabs>
                <w:tab w:val="clear" w:pos="3402"/>
                <w:tab w:val="clear" w:pos="8222"/>
              </w:tabs>
              <w:rPr>
                <w:rFonts w:ascii="Times New Roman" w:hAnsi="Times New Roman"/>
              </w:rPr>
            </w:pPr>
          </w:p>
        </w:tc>
        <w:tc>
          <w:tcPr>
            <w:tcW w:w="1843" w:type="dxa"/>
          </w:tcPr>
          <w:p w:rsidR="00077368" w:rsidRPr="00B46F2F" w:rsidRDefault="00077368" w:rsidP="00077368">
            <w:pPr>
              <w:pStyle w:val="BodyText"/>
              <w:tabs>
                <w:tab w:val="clear" w:pos="3402"/>
                <w:tab w:val="clear" w:pos="8222"/>
              </w:tabs>
              <w:rPr>
                <w:rFonts w:ascii="Times New Roman" w:hAnsi="Times New Roman"/>
              </w:rPr>
            </w:pPr>
          </w:p>
        </w:tc>
        <w:tc>
          <w:tcPr>
            <w:tcW w:w="1276" w:type="dxa"/>
          </w:tcPr>
          <w:p w:rsidR="00077368" w:rsidRPr="00B46F2F" w:rsidRDefault="00077368" w:rsidP="00077368">
            <w:pPr>
              <w:pStyle w:val="BodyText"/>
              <w:tabs>
                <w:tab w:val="clear" w:pos="3402"/>
                <w:tab w:val="clear" w:pos="8222"/>
              </w:tabs>
              <w:rPr>
                <w:rFonts w:ascii="Times New Roman" w:hAnsi="Times New Roman"/>
              </w:rPr>
            </w:pPr>
          </w:p>
        </w:tc>
        <w:tc>
          <w:tcPr>
            <w:tcW w:w="1275" w:type="dxa"/>
          </w:tcPr>
          <w:p w:rsidR="00077368" w:rsidRPr="00B46F2F" w:rsidRDefault="00077368" w:rsidP="00077368">
            <w:pPr>
              <w:pStyle w:val="BodyText"/>
              <w:tabs>
                <w:tab w:val="clear" w:pos="3402"/>
                <w:tab w:val="clear" w:pos="8222"/>
              </w:tabs>
              <w:rPr>
                <w:rFonts w:ascii="Times New Roman" w:hAnsi="Times New Roman"/>
              </w:rPr>
            </w:pPr>
          </w:p>
        </w:tc>
        <w:tc>
          <w:tcPr>
            <w:tcW w:w="1277" w:type="dxa"/>
          </w:tcPr>
          <w:p w:rsidR="00077368" w:rsidRPr="00B46F2F" w:rsidRDefault="00077368" w:rsidP="00077368">
            <w:pPr>
              <w:pStyle w:val="BodyText"/>
              <w:tabs>
                <w:tab w:val="clear" w:pos="3402"/>
                <w:tab w:val="clear" w:pos="8222"/>
              </w:tabs>
              <w:rPr>
                <w:rFonts w:ascii="Times New Roman" w:hAnsi="Times New Roman"/>
              </w:rPr>
            </w:pPr>
          </w:p>
        </w:tc>
        <w:tc>
          <w:tcPr>
            <w:tcW w:w="1353" w:type="dxa"/>
          </w:tcPr>
          <w:p w:rsidR="00077368" w:rsidRPr="00B46F2F" w:rsidRDefault="00077368" w:rsidP="00077368">
            <w:pPr>
              <w:pStyle w:val="BodyText"/>
              <w:tabs>
                <w:tab w:val="clear" w:pos="3402"/>
                <w:tab w:val="clear" w:pos="8222"/>
              </w:tabs>
              <w:rPr>
                <w:rFonts w:ascii="Times New Roman" w:hAnsi="Times New Roman"/>
              </w:rPr>
            </w:pPr>
          </w:p>
        </w:tc>
      </w:tr>
      <w:tr w:rsidR="005B25AA" w:rsidRPr="00B46F2F" w:rsidTr="00B74D7C">
        <w:tc>
          <w:tcPr>
            <w:tcW w:w="3202" w:type="dxa"/>
          </w:tcPr>
          <w:p w:rsidR="005B25AA" w:rsidRPr="00B46F2F" w:rsidRDefault="005B25AA" w:rsidP="00810935">
            <w:pPr>
              <w:pStyle w:val="BodyText"/>
              <w:tabs>
                <w:tab w:val="clear" w:pos="3402"/>
                <w:tab w:val="clear" w:pos="8222"/>
              </w:tabs>
              <w:ind w:left="284"/>
              <w:rPr>
                <w:rFonts w:ascii="Times New Roman" w:hAnsi="Times New Roman"/>
              </w:rPr>
            </w:pPr>
            <w:r w:rsidRPr="00B46F2F">
              <w:rPr>
                <w:rFonts w:ascii="Times New Roman" w:hAnsi="Times New Roman"/>
              </w:rPr>
              <w:t>Securities (at fair value through profit or loss)</w:t>
            </w:r>
          </w:p>
        </w:tc>
        <w:tc>
          <w:tcPr>
            <w:tcW w:w="450" w:type="dxa"/>
          </w:tcPr>
          <w:p w:rsidR="005B25AA" w:rsidRPr="00B46F2F" w:rsidRDefault="005B25AA" w:rsidP="00077368">
            <w:pPr>
              <w:pStyle w:val="BodyText"/>
              <w:tabs>
                <w:tab w:val="clear" w:pos="3402"/>
                <w:tab w:val="clear" w:pos="8222"/>
              </w:tabs>
              <w:rPr>
                <w:rFonts w:ascii="Times New Roman" w:hAnsi="Times New Roman"/>
              </w:rPr>
            </w:pPr>
          </w:p>
        </w:tc>
        <w:tc>
          <w:tcPr>
            <w:tcW w:w="1843" w:type="dxa"/>
            <w:vAlign w:val="bottom"/>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114,095,281</w:t>
            </w:r>
          </w:p>
        </w:tc>
        <w:tc>
          <w:tcPr>
            <w:tcW w:w="1276" w:type="dxa"/>
            <w:vAlign w:val="bottom"/>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5" w:type="dxa"/>
            <w:vAlign w:val="bottom"/>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7" w:type="dxa"/>
            <w:vAlign w:val="bottom"/>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53" w:type="dxa"/>
            <w:vAlign w:val="bottom"/>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114,095,281</w:t>
            </w:r>
          </w:p>
        </w:tc>
      </w:tr>
      <w:tr w:rsidR="005B25AA" w:rsidRPr="00B46F2F" w:rsidTr="00B74D7C">
        <w:tc>
          <w:tcPr>
            <w:tcW w:w="3202" w:type="dxa"/>
          </w:tcPr>
          <w:p w:rsidR="005B25AA" w:rsidRPr="00B46F2F" w:rsidRDefault="005B25AA" w:rsidP="00714635">
            <w:pPr>
              <w:pStyle w:val="BodyText"/>
              <w:tabs>
                <w:tab w:val="clear" w:pos="3402"/>
                <w:tab w:val="clear" w:pos="8222"/>
              </w:tabs>
              <w:ind w:left="284"/>
              <w:rPr>
                <w:rFonts w:ascii="Times New Roman" w:hAnsi="Times New Roman"/>
              </w:rPr>
            </w:pPr>
            <w:r w:rsidRPr="00B46F2F">
              <w:rPr>
                <w:rFonts w:ascii="Times New Roman" w:hAnsi="Times New Roman"/>
              </w:rPr>
              <w:t>Accrued bond interest</w:t>
            </w:r>
          </w:p>
        </w:tc>
        <w:tc>
          <w:tcPr>
            <w:tcW w:w="450" w:type="dxa"/>
          </w:tcPr>
          <w:p w:rsidR="005B25AA" w:rsidRPr="00B46F2F" w:rsidRDefault="005B25AA" w:rsidP="00077368">
            <w:pPr>
              <w:pStyle w:val="BodyText"/>
              <w:tabs>
                <w:tab w:val="clear" w:pos="3402"/>
                <w:tab w:val="clear" w:pos="8222"/>
              </w:tabs>
              <w:rPr>
                <w:rFonts w:ascii="Times New Roman" w:hAnsi="Times New Roman"/>
              </w:rPr>
            </w:pPr>
          </w:p>
        </w:tc>
        <w:tc>
          <w:tcPr>
            <w:tcW w:w="1843" w:type="dxa"/>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w:t>
            </w:r>
          </w:p>
        </w:tc>
        <w:tc>
          <w:tcPr>
            <w:tcW w:w="1276" w:type="dxa"/>
            <w:vAlign w:val="bottom"/>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17,070</w:t>
            </w:r>
          </w:p>
        </w:tc>
        <w:tc>
          <w:tcPr>
            <w:tcW w:w="1275" w:type="dxa"/>
            <w:vAlign w:val="bottom"/>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7" w:type="dxa"/>
            <w:vAlign w:val="bottom"/>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53" w:type="dxa"/>
          </w:tcPr>
          <w:p w:rsidR="005B25AA" w:rsidRPr="00B46F2F" w:rsidRDefault="005B25AA" w:rsidP="00AC5183">
            <w:pPr>
              <w:pStyle w:val="BodyText"/>
              <w:tabs>
                <w:tab w:val="clear" w:pos="3402"/>
                <w:tab w:val="clear" w:pos="8222"/>
                <w:tab w:val="center" w:pos="568"/>
                <w:tab w:val="right" w:pos="1137"/>
              </w:tabs>
              <w:jc w:val="left"/>
              <w:rPr>
                <w:rFonts w:ascii="Times New Roman" w:hAnsi="Times New Roman"/>
              </w:rPr>
            </w:pPr>
            <w:r>
              <w:rPr>
                <w:rFonts w:ascii="Times New Roman" w:hAnsi="Times New Roman"/>
              </w:rPr>
              <w:tab/>
            </w:r>
            <w:r>
              <w:rPr>
                <w:rFonts w:ascii="Times New Roman" w:hAnsi="Times New Roman"/>
              </w:rPr>
              <w:tab/>
              <w:t>17,070</w:t>
            </w:r>
          </w:p>
        </w:tc>
      </w:tr>
      <w:tr w:rsidR="005B25AA" w:rsidRPr="00B46F2F" w:rsidTr="00B74D7C">
        <w:tc>
          <w:tcPr>
            <w:tcW w:w="3202" w:type="dxa"/>
          </w:tcPr>
          <w:p w:rsidR="005B25AA" w:rsidRPr="00B46F2F" w:rsidRDefault="005B25AA" w:rsidP="00460791">
            <w:pPr>
              <w:pStyle w:val="BodyText"/>
              <w:tabs>
                <w:tab w:val="clear" w:pos="3402"/>
                <w:tab w:val="clear" w:pos="8222"/>
              </w:tabs>
              <w:ind w:left="284"/>
              <w:rPr>
                <w:rFonts w:ascii="Times New Roman" w:hAnsi="Times New Roman"/>
              </w:rPr>
            </w:pPr>
            <w:r w:rsidRPr="00B46F2F">
              <w:rPr>
                <w:rFonts w:ascii="Times New Roman" w:hAnsi="Times New Roman"/>
              </w:rPr>
              <w:t>Accrued dividend income</w:t>
            </w:r>
          </w:p>
        </w:tc>
        <w:tc>
          <w:tcPr>
            <w:tcW w:w="450" w:type="dxa"/>
          </w:tcPr>
          <w:p w:rsidR="005B25AA" w:rsidRPr="00B46F2F" w:rsidRDefault="005B25AA" w:rsidP="00460791">
            <w:pPr>
              <w:pStyle w:val="BodyText"/>
              <w:tabs>
                <w:tab w:val="clear" w:pos="3402"/>
                <w:tab w:val="clear" w:pos="8222"/>
              </w:tabs>
              <w:rPr>
                <w:rFonts w:ascii="Times New Roman" w:hAnsi="Times New Roman"/>
              </w:rPr>
            </w:pPr>
          </w:p>
        </w:tc>
        <w:tc>
          <w:tcPr>
            <w:tcW w:w="1843" w:type="dxa"/>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570,781</w:t>
            </w:r>
          </w:p>
        </w:tc>
        <w:tc>
          <w:tcPr>
            <w:tcW w:w="1276" w:type="dxa"/>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5" w:type="dxa"/>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7" w:type="dxa"/>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53" w:type="dxa"/>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570,781</w:t>
            </w:r>
          </w:p>
        </w:tc>
      </w:tr>
      <w:tr w:rsidR="005B25AA" w:rsidRPr="00B46F2F" w:rsidTr="00B74D7C">
        <w:tc>
          <w:tcPr>
            <w:tcW w:w="3202" w:type="dxa"/>
          </w:tcPr>
          <w:p w:rsidR="005B25AA" w:rsidRPr="00B46F2F" w:rsidRDefault="005B25AA" w:rsidP="00C50392">
            <w:pPr>
              <w:pStyle w:val="BodyText"/>
              <w:tabs>
                <w:tab w:val="clear" w:pos="3402"/>
                <w:tab w:val="clear" w:pos="8222"/>
              </w:tabs>
              <w:ind w:left="284"/>
              <w:rPr>
                <w:rFonts w:ascii="Times New Roman" w:hAnsi="Times New Roman"/>
              </w:rPr>
            </w:pPr>
            <w:r w:rsidRPr="00B46F2F">
              <w:rPr>
                <w:rFonts w:ascii="Times New Roman" w:hAnsi="Times New Roman"/>
              </w:rPr>
              <w:t>Accrued bank interest</w:t>
            </w:r>
          </w:p>
        </w:tc>
        <w:tc>
          <w:tcPr>
            <w:tcW w:w="450" w:type="dxa"/>
          </w:tcPr>
          <w:p w:rsidR="005B25AA" w:rsidRPr="00B46F2F" w:rsidRDefault="005B25AA" w:rsidP="00077368">
            <w:pPr>
              <w:pStyle w:val="BodyText"/>
              <w:tabs>
                <w:tab w:val="clear" w:pos="3402"/>
                <w:tab w:val="clear" w:pos="8222"/>
              </w:tabs>
              <w:rPr>
                <w:rFonts w:ascii="Times New Roman" w:hAnsi="Times New Roman"/>
              </w:rPr>
            </w:pPr>
          </w:p>
        </w:tc>
        <w:tc>
          <w:tcPr>
            <w:tcW w:w="1843" w:type="dxa"/>
          </w:tcPr>
          <w:p w:rsidR="005B25AA" w:rsidRPr="00B46F2F" w:rsidRDefault="0069096F">
            <w:pPr>
              <w:pStyle w:val="BodyText"/>
              <w:tabs>
                <w:tab w:val="clear" w:pos="3402"/>
                <w:tab w:val="clear" w:pos="8222"/>
              </w:tabs>
              <w:jc w:val="right"/>
              <w:rPr>
                <w:rFonts w:ascii="Times New Roman" w:hAnsi="Times New Roman"/>
              </w:rPr>
            </w:pPr>
            <w:r>
              <w:rPr>
                <w:rFonts w:ascii="Times New Roman" w:hAnsi="Times New Roman"/>
              </w:rPr>
              <w:t>7,5</w:t>
            </w:r>
            <w:r w:rsidR="005B25AA">
              <w:rPr>
                <w:rFonts w:ascii="Times New Roman" w:hAnsi="Times New Roman"/>
              </w:rPr>
              <w:t>41</w:t>
            </w:r>
          </w:p>
        </w:tc>
        <w:tc>
          <w:tcPr>
            <w:tcW w:w="1276" w:type="dxa"/>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5" w:type="dxa"/>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7" w:type="dxa"/>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53" w:type="dxa"/>
          </w:tcPr>
          <w:p w:rsidR="005B25AA" w:rsidRPr="00B46F2F" w:rsidRDefault="0069096F">
            <w:pPr>
              <w:pStyle w:val="BodyText"/>
              <w:tabs>
                <w:tab w:val="clear" w:pos="3402"/>
                <w:tab w:val="clear" w:pos="8222"/>
              </w:tabs>
              <w:jc w:val="right"/>
              <w:rPr>
                <w:rFonts w:ascii="Times New Roman" w:hAnsi="Times New Roman"/>
              </w:rPr>
            </w:pPr>
            <w:r>
              <w:rPr>
                <w:rFonts w:ascii="Times New Roman" w:hAnsi="Times New Roman"/>
              </w:rPr>
              <w:t>7</w:t>
            </w:r>
            <w:r w:rsidR="005B25AA">
              <w:rPr>
                <w:rFonts w:ascii="Times New Roman" w:hAnsi="Times New Roman"/>
              </w:rPr>
              <w:t>,</w:t>
            </w:r>
            <w:r>
              <w:rPr>
                <w:rFonts w:ascii="Times New Roman" w:hAnsi="Times New Roman"/>
              </w:rPr>
              <w:t>5</w:t>
            </w:r>
            <w:r w:rsidR="005B25AA">
              <w:rPr>
                <w:rFonts w:ascii="Times New Roman" w:hAnsi="Times New Roman"/>
              </w:rPr>
              <w:t>41</w:t>
            </w:r>
          </w:p>
        </w:tc>
      </w:tr>
      <w:tr w:rsidR="005B25AA" w:rsidRPr="00B46F2F" w:rsidTr="00B74D7C">
        <w:tc>
          <w:tcPr>
            <w:tcW w:w="3202" w:type="dxa"/>
          </w:tcPr>
          <w:p w:rsidR="005B25AA" w:rsidRPr="00B46F2F" w:rsidRDefault="005B25AA" w:rsidP="00810935">
            <w:pPr>
              <w:pStyle w:val="BodyText"/>
              <w:tabs>
                <w:tab w:val="clear" w:pos="3402"/>
                <w:tab w:val="clear" w:pos="8222"/>
              </w:tabs>
              <w:ind w:left="284"/>
              <w:rPr>
                <w:rFonts w:ascii="Times New Roman" w:hAnsi="Times New Roman"/>
              </w:rPr>
            </w:pPr>
            <w:r w:rsidRPr="00B46F2F">
              <w:rPr>
                <w:rFonts w:ascii="Times New Roman" w:hAnsi="Times New Roman"/>
              </w:rPr>
              <w:t>Other receivables</w:t>
            </w:r>
          </w:p>
        </w:tc>
        <w:tc>
          <w:tcPr>
            <w:tcW w:w="450" w:type="dxa"/>
          </w:tcPr>
          <w:p w:rsidR="005B25AA" w:rsidRPr="00B46F2F" w:rsidRDefault="005B25AA" w:rsidP="00077368">
            <w:pPr>
              <w:pStyle w:val="BodyText"/>
              <w:tabs>
                <w:tab w:val="clear" w:pos="3402"/>
                <w:tab w:val="clear" w:pos="8222"/>
              </w:tabs>
              <w:rPr>
                <w:rFonts w:ascii="Times New Roman" w:hAnsi="Times New Roman"/>
              </w:rPr>
            </w:pPr>
          </w:p>
        </w:tc>
        <w:tc>
          <w:tcPr>
            <w:tcW w:w="1843" w:type="dxa"/>
          </w:tcPr>
          <w:p w:rsidR="005B25AA" w:rsidRPr="00B46F2F" w:rsidRDefault="005B25AA" w:rsidP="005E78A4">
            <w:pPr>
              <w:pStyle w:val="BodyText"/>
              <w:tabs>
                <w:tab w:val="clear" w:pos="3402"/>
                <w:tab w:val="clear" w:pos="8222"/>
              </w:tabs>
              <w:jc w:val="right"/>
              <w:rPr>
                <w:rFonts w:ascii="Times New Roman" w:hAnsi="Times New Roman"/>
              </w:rPr>
            </w:pPr>
            <w:r>
              <w:rPr>
                <w:rFonts w:ascii="Times New Roman" w:hAnsi="Times New Roman"/>
              </w:rPr>
              <w:t>2</w:t>
            </w:r>
          </w:p>
        </w:tc>
        <w:tc>
          <w:tcPr>
            <w:tcW w:w="1276" w:type="dxa"/>
          </w:tcPr>
          <w:p w:rsidR="005B25AA" w:rsidRPr="00B46F2F" w:rsidRDefault="005B25AA" w:rsidP="00590B67">
            <w:pPr>
              <w:jc w:val="right"/>
              <w:rPr>
                <w:rFonts w:ascii="Times New Roman" w:hAnsi="Times New Roman"/>
              </w:rPr>
            </w:pPr>
            <w:r w:rsidRPr="00B46F2F">
              <w:rPr>
                <w:rFonts w:ascii="Times New Roman" w:hAnsi="Times New Roman"/>
              </w:rPr>
              <w:t>-</w:t>
            </w:r>
          </w:p>
        </w:tc>
        <w:tc>
          <w:tcPr>
            <w:tcW w:w="1275" w:type="dxa"/>
          </w:tcPr>
          <w:p w:rsidR="005B25AA" w:rsidRPr="00B46F2F" w:rsidRDefault="005B25AA" w:rsidP="00590B67">
            <w:pPr>
              <w:jc w:val="right"/>
              <w:rPr>
                <w:rFonts w:ascii="Times New Roman" w:hAnsi="Times New Roman"/>
              </w:rPr>
            </w:pPr>
            <w:r w:rsidRPr="00B46F2F">
              <w:rPr>
                <w:rFonts w:ascii="Times New Roman" w:hAnsi="Times New Roman"/>
              </w:rPr>
              <w:t>-</w:t>
            </w:r>
          </w:p>
        </w:tc>
        <w:tc>
          <w:tcPr>
            <w:tcW w:w="1277" w:type="dxa"/>
          </w:tcPr>
          <w:p w:rsidR="005B25AA" w:rsidRPr="00B46F2F" w:rsidRDefault="005B25AA" w:rsidP="00590B67">
            <w:pPr>
              <w:jc w:val="right"/>
              <w:rPr>
                <w:rFonts w:ascii="Times New Roman" w:hAnsi="Times New Roman"/>
              </w:rPr>
            </w:pPr>
            <w:r w:rsidRPr="00B46F2F">
              <w:rPr>
                <w:rFonts w:ascii="Times New Roman" w:hAnsi="Times New Roman"/>
              </w:rPr>
              <w:t>-</w:t>
            </w:r>
          </w:p>
        </w:tc>
        <w:tc>
          <w:tcPr>
            <w:tcW w:w="1353" w:type="dxa"/>
          </w:tcPr>
          <w:p w:rsidR="005B25AA" w:rsidRPr="00B46F2F" w:rsidRDefault="005B25AA" w:rsidP="00590B67">
            <w:pPr>
              <w:pStyle w:val="BodyText"/>
              <w:tabs>
                <w:tab w:val="clear" w:pos="3402"/>
                <w:tab w:val="clear" w:pos="8222"/>
              </w:tabs>
              <w:jc w:val="right"/>
              <w:rPr>
                <w:rFonts w:ascii="Times New Roman" w:hAnsi="Times New Roman"/>
              </w:rPr>
            </w:pPr>
            <w:r>
              <w:rPr>
                <w:rFonts w:ascii="Times New Roman" w:hAnsi="Times New Roman"/>
              </w:rPr>
              <w:t>2</w:t>
            </w:r>
          </w:p>
        </w:tc>
      </w:tr>
      <w:tr w:rsidR="005B25AA" w:rsidRPr="00B46F2F" w:rsidTr="00B74D7C">
        <w:tc>
          <w:tcPr>
            <w:tcW w:w="3202" w:type="dxa"/>
          </w:tcPr>
          <w:p w:rsidR="005B25AA" w:rsidRPr="00B46F2F" w:rsidRDefault="005B25AA" w:rsidP="00810935">
            <w:pPr>
              <w:pStyle w:val="BodyText"/>
              <w:tabs>
                <w:tab w:val="clear" w:pos="3402"/>
                <w:tab w:val="clear" w:pos="8222"/>
              </w:tabs>
              <w:ind w:left="284"/>
              <w:rPr>
                <w:rFonts w:ascii="Times New Roman" w:hAnsi="Times New Roman"/>
              </w:rPr>
            </w:pPr>
            <w:r w:rsidRPr="00B46F2F">
              <w:rPr>
                <w:rFonts w:ascii="Times New Roman" w:hAnsi="Times New Roman"/>
              </w:rPr>
              <w:t>Prepayments</w:t>
            </w:r>
          </w:p>
        </w:tc>
        <w:tc>
          <w:tcPr>
            <w:tcW w:w="450" w:type="dxa"/>
          </w:tcPr>
          <w:p w:rsidR="005B25AA" w:rsidRPr="00B46F2F" w:rsidRDefault="005B25AA" w:rsidP="00077368">
            <w:pPr>
              <w:pStyle w:val="BodyText"/>
              <w:tabs>
                <w:tab w:val="clear" w:pos="3402"/>
                <w:tab w:val="clear" w:pos="8222"/>
              </w:tabs>
              <w:rPr>
                <w:rFonts w:ascii="Times New Roman" w:hAnsi="Times New Roman"/>
              </w:rPr>
            </w:pPr>
          </w:p>
        </w:tc>
        <w:tc>
          <w:tcPr>
            <w:tcW w:w="1843" w:type="dxa"/>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14,775</w:t>
            </w:r>
          </w:p>
        </w:tc>
        <w:tc>
          <w:tcPr>
            <w:tcW w:w="1276" w:type="dxa"/>
          </w:tcPr>
          <w:p w:rsidR="005B25AA" w:rsidRPr="00B46F2F" w:rsidRDefault="005B25AA" w:rsidP="00590B67">
            <w:pPr>
              <w:jc w:val="right"/>
              <w:rPr>
                <w:rFonts w:ascii="Times New Roman" w:hAnsi="Times New Roman"/>
              </w:rPr>
            </w:pPr>
            <w:r w:rsidRPr="00B46F2F">
              <w:rPr>
                <w:rFonts w:ascii="Times New Roman" w:hAnsi="Times New Roman"/>
              </w:rPr>
              <w:t>-</w:t>
            </w:r>
          </w:p>
        </w:tc>
        <w:tc>
          <w:tcPr>
            <w:tcW w:w="1275" w:type="dxa"/>
          </w:tcPr>
          <w:p w:rsidR="005B25AA" w:rsidRPr="00B46F2F" w:rsidRDefault="005B25AA" w:rsidP="00590B67">
            <w:pPr>
              <w:jc w:val="right"/>
              <w:rPr>
                <w:rFonts w:ascii="Times New Roman" w:hAnsi="Times New Roman"/>
              </w:rPr>
            </w:pPr>
            <w:r w:rsidRPr="00B46F2F">
              <w:rPr>
                <w:rFonts w:ascii="Times New Roman" w:hAnsi="Times New Roman"/>
              </w:rPr>
              <w:t>-</w:t>
            </w:r>
          </w:p>
        </w:tc>
        <w:tc>
          <w:tcPr>
            <w:tcW w:w="1277" w:type="dxa"/>
          </w:tcPr>
          <w:p w:rsidR="005B25AA" w:rsidRPr="00B46F2F" w:rsidRDefault="005B25AA" w:rsidP="00590B67">
            <w:pPr>
              <w:jc w:val="right"/>
              <w:rPr>
                <w:rFonts w:ascii="Times New Roman" w:hAnsi="Times New Roman"/>
              </w:rPr>
            </w:pPr>
            <w:r w:rsidRPr="00B46F2F">
              <w:rPr>
                <w:rFonts w:ascii="Times New Roman" w:hAnsi="Times New Roman"/>
              </w:rPr>
              <w:t>-</w:t>
            </w:r>
          </w:p>
        </w:tc>
        <w:tc>
          <w:tcPr>
            <w:tcW w:w="1353" w:type="dxa"/>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14,775</w:t>
            </w:r>
          </w:p>
        </w:tc>
      </w:tr>
      <w:tr w:rsidR="005B25AA" w:rsidRPr="00B46F2F" w:rsidTr="00B74D7C">
        <w:tc>
          <w:tcPr>
            <w:tcW w:w="3202" w:type="dxa"/>
          </w:tcPr>
          <w:p w:rsidR="005B25AA" w:rsidRPr="00B46F2F" w:rsidRDefault="005B25AA" w:rsidP="00810935">
            <w:pPr>
              <w:pStyle w:val="BodyText"/>
              <w:tabs>
                <w:tab w:val="clear" w:pos="3402"/>
                <w:tab w:val="clear" w:pos="8222"/>
              </w:tabs>
              <w:ind w:left="284"/>
              <w:rPr>
                <w:rFonts w:ascii="Times New Roman" w:hAnsi="Times New Roman"/>
              </w:rPr>
            </w:pPr>
            <w:r w:rsidRPr="00B46F2F">
              <w:rPr>
                <w:rFonts w:ascii="Times New Roman" w:hAnsi="Times New Roman"/>
              </w:rPr>
              <w:t>Cash and cash equivalents</w:t>
            </w:r>
          </w:p>
        </w:tc>
        <w:tc>
          <w:tcPr>
            <w:tcW w:w="450" w:type="dxa"/>
          </w:tcPr>
          <w:p w:rsidR="005B25AA" w:rsidRPr="00B46F2F" w:rsidRDefault="005B25AA" w:rsidP="00077368">
            <w:pPr>
              <w:pStyle w:val="BodyText"/>
              <w:tabs>
                <w:tab w:val="clear" w:pos="3402"/>
                <w:tab w:val="clear" w:pos="8222"/>
              </w:tabs>
              <w:rPr>
                <w:rFonts w:ascii="Times New Roman" w:hAnsi="Times New Roman"/>
              </w:rPr>
            </w:pPr>
          </w:p>
        </w:tc>
        <w:tc>
          <w:tcPr>
            <w:tcW w:w="1843" w:type="dxa"/>
            <w:tcBorders>
              <w:bottom w:val="single" w:sz="4" w:space="0" w:color="auto"/>
            </w:tcBorders>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7,889,488</w:t>
            </w:r>
          </w:p>
        </w:tc>
        <w:tc>
          <w:tcPr>
            <w:tcW w:w="1276" w:type="dxa"/>
            <w:tcBorders>
              <w:bottom w:val="single" w:sz="4" w:space="0" w:color="auto"/>
            </w:tcBorders>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5" w:type="dxa"/>
            <w:tcBorders>
              <w:bottom w:val="single" w:sz="4" w:space="0" w:color="auto"/>
            </w:tcBorders>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7" w:type="dxa"/>
            <w:tcBorders>
              <w:bottom w:val="single" w:sz="4" w:space="0" w:color="auto"/>
            </w:tcBorders>
          </w:tcPr>
          <w:p w:rsidR="005B25AA" w:rsidRPr="00B46F2F" w:rsidRDefault="005B25AA" w:rsidP="00590B67">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53" w:type="dxa"/>
            <w:tcBorders>
              <w:bottom w:val="single" w:sz="4" w:space="0" w:color="auto"/>
            </w:tcBorders>
          </w:tcPr>
          <w:p w:rsidR="005B25AA" w:rsidRPr="00B46F2F" w:rsidRDefault="005B25AA">
            <w:pPr>
              <w:pStyle w:val="BodyText"/>
              <w:tabs>
                <w:tab w:val="clear" w:pos="3402"/>
                <w:tab w:val="clear" w:pos="8222"/>
              </w:tabs>
              <w:jc w:val="right"/>
              <w:rPr>
                <w:rFonts w:ascii="Times New Roman" w:hAnsi="Times New Roman"/>
              </w:rPr>
            </w:pPr>
            <w:r>
              <w:rPr>
                <w:rFonts w:ascii="Times New Roman" w:hAnsi="Times New Roman"/>
              </w:rPr>
              <w:t>7,889,488</w:t>
            </w:r>
          </w:p>
        </w:tc>
      </w:tr>
      <w:tr w:rsidR="008D2F1B" w:rsidRPr="00B46F2F" w:rsidTr="00B74D7C">
        <w:tc>
          <w:tcPr>
            <w:tcW w:w="3202" w:type="dxa"/>
          </w:tcPr>
          <w:p w:rsidR="00F12326" w:rsidRPr="00B46F2F" w:rsidRDefault="00F12326" w:rsidP="00810935">
            <w:pPr>
              <w:pStyle w:val="BodyText"/>
              <w:tabs>
                <w:tab w:val="clear" w:pos="3402"/>
                <w:tab w:val="clear" w:pos="8222"/>
              </w:tabs>
              <w:ind w:left="284"/>
              <w:rPr>
                <w:rFonts w:ascii="Times New Roman" w:hAnsi="Times New Roman"/>
              </w:rPr>
            </w:pPr>
          </w:p>
        </w:tc>
        <w:tc>
          <w:tcPr>
            <w:tcW w:w="450" w:type="dxa"/>
          </w:tcPr>
          <w:p w:rsidR="00F12326" w:rsidRPr="00B46F2F" w:rsidRDefault="00F12326" w:rsidP="00077368">
            <w:pPr>
              <w:pStyle w:val="BodyText"/>
              <w:tabs>
                <w:tab w:val="clear" w:pos="3402"/>
                <w:tab w:val="clear" w:pos="8222"/>
              </w:tabs>
              <w:rPr>
                <w:rFonts w:ascii="Times New Roman" w:hAnsi="Times New Roman"/>
              </w:rPr>
            </w:pPr>
          </w:p>
        </w:tc>
        <w:tc>
          <w:tcPr>
            <w:tcW w:w="1843" w:type="dxa"/>
            <w:tcBorders>
              <w:top w:val="single" w:sz="4" w:space="0" w:color="auto"/>
              <w:bottom w:val="single" w:sz="4" w:space="0" w:color="auto"/>
            </w:tcBorders>
          </w:tcPr>
          <w:p w:rsidR="00F12326" w:rsidRPr="00B46F2F" w:rsidRDefault="005B25AA">
            <w:pPr>
              <w:pStyle w:val="BodyText"/>
              <w:tabs>
                <w:tab w:val="clear" w:pos="3402"/>
                <w:tab w:val="clear" w:pos="8222"/>
              </w:tabs>
              <w:jc w:val="right"/>
              <w:rPr>
                <w:rFonts w:ascii="Times New Roman" w:hAnsi="Times New Roman"/>
                <w:b/>
              </w:rPr>
            </w:pPr>
            <w:r>
              <w:rPr>
                <w:rFonts w:ascii="Times New Roman" w:hAnsi="Times New Roman"/>
                <w:b/>
              </w:rPr>
              <w:t>122,577,868</w:t>
            </w:r>
          </w:p>
        </w:tc>
        <w:tc>
          <w:tcPr>
            <w:tcW w:w="1276" w:type="dxa"/>
            <w:tcBorders>
              <w:top w:val="single" w:sz="4" w:space="0" w:color="auto"/>
              <w:bottom w:val="single" w:sz="4" w:space="0" w:color="auto"/>
            </w:tcBorders>
          </w:tcPr>
          <w:p w:rsidR="00F12326" w:rsidRPr="00B46F2F" w:rsidRDefault="005C4EF1">
            <w:pPr>
              <w:pStyle w:val="BodyText"/>
              <w:tabs>
                <w:tab w:val="clear" w:pos="3402"/>
                <w:tab w:val="clear" w:pos="8222"/>
              </w:tabs>
              <w:jc w:val="right"/>
              <w:rPr>
                <w:rFonts w:ascii="Times New Roman" w:hAnsi="Times New Roman"/>
                <w:b/>
              </w:rPr>
            </w:pPr>
            <w:r>
              <w:rPr>
                <w:rFonts w:ascii="Times New Roman" w:hAnsi="Times New Roman"/>
                <w:b/>
              </w:rPr>
              <w:t>1</w:t>
            </w:r>
            <w:r w:rsidR="005B25AA">
              <w:rPr>
                <w:rFonts w:ascii="Times New Roman" w:hAnsi="Times New Roman"/>
                <w:b/>
              </w:rPr>
              <w:t>7</w:t>
            </w:r>
            <w:r>
              <w:rPr>
                <w:rFonts w:ascii="Times New Roman" w:hAnsi="Times New Roman"/>
                <w:b/>
              </w:rPr>
              <w:t>,070</w:t>
            </w:r>
          </w:p>
        </w:tc>
        <w:tc>
          <w:tcPr>
            <w:tcW w:w="1275" w:type="dxa"/>
            <w:tcBorders>
              <w:top w:val="single" w:sz="4" w:space="0" w:color="auto"/>
              <w:bottom w:val="single" w:sz="4" w:space="0" w:color="auto"/>
            </w:tcBorders>
          </w:tcPr>
          <w:p w:rsidR="00F12326" w:rsidRPr="00B46F2F" w:rsidRDefault="00F12326" w:rsidP="00590B67">
            <w:pPr>
              <w:jc w:val="right"/>
              <w:rPr>
                <w:rFonts w:ascii="Times New Roman" w:hAnsi="Times New Roman"/>
                <w:b/>
              </w:rPr>
            </w:pPr>
            <w:r w:rsidRPr="00B46F2F">
              <w:rPr>
                <w:rFonts w:ascii="Times New Roman" w:hAnsi="Times New Roman"/>
                <w:b/>
              </w:rPr>
              <w:t>-</w:t>
            </w:r>
          </w:p>
        </w:tc>
        <w:tc>
          <w:tcPr>
            <w:tcW w:w="1277" w:type="dxa"/>
            <w:tcBorders>
              <w:top w:val="single" w:sz="4" w:space="0" w:color="auto"/>
              <w:bottom w:val="single" w:sz="4" w:space="0" w:color="auto"/>
            </w:tcBorders>
          </w:tcPr>
          <w:p w:rsidR="00F12326" w:rsidRPr="00B46F2F" w:rsidRDefault="00F12326" w:rsidP="00590B67">
            <w:pPr>
              <w:jc w:val="right"/>
              <w:rPr>
                <w:rFonts w:ascii="Times New Roman" w:hAnsi="Times New Roman"/>
                <w:b/>
              </w:rPr>
            </w:pPr>
            <w:r w:rsidRPr="00B46F2F">
              <w:rPr>
                <w:rFonts w:ascii="Times New Roman" w:hAnsi="Times New Roman"/>
                <w:b/>
              </w:rPr>
              <w:t>-</w:t>
            </w:r>
          </w:p>
        </w:tc>
        <w:tc>
          <w:tcPr>
            <w:tcW w:w="1353" w:type="dxa"/>
            <w:tcBorders>
              <w:top w:val="single" w:sz="4" w:space="0" w:color="auto"/>
              <w:bottom w:val="single" w:sz="4" w:space="0" w:color="auto"/>
            </w:tcBorders>
          </w:tcPr>
          <w:p w:rsidR="00F12326" w:rsidRPr="00B46F2F" w:rsidRDefault="005B25AA">
            <w:pPr>
              <w:pStyle w:val="BodyText"/>
              <w:tabs>
                <w:tab w:val="clear" w:pos="3402"/>
                <w:tab w:val="clear" w:pos="8222"/>
              </w:tabs>
              <w:jc w:val="right"/>
              <w:rPr>
                <w:rFonts w:ascii="Times New Roman" w:hAnsi="Times New Roman"/>
                <w:b/>
              </w:rPr>
            </w:pPr>
            <w:r>
              <w:rPr>
                <w:rFonts w:ascii="Times New Roman" w:hAnsi="Times New Roman"/>
                <w:b/>
              </w:rPr>
              <w:t>122,594,938</w:t>
            </w:r>
          </w:p>
        </w:tc>
      </w:tr>
    </w:tbl>
    <w:p w:rsidR="00E43BB2" w:rsidRDefault="00E43BB2" w:rsidP="008800F5">
      <w:pPr>
        <w:pStyle w:val="BodyText"/>
        <w:tabs>
          <w:tab w:val="clear" w:pos="3402"/>
          <w:tab w:val="clear" w:pos="8222"/>
        </w:tabs>
        <w:rPr>
          <w:rFonts w:ascii="Times New Roman" w:hAnsi="Times New Roman"/>
          <w:i/>
        </w:rPr>
      </w:pPr>
    </w:p>
    <w:tbl>
      <w:tblPr>
        <w:tblW w:w="10676" w:type="dxa"/>
        <w:tblLayout w:type="fixed"/>
        <w:tblLook w:val="01E0" w:firstRow="1" w:lastRow="1" w:firstColumn="1" w:lastColumn="1" w:noHBand="0" w:noVBand="0"/>
      </w:tblPr>
      <w:tblGrid>
        <w:gridCol w:w="3227"/>
        <w:gridCol w:w="425"/>
        <w:gridCol w:w="1846"/>
        <w:gridCol w:w="1273"/>
        <w:gridCol w:w="1275"/>
        <w:gridCol w:w="1276"/>
        <w:gridCol w:w="1354"/>
      </w:tblGrid>
      <w:tr w:rsidR="008D2F1B" w:rsidRPr="00B46F2F" w:rsidTr="00C87A19">
        <w:tc>
          <w:tcPr>
            <w:tcW w:w="3227" w:type="dxa"/>
          </w:tcPr>
          <w:p w:rsidR="0085547E" w:rsidRPr="00B46F2F" w:rsidRDefault="0085547E" w:rsidP="006209E6">
            <w:pPr>
              <w:pStyle w:val="BodyText"/>
              <w:tabs>
                <w:tab w:val="clear" w:pos="3402"/>
                <w:tab w:val="clear" w:pos="8222"/>
              </w:tabs>
              <w:ind w:left="284"/>
              <w:rPr>
                <w:rFonts w:ascii="Times New Roman" w:hAnsi="Times New Roman"/>
                <w:b/>
              </w:rPr>
            </w:pPr>
            <w:r>
              <w:rPr>
                <w:rFonts w:ascii="Times New Roman" w:hAnsi="Times New Roman"/>
                <w:b/>
              </w:rPr>
              <w:br/>
            </w:r>
            <w:r w:rsidRPr="00B46F2F">
              <w:rPr>
                <w:rFonts w:ascii="Times New Roman" w:hAnsi="Times New Roman"/>
                <w:b/>
              </w:rPr>
              <w:t>Liabilities</w:t>
            </w:r>
          </w:p>
        </w:tc>
        <w:tc>
          <w:tcPr>
            <w:tcW w:w="425" w:type="dxa"/>
          </w:tcPr>
          <w:p w:rsidR="0085547E" w:rsidRPr="00B46F2F" w:rsidRDefault="0085547E" w:rsidP="006209E6">
            <w:pPr>
              <w:pStyle w:val="BodyText"/>
              <w:tabs>
                <w:tab w:val="clear" w:pos="3402"/>
                <w:tab w:val="clear" w:pos="8222"/>
              </w:tabs>
              <w:rPr>
                <w:rFonts w:ascii="Times New Roman" w:hAnsi="Times New Roman"/>
              </w:rPr>
            </w:pPr>
          </w:p>
        </w:tc>
        <w:tc>
          <w:tcPr>
            <w:tcW w:w="1846" w:type="dxa"/>
          </w:tcPr>
          <w:p w:rsidR="0085547E" w:rsidRPr="00B46F2F" w:rsidRDefault="0085547E" w:rsidP="006209E6">
            <w:pPr>
              <w:pStyle w:val="BodyText"/>
              <w:tabs>
                <w:tab w:val="clear" w:pos="3402"/>
                <w:tab w:val="clear" w:pos="8222"/>
              </w:tabs>
              <w:jc w:val="right"/>
              <w:rPr>
                <w:rFonts w:ascii="Times New Roman" w:hAnsi="Times New Roman"/>
              </w:rPr>
            </w:pPr>
          </w:p>
        </w:tc>
        <w:tc>
          <w:tcPr>
            <w:tcW w:w="1273" w:type="dxa"/>
          </w:tcPr>
          <w:p w:rsidR="0085547E" w:rsidRPr="00B46F2F" w:rsidRDefault="0085547E" w:rsidP="006209E6">
            <w:pPr>
              <w:pStyle w:val="BodyText"/>
              <w:tabs>
                <w:tab w:val="clear" w:pos="3402"/>
                <w:tab w:val="clear" w:pos="8222"/>
              </w:tabs>
              <w:jc w:val="right"/>
              <w:rPr>
                <w:rFonts w:ascii="Times New Roman" w:hAnsi="Times New Roman"/>
              </w:rPr>
            </w:pPr>
          </w:p>
        </w:tc>
        <w:tc>
          <w:tcPr>
            <w:tcW w:w="1275" w:type="dxa"/>
          </w:tcPr>
          <w:p w:rsidR="0085547E" w:rsidRPr="00B46F2F" w:rsidRDefault="0085547E" w:rsidP="006209E6">
            <w:pPr>
              <w:pStyle w:val="BodyText"/>
              <w:tabs>
                <w:tab w:val="clear" w:pos="3402"/>
                <w:tab w:val="clear" w:pos="8222"/>
              </w:tabs>
              <w:jc w:val="right"/>
              <w:rPr>
                <w:rFonts w:ascii="Times New Roman" w:hAnsi="Times New Roman"/>
              </w:rPr>
            </w:pPr>
          </w:p>
        </w:tc>
        <w:tc>
          <w:tcPr>
            <w:tcW w:w="1276" w:type="dxa"/>
          </w:tcPr>
          <w:p w:rsidR="0085547E" w:rsidRPr="00B46F2F" w:rsidRDefault="0085547E" w:rsidP="006209E6">
            <w:pPr>
              <w:pStyle w:val="BodyText"/>
              <w:tabs>
                <w:tab w:val="clear" w:pos="3402"/>
                <w:tab w:val="clear" w:pos="8222"/>
              </w:tabs>
              <w:jc w:val="right"/>
              <w:rPr>
                <w:rFonts w:ascii="Times New Roman" w:hAnsi="Times New Roman"/>
              </w:rPr>
            </w:pPr>
          </w:p>
        </w:tc>
        <w:tc>
          <w:tcPr>
            <w:tcW w:w="1354" w:type="dxa"/>
          </w:tcPr>
          <w:p w:rsidR="0085547E" w:rsidRPr="00B46F2F" w:rsidRDefault="0085547E" w:rsidP="006209E6">
            <w:pPr>
              <w:pStyle w:val="BodyText"/>
              <w:tabs>
                <w:tab w:val="clear" w:pos="3402"/>
                <w:tab w:val="clear" w:pos="8222"/>
              </w:tabs>
              <w:jc w:val="right"/>
              <w:rPr>
                <w:rFonts w:ascii="Times New Roman" w:hAnsi="Times New Roman"/>
              </w:rPr>
            </w:pPr>
          </w:p>
        </w:tc>
      </w:tr>
      <w:tr w:rsidR="008D2F1B" w:rsidRPr="00B46F2F" w:rsidTr="00C87A19">
        <w:tc>
          <w:tcPr>
            <w:tcW w:w="3227" w:type="dxa"/>
          </w:tcPr>
          <w:p w:rsidR="0085547E" w:rsidRPr="00B46F2F" w:rsidRDefault="0085547E" w:rsidP="006209E6">
            <w:pPr>
              <w:pStyle w:val="BodyText"/>
              <w:tabs>
                <w:tab w:val="clear" w:pos="3402"/>
                <w:tab w:val="clear" w:pos="8222"/>
              </w:tabs>
              <w:ind w:left="284"/>
              <w:rPr>
                <w:rFonts w:ascii="Times New Roman" w:hAnsi="Times New Roman"/>
              </w:rPr>
            </w:pPr>
            <w:bookmarkStart w:id="57" w:name="_Hlk505247846"/>
            <w:r w:rsidRPr="00B46F2F">
              <w:rPr>
                <w:rFonts w:ascii="Times New Roman" w:hAnsi="Times New Roman"/>
              </w:rPr>
              <w:t>Other payables and accruals</w:t>
            </w:r>
          </w:p>
        </w:tc>
        <w:tc>
          <w:tcPr>
            <w:tcW w:w="425" w:type="dxa"/>
          </w:tcPr>
          <w:p w:rsidR="0085547E" w:rsidRPr="00B46F2F" w:rsidRDefault="0085547E" w:rsidP="006209E6">
            <w:pPr>
              <w:pStyle w:val="BodyText"/>
              <w:tabs>
                <w:tab w:val="clear" w:pos="3402"/>
                <w:tab w:val="clear" w:pos="8222"/>
              </w:tabs>
              <w:rPr>
                <w:rFonts w:ascii="Times New Roman" w:hAnsi="Times New Roman"/>
              </w:rPr>
            </w:pPr>
          </w:p>
        </w:tc>
        <w:tc>
          <w:tcPr>
            <w:tcW w:w="1846" w:type="dxa"/>
          </w:tcPr>
          <w:p w:rsidR="0085547E" w:rsidRPr="00B46F2F" w:rsidRDefault="007E6005">
            <w:pPr>
              <w:pStyle w:val="BodyText"/>
              <w:tabs>
                <w:tab w:val="clear" w:pos="3402"/>
                <w:tab w:val="clear" w:pos="8222"/>
              </w:tabs>
              <w:jc w:val="right"/>
              <w:rPr>
                <w:rFonts w:ascii="Times New Roman" w:hAnsi="Times New Roman"/>
              </w:rPr>
            </w:pPr>
            <w:r>
              <w:rPr>
                <w:rFonts w:ascii="Times New Roman" w:hAnsi="Times New Roman"/>
              </w:rPr>
              <w:t>(</w:t>
            </w:r>
            <w:r w:rsidR="005B25AA">
              <w:rPr>
                <w:rFonts w:ascii="Times New Roman" w:hAnsi="Times New Roman"/>
              </w:rPr>
              <w:t>383,613</w:t>
            </w:r>
            <w:r>
              <w:rPr>
                <w:rFonts w:ascii="Times New Roman" w:hAnsi="Times New Roman"/>
              </w:rPr>
              <w:t>)</w:t>
            </w:r>
          </w:p>
        </w:tc>
        <w:tc>
          <w:tcPr>
            <w:tcW w:w="1273" w:type="dxa"/>
          </w:tcPr>
          <w:p w:rsidR="0085547E" w:rsidRPr="00B46F2F" w:rsidRDefault="008D2F1B">
            <w:pPr>
              <w:pStyle w:val="BodyText"/>
              <w:tabs>
                <w:tab w:val="clear" w:pos="3402"/>
                <w:tab w:val="clear" w:pos="8222"/>
              </w:tabs>
              <w:jc w:val="right"/>
              <w:rPr>
                <w:rFonts w:ascii="Times New Roman" w:hAnsi="Times New Roman"/>
              </w:rPr>
            </w:pPr>
            <w:r>
              <w:rPr>
                <w:rFonts w:ascii="Times New Roman" w:hAnsi="Times New Roman"/>
              </w:rPr>
              <w:t>-</w:t>
            </w:r>
          </w:p>
        </w:tc>
        <w:tc>
          <w:tcPr>
            <w:tcW w:w="1275" w:type="dxa"/>
          </w:tcPr>
          <w:p w:rsidR="0085547E" w:rsidRPr="00B46F2F" w:rsidRDefault="0085547E" w:rsidP="006209E6">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6" w:type="dxa"/>
          </w:tcPr>
          <w:p w:rsidR="0085547E" w:rsidRPr="00B46F2F" w:rsidRDefault="0085547E" w:rsidP="006209E6">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54" w:type="dxa"/>
          </w:tcPr>
          <w:p w:rsidR="0085547E" w:rsidRPr="00B46F2F" w:rsidRDefault="00E21312">
            <w:pPr>
              <w:pStyle w:val="BodyText"/>
              <w:tabs>
                <w:tab w:val="clear" w:pos="3402"/>
                <w:tab w:val="clear" w:pos="8222"/>
              </w:tabs>
              <w:jc w:val="right"/>
              <w:rPr>
                <w:rFonts w:ascii="Times New Roman" w:hAnsi="Times New Roman"/>
              </w:rPr>
            </w:pPr>
            <w:r>
              <w:rPr>
                <w:rFonts w:ascii="Times New Roman" w:hAnsi="Times New Roman"/>
              </w:rPr>
              <w:t>(</w:t>
            </w:r>
            <w:r w:rsidR="005B25AA">
              <w:rPr>
                <w:rFonts w:ascii="Times New Roman" w:hAnsi="Times New Roman"/>
              </w:rPr>
              <w:t>383,613</w:t>
            </w:r>
            <w:r>
              <w:rPr>
                <w:rFonts w:ascii="Times New Roman" w:hAnsi="Times New Roman"/>
              </w:rPr>
              <w:t>)</w:t>
            </w:r>
          </w:p>
        </w:tc>
      </w:tr>
      <w:tr w:rsidR="008D2F1B" w:rsidRPr="00B46F2F" w:rsidTr="00C87A19">
        <w:tc>
          <w:tcPr>
            <w:tcW w:w="3227" w:type="dxa"/>
          </w:tcPr>
          <w:p w:rsidR="0085547E" w:rsidRPr="00B46F2F" w:rsidRDefault="0085547E" w:rsidP="006209E6">
            <w:pPr>
              <w:pStyle w:val="BodyText"/>
              <w:tabs>
                <w:tab w:val="clear" w:pos="3402"/>
                <w:tab w:val="clear" w:pos="8222"/>
              </w:tabs>
              <w:ind w:left="284"/>
              <w:rPr>
                <w:rFonts w:ascii="Times New Roman" w:hAnsi="Times New Roman"/>
              </w:rPr>
            </w:pPr>
            <w:r w:rsidRPr="00B46F2F">
              <w:rPr>
                <w:rFonts w:ascii="Times New Roman" w:hAnsi="Times New Roman"/>
              </w:rPr>
              <w:t>Interest payable</w:t>
            </w:r>
          </w:p>
        </w:tc>
        <w:tc>
          <w:tcPr>
            <w:tcW w:w="425" w:type="dxa"/>
          </w:tcPr>
          <w:p w:rsidR="0085547E" w:rsidRPr="00B46F2F" w:rsidRDefault="0085547E" w:rsidP="006209E6">
            <w:pPr>
              <w:pStyle w:val="BodyText"/>
              <w:tabs>
                <w:tab w:val="clear" w:pos="3402"/>
                <w:tab w:val="clear" w:pos="8222"/>
              </w:tabs>
              <w:rPr>
                <w:rFonts w:ascii="Times New Roman" w:hAnsi="Times New Roman"/>
              </w:rPr>
            </w:pPr>
          </w:p>
        </w:tc>
        <w:tc>
          <w:tcPr>
            <w:tcW w:w="1846" w:type="dxa"/>
          </w:tcPr>
          <w:p w:rsidR="0085547E" w:rsidRPr="00B46F2F" w:rsidRDefault="005B25AA">
            <w:pPr>
              <w:pStyle w:val="BodyText"/>
              <w:tabs>
                <w:tab w:val="clear" w:pos="3402"/>
                <w:tab w:val="clear" w:pos="8222"/>
              </w:tabs>
              <w:jc w:val="right"/>
              <w:rPr>
                <w:rFonts w:ascii="Times New Roman" w:hAnsi="Times New Roman"/>
              </w:rPr>
            </w:pPr>
            <w:r>
              <w:rPr>
                <w:rFonts w:ascii="Times New Roman" w:hAnsi="Times New Roman"/>
              </w:rPr>
              <w:t>-</w:t>
            </w:r>
          </w:p>
        </w:tc>
        <w:tc>
          <w:tcPr>
            <w:tcW w:w="1273" w:type="dxa"/>
          </w:tcPr>
          <w:p w:rsidR="0085547E" w:rsidRPr="00B46F2F" w:rsidRDefault="005C4EF1">
            <w:pPr>
              <w:pStyle w:val="BodyText"/>
              <w:tabs>
                <w:tab w:val="clear" w:pos="3402"/>
                <w:tab w:val="clear" w:pos="8222"/>
              </w:tabs>
              <w:jc w:val="right"/>
              <w:rPr>
                <w:rFonts w:ascii="Times New Roman" w:hAnsi="Times New Roman"/>
              </w:rPr>
            </w:pPr>
            <w:r>
              <w:rPr>
                <w:rFonts w:ascii="Times New Roman" w:hAnsi="Times New Roman"/>
              </w:rPr>
              <w:t xml:space="preserve"> (</w:t>
            </w:r>
            <w:r w:rsidR="005B25AA">
              <w:rPr>
                <w:rFonts w:ascii="Times New Roman" w:hAnsi="Times New Roman"/>
              </w:rPr>
              <w:t>17</w:t>
            </w:r>
            <w:r>
              <w:rPr>
                <w:rFonts w:ascii="Times New Roman" w:hAnsi="Times New Roman"/>
              </w:rPr>
              <w:t>,</w:t>
            </w:r>
            <w:r w:rsidR="005B25AA">
              <w:rPr>
                <w:rFonts w:ascii="Times New Roman" w:hAnsi="Times New Roman"/>
              </w:rPr>
              <w:t>281</w:t>
            </w:r>
            <w:r>
              <w:rPr>
                <w:rFonts w:ascii="Times New Roman" w:hAnsi="Times New Roman"/>
              </w:rPr>
              <w:t>)</w:t>
            </w:r>
          </w:p>
        </w:tc>
        <w:tc>
          <w:tcPr>
            <w:tcW w:w="1275" w:type="dxa"/>
          </w:tcPr>
          <w:p w:rsidR="0085547E" w:rsidRPr="00B46F2F" w:rsidRDefault="0085547E" w:rsidP="006209E6">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276" w:type="dxa"/>
          </w:tcPr>
          <w:p w:rsidR="0085547E" w:rsidRPr="00B46F2F" w:rsidRDefault="0085547E" w:rsidP="006209E6">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54" w:type="dxa"/>
          </w:tcPr>
          <w:p w:rsidR="0085547E" w:rsidRPr="00B46F2F" w:rsidRDefault="00E21312">
            <w:pPr>
              <w:pStyle w:val="BodyText"/>
              <w:tabs>
                <w:tab w:val="clear" w:pos="3402"/>
                <w:tab w:val="clear" w:pos="8222"/>
              </w:tabs>
              <w:jc w:val="right"/>
              <w:rPr>
                <w:rFonts w:ascii="Times New Roman" w:hAnsi="Times New Roman"/>
              </w:rPr>
            </w:pPr>
            <w:r>
              <w:rPr>
                <w:rFonts w:ascii="Times New Roman" w:hAnsi="Times New Roman"/>
              </w:rPr>
              <w:t>(</w:t>
            </w:r>
            <w:r w:rsidR="005B25AA">
              <w:rPr>
                <w:rFonts w:ascii="Times New Roman" w:hAnsi="Times New Roman"/>
              </w:rPr>
              <w:t>17,281</w:t>
            </w:r>
            <w:r>
              <w:rPr>
                <w:rFonts w:ascii="Times New Roman" w:hAnsi="Times New Roman"/>
              </w:rPr>
              <w:t>)</w:t>
            </w:r>
          </w:p>
        </w:tc>
      </w:tr>
      <w:tr w:rsidR="008D2F1B" w:rsidRPr="00B46F2F" w:rsidTr="00C87A19">
        <w:tc>
          <w:tcPr>
            <w:tcW w:w="3227" w:type="dxa"/>
          </w:tcPr>
          <w:p w:rsidR="008D2F1B" w:rsidRPr="00B46F2F" w:rsidRDefault="008D2F1B" w:rsidP="006209E6">
            <w:pPr>
              <w:pStyle w:val="BodyText"/>
              <w:tabs>
                <w:tab w:val="clear" w:pos="3402"/>
                <w:tab w:val="clear" w:pos="8222"/>
              </w:tabs>
              <w:ind w:left="284"/>
              <w:rPr>
                <w:rFonts w:ascii="Times New Roman" w:hAnsi="Times New Roman"/>
              </w:rPr>
            </w:pPr>
            <w:r w:rsidRPr="00B46F2F">
              <w:rPr>
                <w:rFonts w:ascii="Times New Roman" w:hAnsi="Times New Roman"/>
              </w:rPr>
              <w:t>Loan payable</w:t>
            </w:r>
          </w:p>
        </w:tc>
        <w:tc>
          <w:tcPr>
            <w:tcW w:w="425" w:type="dxa"/>
          </w:tcPr>
          <w:p w:rsidR="008D2F1B" w:rsidRPr="00B46F2F" w:rsidRDefault="008D2F1B" w:rsidP="006209E6">
            <w:pPr>
              <w:pStyle w:val="BodyText"/>
              <w:tabs>
                <w:tab w:val="clear" w:pos="3402"/>
                <w:tab w:val="clear" w:pos="8222"/>
              </w:tabs>
              <w:rPr>
                <w:rFonts w:ascii="Times New Roman" w:hAnsi="Times New Roman"/>
              </w:rPr>
            </w:pPr>
          </w:p>
        </w:tc>
        <w:tc>
          <w:tcPr>
            <w:tcW w:w="1846" w:type="dxa"/>
            <w:tcBorders>
              <w:bottom w:val="single" w:sz="4" w:space="0" w:color="auto"/>
            </w:tcBorders>
          </w:tcPr>
          <w:p w:rsidR="008D2F1B" w:rsidRPr="00B46F2F" w:rsidRDefault="005B25AA">
            <w:pPr>
              <w:pStyle w:val="BodyText"/>
              <w:tabs>
                <w:tab w:val="clear" w:pos="3402"/>
                <w:tab w:val="clear" w:pos="8222"/>
              </w:tabs>
              <w:jc w:val="right"/>
              <w:rPr>
                <w:rFonts w:ascii="Times New Roman" w:hAnsi="Times New Roman"/>
              </w:rPr>
            </w:pPr>
            <w:r>
              <w:rPr>
                <w:rFonts w:ascii="Times New Roman" w:hAnsi="Times New Roman"/>
              </w:rPr>
              <w:t>-</w:t>
            </w:r>
          </w:p>
        </w:tc>
        <w:tc>
          <w:tcPr>
            <w:tcW w:w="1273" w:type="dxa"/>
            <w:tcBorders>
              <w:bottom w:val="single" w:sz="4" w:space="0" w:color="auto"/>
            </w:tcBorders>
          </w:tcPr>
          <w:p w:rsidR="008D2F1B" w:rsidRPr="00B46F2F" w:rsidRDefault="008D2F1B" w:rsidP="0016075F">
            <w:pPr>
              <w:pStyle w:val="BodyText"/>
              <w:tabs>
                <w:tab w:val="clear" w:pos="3402"/>
                <w:tab w:val="clear" w:pos="8222"/>
              </w:tabs>
              <w:jc w:val="right"/>
              <w:rPr>
                <w:rFonts w:ascii="Times New Roman" w:hAnsi="Times New Roman"/>
                <w:b/>
              </w:rPr>
            </w:pPr>
            <w:r>
              <w:rPr>
                <w:rFonts w:ascii="Times New Roman" w:hAnsi="Times New Roman"/>
              </w:rPr>
              <w:t>(</w:t>
            </w:r>
            <w:r w:rsidR="005B25AA">
              <w:rPr>
                <w:rFonts w:ascii="Times New Roman" w:hAnsi="Times New Roman"/>
              </w:rPr>
              <w:t>20,025,095</w:t>
            </w:r>
            <w:r>
              <w:rPr>
                <w:rFonts w:ascii="Times New Roman" w:hAnsi="Times New Roman"/>
              </w:rPr>
              <w:t>)</w:t>
            </w:r>
          </w:p>
        </w:tc>
        <w:tc>
          <w:tcPr>
            <w:tcW w:w="1275" w:type="dxa"/>
            <w:tcBorders>
              <w:bottom w:val="single" w:sz="4" w:space="0" w:color="auto"/>
            </w:tcBorders>
          </w:tcPr>
          <w:p w:rsidR="008D2F1B" w:rsidRPr="00B46F2F" w:rsidRDefault="008D2F1B" w:rsidP="006209E6">
            <w:pPr>
              <w:pStyle w:val="BodyText"/>
              <w:tabs>
                <w:tab w:val="clear" w:pos="3402"/>
                <w:tab w:val="clear" w:pos="8222"/>
              </w:tabs>
              <w:jc w:val="right"/>
              <w:rPr>
                <w:rFonts w:ascii="Times New Roman" w:hAnsi="Times New Roman"/>
                <w:b/>
              </w:rPr>
            </w:pPr>
            <w:r w:rsidRPr="00B46F2F">
              <w:rPr>
                <w:rFonts w:ascii="Times New Roman" w:hAnsi="Times New Roman"/>
              </w:rPr>
              <w:t>-</w:t>
            </w:r>
          </w:p>
        </w:tc>
        <w:tc>
          <w:tcPr>
            <w:tcW w:w="1276" w:type="dxa"/>
            <w:tcBorders>
              <w:bottom w:val="single" w:sz="4" w:space="0" w:color="auto"/>
            </w:tcBorders>
          </w:tcPr>
          <w:p w:rsidR="008D2F1B" w:rsidRPr="00B46F2F" w:rsidRDefault="008D2F1B" w:rsidP="006209E6">
            <w:pPr>
              <w:pStyle w:val="BodyText"/>
              <w:tabs>
                <w:tab w:val="clear" w:pos="3402"/>
                <w:tab w:val="clear" w:pos="8222"/>
              </w:tabs>
              <w:jc w:val="right"/>
              <w:rPr>
                <w:rFonts w:ascii="Times New Roman" w:hAnsi="Times New Roman"/>
                <w:b/>
              </w:rPr>
            </w:pPr>
            <w:r w:rsidRPr="00B46F2F">
              <w:rPr>
                <w:rFonts w:ascii="Times New Roman" w:hAnsi="Times New Roman"/>
              </w:rPr>
              <w:t>-</w:t>
            </w:r>
          </w:p>
        </w:tc>
        <w:tc>
          <w:tcPr>
            <w:tcW w:w="1354" w:type="dxa"/>
            <w:tcBorders>
              <w:bottom w:val="single" w:sz="4" w:space="0" w:color="auto"/>
            </w:tcBorders>
          </w:tcPr>
          <w:p w:rsidR="008D2F1B" w:rsidRPr="00B46F2F" w:rsidRDefault="008D2F1B" w:rsidP="007E6005">
            <w:pPr>
              <w:pStyle w:val="BodyText"/>
              <w:tabs>
                <w:tab w:val="clear" w:pos="3402"/>
                <w:tab w:val="clear" w:pos="8222"/>
              </w:tabs>
              <w:jc w:val="right"/>
              <w:rPr>
                <w:rFonts w:ascii="Times New Roman" w:hAnsi="Times New Roman"/>
              </w:rPr>
            </w:pPr>
            <w:r>
              <w:rPr>
                <w:rFonts w:ascii="Times New Roman" w:hAnsi="Times New Roman"/>
              </w:rPr>
              <w:t>(</w:t>
            </w:r>
            <w:r w:rsidR="005B25AA">
              <w:rPr>
                <w:rFonts w:ascii="Times New Roman" w:hAnsi="Times New Roman"/>
              </w:rPr>
              <w:t>20,025,095</w:t>
            </w:r>
            <w:r>
              <w:rPr>
                <w:rFonts w:ascii="Times New Roman" w:hAnsi="Times New Roman"/>
              </w:rPr>
              <w:t>)</w:t>
            </w:r>
          </w:p>
        </w:tc>
      </w:tr>
      <w:tr w:rsidR="008D2F1B" w:rsidRPr="00B46F2F" w:rsidTr="00C87A19">
        <w:tc>
          <w:tcPr>
            <w:tcW w:w="3227" w:type="dxa"/>
          </w:tcPr>
          <w:p w:rsidR="0085547E" w:rsidRPr="00B46F2F" w:rsidRDefault="0085547E" w:rsidP="006209E6">
            <w:pPr>
              <w:pStyle w:val="BodyText"/>
              <w:tabs>
                <w:tab w:val="clear" w:pos="3402"/>
                <w:tab w:val="clear" w:pos="8222"/>
              </w:tabs>
              <w:rPr>
                <w:rFonts w:ascii="Times New Roman" w:hAnsi="Times New Roman"/>
              </w:rPr>
            </w:pPr>
          </w:p>
        </w:tc>
        <w:tc>
          <w:tcPr>
            <w:tcW w:w="425" w:type="dxa"/>
          </w:tcPr>
          <w:p w:rsidR="0085547E" w:rsidRPr="00B46F2F" w:rsidRDefault="0085547E" w:rsidP="006209E6">
            <w:pPr>
              <w:pStyle w:val="BodyText"/>
              <w:tabs>
                <w:tab w:val="clear" w:pos="3402"/>
                <w:tab w:val="clear" w:pos="8222"/>
              </w:tabs>
              <w:rPr>
                <w:rFonts w:ascii="Times New Roman" w:hAnsi="Times New Roman"/>
              </w:rPr>
            </w:pPr>
          </w:p>
        </w:tc>
        <w:tc>
          <w:tcPr>
            <w:tcW w:w="1846" w:type="dxa"/>
            <w:tcBorders>
              <w:top w:val="single" w:sz="4" w:space="0" w:color="auto"/>
              <w:bottom w:val="single" w:sz="4" w:space="0" w:color="auto"/>
            </w:tcBorders>
          </w:tcPr>
          <w:p w:rsidR="0085547E" w:rsidRPr="00B46F2F" w:rsidRDefault="00E21312">
            <w:pPr>
              <w:pStyle w:val="BodyText"/>
              <w:tabs>
                <w:tab w:val="clear" w:pos="3402"/>
                <w:tab w:val="clear" w:pos="8222"/>
              </w:tabs>
              <w:jc w:val="right"/>
              <w:rPr>
                <w:rFonts w:ascii="Times New Roman" w:hAnsi="Times New Roman"/>
                <w:b/>
              </w:rPr>
            </w:pPr>
            <w:r>
              <w:rPr>
                <w:rFonts w:ascii="Times New Roman" w:hAnsi="Times New Roman"/>
                <w:b/>
              </w:rPr>
              <w:t>(</w:t>
            </w:r>
            <w:r w:rsidR="005B25AA">
              <w:rPr>
                <w:rFonts w:ascii="Times New Roman" w:hAnsi="Times New Roman"/>
                <w:b/>
              </w:rPr>
              <w:t>383,613</w:t>
            </w:r>
            <w:r>
              <w:rPr>
                <w:rFonts w:ascii="Times New Roman" w:hAnsi="Times New Roman"/>
                <w:b/>
              </w:rPr>
              <w:t>)</w:t>
            </w:r>
          </w:p>
        </w:tc>
        <w:tc>
          <w:tcPr>
            <w:tcW w:w="1273" w:type="dxa"/>
            <w:tcBorders>
              <w:top w:val="single" w:sz="4" w:space="0" w:color="auto"/>
              <w:bottom w:val="single" w:sz="4" w:space="0" w:color="auto"/>
            </w:tcBorders>
          </w:tcPr>
          <w:p w:rsidR="0085547E" w:rsidRPr="00B46F2F" w:rsidRDefault="00E21312">
            <w:pPr>
              <w:pStyle w:val="BodyText"/>
              <w:tabs>
                <w:tab w:val="clear" w:pos="3402"/>
                <w:tab w:val="clear" w:pos="8222"/>
              </w:tabs>
              <w:jc w:val="right"/>
              <w:rPr>
                <w:rFonts w:ascii="Times New Roman" w:hAnsi="Times New Roman"/>
                <w:b/>
              </w:rPr>
            </w:pPr>
            <w:r>
              <w:rPr>
                <w:rFonts w:ascii="Times New Roman" w:hAnsi="Times New Roman"/>
                <w:b/>
              </w:rPr>
              <w:t>(</w:t>
            </w:r>
            <w:r w:rsidR="008D2F1B">
              <w:rPr>
                <w:rFonts w:ascii="Times New Roman" w:hAnsi="Times New Roman"/>
                <w:b/>
              </w:rPr>
              <w:t>2</w:t>
            </w:r>
            <w:r w:rsidR="005B25AA">
              <w:rPr>
                <w:rFonts w:ascii="Times New Roman" w:hAnsi="Times New Roman"/>
                <w:b/>
              </w:rPr>
              <w:t>0</w:t>
            </w:r>
            <w:r>
              <w:rPr>
                <w:rFonts w:ascii="Times New Roman" w:hAnsi="Times New Roman"/>
                <w:b/>
              </w:rPr>
              <w:t>,</w:t>
            </w:r>
            <w:r w:rsidR="005B25AA">
              <w:rPr>
                <w:rFonts w:ascii="Times New Roman" w:hAnsi="Times New Roman"/>
                <w:b/>
              </w:rPr>
              <w:t>042</w:t>
            </w:r>
            <w:r>
              <w:rPr>
                <w:rFonts w:ascii="Times New Roman" w:hAnsi="Times New Roman"/>
                <w:b/>
              </w:rPr>
              <w:t>,</w:t>
            </w:r>
            <w:r w:rsidR="005B25AA">
              <w:rPr>
                <w:rFonts w:ascii="Times New Roman" w:hAnsi="Times New Roman"/>
                <w:b/>
              </w:rPr>
              <w:t>376</w:t>
            </w:r>
            <w:r>
              <w:rPr>
                <w:rFonts w:ascii="Times New Roman" w:hAnsi="Times New Roman"/>
                <w:b/>
              </w:rPr>
              <w:t>)</w:t>
            </w:r>
          </w:p>
        </w:tc>
        <w:tc>
          <w:tcPr>
            <w:tcW w:w="1275" w:type="dxa"/>
            <w:tcBorders>
              <w:top w:val="single" w:sz="4" w:space="0" w:color="auto"/>
              <w:bottom w:val="sing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r w:rsidRPr="00B46F2F">
              <w:rPr>
                <w:rFonts w:ascii="Times New Roman" w:hAnsi="Times New Roman"/>
                <w:b/>
              </w:rPr>
              <w:t>-</w:t>
            </w:r>
          </w:p>
        </w:tc>
        <w:tc>
          <w:tcPr>
            <w:tcW w:w="1276" w:type="dxa"/>
            <w:tcBorders>
              <w:top w:val="single" w:sz="4" w:space="0" w:color="auto"/>
              <w:bottom w:val="sing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r w:rsidRPr="00B46F2F">
              <w:rPr>
                <w:rFonts w:ascii="Times New Roman" w:hAnsi="Times New Roman"/>
                <w:b/>
              </w:rPr>
              <w:t>-</w:t>
            </w:r>
          </w:p>
        </w:tc>
        <w:tc>
          <w:tcPr>
            <w:tcW w:w="1354" w:type="dxa"/>
            <w:tcBorders>
              <w:top w:val="single" w:sz="4" w:space="0" w:color="auto"/>
              <w:bottom w:val="single" w:sz="4" w:space="0" w:color="auto"/>
            </w:tcBorders>
          </w:tcPr>
          <w:p w:rsidR="0085547E" w:rsidRPr="00B46F2F" w:rsidRDefault="00E21312">
            <w:pPr>
              <w:pStyle w:val="BodyText"/>
              <w:tabs>
                <w:tab w:val="clear" w:pos="3402"/>
                <w:tab w:val="clear" w:pos="8222"/>
              </w:tabs>
              <w:jc w:val="right"/>
              <w:rPr>
                <w:rFonts w:ascii="Times New Roman" w:hAnsi="Times New Roman"/>
                <w:b/>
              </w:rPr>
            </w:pPr>
            <w:r>
              <w:rPr>
                <w:rFonts w:ascii="Times New Roman" w:hAnsi="Times New Roman"/>
                <w:b/>
              </w:rPr>
              <w:t>(</w:t>
            </w:r>
            <w:r w:rsidR="005B25AA">
              <w:rPr>
                <w:rFonts w:ascii="Times New Roman" w:hAnsi="Times New Roman"/>
                <w:b/>
              </w:rPr>
              <w:t>20,425,989</w:t>
            </w:r>
            <w:r>
              <w:rPr>
                <w:rFonts w:ascii="Times New Roman" w:hAnsi="Times New Roman"/>
                <w:b/>
              </w:rPr>
              <w:t>)</w:t>
            </w:r>
          </w:p>
        </w:tc>
      </w:tr>
      <w:tr w:rsidR="008D2F1B" w:rsidRPr="00B46F2F" w:rsidTr="00C87A19">
        <w:tc>
          <w:tcPr>
            <w:tcW w:w="3227" w:type="dxa"/>
          </w:tcPr>
          <w:p w:rsidR="0085547E" w:rsidRPr="00B46F2F" w:rsidRDefault="0085547E" w:rsidP="006209E6">
            <w:pPr>
              <w:pStyle w:val="BodyText"/>
              <w:tabs>
                <w:tab w:val="clear" w:pos="3402"/>
                <w:tab w:val="clear" w:pos="8222"/>
              </w:tabs>
              <w:rPr>
                <w:rFonts w:ascii="Times New Roman" w:hAnsi="Times New Roman"/>
              </w:rPr>
            </w:pPr>
          </w:p>
        </w:tc>
        <w:tc>
          <w:tcPr>
            <w:tcW w:w="425" w:type="dxa"/>
          </w:tcPr>
          <w:p w:rsidR="0085547E" w:rsidRPr="00B46F2F" w:rsidRDefault="0085547E" w:rsidP="006209E6">
            <w:pPr>
              <w:pStyle w:val="BodyText"/>
              <w:tabs>
                <w:tab w:val="clear" w:pos="3402"/>
                <w:tab w:val="clear" w:pos="8222"/>
              </w:tabs>
              <w:rPr>
                <w:rFonts w:ascii="Times New Roman" w:hAnsi="Times New Roman"/>
              </w:rPr>
            </w:pPr>
          </w:p>
        </w:tc>
        <w:tc>
          <w:tcPr>
            <w:tcW w:w="1846" w:type="dxa"/>
            <w:tcBorders>
              <w:top w:val="sing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p>
        </w:tc>
        <w:tc>
          <w:tcPr>
            <w:tcW w:w="1273" w:type="dxa"/>
            <w:tcBorders>
              <w:top w:val="sing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p>
        </w:tc>
        <w:tc>
          <w:tcPr>
            <w:tcW w:w="1275" w:type="dxa"/>
            <w:tcBorders>
              <w:top w:val="sing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p>
        </w:tc>
        <w:tc>
          <w:tcPr>
            <w:tcW w:w="1276" w:type="dxa"/>
            <w:tcBorders>
              <w:top w:val="sing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p>
        </w:tc>
        <w:tc>
          <w:tcPr>
            <w:tcW w:w="1354" w:type="dxa"/>
            <w:tcBorders>
              <w:top w:val="sing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p>
        </w:tc>
      </w:tr>
      <w:tr w:rsidR="008D2F1B" w:rsidRPr="009170B8" w:rsidTr="00C87A19">
        <w:tc>
          <w:tcPr>
            <w:tcW w:w="3227" w:type="dxa"/>
          </w:tcPr>
          <w:p w:rsidR="0085547E" w:rsidRPr="00B46F2F" w:rsidRDefault="0085547E" w:rsidP="006209E6">
            <w:pPr>
              <w:pStyle w:val="BodyText"/>
              <w:tabs>
                <w:tab w:val="clear" w:pos="3402"/>
                <w:tab w:val="clear" w:pos="8222"/>
              </w:tabs>
              <w:rPr>
                <w:rFonts w:ascii="Times New Roman" w:hAnsi="Times New Roman"/>
              </w:rPr>
            </w:pPr>
          </w:p>
        </w:tc>
        <w:tc>
          <w:tcPr>
            <w:tcW w:w="425" w:type="dxa"/>
          </w:tcPr>
          <w:p w:rsidR="0085547E" w:rsidRPr="00B46F2F" w:rsidRDefault="0085547E" w:rsidP="006209E6">
            <w:pPr>
              <w:pStyle w:val="BodyText"/>
              <w:tabs>
                <w:tab w:val="clear" w:pos="3402"/>
                <w:tab w:val="clear" w:pos="8222"/>
              </w:tabs>
              <w:rPr>
                <w:rFonts w:ascii="Times New Roman" w:hAnsi="Times New Roman"/>
              </w:rPr>
            </w:pPr>
          </w:p>
        </w:tc>
        <w:tc>
          <w:tcPr>
            <w:tcW w:w="1846" w:type="dxa"/>
            <w:tcBorders>
              <w:bottom w:val="double" w:sz="4" w:space="0" w:color="auto"/>
            </w:tcBorders>
          </w:tcPr>
          <w:p w:rsidR="0085547E" w:rsidRPr="00B46F2F" w:rsidRDefault="005B25AA">
            <w:pPr>
              <w:pStyle w:val="BodyText"/>
              <w:tabs>
                <w:tab w:val="clear" w:pos="3402"/>
                <w:tab w:val="clear" w:pos="8222"/>
              </w:tabs>
              <w:jc w:val="right"/>
              <w:rPr>
                <w:rFonts w:ascii="Times New Roman" w:hAnsi="Times New Roman"/>
                <w:b/>
              </w:rPr>
            </w:pPr>
            <w:r>
              <w:rPr>
                <w:rFonts w:ascii="Times New Roman" w:hAnsi="Times New Roman"/>
                <w:b/>
              </w:rPr>
              <w:t>122</w:t>
            </w:r>
            <w:r w:rsidR="00E21312">
              <w:rPr>
                <w:rFonts w:ascii="Times New Roman" w:hAnsi="Times New Roman"/>
                <w:b/>
              </w:rPr>
              <w:t>,</w:t>
            </w:r>
            <w:r>
              <w:rPr>
                <w:rFonts w:ascii="Times New Roman" w:hAnsi="Times New Roman"/>
                <w:b/>
              </w:rPr>
              <w:t>19</w:t>
            </w:r>
            <w:r w:rsidR="0069096F">
              <w:rPr>
                <w:rFonts w:ascii="Times New Roman" w:hAnsi="Times New Roman"/>
                <w:b/>
              </w:rPr>
              <w:t>4</w:t>
            </w:r>
            <w:r>
              <w:rPr>
                <w:rFonts w:ascii="Times New Roman" w:hAnsi="Times New Roman"/>
                <w:b/>
              </w:rPr>
              <w:t>,</w:t>
            </w:r>
            <w:r w:rsidR="0069096F">
              <w:rPr>
                <w:rFonts w:ascii="Times New Roman" w:hAnsi="Times New Roman"/>
                <w:b/>
              </w:rPr>
              <w:t>255</w:t>
            </w:r>
          </w:p>
        </w:tc>
        <w:tc>
          <w:tcPr>
            <w:tcW w:w="1273" w:type="dxa"/>
            <w:tcBorders>
              <w:bottom w:val="double" w:sz="4" w:space="0" w:color="auto"/>
            </w:tcBorders>
          </w:tcPr>
          <w:p w:rsidR="0085547E" w:rsidRPr="00B46F2F" w:rsidRDefault="00E21312">
            <w:pPr>
              <w:pStyle w:val="BodyText"/>
              <w:tabs>
                <w:tab w:val="clear" w:pos="3402"/>
                <w:tab w:val="clear" w:pos="8222"/>
              </w:tabs>
              <w:jc w:val="right"/>
              <w:rPr>
                <w:rFonts w:ascii="Times New Roman" w:hAnsi="Times New Roman"/>
                <w:b/>
              </w:rPr>
            </w:pPr>
            <w:r>
              <w:rPr>
                <w:rFonts w:ascii="Times New Roman" w:hAnsi="Times New Roman"/>
                <w:b/>
              </w:rPr>
              <w:t>(</w:t>
            </w:r>
            <w:r w:rsidR="005B25AA">
              <w:rPr>
                <w:rFonts w:ascii="Times New Roman" w:hAnsi="Times New Roman"/>
                <w:b/>
              </w:rPr>
              <w:t>20,025,306</w:t>
            </w:r>
            <w:r>
              <w:rPr>
                <w:rFonts w:ascii="Times New Roman" w:hAnsi="Times New Roman"/>
                <w:b/>
              </w:rPr>
              <w:t>)</w:t>
            </w:r>
          </w:p>
        </w:tc>
        <w:tc>
          <w:tcPr>
            <w:tcW w:w="1275" w:type="dxa"/>
            <w:tcBorders>
              <w:bottom w:val="doub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r w:rsidRPr="00B46F2F">
              <w:rPr>
                <w:rFonts w:ascii="Times New Roman" w:hAnsi="Times New Roman"/>
                <w:b/>
              </w:rPr>
              <w:t>-</w:t>
            </w:r>
          </w:p>
        </w:tc>
        <w:tc>
          <w:tcPr>
            <w:tcW w:w="1276" w:type="dxa"/>
            <w:tcBorders>
              <w:bottom w:val="double" w:sz="4" w:space="0" w:color="auto"/>
            </w:tcBorders>
          </w:tcPr>
          <w:p w:rsidR="0085547E" w:rsidRPr="00B46F2F" w:rsidRDefault="0085547E" w:rsidP="006209E6">
            <w:pPr>
              <w:pStyle w:val="BodyText"/>
              <w:tabs>
                <w:tab w:val="clear" w:pos="3402"/>
                <w:tab w:val="clear" w:pos="8222"/>
              </w:tabs>
              <w:jc w:val="right"/>
              <w:rPr>
                <w:rFonts w:ascii="Times New Roman" w:hAnsi="Times New Roman"/>
                <w:b/>
              </w:rPr>
            </w:pPr>
            <w:r w:rsidRPr="00B46F2F">
              <w:rPr>
                <w:rFonts w:ascii="Times New Roman" w:hAnsi="Times New Roman"/>
                <w:b/>
              </w:rPr>
              <w:t>-</w:t>
            </w:r>
          </w:p>
        </w:tc>
        <w:tc>
          <w:tcPr>
            <w:tcW w:w="1354" w:type="dxa"/>
            <w:tcBorders>
              <w:bottom w:val="double" w:sz="4" w:space="0" w:color="auto"/>
            </w:tcBorders>
          </w:tcPr>
          <w:p w:rsidR="0085547E" w:rsidRPr="00B46F2F" w:rsidRDefault="005B25AA">
            <w:pPr>
              <w:pStyle w:val="BodyText"/>
              <w:tabs>
                <w:tab w:val="clear" w:pos="3402"/>
                <w:tab w:val="clear" w:pos="8222"/>
              </w:tabs>
              <w:jc w:val="right"/>
              <w:rPr>
                <w:rFonts w:ascii="Times New Roman" w:hAnsi="Times New Roman"/>
                <w:b/>
              </w:rPr>
            </w:pPr>
            <w:r>
              <w:rPr>
                <w:rFonts w:ascii="Times New Roman" w:hAnsi="Times New Roman"/>
                <w:b/>
              </w:rPr>
              <w:t>102,168,949</w:t>
            </w:r>
          </w:p>
        </w:tc>
      </w:tr>
      <w:bookmarkEnd w:id="57"/>
    </w:tbl>
    <w:p w:rsidR="00735183" w:rsidRPr="00C87A19" w:rsidRDefault="00735183" w:rsidP="00C87A19"/>
    <w:p w:rsidR="00735183" w:rsidRDefault="00735183" w:rsidP="00C87A19"/>
    <w:p w:rsidR="00735183" w:rsidRPr="00C87A19" w:rsidRDefault="00735183" w:rsidP="00C87A19"/>
    <w:p w:rsidR="00831C7C" w:rsidRPr="00B46F2F" w:rsidRDefault="00831C7C" w:rsidP="00831C7C">
      <w:pPr>
        <w:pStyle w:val="Heading2"/>
        <w:tabs>
          <w:tab w:val="right" w:pos="8222"/>
        </w:tabs>
        <w:rPr>
          <w:rFonts w:ascii="Times New Roman" w:hAnsi="Times New Roman"/>
        </w:rPr>
      </w:pPr>
      <w:r w:rsidRPr="009170B8">
        <w:rPr>
          <w:rFonts w:ascii="Times New Roman" w:hAnsi="Times New Roman"/>
        </w:rPr>
        <w:t xml:space="preserve">Notes to the </w:t>
      </w:r>
      <w:r w:rsidRPr="00B46F2F">
        <w:rPr>
          <w:rFonts w:ascii="Times New Roman" w:hAnsi="Times New Roman"/>
        </w:rPr>
        <w:t xml:space="preserve">Financial Statements </w:t>
      </w:r>
      <w:r>
        <w:rPr>
          <w:rFonts w:ascii="Times New Roman" w:hAnsi="Times New Roman"/>
        </w:rPr>
        <w:t xml:space="preserve">of the Fund </w:t>
      </w:r>
      <w:r w:rsidRPr="00B46F2F">
        <w:rPr>
          <w:rFonts w:ascii="Times New Roman" w:hAnsi="Times New Roman"/>
        </w:rPr>
        <w:t>(continued)</w:t>
      </w:r>
    </w:p>
    <w:p w:rsidR="00831C7C" w:rsidRPr="00B46F2F" w:rsidRDefault="00831C7C" w:rsidP="00831C7C">
      <w:pPr>
        <w:pStyle w:val="Heading3"/>
        <w:rPr>
          <w:rFonts w:ascii="Times New Roman" w:hAnsi="Times New Roman"/>
          <w:b w:val="0"/>
        </w:rPr>
      </w:pPr>
      <w:r w:rsidRPr="00B46F2F">
        <w:rPr>
          <w:rFonts w:ascii="Times New Roman" w:hAnsi="Times New Roman"/>
        </w:rPr>
        <w:t>For the year ended 31 December 201</w:t>
      </w:r>
      <w:r w:rsidR="00C84D94">
        <w:rPr>
          <w:rFonts w:ascii="Times New Roman" w:hAnsi="Times New Roman"/>
        </w:rPr>
        <w:t>8</w:t>
      </w:r>
      <w:r w:rsidRPr="00B46F2F">
        <w:rPr>
          <w:rFonts w:ascii="Times New Roman" w:hAnsi="Times New Roman"/>
        </w:rPr>
        <w:t xml:space="preserve"> </w:t>
      </w:r>
    </w:p>
    <w:p w:rsidR="00831C7C" w:rsidRDefault="00831C7C" w:rsidP="00831C7C">
      <w:pPr>
        <w:ind w:left="284"/>
        <w:rPr>
          <w:rFonts w:ascii="Times New Roman" w:hAnsi="Times New Roman"/>
          <w:sz w:val="20"/>
          <w:szCs w:val="20"/>
        </w:rPr>
      </w:pPr>
    </w:p>
    <w:p w:rsidR="00831C7C" w:rsidRPr="00E5676A" w:rsidRDefault="00831C7C" w:rsidP="00831C7C">
      <w:pPr>
        <w:pStyle w:val="BodyText"/>
        <w:tabs>
          <w:tab w:val="clear" w:pos="3402"/>
          <w:tab w:val="clear" w:pos="8222"/>
        </w:tabs>
        <w:ind w:left="426" w:hanging="426"/>
        <w:rPr>
          <w:rFonts w:ascii="Times New Roman" w:hAnsi="Times New Roman"/>
          <w:b/>
        </w:rPr>
      </w:pPr>
      <w:r w:rsidRPr="00E5676A">
        <w:rPr>
          <w:rFonts w:ascii="Times New Roman" w:hAnsi="Times New Roman"/>
          <w:b/>
        </w:rPr>
        <w:t>16. Financial instruments (continued)</w:t>
      </w:r>
    </w:p>
    <w:p w:rsidR="007E6005" w:rsidRDefault="007E6005" w:rsidP="00810935">
      <w:pPr>
        <w:pStyle w:val="BodyText"/>
        <w:tabs>
          <w:tab w:val="clear" w:pos="3402"/>
          <w:tab w:val="clear" w:pos="8222"/>
        </w:tabs>
        <w:ind w:left="284"/>
        <w:rPr>
          <w:rFonts w:ascii="Times New Roman" w:hAnsi="Times New Roman"/>
          <w:i/>
          <w:szCs w:val="20"/>
        </w:rPr>
      </w:pPr>
    </w:p>
    <w:p w:rsidR="00831C7C" w:rsidRDefault="007E6005" w:rsidP="00810935">
      <w:pPr>
        <w:pStyle w:val="BodyText"/>
        <w:tabs>
          <w:tab w:val="clear" w:pos="3402"/>
          <w:tab w:val="clear" w:pos="8222"/>
        </w:tabs>
        <w:ind w:left="284"/>
        <w:rPr>
          <w:rFonts w:ascii="Times New Roman" w:hAnsi="Times New Roman"/>
        </w:rPr>
      </w:pPr>
      <w:r w:rsidRPr="00B46F2F">
        <w:rPr>
          <w:rFonts w:ascii="Times New Roman" w:hAnsi="Times New Roman"/>
          <w:i/>
          <w:szCs w:val="20"/>
        </w:rPr>
        <w:t>Liquidity risk</w:t>
      </w:r>
      <w:r>
        <w:rPr>
          <w:rFonts w:ascii="Times New Roman" w:hAnsi="Times New Roman"/>
          <w:i/>
          <w:szCs w:val="20"/>
        </w:rPr>
        <w:t xml:space="preserve"> (continued)</w:t>
      </w:r>
    </w:p>
    <w:p w:rsidR="00773BEF" w:rsidRDefault="006A2B26" w:rsidP="00810935">
      <w:pPr>
        <w:pStyle w:val="BodyText"/>
        <w:tabs>
          <w:tab w:val="clear" w:pos="3402"/>
          <w:tab w:val="clear" w:pos="8222"/>
        </w:tabs>
        <w:ind w:left="284"/>
        <w:rPr>
          <w:rFonts w:ascii="Times New Roman" w:hAnsi="Times New Roman"/>
        </w:rPr>
      </w:pPr>
      <w:r w:rsidRPr="001B7B81">
        <w:rPr>
          <w:rFonts w:ascii="Times New Roman" w:hAnsi="Times New Roman"/>
        </w:rPr>
        <w:t xml:space="preserve">As at 31 December </w:t>
      </w:r>
      <w:r w:rsidR="002018EA" w:rsidRPr="001B7B81">
        <w:rPr>
          <w:rFonts w:ascii="Times New Roman" w:hAnsi="Times New Roman"/>
        </w:rPr>
        <w:t>201</w:t>
      </w:r>
      <w:r w:rsidR="00C84D94">
        <w:rPr>
          <w:rFonts w:ascii="Times New Roman" w:hAnsi="Times New Roman"/>
        </w:rPr>
        <w:t>7</w:t>
      </w:r>
      <w:r w:rsidR="00773BEF" w:rsidRPr="001B7B81">
        <w:rPr>
          <w:rFonts w:ascii="Times New Roman" w:hAnsi="Times New Roman"/>
        </w:rPr>
        <w:t xml:space="preserve">, the Fund’s </w:t>
      </w:r>
      <w:r w:rsidR="00904B90" w:rsidRPr="001B7B81">
        <w:rPr>
          <w:rFonts w:ascii="Times New Roman" w:hAnsi="Times New Roman"/>
        </w:rPr>
        <w:t xml:space="preserve">ability </w:t>
      </w:r>
      <w:r w:rsidR="00773BEF" w:rsidRPr="001B7B81">
        <w:rPr>
          <w:rFonts w:ascii="Times New Roman" w:hAnsi="Times New Roman"/>
        </w:rPr>
        <w:t xml:space="preserve">to </w:t>
      </w:r>
      <w:r w:rsidR="00904B90" w:rsidRPr="001B7B81">
        <w:rPr>
          <w:rFonts w:ascii="Times New Roman" w:hAnsi="Times New Roman"/>
        </w:rPr>
        <w:t xml:space="preserve">manage </w:t>
      </w:r>
      <w:r w:rsidR="00773BEF" w:rsidRPr="001B7B81">
        <w:rPr>
          <w:rFonts w:ascii="Times New Roman" w:hAnsi="Times New Roman"/>
        </w:rPr>
        <w:t>liquidity risk was as follows:</w:t>
      </w:r>
    </w:p>
    <w:p w:rsidR="005E78A4" w:rsidRDefault="005E78A4" w:rsidP="00810935">
      <w:pPr>
        <w:pStyle w:val="BodyText"/>
        <w:tabs>
          <w:tab w:val="clear" w:pos="3402"/>
          <w:tab w:val="clear" w:pos="8222"/>
        </w:tabs>
        <w:ind w:left="284"/>
        <w:rPr>
          <w:rFonts w:ascii="Times New Roman" w:hAnsi="Times New Roman"/>
        </w:rPr>
      </w:pPr>
    </w:p>
    <w:tbl>
      <w:tblPr>
        <w:tblW w:w="10676" w:type="dxa"/>
        <w:tblLayout w:type="fixed"/>
        <w:tblLook w:val="01E0" w:firstRow="1" w:lastRow="1" w:firstColumn="1" w:lastColumn="1" w:noHBand="0" w:noVBand="0"/>
      </w:tblPr>
      <w:tblGrid>
        <w:gridCol w:w="3936"/>
        <w:gridCol w:w="283"/>
        <w:gridCol w:w="1557"/>
        <w:gridCol w:w="1298"/>
        <w:gridCol w:w="1188"/>
        <w:gridCol w:w="1107"/>
        <w:gridCol w:w="1307"/>
      </w:tblGrid>
      <w:tr w:rsidR="005E78A4" w:rsidRPr="00B46F2F" w:rsidTr="00B74D7C">
        <w:tc>
          <w:tcPr>
            <w:tcW w:w="3936" w:type="dxa"/>
          </w:tcPr>
          <w:p w:rsidR="005E78A4" w:rsidRPr="00B46F2F" w:rsidRDefault="005E78A4" w:rsidP="003B01CA">
            <w:pPr>
              <w:pStyle w:val="BodyText"/>
              <w:tabs>
                <w:tab w:val="clear" w:pos="3402"/>
                <w:tab w:val="clear" w:pos="8222"/>
              </w:tabs>
              <w:rPr>
                <w:rFonts w:ascii="Times New Roman" w:hAnsi="Times New Roman"/>
              </w:rPr>
            </w:pPr>
          </w:p>
        </w:tc>
        <w:tc>
          <w:tcPr>
            <w:tcW w:w="283" w:type="dxa"/>
          </w:tcPr>
          <w:p w:rsidR="005E78A4" w:rsidRPr="00B46F2F" w:rsidRDefault="005E78A4" w:rsidP="003B01CA">
            <w:pPr>
              <w:pStyle w:val="BodyText"/>
              <w:tabs>
                <w:tab w:val="clear" w:pos="3402"/>
                <w:tab w:val="clear" w:pos="8222"/>
              </w:tabs>
              <w:rPr>
                <w:rFonts w:ascii="Times New Roman" w:hAnsi="Times New Roman"/>
              </w:rPr>
            </w:pPr>
          </w:p>
        </w:tc>
        <w:tc>
          <w:tcPr>
            <w:tcW w:w="1557"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Less than  1 month</w:t>
            </w:r>
          </w:p>
        </w:tc>
        <w:tc>
          <w:tcPr>
            <w:tcW w:w="1298"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1-3 months</w:t>
            </w:r>
          </w:p>
        </w:tc>
        <w:tc>
          <w:tcPr>
            <w:tcW w:w="1188"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3 months to 1 year</w:t>
            </w:r>
          </w:p>
        </w:tc>
        <w:tc>
          <w:tcPr>
            <w:tcW w:w="1107"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More than 1 year</w:t>
            </w:r>
          </w:p>
        </w:tc>
        <w:tc>
          <w:tcPr>
            <w:tcW w:w="1307" w:type="dxa"/>
          </w:tcPr>
          <w:p w:rsidR="005E78A4" w:rsidRPr="00B46F2F" w:rsidRDefault="005E78A4" w:rsidP="003B01CA">
            <w:pPr>
              <w:pStyle w:val="BodyText"/>
              <w:tabs>
                <w:tab w:val="clear" w:pos="3402"/>
                <w:tab w:val="clear" w:pos="8222"/>
              </w:tabs>
              <w:jc w:val="right"/>
              <w:rPr>
                <w:rFonts w:ascii="Times New Roman" w:hAnsi="Times New Roman"/>
                <w:b/>
              </w:rPr>
            </w:pPr>
          </w:p>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Total</w:t>
            </w:r>
          </w:p>
        </w:tc>
      </w:tr>
      <w:tr w:rsidR="005E78A4" w:rsidRPr="00B46F2F" w:rsidTr="00B74D7C">
        <w:tc>
          <w:tcPr>
            <w:tcW w:w="3936" w:type="dxa"/>
          </w:tcPr>
          <w:p w:rsidR="005E78A4" w:rsidRPr="00B46F2F" w:rsidRDefault="005E78A4" w:rsidP="003B01CA">
            <w:pPr>
              <w:pStyle w:val="BodyText"/>
              <w:tabs>
                <w:tab w:val="clear" w:pos="3402"/>
                <w:tab w:val="clear" w:pos="8222"/>
              </w:tabs>
              <w:rPr>
                <w:rFonts w:ascii="Times New Roman" w:hAnsi="Times New Roman"/>
              </w:rPr>
            </w:pPr>
          </w:p>
        </w:tc>
        <w:tc>
          <w:tcPr>
            <w:tcW w:w="283" w:type="dxa"/>
          </w:tcPr>
          <w:p w:rsidR="005E78A4" w:rsidRPr="00B46F2F" w:rsidRDefault="005E78A4" w:rsidP="003B01CA">
            <w:pPr>
              <w:pStyle w:val="BodyText"/>
              <w:tabs>
                <w:tab w:val="clear" w:pos="3402"/>
                <w:tab w:val="clear" w:pos="8222"/>
              </w:tabs>
              <w:rPr>
                <w:rFonts w:ascii="Times New Roman" w:hAnsi="Times New Roman"/>
              </w:rPr>
            </w:pPr>
          </w:p>
        </w:tc>
        <w:tc>
          <w:tcPr>
            <w:tcW w:w="1557"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GBP</w:t>
            </w:r>
          </w:p>
        </w:tc>
        <w:tc>
          <w:tcPr>
            <w:tcW w:w="1298"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GBP</w:t>
            </w:r>
          </w:p>
        </w:tc>
        <w:tc>
          <w:tcPr>
            <w:tcW w:w="1188"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GBP</w:t>
            </w:r>
          </w:p>
        </w:tc>
        <w:tc>
          <w:tcPr>
            <w:tcW w:w="1107"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GBP</w:t>
            </w:r>
          </w:p>
        </w:tc>
        <w:tc>
          <w:tcPr>
            <w:tcW w:w="1307" w:type="dxa"/>
          </w:tcPr>
          <w:p w:rsidR="005E78A4" w:rsidRPr="00B46F2F" w:rsidRDefault="005E78A4" w:rsidP="003B01CA">
            <w:pPr>
              <w:pStyle w:val="BodyText"/>
              <w:tabs>
                <w:tab w:val="clear" w:pos="3402"/>
                <w:tab w:val="clear" w:pos="8222"/>
              </w:tabs>
              <w:jc w:val="right"/>
              <w:rPr>
                <w:rFonts w:ascii="Times New Roman" w:hAnsi="Times New Roman"/>
                <w:b/>
              </w:rPr>
            </w:pPr>
            <w:r w:rsidRPr="00B46F2F">
              <w:rPr>
                <w:rFonts w:ascii="Times New Roman" w:hAnsi="Times New Roman"/>
                <w:b/>
              </w:rPr>
              <w:t>GBP</w:t>
            </w:r>
          </w:p>
        </w:tc>
      </w:tr>
      <w:tr w:rsidR="005E78A4" w:rsidRPr="00B46F2F" w:rsidTr="00B74D7C">
        <w:tc>
          <w:tcPr>
            <w:tcW w:w="3936" w:type="dxa"/>
          </w:tcPr>
          <w:p w:rsidR="005E78A4" w:rsidRPr="00B46F2F" w:rsidRDefault="005E78A4" w:rsidP="003B01CA">
            <w:pPr>
              <w:pStyle w:val="BodyText"/>
              <w:tabs>
                <w:tab w:val="clear" w:pos="3402"/>
                <w:tab w:val="clear" w:pos="8222"/>
              </w:tabs>
              <w:ind w:left="284"/>
              <w:rPr>
                <w:rFonts w:ascii="Times New Roman" w:hAnsi="Times New Roman"/>
                <w:b/>
              </w:rPr>
            </w:pPr>
            <w:r w:rsidRPr="00B46F2F">
              <w:rPr>
                <w:rFonts w:ascii="Times New Roman" w:hAnsi="Times New Roman"/>
                <w:b/>
              </w:rPr>
              <w:t>Assets</w:t>
            </w:r>
          </w:p>
        </w:tc>
        <w:tc>
          <w:tcPr>
            <w:tcW w:w="283" w:type="dxa"/>
          </w:tcPr>
          <w:p w:rsidR="005E78A4" w:rsidRPr="00B46F2F" w:rsidRDefault="005E78A4" w:rsidP="003B01CA">
            <w:pPr>
              <w:pStyle w:val="BodyText"/>
              <w:tabs>
                <w:tab w:val="clear" w:pos="3402"/>
                <w:tab w:val="clear" w:pos="8222"/>
              </w:tabs>
              <w:rPr>
                <w:rFonts w:ascii="Times New Roman" w:hAnsi="Times New Roman"/>
              </w:rPr>
            </w:pPr>
          </w:p>
        </w:tc>
        <w:tc>
          <w:tcPr>
            <w:tcW w:w="1557" w:type="dxa"/>
          </w:tcPr>
          <w:p w:rsidR="005E78A4" w:rsidRPr="00B46F2F" w:rsidRDefault="005E78A4" w:rsidP="003B01CA">
            <w:pPr>
              <w:pStyle w:val="BodyText"/>
              <w:tabs>
                <w:tab w:val="clear" w:pos="3402"/>
                <w:tab w:val="clear" w:pos="8222"/>
              </w:tabs>
              <w:rPr>
                <w:rFonts w:ascii="Times New Roman" w:hAnsi="Times New Roman"/>
              </w:rPr>
            </w:pPr>
          </w:p>
        </w:tc>
        <w:tc>
          <w:tcPr>
            <w:tcW w:w="1298" w:type="dxa"/>
          </w:tcPr>
          <w:p w:rsidR="005E78A4" w:rsidRPr="00B46F2F" w:rsidRDefault="005E78A4" w:rsidP="003B01CA">
            <w:pPr>
              <w:pStyle w:val="BodyText"/>
              <w:tabs>
                <w:tab w:val="clear" w:pos="3402"/>
                <w:tab w:val="clear" w:pos="8222"/>
              </w:tabs>
              <w:rPr>
                <w:rFonts w:ascii="Times New Roman" w:hAnsi="Times New Roman"/>
              </w:rPr>
            </w:pPr>
          </w:p>
        </w:tc>
        <w:tc>
          <w:tcPr>
            <w:tcW w:w="1188" w:type="dxa"/>
          </w:tcPr>
          <w:p w:rsidR="005E78A4" w:rsidRPr="00B46F2F" w:rsidRDefault="005E78A4" w:rsidP="003B01CA">
            <w:pPr>
              <w:pStyle w:val="BodyText"/>
              <w:tabs>
                <w:tab w:val="clear" w:pos="3402"/>
                <w:tab w:val="clear" w:pos="8222"/>
              </w:tabs>
              <w:rPr>
                <w:rFonts w:ascii="Times New Roman" w:hAnsi="Times New Roman"/>
              </w:rPr>
            </w:pPr>
          </w:p>
        </w:tc>
        <w:tc>
          <w:tcPr>
            <w:tcW w:w="1107" w:type="dxa"/>
          </w:tcPr>
          <w:p w:rsidR="005E78A4" w:rsidRPr="00B46F2F" w:rsidRDefault="005E78A4" w:rsidP="003B01CA">
            <w:pPr>
              <w:pStyle w:val="BodyText"/>
              <w:tabs>
                <w:tab w:val="clear" w:pos="3402"/>
                <w:tab w:val="clear" w:pos="8222"/>
              </w:tabs>
              <w:rPr>
                <w:rFonts w:ascii="Times New Roman" w:hAnsi="Times New Roman"/>
              </w:rPr>
            </w:pPr>
          </w:p>
        </w:tc>
        <w:tc>
          <w:tcPr>
            <w:tcW w:w="1307" w:type="dxa"/>
          </w:tcPr>
          <w:p w:rsidR="005E78A4" w:rsidRPr="00B46F2F" w:rsidRDefault="005E78A4" w:rsidP="003B01CA">
            <w:pPr>
              <w:pStyle w:val="BodyText"/>
              <w:tabs>
                <w:tab w:val="clear" w:pos="3402"/>
                <w:tab w:val="clear" w:pos="8222"/>
              </w:tabs>
              <w:rPr>
                <w:rFonts w:ascii="Times New Roman" w:hAnsi="Times New Roman"/>
              </w:rPr>
            </w:pP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Securities (at fair value through profit or loss)</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vAlign w:val="bottom"/>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148,464,909</w:t>
            </w:r>
          </w:p>
        </w:tc>
        <w:tc>
          <w:tcPr>
            <w:tcW w:w="1298" w:type="dxa"/>
            <w:vAlign w:val="bottom"/>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88" w:type="dxa"/>
            <w:vAlign w:val="bottom"/>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07" w:type="dxa"/>
            <w:vAlign w:val="bottom"/>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07" w:type="dxa"/>
            <w:vAlign w:val="bottom"/>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148,464,909</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Accrued bond interest</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w:t>
            </w:r>
          </w:p>
        </w:tc>
        <w:tc>
          <w:tcPr>
            <w:tcW w:w="1298" w:type="dxa"/>
            <w:vAlign w:val="bottom"/>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16,070</w:t>
            </w:r>
          </w:p>
        </w:tc>
        <w:tc>
          <w:tcPr>
            <w:tcW w:w="1188" w:type="dxa"/>
            <w:vAlign w:val="bottom"/>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07" w:type="dxa"/>
            <w:vAlign w:val="bottom"/>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0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16,070</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Accrued dividend income</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662,645</w:t>
            </w:r>
          </w:p>
        </w:tc>
        <w:tc>
          <w:tcPr>
            <w:tcW w:w="1298"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88"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07"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0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662,645</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Accrued bank interest</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5,374</w:t>
            </w:r>
          </w:p>
        </w:tc>
        <w:tc>
          <w:tcPr>
            <w:tcW w:w="1298"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88"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07"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0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5,374</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Other receivables</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2</w:t>
            </w:r>
          </w:p>
        </w:tc>
        <w:tc>
          <w:tcPr>
            <w:tcW w:w="1298" w:type="dxa"/>
          </w:tcPr>
          <w:p w:rsidR="0069096F" w:rsidRPr="00B46F2F" w:rsidRDefault="0069096F" w:rsidP="003B01CA">
            <w:pPr>
              <w:jc w:val="right"/>
              <w:rPr>
                <w:rFonts w:ascii="Times New Roman" w:hAnsi="Times New Roman"/>
              </w:rPr>
            </w:pPr>
            <w:r w:rsidRPr="00B46F2F">
              <w:rPr>
                <w:rFonts w:ascii="Times New Roman" w:hAnsi="Times New Roman"/>
              </w:rPr>
              <w:t>-</w:t>
            </w:r>
          </w:p>
        </w:tc>
        <w:tc>
          <w:tcPr>
            <w:tcW w:w="1188" w:type="dxa"/>
          </w:tcPr>
          <w:p w:rsidR="0069096F" w:rsidRPr="00B46F2F" w:rsidRDefault="0069096F" w:rsidP="003B01CA">
            <w:pPr>
              <w:jc w:val="right"/>
              <w:rPr>
                <w:rFonts w:ascii="Times New Roman" w:hAnsi="Times New Roman"/>
              </w:rPr>
            </w:pPr>
            <w:r w:rsidRPr="00B46F2F">
              <w:rPr>
                <w:rFonts w:ascii="Times New Roman" w:hAnsi="Times New Roman"/>
              </w:rPr>
              <w:t>-</w:t>
            </w:r>
          </w:p>
        </w:tc>
        <w:tc>
          <w:tcPr>
            <w:tcW w:w="1107" w:type="dxa"/>
          </w:tcPr>
          <w:p w:rsidR="0069096F" w:rsidRPr="00B46F2F" w:rsidRDefault="0069096F" w:rsidP="003B01CA">
            <w:pPr>
              <w:jc w:val="right"/>
              <w:rPr>
                <w:rFonts w:ascii="Times New Roman" w:hAnsi="Times New Roman"/>
              </w:rPr>
            </w:pPr>
            <w:r w:rsidRPr="00B46F2F">
              <w:rPr>
                <w:rFonts w:ascii="Times New Roman" w:hAnsi="Times New Roman"/>
              </w:rPr>
              <w:t>-</w:t>
            </w:r>
          </w:p>
        </w:tc>
        <w:tc>
          <w:tcPr>
            <w:tcW w:w="130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2</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Prepayments</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15,540</w:t>
            </w:r>
          </w:p>
        </w:tc>
        <w:tc>
          <w:tcPr>
            <w:tcW w:w="1298" w:type="dxa"/>
          </w:tcPr>
          <w:p w:rsidR="0069096F" w:rsidRPr="00B46F2F" w:rsidRDefault="0069096F" w:rsidP="003B01CA">
            <w:pPr>
              <w:jc w:val="right"/>
              <w:rPr>
                <w:rFonts w:ascii="Times New Roman" w:hAnsi="Times New Roman"/>
              </w:rPr>
            </w:pPr>
            <w:r w:rsidRPr="00B46F2F">
              <w:rPr>
                <w:rFonts w:ascii="Times New Roman" w:hAnsi="Times New Roman"/>
              </w:rPr>
              <w:t>-</w:t>
            </w:r>
          </w:p>
        </w:tc>
        <w:tc>
          <w:tcPr>
            <w:tcW w:w="1188" w:type="dxa"/>
          </w:tcPr>
          <w:p w:rsidR="0069096F" w:rsidRPr="00B46F2F" w:rsidRDefault="0069096F" w:rsidP="003B01CA">
            <w:pPr>
              <w:jc w:val="right"/>
              <w:rPr>
                <w:rFonts w:ascii="Times New Roman" w:hAnsi="Times New Roman"/>
              </w:rPr>
            </w:pPr>
            <w:r w:rsidRPr="00B46F2F">
              <w:rPr>
                <w:rFonts w:ascii="Times New Roman" w:hAnsi="Times New Roman"/>
              </w:rPr>
              <w:t>-</w:t>
            </w:r>
          </w:p>
        </w:tc>
        <w:tc>
          <w:tcPr>
            <w:tcW w:w="1107" w:type="dxa"/>
          </w:tcPr>
          <w:p w:rsidR="0069096F" w:rsidRPr="00B46F2F" w:rsidRDefault="0069096F" w:rsidP="003B01CA">
            <w:pPr>
              <w:jc w:val="right"/>
              <w:rPr>
                <w:rFonts w:ascii="Times New Roman" w:hAnsi="Times New Roman"/>
              </w:rPr>
            </w:pPr>
            <w:r w:rsidRPr="00B46F2F">
              <w:rPr>
                <w:rFonts w:ascii="Times New Roman" w:hAnsi="Times New Roman"/>
              </w:rPr>
              <w:t>-</w:t>
            </w:r>
          </w:p>
        </w:tc>
        <w:tc>
          <w:tcPr>
            <w:tcW w:w="130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15,540</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Cash and cash equivalents</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9,328,518</w:t>
            </w:r>
          </w:p>
        </w:tc>
        <w:tc>
          <w:tcPr>
            <w:tcW w:w="1298"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88"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07"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07"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9,328,518</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Borders>
              <w:top w:val="single" w:sz="4" w:space="0" w:color="auto"/>
              <w:bottom w:val="single" w:sz="4" w:space="0" w:color="auto"/>
            </w:tcBorders>
          </w:tcPr>
          <w:p w:rsidR="0069096F" w:rsidRPr="00B46F2F" w:rsidRDefault="0069096F">
            <w:pPr>
              <w:pStyle w:val="BodyText"/>
              <w:tabs>
                <w:tab w:val="clear" w:pos="3402"/>
                <w:tab w:val="clear" w:pos="8222"/>
              </w:tabs>
              <w:jc w:val="right"/>
              <w:rPr>
                <w:rFonts w:ascii="Times New Roman" w:hAnsi="Times New Roman"/>
                <w:b/>
              </w:rPr>
            </w:pPr>
            <w:r>
              <w:rPr>
                <w:rFonts w:ascii="Times New Roman" w:hAnsi="Times New Roman"/>
                <w:b/>
              </w:rPr>
              <w:t>158,476,988</w:t>
            </w:r>
          </w:p>
        </w:tc>
        <w:tc>
          <w:tcPr>
            <w:tcW w:w="1298" w:type="dxa"/>
            <w:tcBorders>
              <w:top w:val="single" w:sz="4" w:space="0" w:color="auto"/>
              <w:bottom w:val="single" w:sz="4" w:space="0" w:color="auto"/>
            </w:tcBorders>
          </w:tcPr>
          <w:p w:rsidR="0069096F" w:rsidRPr="00B46F2F" w:rsidRDefault="0069096F" w:rsidP="003B01CA">
            <w:pPr>
              <w:jc w:val="right"/>
              <w:rPr>
                <w:rFonts w:ascii="Times New Roman" w:hAnsi="Times New Roman"/>
                <w:b/>
              </w:rPr>
            </w:pPr>
            <w:r>
              <w:rPr>
                <w:rFonts w:ascii="Times New Roman" w:hAnsi="Times New Roman"/>
                <w:b/>
              </w:rPr>
              <w:t>16,070</w:t>
            </w:r>
          </w:p>
        </w:tc>
        <w:tc>
          <w:tcPr>
            <w:tcW w:w="1188" w:type="dxa"/>
            <w:tcBorders>
              <w:top w:val="single" w:sz="4" w:space="0" w:color="auto"/>
              <w:bottom w:val="single" w:sz="4" w:space="0" w:color="auto"/>
            </w:tcBorders>
          </w:tcPr>
          <w:p w:rsidR="0069096F" w:rsidRPr="00B46F2F" w:rsidRDefault="0069096F" w:rsidP="003B01CA">
            <w:pPr>
              <w:jc w:val="right"/>
              <w:rPr>
                <w:rFonts w:ascii="Times New Roman" w:hAnsi="Times New Roman"/>
                <w:b/>
              </w:rPr>
            </w:pPr>
            <w:r w:rsidRPr="00B46F2F">
              <w:rPr>
                <w:rFonts w:ascii="Times New Roman" w:hAnsi="Times New Roman"/>
                <w:b/>
              </w:rPr>
              <w:t>-</w:t>
            </w:r>
          </w:p>
        </w:tc>
        <w:tc>
          <w:tcPr>
            <w:tcW w:w="1107" w:type="dxa"/>
            <w:tcBorders>
              <w:top w:val="single" w:sz="4" w:space="0" w:color="auto"/>
              <w:bottom w:val="single" w:sz="4" w:space="0" w:color="auto"/>
            </w:tcBorders>
          </w:tcPr>
          <w:p w:rsidR="0069096F" w:rsidRPr="00B46F2F" w:rsidRDefault="0069096F" w:rsidP="003B01CA">
            <w:pPr>
              <w:jc w:val="right"/>
              <w:rPr>
                <w:rFonts w:ascii="Times New Roman" w:hAnsi="Times New Roman"/>
                <w:b/>
              </w:rPr>
            </w:pPr>
            <w:r w:rsidRPr="00B46F2F">
              <w:rPr>
                <w:rFonts w:ascii="Times New Roman" w:hAnsi="Times New Roman"/>
                <w:b/>
              </w:rPr>
              <w:t>-</w:t>
            </w:r>
          </w:p>
        </w:tc>
        <w:tc>
          <w:tcPr>
            <w:tcW w:w="1307" w:type="dxa"/>
            <w:tcBorders>
              <w:top w:val="single" w:sz="4" w:space="0" w:color="auto"/>
              <w:bottom w:val="single" w:sz="4" w:space="0" w:color="auto"/>
            </w:tcBorders>
          </w:tcPr>
          <w:p w:rsidR="0069096F" w:rsidRPr="00B46F2F" w:rsidRDefault="0069096F">
            <w:pPr>
              <w:pStyle w:val="BodyText"/>
              <w:tabs>
                <w:tab w:val="clear" w:pos="3402"/>
                <w:tab w:val="clear" w:pos="8222"/>
              </w:tabs>
              <w:jc w:val="right"/>
              <w:rPr>
                <w:rFonts w:ascii="Times New Roman" w:hAnsi="Times New Roman"/>
                <w:b/>
              </w:rPr>
            </w:pPr>
            <w:r>
              <w:rPr>
                <w:rFonts w:ascii="Times New Roman" w:hAnsi="Times New Roman"/>
                <w:b/>
              </w:rPr>
              <w:t>158,493,058</w:t>
            </w:r>
          </w:p>
        </w:tc>
      </w:tr>
      <w:tr w:rsidR="005E78A4" w:rsidRPr="00B46F2F" w:rsidTr="00B74D7C">
        <w:tc>
          <w:tcPr>
            <w:tcW w:w="3936" w:type="dxa"/>
          </w:tcPr>
          <w:p w:rsidR="005E78A4" w:rsidRPr="00B46F2F" w:rsidRDefault="005E78A4" w:rsidP="003B01CA">
            <w:pPr>
              <w:pStyle w:val="BodyText"/>
              <w:tabs>
                <w:tab w:val="clear" w:pos="3402"/>
                <w:tab w:val="clear" w:pos="8222"/>
              </w:tabs>
              <w:ind w:left="284"/>
              <w:rPr>
                <w:rFonts w:ascii="Times New Roman" w:hAnsi="Times New Roman"/>
                <w:b/>
              </w:rPr>
            </w:pPr>
          </w:p>
        </w:tc>
        <w:tc>
          <w:tcPr>
            <w:tcW w:w="283" w:type="dxa"/>
          </w:tcPr>
          <w:p w:rsidR="005E78A4" w:rsidRPr="00B46F2F" w:rsidRDefault="005E78A4" w:rsidP="003B01CA">
            <w:pPr>
              <w:pStyle w:val="BodyText"/>
              <w:tabs>
                <w:tab w:val="clear" w:pos="3402"/>
                <w:tab w:val="clear" w:pos="8222"/>
              </w:tabs>
              <w:rPr>
                <w:rFonts w:ascii="Times New Roman" w:hAnsi="Times New Roman"/>
              </w:rPr>
            </w:pPr>
          </w:p>
        </w:tc>
        <w:tc>
          <w:tcPr>
            <w:tcW w:w="1557" w:type="dxa"/>
            <w:tcBorders>
              <w:top w:val="single" w:sz="4" w:space="0" w:color="auto"/>
            </w:tcBorders>
          </w:tcPr>
          <w:p w:rsidR="005E78A4" w:rsidRPr="00B46F2F" w:rsidRDefault="005E78A4" w:rsidP="003B01CA">
            <w:pPr>
              <w:pStyle w:val="BodyText"/>
              <w:tabs>
                <w:tab w:val="clear" w:pos="3402"/>
                <w:tab w:val="clear" w:pos="8222"/>
              </w:tabs>
              <w:jc w:val="right"/>
              <w:rPr>
                <w:rFonts w:ascii="Times New Roman" w:hAnsi="Times New Roman"/>
              </w:rPr>
            </w:pPr>
          </w:p>
        </w:tc>
        <w:tc>
          <w:tcPr>
            <w:tcW w:w="1298" w:type="dxa"/>
            <w:tcBorders>
              <w:top w:val="single" w:sz="4" w:space="0" w:color="auto"/>
            </w:tcBorders>
          </w:tcPr>
          <w:p w:rsidR="005E78A4" w:rsidRPr="00B46F2F" w:rsidRDefault="005E78A4" w:rsidP="003B01CA">
            <w:pPr>
              <w:pStyle w:val="BodyText"/>
              <w:tabs>
                <w:tab w:val="clear" w:pos="3402"/>
                <w:tab w:val="clear" w:pos="8222"/>
              </w:tabs>
              <w:jc w:val="right"/>
              <w:rPr>
                <w:rFonts w:ascii="Times New Roman" w:hAnsi="Times New Roman"/>
              </w:rPr>
            </w:pPr>
          </w:p>
        </w:tc>
        <w:tc>
          <w:tcPr>
            <w:tcW w:w="1188" w:type="dxa"/>
            <w:tcBorders>
              <w:top w:val="single" w:sz="4" w:space="0" w:color="auto"/>
            </w:tcBorders>
          </w:tcPr>
          <w:p w:rsidR="005E78A4" w:rsidRPr="00B46F2F" w:rsidRDefault="005E78A4" w:rsidP="003B01CA">
            <w:pPr>
              <w:pStyle w:val="BodyText"/>
              <w:tabs>
                <w:tab w:val="clear" w:pos="3402"/>
                <w:tab w:val="clear" w:pos="8222"/>
              </w:tabs>
              <w:jc w:val="right"/>
              <w:rPr>
                <w:rFonts w:ascii="Times New Roman" w:hAnsi="Times New Roman"/>
              </w:rPr>
            </w:pPr>
          </w:p>
        </w:tc>
        <w:tc>
          <w:tcPr>
            <w:tcW w:w="1107" w:type="dxa"/>
            <w:tcBorders>
              <w:top w:val="single" w:sz="4" w:space="0" w:color="auto"/>
            </w:tcBorders>
          </w:tcPr>
          <w:p w:rsidR="005E78A4" w:rsidRPr="00B46F2F" w:rsidRDefault="005E78A4" w:rsidP="003B01CA">
            <w:pPr>
              <w:pStyle w:val="BodyText"/>
              <w:tabs>
                <w:tab w:val="clear" w:pos="3402"/>
                <w:tab w:val="clear" w:pos="8222"/>
              </w:tabs>
              <w:jc w:val="right"/>
              <w:rPr>
                <w:rFonts w:ascii="Times New Roman" w:hAnsi="Times New Roman"/>
              </w:rPr>
            </w:pPr>
          </w:p>
        </w:tc>
        <w:tc>
          <w:tcPr>
            <w:tcW w:w="1307" w:type="dxa"/>
            <w:tcBorders>
              <w:top w:val="single" w:sz="4" w:space="0" w:color="auto"/>
            </w:tcBorders>
          </w:tcPr>
          <w:p w:rsidR="005E78A4" w:rsidRPr="00B46F2F" w:rsidRDefault="005E78A4" w:rsidP="003B01CA">
            <w:pPr>
              <w:pStyle w:val="BodyText"/>
              <w:tabs>
                <w:tab w:val="clear" w:pos="3402"/>
                <w:tab w:val="clear" w:pos="8222"/>
              </w:tabs>
              <w:jc w:val="right"/>
              <w:rPr>
                <w:rFonts w:ascii="Times New Roman" w:hAnsi="Times New Roman"/>
              </w:rPr>
            </w:pPr>
          </w:p>
        </w:tc>
      </w:tr>
      <w:tr w:rsidR="005E78A4" w:rsidRPr="00B46F2F" w:rsidTr="00B74D7C">
        <w:tc>
          <w:tcPr>
            <w:tcW w:w="3936" w:type="dxa"/>
          </w:tcPr>
          <w:p w:rsidR="00831C7C" w:rsidRDefault="00831C7C" w:rsidP="003B01CA">
            <w:pPr>
              <w:pStyle w:val="BodyText"/>
              <w:tabs>
                <w:tab w:val="clear" w:pos="3402"/>
                <w:tab w:val="clear" w:pos="8222"/>
              </w:tabs>
              <w:ind w:left="284"/>
              <w:rPr>
                <w:rFonts w:ascii="Times New Roman" w:hAnsi="Times New Roman"/>
                <w:b/>
              </w:rPr>
            </w:pPr>
          </w:p>
          <w:p w:rsidR="00831C7C" w:rsidRDefault="00831C7C" w:rsidP="003B01CA">
            <w:pPr>
              <w:pStyle w:val="BodyText"/>
              <w:tabs>
                <w:tab w:val="clear" w:pos="3402"/>
                <w:tab w:val="clear" w:pos="8222"/>
              </w:tabs>
              <w:ind w:left="284"/>
              <w:rPr>
                <w:rFonts w:ascii="Times New Roman" w:hAnsi="Times New Roman"/>
                <w:b/>
              </w:rPr>
            </w:pPr>
          </w:p>
          <w:p w:rsidR="005E78A4" w:rsidRPr="00B46F2F" w:rsidRDefault="005E78A4" w:rsidP="003B01CA">
            <w:pPr>
              <w:pStyle w:val="BodyText"/>
              <w:tabs>
                <w:tab w:val="clear" w:pos="3402"/>
                <w:tab w:val="clear" w:pos="8222"/>
              </w:tabs>
              <w:ind w:left="284"/>
              <w:rPr>
                <w:rFonts w:ascii="Times New Roman" w:hAnsi="Times New Roman"/>
                <w:b/>
              </w:rPr>
            </w:pPr>
            <w:r>
              <w:rPr>
                <w:rFonts w:ascii="Times New Roman" w:hAnsi="Times New Roman"/>
                <w:b/>
              </w:rPr>
              <w:br/>
            </w:r>
            <w:r w:rsidRPr="00B46F2F">
              <w:rPr>
                <w:rFonts w:ascii="Times New Roman" w:hAnsi="Times New Roman"/>
                <w:b/>
              </w:rPr>
              <w:t>Liabilities</w:t>
            </w:r>
          </w:p>
        </w:tc>
        <w:tc>
          <w:tcPr>
            <w:tcW w:w="283" w:type="dxa"/>
          </w:tcPr>
          <w:p w:rsidR="005E78A4" w:rsidRPr="00B46F2F" w:rsidRDefault="005E78A4" w:rsidP="003B01CA">
            <w:pPr>
              <w:pStyle w:val="BodyText"/>
              <w:tabs>
                <w:tab w:val="clear" w:pos="3402"/>
                <w:tab w:val="clear" w:pos="8222"/>
              </w:tabs>
              <w:rPr>
                <w:rFonts w:ascii="Times New Roman" w:hAnsi="Times New Roman"/>
              </w:rPr>
            </w:pPr>
          </w:p>
        </w:tc>
        <w:tc>
          <w:tcPr>
            <w:tcW w:w="1557" w:type="dxa"/>
          </w:tcPr>
          <w:p w:rsidR="005E78A4" w:rsidRPr="00B46F2F" w:rsidRDefault="005E78A4" w:rsidP="003B01CA">
            <w:pPr>
              <w:pStyle w:val="BodyText"/>
              <w:tabs>
                <w:tab w:val="clear" w:pos="3402"/>
                <w:tab w:val="clear" w:pos="8222"/>
              </w:tabs>
              <w:jc w:val="right"/>
              <w:rPr>
                <w:rFonts w:ascii="Times New Roman" w:hAnsi="Times New Roman"/>
              </w:rPr>
            </w:pPr>
          </w:p>
        </w:tc>
        <w:tc>
          <w:tcPr>
            <w:tcW w:w="1298" w:type="dxa"/>
          </w:tcPr>
          <w:p w:rsidR="005E78A4" w:rsidRPr="00B46F2F" w:rsidRDefault="005E78A4" w:rsidP="003B01CA">
            <w:pPr>
              <w:pStyle w:val="BodyText"/>
              <w:tabs>
                <w:tab w:val="clear" w:pos="3402"/>
                <w:tab w:val="clear" w:pos="8222"/>
              </w:tabs>
              <w:jc w:val="right"/>
              <w:rPr>
                <w:rFonts w:ascii="Times New Roman" w:hAnsi="Times New Roman"/>
              </w:rPr>
            </w:pPr>
          </w:p>
        </w:tc>
        <w:tc>
          <w:tcPr>
            <w:tcW w:w="1188" w:type="dxa"/>
          </w:tcPr>
          <w:p w:rsidR="005E78A4" w:rsidRPr="00B46F2F" w:rsidRDefault="005E78A4" w:rsidP="003B01CA">
            <w:pPr>
              <w:pStyle w:val="BodyText"/>
              <w:tabs>
                <w:tab w:val="clear" w:pos="3402"/>
                <w:tab w:val="clear" w:pos="8222"/>
              </w:tabs>
              <w:jc w:val="right"/>
              <w:rPr>
                <w:rFonts w:ascii="Times New Roman" w:hAnsi="Times New Roman"/>
              </w:rPr>
            </w:pPr>
          </w:p>
        </w:tc>
        <w:tc>
          <w:tcPr>
            <w:tcW w:w="1107" w:type="dxa"/>
          </w:tcPr>
          <w:p w:rsidR="005E78A4" w:rsidRPr="00B46F2F" w:rsidRDefault="005E78A4" w:rsidP="003B01CA">
            <w:pPr>
              <w:pStyle w:val="BodyText"/>
              <w:tabs>
                <w:tab w:val="clear" w:pos="3402"/>
                <w:tab w:val="clear" w:pos="8222"/>
              </w:tabs>
              <w:jc w:val="right"/>
              <w:rPr>
                <w:rFonts w:ascii="Times New Roman" w:hAnsi="Times New Roman"/>
              </w:rPr>
            </w:pPr>
          </w:p>
        </w:tc>
        <w:tc>
          <w:tcPr>
            <w:tcW w:w="1307" w:type="dxa"/>
          </w:tcPr>
          <w:p w:rsidR="005E78A4" w:rsidRPr="00B46F2F" w:rsidRDefault="005E78A4" w:rsidP="003B01CA">
            <w:pPr>
              <w:pStyle w:val="BodyText"/>
              <w:tabs>
                <w:tab w:val="clear" w:pos="3402"/>
                <w:tab w:val="clear" w:pos="8222"/>
              </w:tabs>
              <w:jc w:val="right"/>
              <w:rPr>
                <w:rFonts w:ascii="Times New Roman" w:hAnsi="Times New Roman"/>
              </w:rPr>
            </w:pP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Other payables and accruals</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(362,428)</w:t>
            </w:r>
          </w:p>
        </w:tc>
        <w:tc>
          <w:tcPr>
            <w:tcW w:w="1298"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w:t>
            </w:r>
          </w:p>
        </w:tc>
        <w:tc>
          <w:tcPr>
            <w:tcW w:w="1188"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07"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0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(362,428)</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Interest payable</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(18,458)</w:t>
            </w:r>
          </w:p>
        </w:tc>
        <w:tc>
          <w:tcPr>
            <w:tcW w:w="1298"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 xml:space="preserve"> (66,158)</w:t>
            </w:r>
          </w:p>
        </w:tc>
        <w:tc>
          <w:tcPr>
            <w:tcW w:w="1188"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107" w:type="dxa"/>
          </w:tcPr>
          <w:p w:rsidR="0069096F" w:rsidRPr="00B46F2F" w:rsidRDefault="0069096F" w:rsidP="003B01CA">
            <w:pPr>
              <w:pStyle w:val="BodyText"/>
              <w:tabs>
                <w:tab w:val="clear" w:pos="3402"/>
                <w:tab w:val="clear" w:pos="8222"/>
              </w:tabs>
              <w:jc w:val="right"/>
              <w:rPr>
                <w:rFonts w:ascii="Times New Roman" w:hAnsi="Times New Roman"/>
              </w:rPr>
            </w:pPr>
            <w:r w:rsidRPr="00B46F2F">
              <w:rPr>
                <w:rFonts w:ascii="Times New Roman" w:hAnsi="Times New Roman"/>
              </w:rPr>
              <w:t>-</w:t>
            </w:r>
          </w:p>
        </w:tc>
        <w:tc>
          <w:tcPr>
            <w:tcW w:w="1307" w:type="dxa"/>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(84,616)</w:t>
            </w:r>
          </w:p>
        </w:tc>
      </w:tr>
      <w:tr w:rsidR="0069096F" w:rsidRPr="00B46F2F" w:rsidTr="00B74D7C">
        <w:tc>
          <w:tcPr>
            <w:tcW w:w="3936" w:type="dxa"/>
          </w:tcPr>
          <w:p w:rsidR="0069096F" w:rsidRPr="00B46F2F" w:rsidRDefault="0069096F" w:rsidP="003B01CA">
            <w:pPr>
              <w:pStyle w:val="BodyText"/>
              <w:tabs>
                <w:tab w:val="clear" w:pos="3402"/>
                <w:tab w:val="clear" w:pos="8222"/>
              </w:tabs>
              <w:ind w:left="284"/>
              <w:rPr>
                <w:rFonts w:ascii="Times New Roman" w:hAnsi="Times New Roman"/>
              </w:rPr>
            </w:pPr>
            <w:r w:rsidRPr="00B46F2F">
              <w:rPr>
                <w:rFonts w:ascii="Times New Roman" w:hAnsi="Times New Roman"/>
              </w:rPr>
              <w:t>Loan payable</w:t>
            </w: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(6,463,156)</w:t>
            </w:r>
          </w:p>
        </w:tc>
        <w:tc>
          <w:tcPr>
            <w:tcW w:w="1298"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Pr>
                <w:rFonts w:ascii="Times New Roman" w:hAnsi="Times New Roman"/>
              </w:rPr>
              <w:t>(29,351,328)</w:t>
            </w:r>
          </w:p>
        </w:tc>
        <w:tc>
          <w:tcPr>
            <w:tcW w:w="1188"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sidRPr="00B46F2F">
              <w:rPr>
                <w:rFonts w:ascii="Times New Roman" w:hAnsi="Times New Roman"/>
              </w:rPr>
              <w:t>-</w:t>
            </w:r>
          </w:p>
        </w:tc>
        <w:tc>
          <w:tcPr>
            <w:tcW w:w="1107"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sidRPr="00B46F2F">
              <w:rPr>
                <w:rFonts w:ascii="Times New Roman" w:hAnsi="Times New Roman"/>
              </w:rPr>
              <w:t>-</w:t>
            </w:r>
          </w:p>
        </w:tc>
        <w:tc>
          <w:tcPr>
            <w:tcW w:w="1307" w:type="dxa"/>
            <w:tcBorders>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rPr>
            </w:pPr>
            <w:r>
              <w:rPr>
                <w:rFonts w:ascii="Times New Roman" w:hAnsi="Times New Roman"/>
              </w:rPr>
              <w:t>(35,814,484)</w:t>
            </w:r>
          </w:p>
        </w:tc>
      </w:tr>
      <w:tr w:rsidR="0069096F" w:rsidRPr="00B46F2F" w:rsidTr="00B74D7C">
        <w:tc>
          <w:tcPr>
            <w:tcW w:w="3936" w:type="dxa"/>
          </w:tcPr>
          <w:p w:rsidR="0069096F" w:rsidRPr="00B46F2F" w:rsidRDefault="0069096F" w:rsidP="003B01CA">
            <w:pPr>
              <w:pStyle w:val="BodyText"/>
              <w:tabs>
                <w:tab w:val="clear" w:pos="3402"/>
                <w:tab w:val="clear" w:pos="8222"/>
              </w:tabs>
              <w:rPr>
                <w:rFonts w:ascii="Times New Roman" w:hAnsi="Times New Roman"/>
              </w:rPr>
            </w:pP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Borders>
              <w:top w:val="single" w:sz="4" w:space="0" w:color="auto"/>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Pr>
                <w:rFonts w:ascii="Times New Roman" w:hAnsi="Times New Roman"/>
                <w:b/>
              </w:rPr>
              <w:t>(6,844,042)</w:t>
            </w:r>
          </w:p>
        </w:tc>
        <w:tc>
          <w:tcPr>
            <w:tcW w:w="1298" w:type="dxa"/>
            <w:tcBorders>
              <w:top w:val="single" w:sz="4" w:space="0" w:color="auto"/>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Pr>
                <w:rFonts w:ascii="Times New Roman" w:hAnsi="Times New Roman"/>
                <w:b/>
              </w:rPr>
              <w:t>(29,417,486)</w:t>
            </w:r>
          </w:p>
        </w:tc>
        <w:tc>
          <w:tcPr>
            <w:tcW w:w="1188" w:type="dxa"/>
            <w:tcBorders>
              <w:top w:val="single" w:sz="4" w:space="0" w:color="auto"/>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sidRPr="00B46F2F">
              <w:rPr>
                <w:rFonts w:ascii="Times New Roman" w:hAnsi="Times New Roman"/>
                <w:b/>
              </w:rPr>
              <w:t>-</w:t>
            </w:r>
          </w:p>
        </w:tc>
        <w:tc>
          <w:tcPr>
            <w:tcW w:w="1107" w:type="dxa"/>
            <w:tcBorders>
              <w:top w:val="single" w:sz="4" w:space="0" w:color="auto"/>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sidRPr="00B46F2F">
              <w:rPr>
                <w:rFonts w:ascii="Times New Roman" w:hAnsi="Times New Roman"/>
                <w:b/>
              </w:rPr>
              <w:t>-</w:t>
            </w:r>
          </w:p>
        </w:tc>
        <w:tc>
          <w:tcPr>
            <w:tcW w:w="1307" w:type="dxa"/>
            <w:tcBorders>
              <w:top w:val="single" w:sz="4" w:space="0" w:color="auto"/>
              <w:bottom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Pr>
                <w:rFonts w:ascii="Times New Roman" w:hAnsi="Times New Roman"/>
                <w:b/>
              </w:rPr>
              <w:t>(36,261,528)</w:t>
            </w:r>
          </w:p>
        </w:tc>
      </w:tr>
      <w:tr w:rsidR="0069096F" w:rsidRPr="00B46F2F" w:rsidTr="00B74D7C">
        <w:tc>
          <w:tcPr>
            <w:tcW w:w="3936" w:type="dxa"/>
          </w:tcPr>
          <w:p w:rsidR="0069096F" w:rsidRPr="00B46F2F" w:rsidRDefault="0069096F" w:rsidP="003B01CA">
            <w:pPr>
              <w:pStyle w:val="BodyText"/>
              <w:tabs>
                <w:tab w:val="clear" w:pos="3402"/>
                <w:tab w:val="clear" w:pos="8222"/>
              </w:tabs>
              <w:rPr>
                <w:rFonts w:ascii="Times New Roman" w:hAnsi="Times New Roman"/>
              </w:rPr>
            </w:pP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Borders>
              <w:top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p>
        </w:tc>
        <w:tc>
          <w:tcPr>
            <w:tcW w:w="1298" w:type="dxa"/>
            <w:tcBorders>
              <w:top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p>
        </w:tc>
        <w:tc>
          <w:tcPr>
            <w:tcW w:w="1188" w:type="dxa"/>
            <w:tcBorders>
              <w:top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p>
        </w:tc>
        <w:tc>
          <w:tcPr>
            <w:tcW w:w="1107" w:type="dxa"/>
            <w:tcBorders>
              <w:top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p>
        </w:tc>
        <w:tc>
          <w:tcPr>
            <w:tcW w:w="1307" w:type="dxa"/>
            <w:tcBorders>
              <w:top w:val="sing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p>
        </w:tc>
      </w:tr>
      <w:tr w:rsidR="0069096F" w:rsidRPr="009170B8" w:rsidTr="00B74D7C">
        <w:tc>
          <w:tcPr>
            <w:tcW w:w="3936" w:type="dxa"/>
          </w:tcPr>
          <w:p w:rsidR="0069096F" w:rsidRPr="00B46F2F" w:rsidRDefault="0069096F" w:rsidP="003B01CA">
            <w:pPr>
              <w:pStyle w:val="BodyText"/>
              <w:tabs>
                <w:tab w:val="clear" w:pos="3402"/>
                <w:tab w:val="clear" w:pos="8222"/>
              </w:tabs>
              <w:rPr>
                <w:rFonts w:ascii="Times New Roman" w:hAnsi="Times New Roman"/>
              </w:rPr>
            </w:pPr>
          </w:p>
        </w:tc>
        <w:tc>
          <w:tcPr>
            <w:tcW w:w="283" w:type="dxa"/>
          </w:tcPr>
          <w:p w:rsidR="0069096F" w:rsidRPr="00B46F2F" w:rsidRDefault="0069096F" w:rsidP="003B01CA">
            <w:pPr>
              <w:pStyle w:val="BodyText"/>
              <w:tabs>
                <w:tab w:val="clear" w:pos="3402"/>
                <w:tab w:val="clear" w:pos="8222"/>
              </w:tabs>
              <w:rPr>
                <w:rFonts w:ascii="Times New Roman" w:hAnsi="Times New Roman"/>
              </w:rPr>
            </w:pPr>
          </w:p>
        </w:tc>
        <w:tc>
          <w:tcPr>
            <w:tcW w:w="1557" w:type="dxa"/>
            <w:tcBorders>
              <w:bottom w:val="doub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Pr>
                <w:rFonts w:ascii="Times New Roman" w:hAnsi="Times New Roman"/>
                <w:b/>
              </w:rPr>
              <w:t>151,632,946</w:t>
            </w:r>
          </w:p>
        </w:tc>
        <w:tc>
          <w:tcPr>
            <w:tcW w:w="1298" w:type="dxa"/>
            <w:tcBorders>
              <w:bottom w:val="doub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Pr>
                <w:rFonts w:ascii="Times New Roman" w:hAnsi="Times New Roman"/>
                <w:b/>
              </w:rPr>
              <w:t>(29,401,416)</w:t>
            </w:r>
          </w:p>
        </w:tc>
        <w:tc>
          <w:tcPr>
            <w:tcW w:w="1188" w:type="dxa"/>
            <w:tcBorders>
              <w:bottom w:val="doub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sidRPr="00B46F2F">
              <w:rPr>
                <w:rFonts w:ascii="Times New Roman" w:hAnsi="Times New Roman"/>
                <w:b/>
              </w:rPr>
              <w:t>-</w:t>
            </w:r>
          </w:p>
        </w:tc>
        <w:tc>
          <w:tcPr>
            <w:tcW w:w="1107" w:type="dxa"/>
            <w:tcBorders>
              <w:bottom w:val="doub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sidRPr="00B46F2F">
              <w:rPr>
                <w:rFonts w:ascii="Times New Roman" w:hAnsi="Times New Roman"/>
                <w:b/>
              </w:rPr>
              <w:t>-</w:t>
            </w:r>
          </w:p>
        </w:tc>
        <w:tc>
          <w:tcPr>
            <w:tcW w:w="1307" w:type="dxa"/>
            <w:tcBorders>
              <w:bottom w:val="double" w:sz="4" w:space="0" w:color="auto"/>
            </w:tcBorders>
          </w:tcPr>
          <w:p w:rsidR="0069096F" w:rsidRPr="00B46F2F" w:rsidRDefault="0069096F" w:rsidP="003B01CA">
            <w:pPr>
              <w:pStyle w:val="BodyText"/>
              <w:tabs>
                <w:tab w:val="clear" w:pos="3402"/>
                <w:tab w:val="clear" w:pos="8222"/>
              </w:tabs>
              <w:jc w:val="right"/>
              <w:rPr>
                <w:rFonts w:ascii="Times New Roman" w:hAnsi="Times New Roman"/>
                <w:b/>
              </w:rPr>
            </w:pPr>
            <w:r>
              <w:rPr>
                <w:rFonts w:ascii="Times New Roman" w:hAnsi="Times New Roman"/>
                <w:b/>
              </w:rPr>
              <w:t>122,231,530</w:t>
            </w:r>
          </w:p>
        </w:tc>
      </w:tr>
    </w:tbl>
    <w:p w:rsidR="008800F5" w:rsidRDefault="008800F5" w:rsidP="004F5C79">
      <w:pPr>
        <w:rPr>
          <w:rFonts w:ascii="Times New Roman" w:hAnsi="Times New Roman"/>
          <w:i/>
          <w:sz w:val="20"/>
          <w:szCs w:val="20"/>
        </w:rPr>
      </w:pPr>
    </w:p>
    <w:p w:rsidR="008800F5" w:rsidRPr="009170B8" w:rsidRDefault="008800F5" w:rsidP="008800F5">
      <w:pPr>
        <w:ind w:firstLine="284"/>
        <w:rPr>
          <w:rFonts w:ascii="Times New Roman" w:hAnsi="Times New Roman"/>
          <w:i/>
          <w:sz w:val="20"/>
          <w:szCs w:val="20"/>
        </w:rPr>
      </w:pPr>
      <w:r w:rsidRPr="009170B8">
        <w:rPr>
          <w:rFonts w:ascii="Times New Roman" w:hAnsi="Times New Roman"/>
          <w:i/>
          <w:sz w:val="20"/>
          <w:szCs w:val="20"/>
        </w:rPr>
        <w:t xml:space="preserve">Currency risk </w:t>
      </w:r>
    </w:p>
    <w:p w:rsidR="00980C12" w:rsidRDefault="008800F5" w:rsidP="008800F5">
      <w:pPr>
        <w:pStyle w:val="BodyText"/>
        <w:tabs>
          <w:tab w:val="clear" w:pos="3402"/>
          <w:tab w:val="clear" w:pos="8222"/>
        </w:tabs>
        <w:ind w:left="284"/>
        <w:rPr>
          <w:rFonts w:ascii="Times New Roman" w:hAnsi="Times New Roman"/>
        </w:rPr>
      </w:pPr>
      <w:r w:rsidRPr="009170B8">
        <w:rPr>
          <w:rFonts w:ascii="Times New Roman" w:hAnsi="Times New Roman"/>
          <w:szCs w:val="20"/>
        </w:rPr>
        <w:t>The Fund is denominated in GBP, whereas the Fund’s principal investments are denominated in CAD</w:t>
      </w:r>
      <w:r w:rsidR="000B2685">
        <w:rPr>
          <w:rFonts w:ascii="Times New Roman" w:hAnsi="Times New Roman"/>
          <w:szCs w:val="20"/>
        </w:rPr>
        <w:t xml:space="preserve"> and US</w:t>
      </w:r>
      <w:r w:rsidR="00904B90">
        <w:rPr>
          <w:rFonts w:ascii="Times New Roman" w:hAnsi="Times New Roman"/>
          <w:szCs w:val="20"/>
        </w:rPr>
        <w:t>D.</w:t>
      </w:r>
      <w:r w:rsidRPr="009170B8">
        <w:rPr>
          <w:rFonts w:ascii="Times New Roman" w:hAnsi="Times New Roman"/>
          <w:szCs w:val="20"/>
        </w:rPr>
        <w:t xml:space="preserve">  Consequently, the Fund is exposed to currency risk. The Fund’s policy is therefore to actively monitor exposure to currency risk. The Board reserves the right to employ currency hedging but, other than in exceptional circumstances, does not intend to hedge. The Board considers that exposure was significant at the year end.</w:t>
      </w:r>
    </w:p>
    <w:p w:rsidR="00CA5A90" w:rsidRPr="008800F5" w:rsidRDefault="00CA5A90" w:rsidP="008800F5">
      <w:pPr>
        <w:pStyle w:val="BodyText"/>
        <w:tabs>
          <w:tab w:val="clear" w:pos="3402"/>
          <w:tab w:val="clear" w:pos="8222"/>
        </w:tabs>
        <w:ind w:left="284"/>
        <w:rPr>
          <w:rFonts w:ascii="Times New Roman" w:hAnsi="Times New Roman"/>
          <w:szCs w:val="20"/>
        </w:rPr>
      </w:pPr>
    </w:p>
    <w:p w:rsidR="00627D48" w:rsidRDefault="00184EEE" w:rsidP="00577741">
      <w:pPr>
        <w:ind w:left="284"/>
        <w:rPr>
          <w:rFonts w:ascii="Times New Roman" w:hAnsi="Times New Roman"/>
          <w:sz w:val="20"/>
          <w:szCs w:val="20"/>
        </w:rPr>
      </w:pPr>
      <w:r w:rsidRPr="00B46F2F">
        <w:rPr>
          <w:rFonts w:ascii="Times New Roman" w:hAnsi="Times New Roman"/>
          <w:sz w:val="20"/>
          <w:szCs w:val="20"/>
        </w:rPr>
        <w:t>T</w:t>
      </w:r>
      <w:r w:rsidR="00627D48" w:rsidRPr="00B46F2F">
        <w:rPr>
          <w:rFonts w:ascii="Times New Roman" w:hAnsi="Times New Roman"/>
          <w:sz w:val="20"/>
          <w:szCs w:val="20"/>
        </w:rPr>
        <w:t xml:space="preserve">he Fund’s net exposure to </w:t>
      </w:r>
      <w:r w:rsidR="005151D5" w:rsidRPr="00B46F2F">
        <w:rPr>
          <w:rFonts w:ascii="Times New Roman" w:hAnsi="Times New Roman"/>
          <w:sz w:val="20"/>
          <w:szCs w:val="20"/>
        </w:rPr>
        <w:t xml:space="preserve">CAD </w:t>
      </w:r>
      <w:r w:rsidR="00627D48" w:rsidRPr="00B46F2F">
        <w:rPr>
          <w:rFonts w:ascii="Times New Roman" w:hAnsi="Times New Roman"/>
          <w:sz w:val="20"/>
          <w:szCs w:val="20"/>
        </w:rPr>
        <w:t>currency at the year end was as follows:</w:t>
      </w:r>
    </w:p>
    <w:p w:rsidR="00E43BB2" w:rsidRPr="00B46F2F" w:rsidRDefault="00E43BB2" w:rsidP="00577741">
      <w:pPr>
        <w:ind w:left="284"/>
        <w:rPr>
          <w:rFonts w:ascii="Times New Roman" w:hAnsi="Times New Roman"/>
          <w:sz w:val="20"/>
          <w:szCs w:val="20"/>
        </w:rPr>
      </w:pPr>
    </w:p>
    <w:tbl>
      <w:tblPr>
        <w:tblW w:w="10958" w:type="dxa"/>
        <w:tblInd w:w="392" w:type="dxa"/>
        <w:tblLayout w:type="fixed"/>
        <w:tblLook w:val="0000" w:firstRow="0" w:lastRow="0" w:firstColumn="0" w:lastColumn="0" w:noHBand="0" w:noVBand="0"/>
      </w:tblPr>
      <w:tblGrid>
        <w:gridCol w:w="6511"/>
        <w:gridCol w:w="1994"/>
        <w:gridCol w:w="1701"/>
        <w:gridCol w:w="752"/>
      </w:tblGrid>
      <w:tr w:rsidR="002018EA" w:rsidRPr="00B46F2F" w:rsidTr="00B74D7C">
        <w:tc>
          <w:tcPr>
            <w:tcW w:w="6511" w:type="dxa"/>
            <w:shd w:val="clear" w:color="auto" w:fill="auto"/>
          </w:tcPr>
          <w:p w:rsidR="002018EA" w:rsidRPr="00B46F2F" w:rsidRDefault="002018EA" w:rsidP="00577741">
            <w:pPr>
              <w:rPr>
                <w:rFonts w:ascii="Times New Roman" w:hAnsi="Times New Roman"/>
                <w:sz w:val="20"/>
                <w:szCs w:val="20"/>
              </w:rPr>
            </w:pPr>
          </w:p>
        </w:tc>
        <w:tc>
          <w:tcPr>
            <w:tcW w:w="1994" w:type="dxa"/>
            <w:vAlign w:val="bottom"/>
          </w:tcPr>
          <w:p w:rsidR="002018EA" w:rsidRPr="00B46F2F" w:rsidRDefault="002018EA">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8</w:t>
            </w:r>
          </w:p>
        </w:tc>
        <w:tc>
          <w:tcPr>
            <w:tcW w:w="1701" w:type="dxa"/>
            <w:vAlign w:val="bottom"/>
          </w:tcPr>
          <w:p w:rsidR="002018EA" w:rsidRPr="00B46F2F" w:rsidRDefault="002018EA">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7</w:t>
            </w:r>
          </w:p>
        </w:tc>
        <w:tc>
          <w:tcPr>
            <w:tcW w:w="752" w:type="dxa"/>
            <w:vAlign w:val="bottom"/>
          </w:tcPr>
          <w:p w:rsidR="002018EA" w:rsidRPr="00B46F2F" w:rsidRDefault="002018EA" w:rsidP="00594578">
            <w:pPr>
              <w:jc w:val="right"/>
              <w:rPr>
                <w:rFonts w:ascii="Times New Roman" w:hAnsi="Times New Roman"/>
                <w:b/>
                <w:sz w:val="20"/>
                <w:szCs w:val="20"/>
              </w:rPr>
            </w:pPr>
          </w:p>
        </w:tc>
      </w:tr>
      <w:tr w:rsidR="002018EA" w:rsidRPr="00B46F2F" w:rsidTr="00B74D7C">
        <w:tc>
          <w:tcPr>
            <w:tcW w:w="6511" w:type="dxa"/>
            <w:shd w:val="clear" w:color="auto" w:fill="auto"/>
          </w:tcPr>
          <w:p w:rsidR="002018EA" w:rsidRPr="00B46F2F" w:rsidRDefault="002018EA" w:rsidP="00577741">
            <w:pPr>
              <w:rPr>
                <w:rFonts w:ascii="Times New Roman" w:hAnsi="Times New Roman"/>
                <w:sz w:val="20"/>
                <w:szCs w:val="20"/>
              </w:rPr>
            </w:pPr>
          </w:p>
        </w:tc>
        <w:tc>
          <w:tcPr>
            <w:tcW w:w="1994" w:type="dxa"/>
            <w:vAlign w:val="bottom"/>
          </w:tcPr>
          <w:p w:rsidR="002018EA" w:rsidRPr="00B46F2F" w:rsidRDefault="002018EA" w:rsidP="00594578">
            <w:pPr>
              <w:jc w:val="right"/>
              <w:rPr>
                <w:rFonts w:ascii="Times New Roman" w:hAnsi="Times New Roman"/>
                <w:b/>
                <w:sz w:val="20"/>
                <w:szCs w:val="20"/>
              </w:rPr>
            </w:pPr>
            <w:r w:rsidRPr="00B46F2F">
              <w:rPr>
                <w:rFonts w:ascii="Times New Roman" w:hAnsi="Times New Roman"/>
                <w:b/>
                <w:sz w:val="20"/>
                <w:szCs w:val="20"/>
              </w:rPr>
              <w:t>GBP</w:t>
            </w:r>
          </w:p>
        </w:tc>
        <w:tc>
          <w:tcPr>
            <w:tcW w:w="1701" w:type="dxa"/>
            <w:vAlign w:val="bottom"/>
          </w:tcPr>
          <w:p w:rsidR="002018EA" w:rsidRPr="00B46F2F" w:rsidRDefault="002018EA" w:rsidP="00590B67">
            <w:pPr>
              <w:jc w:val="right"/>
              <w:rPr>
                <w:rFonts w:ascii="Times New Roman" w:hAnsi="Times New Roman"/>
                <w:b/>
                <w:sz w:val="20"/>
                <w:szCs w:val="20"/>
              </w:rPr>
            </w:pPr>
            <w:r w:rsidRPr="00B46F2F">
              <w:rPr>
                <w:rFonts w:ascii="Times New Roman" w:hAnsi="Times New Roman"/>
                <w:b/>
                <w:sz w:val="20"/>
                <w:szCs w:val="20"/>
              </w:rPr>
              <w:t>GBP</w:t>
            </w:r>
          </w:p>
        </w:tc>
        <w:tc>
          <w:tcPr>
            <w:tcW w:w="752" w:type="dxa"/>
            <w:vAlign w:val="bottom"/>
          </w:tcPr>
          <w:p w:rsidR="002018EA" w:rsidRPr="00B46F2F" w:rsidRDefault="002018EA" w:rsidP="00594578">
            <w:pPr>
              <w:jc w:val="right"/>
              <w:rPr>
                <w:rFonts w:ascii="Times New Roman" w:hAnsi="Times New Roman"/>
                <w:b/>
                <w:sz w:val="20"/>
                <w:szCs w:val="20"/>
              </w:rPr>
            </w:pPr>
          </w:p>
        </w:tc>
      </w:tr>
      <w:tr w:rsidR="002018EA" w:rsidRPr="00B46F2F" w:rsidTr="00B74D7C">
        <w:tc>
          <w:tcPr>
            <w:tcW w:w="6511" w:type="dxa"/>
            <w:shd w:val="clear" w:color="auto" w:fill="auto"/>
          </w:tcPr>
          <w:p w:rsidR="002018EA" w:rsidRPr="00B46F2F" w:rsidRDefault="002018EA" w:rsidP="00577741">
            <w:pPr>
              <w:rPr>
                <w:rFonts w:ascii="Times New Roman" w:hAnsi="Times New Roman"/>
                <w:sz w:val="20"/>
                <w:szCs w:val="20"/>
              </w:rPr>
            </w:pPr>
            <w:r w:rsidRPr="00B46F2F">
              <w:rPr>
                <w:rFonts w:ascii="Times New Roman" w:hAnsi="Times New Roman"/>
                <w:b/>
                <w:sz w:val="20"/>
                <w:szCs w:val="20"/>
              </w:rPr>
              <w:t>Assets</w:t>
            </w:r>
          </w:p>
        </w:tc>
        <w:tc>
          <w:tcPr>
            <w:tcW w:w="1994" w:type="dxa"/>
          </w:tcPr>
          <w:p w:rsidR="002018EA" w:rsidRPr="00B46F2F" w:rsidRDefault="002018EA" w:rsidP="00577741">
            <w:pPr>
              <w:jc w:val="right"/>
              <w:rPr>
                <w:rFonts w:ascii="Times New Roman" w:hAnsi="Times New Roman"/>
                <w:b/>
                <w:sz w:val="20"/>
                <w:szCs w:val="20"/>
              </w:rPr>
            </w:pPr>
          </w:p>
        </w:tc>
        <w:tc>
          <w:tcPr>
            <w:tcW w:w="1701" w:type="dxa"/>
          </w:tcPr>
          <w:p w:rsidR="002018EA" w:rsidRPr="00B46F2F" w:rsidRDefault="002018EA" w:rsidP="00590B67">
            <w:pPr>
              <w:jc w:val="right"/>
              <w:rPr>
                <w:rFonts w:ascii="Times New Roman" w:hAnsi="Times New Roman"/>
                <w:b/>
                <w:sz w:val="20"/>
                <w:szCs w:val="20"/>
              </w:rPr>
            </w:pPr>
          </w:p>
        </w:tc>
        <w:tc>
          <w:tcPr>
            <w:tcW w:w="752" w:type="dxa"/>
          </w:tcPr>
          <w:p w:rsidR="002018EA" w:rsidRPr="00B46F2F" w:rsidRDefault="002018EA" w:rsidP="00577741">
            <w:pPr>
              <w:jc w:val="right"/>
              <w:rPr>
                <w:rFonts w:ascii="Times New Roman" w:hAnsi="Times New Roman"/>
                <w:b/>
                <w:sz w:val="20"/>
                <w:szCs w:val="20"/>
              </w:rPr>
            </w:pPr>
          </w:p>
        </w:tc>
      </w:tr>
      <w:tr w:rsidR="00C84D94" w:rsidRPr="00B46F2F" w:rsidTr="00B74D7C">
        <w:trPr>
          <w:cantSplit/>
        </w:trPr>
        <w:tc>
          <w:tcPr>
            <w:tcW w:w="6511" w:type="dxa"/>
            <w:shd w:val="clear" w:color="auto" w:fill="auto"/>
          </w:tcPr>
          <w:p w:rsidR="00C84D94" w:rsidRPr="00B46F2F" w:rsidRDefault="00C84D94" w:rsidP="008B6A8E">
            <w:pPr>
              <w:rPr>
                <w:rFonts w:ascii="Times New Roman" w:hAnsi="Times New Roman"/>
                <w:sz w:val="20"/>
                <w:szCs w:val="20"/>
              </w:rPr>
            </w:pPr>
            <w:r w:rsidRPr="00B46F2F">
              <w:rPr>
                <w:rFonts w:ascii="Times New Roman" w:hAnsi="Times New Roman"/>
                <w:sz w:val="20"/>
                <w:szCs w:val="20"/>
              </w:rPr>
              <w:t>Cash and cash equivalents</w:t>
            </w:r>
          </w:p>
        </w:tc>
        <w:tc>
          <w:tcPr>
            <w:tcW w:w="1994" w:type="dxa"/>
          </w:tcPr>
          <w:p w:rsidR="00C84D94" w:rsidRPr="00B46F2F" w:rsidRDefault="00730C31">
            <w:pPr>
              <w:jc w:val="right"/>
              <w:rPr>
                <w:rFonts w:ascii="Times New Roman" w:hAnsi="Times New Roman"/>
                <w:sz w:val="20"/>
                <w:szCs w:val="20"/>
              </w:rPr>
            </w:pPr>
            <w:r>
              <w:rPr>
                <w:rFonts w:ascii="Times New Roman" w:hAnsi="Times New Roman"/>
                <w:sz w:val="20"/>
                <w:szCs w:val="20"/>
              </w:rPr>
              <w:t>5</w:t>
            </w:r>
            <w:r w:rsidR="00C84D94">
              <w:rPr>
                <w:rFonts w:ascii="Times New Roman" w:hAnsi="Times New Roman"/>
                <w:sz w:val="20"/>
                <w:szCs w:val="20"/>
              </w:rPr>
              <w:t>,</w:t>
            </w:r>
            <w:r>
              <w:rPr>
                <w:rFonts w:ascii="Times New Roman" w:hAnsi="Times New Roman"/>
                <w:sz w:val="20"/>
                <w:szCs w:val="20"/>
              </w:rPr>
              <w:t>403</w:t>
            </w:r>
            <w:r w:rsidR="00C84D94">
              <w:rPr>
                <w:rFonts w:ascii="Times New Roman" w:hAnsi="Times New Roman"/>
                <w:sz w:val="20"/>
                <w:szCs w:val="20"/>
              </w:rPr>
              <w:t>,</w:t>
            </w:r>
            <w:r>
              <w:rPr>
                <w:rFonts w:ascii="Times New Roman" w:hAnsi="Times New Roman"/>
                <w:sz w:val="20"/>
                <w:szCs w:val="20"/>
              </w:rPr>
              <w:t>831</w:t>
            </w:r>
          </w:p>
        </w:tc>
        <w:tc>
          <w:tcPr>
            <w:tcW w:w="1701" w:type="dxa"/>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8,307,610</w:t>
            </w:r>
          </w:p>
        </w:tc>
        <w:tc>
          <w:tcPr>
            <w:tcW w:w="752" w:type="dxa"/>
          </w:tcPr>
          <w:p w:rsidR="00C84D94" w:rsidRPr="00B46F2F" w:rsidRDefault="00C84D94" w:rsidP="00590B67">
            <w:pPr>
              <w:jc w:val="right"/>
              <w:rPr>
                <w:rFonts w:ascii="Times New Roman" w:hAnsi="Times New Roman"/>
                <w:sz w:val="20"/>
                <w:szCs w:val="20"/>
              </w:rPr>
            </w:pPr>
          </w:p>
        </w:tc>
      </w:tr>
      <w:tr w:rsidR="00C84D94" w:rsidRPr="00B46F2F" w:rsidTr="00B74D7C">
        <w:trPr>
          <w:cantSplit/>
        </w:trPr>
        <w:tc>
          <w:tcPr>
            <w:tcW w:w="6511" w:type="dxa"/>
            <w:shd w:val="clear" w:color="auto" w:fill="auto"/>
          </w:tcPr>
          <w:p w:rsidR="00C84D94" w:rsidRPr="00B46F2F" w:rsidRDefault="00C84D94" w:rsidP="00577741">
            <w:pPr>
              <w:rPr>
                <w:rFonts w:ascii="Times New Roman" w:hAnsi="Times New Roman"/>
                <w:sz w:val="20"/>
                <w:szCs w:val="20"/>
              </w:rPr>
            </w:pPr>
            <w:r w:rsidRPr="00B46F2F">
              <w:rPr>
                <w:rFonts w:ascii="Times New Roman" w:hAnsi="Times New Roman"/>
                <w:sz w:val="20"/>
                <w:szCs w:val="20"/>
              </w:rPr>
              <w:t>Canadian equities</w:t>
            </w:r>
          </w:p>
        </w:tc>
        <w:tc>
          <w:tcPr>
            <w:tcW w:w="1994" w:type="dxa"/>
          </w:tcPr>
          <w:p w:rsidR="00C84D94" w:rsidRPr="00B46F2F" w:rsidRDefault="00730C31">
            <w:pPr>
              <w:jc w:val="right"/>
              <w:rPr>
                <w:rFonts w:ascii="Times New Roman" w:hAnsi="Times New Roman"/>
                <w:sz w:val="20"/>
                <w:szCs w:val="20"/>
              </w:rPr>
            </w:pPr>
            <w:r>
              <w:rPr>
                <w:rFonts w:ascii="Times New Roman" w:hAnsi="Times New Roman"/>
                <w:sz w:val="20"/>
                <w:szCs w:val="20"/>
              </w:rPr>
              <w:t>9</w:t>
            </w:r>
            <w:r w:rsidR="0069096F">
              <w:rPr>
                <w:rFonts w:ascii="Times New Roman" w:hAnsi="Times New Roman"/>
                <w:sz w:val="20"/>
                <w:szCs w:val="20"/>
              </w:rPr>
              <w:t>3</w:t>
            </w:r>
            <w:r>
              <w:rPr>
                <w:rFonts w:ascii="Times New Roman" w:hAnsi="Times New Roman"/>
                <w:sz w:val="20"/>
                <w:szCs w:val="20"/>
              </w:rPr>
              <w:t>,</w:t>
            </w:r>
            <w:r w:rsidR="0069096F">
              <w:rPr>
                <w:rFonts w:ascii="Times New Roman" w:hAnsi="Times New Roman"/>
                <w:sz w:val="20"/>
                <w:szCs w:val="20"/>
              </w:rPr>
              <w:t>372</w:t>
            </w:r>
            <w:r>
              <w:rPr>
                <w:rFonts w:ascii="Times New Roman" w:hAnsi="Times New Roman"/>
                <w:sz w:val="20"/>
                <w:szCs w:val="20"/>
              </w:rPr>
              <w:t>,</w:t>
            </w:r>
            <w:r w:rsidR="0069096F">
              <w:rPr>
                <w:rFonts w:ascii="Times New Roman" w:hAnsi="Times New Roman"/>
                <w:sz w:val="20"/>
                <w:szCs w:val="20"/>
              </w:rPr>
              <w:t>747</w:t>
            </w:r>
          </w:p>
        </w:tc>
        <w:tc>
          <w:tcPr>
            <w:tcW w:w="1701" w:type="dxa"/>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126,795,603</w:t>
            </w:r>
          </w:p>
        </w:tc>
        <w:tc>
          <w:tcPr>
            <w:tcW w:w="752" w:type="dxa"/>
          </w:tcPr>
          <w:p w:rsidR="00C84D94" w:rsidRPr="00B46F2F" w:rsidRDefault="00C84D94" w:rsidP="00590B67">
            <w:pPr>
              <w:jc w:val="right"/>
              <w:rPr>
                <w:rFonts w:ascii="Times New Roman" w:hAnsi="Times New Roman"/>
                <w:sz w:val="20"/>
                <w:szCs w:val="20"/>
              </w:rPr>
            </w:pPr>
          </w:p>
        </w:tc>
      </w:tr>
      <w:tr w:rsidR="00C84D94" w:rsidRPr="00B46F2F" w:rsidTr="00B74D7C">
        <w:trPr>
          <w:cantSplit/>
        </w:trPr>
        <w:tc>
          <w:tcPr>
            <w:tcW w:w="6511" w:type="dxa"/>
            <w:shd w:val="clear" w:color="auto" w:fill="auto"/>
          </w:tcPr>
          <w:p w:rsidR="00C84D94" w:rsidRPr="00B46F2F" w:rsidRDefault="00C84D94" w:rsidP="00577741">
            <w:pPr>
              <w:rPr>
                <w:rFonts w:ascii="Times New Roman" w:hAnsi="Times New Roman"/>
                <w:sz w:val="20"/>
                <w:szCs w:val="20"/>
              </w:rPr>
            </w:pPr>
            <w:r w:rsidRPr="00B46F2F">
              <w:rPr>
                <w:rFonts w:ascii="Times New Roman" w:hAnsi="Times New Roman"/>
                <w:sz w:val="20"/>
                <w:szCs w:val="20"/>
              </w:rPr>
              <w:t>Accrued income</w:t>
            </w:r>
          </w:p>
        </w:tc>
        <w:tc>
          <w:tcPr>
            <w:tcW w:w="1994" w:type="dxa"/>
            <w:tcBorders>
              <w:bottom w:val="single" w:sz="4" w:space="0" w:color="auto"/>
            </w:tcBorders>
          </w:tcPr>
          <w:p w:rsidR="00C84D94" w:rsidRPr="00B46F2F" w:rsidRDefault="00730C31">
            <w:pPr>
              <w:jc w:val="right"/>
              <w:rPr>
                <w:rFonts w:ascii="Times New Roman" w:hAnsi="Times New Roman"/>
                <w:sz w:val="20"/>
                <w:szCs w:val="20"/>
              </w:rPr>
            </w:pPr>
            <w:r>
              <w:rPr>
                <w:rFonts w:ascii="Times New Roman" w:hAnsi="Times New Roman"/>
                <w:sz w:val="20"/>
                <w:szCs w:val="20"/>
              </w:rPr>
              <w:t>566,146</w:t>
            </w:r>
          </w:p>
        </w:tc>
        <w:tc>
          <w:tcPr>
            <w:tcW w:w="1701" w:type="dxa"/>
          </w:tcPr>
          <w:p w:rsidR="00C84D94" w:rsidRPr="00B46F2F" w:rsidRDefault="00C84D94" w:rsidP="003B01CA">
            <w:pPr>
              <w:jc w:val="right"/>
              <w:rPr>
                <w:rFonts w:ascii="Times New Roman" w:hAnsi="Times New Roman"/>
                <w:sz w:val="20"/>
                <w:szCs w:val="20"/>
              </w:rPr>
            </w:pPr>
            <w:r>
              <w:rPr>
                <w:rFonts w:ascii="Times New Roman" w:hAnsi="Times New Roman"/>
                <w:sz w:val="20"/>
                <w:szCs w:val="20"/>
              </w:rPr>
              <w:t>668,019</w:t>
            </w:r>
          </w:p>
        </w:tc>
        <w:tc>
          <w:tcPr>
            <w:tcW w:w="752" w:type="dxa"/>
          </w:tcPr>
          <w:p w:rsidR="00C84D94" w:rsidRPr="00B46F2F" w:rsidRDefault="00C84D94" w:rsidP="00590B67">
            <w:pPr>
              <w:jc w:val="right"/>
              <w:rPr>
                <w:rFonts w:ascii="Times New Roman" w:hAnsi="Times New Roman"/>
                <w:sz w:val="20"/>
                <w:szCs w:val="20"/>
              </w:rPr>
            </w:pPr>
          </w:p>
        </w:tc>
      </w:tr>
      <w:tr w:rsidR="00C84D94" w:rsidRPr="00B46F2F" w:rsidTr="00B74D7C">
        <w:tc>
          <w:tcPr>
            <w:tcW w:w="6511" w:type="dxa"/>
            <w:shd w:val="clear" w:color="auto" w:fill="auto"/>
          </w:tcPr>
          <w:p w:rsidR="00C84D94" w:rsidRPr="00B46F2F" w:rsidRDefault="00C84D94" w:rsidP="00577741">
            <w:pPr>
              <w:rPr>
                <w:rFonts w:ascii="Times New Roman" w:hAnsi="Times New Roman"/>
                <w:sz w:val="20"/>
                <w:szCs w:val="20"/>
              </w:rPr>
            </w:pPr>
          </w:p>
        </w:tc>
        <w:tc>
          <w:tcPr>
            <w:tcW w:w="1994" w:type="dxa"/>
            <w:tcBorders>
              <w:top w:val="single" w:sz="4" w:space="0" w:color="auto"/>
              <w:bottom w:val="single" w:sz="4" w:space="0" w:color="auto"/>
            </w:tcBorders>
          </w:tcPr>
          <w:p w:rsidR="00C84D94" w:rsidRPr="00B46F2F" w:rsidRDefault="00730C31">
            <w:pPr>
              <w:jc w:val="right"/>
              <w:rPr>
                <w:rFonts w:ascii="Times New Roman" w:hAnsi="Times New Roman"/>
                <w:b/>
                <w:sz w:val="20"/>
                <w:szCs w:val="20"/>
              </w:rPr>
            </w:pPr>
            <w:r>
              <w:rPr>
                <w:rFonts w:ascii="Times New Roman" w:hAnsi="Times New Roman"/>
                <w:b/>
                <w:sz w:val="20"/>
                <w:szCs w:val="20"/>
              </w:rPr>
              <w:t>99,</w:t>
            </w:r>
            <w:r w:rsidR="0069096F">
              <w:rPr>
                <w:rFonts w:ascii="Times New Roman" w:hAnsi="Times New Roman"/>
                <w:b/>
                <w:sz w:val="20"/>
                <w:szCs w:val="20"/>
              </w:rPr>
              <w:t>342</w:t>
            </w:r>
            <w:r>
              <w:rPr>
                <w:rFonts w:ascii="Times New Roman" w:hAnsi="Times New Roman"/>
                <w:b/>
                <w:sz w:val="20"/>
                <w:szCs w:val="20"/>
              </w:rPr>
              <w:t>,</w:t>
            </w:r>
            <w:r w:rsidR="0069096F">
              <w:rPr>
                <w:rFonts w:ascii="Times New Roman" w:hAnsi="Times New Roman"/>
                <w:b/>
                <w:sz w:val="20"/>
                <w:szCs w:val="20"/>
              </w:rPr>
              <w:t>724</w:t>
            </w:r>
          </w:p>
        </w:tc>
        <w:tc>
          <w:tcPr>
            <w:tcW w:w="1701" w:type="dxa"/>
            <w:tcBorders>
              <w:top w:val="single" w:sz="4" w:space="0" w:color="auto"/>
              <w:bottom w:val="single" w:sz="4" w:space="0" w:color="auto"/>
            </w:tcBorders>
          </w:tcPr>
          <w:p w:rsidR="00C84D94" w:rsidRPr="00B46F2F" w:rsidRDefault="00C84D94" w:rsidP="003B01CA">
            <w:pPr>
              <w:jc w:val="right"/>
              <w:rPr>
                <w:rFonts w:ascii="Times New Roman" w:hAnsi="Times New Roman"/>
                <w:b/>
                <w:sz w:val="20"/>
                <w:szCs w:val="20"/>
              </w:rPr>
            </w:pPr>
            <w:r>
              <w:rPr>
                <w:rFonts w:ascii="Times New Roman" w:hAnsi="Times New Roman"/>
                <w:b/>
                <w:sz w:val="20"/>
                <w:szCs w:val="20"/>
              </w:rPr>
              <w:t>135,771,232</w:t>
            </w:r>
          </w:p>
        </w:tc>
        <w:tc>
          <w:tcPr>
            <w:tcW w:w="752" w:type="dxa"/>
          </w:tcPr>
          <w:p w:rsidR="00C84D94" w:rsidRPr="00B46F2F" w:rsidRDefault="00C84D94" w:rsidP="00590B67">
            <w:pPr>
              <w:jc w:val="right"/>
              <w:rPr>
                <w:rFonts w:ascii="Times New Roman" w:hAnsi="Times New Roman"/>
                <w:b/>
                <w:sz w:val="20"/>
                <w:szCs w:val="20"/>
              </w:rPr>
            </w:pPr>
          </w:p>
        </w:tc>
      </w:tr>
      <w:tr w:rsidR="00C84D94" w:rsidRPr="00B46F2F" w:rsidTr="00B74D7C">
        <w:tc>
          <w:tcPr>
            <w:tcW w:w="6511" w:type="dxa"/>
            <w:shd w:val="clear" w:color="auto" w:fill="auto"/>
          </w:tcPr>
          <w:p w:rsidR="00C84D94" w:rsidRPr="00B46F2F" w:rsidRDefault="00C84D94" w:rsidP="00577741">
            <w:pPr>
              <w:rPr>
                <w:rFonts w:ascii="Times New Roman" w:hAnsi="Times New Roman"/>
                <w:sz w:val="20"/>
                <w:szCs w:val="20"/>
              </w:rPr>
            </w:pPr>
          </w:p>
        </w:tc>
        <w:tc>
          <w:tcPr>
            <w:tcW w:w="1994" w:type="dxa"/>
            <w:shd w:val="clear" w:color="auto" w:fill="auto"/>
            <w:vAlign w:val="bottom"/>
          </w:tcPr>
          <w:p w:rsidR="00C84D94" w:rsidRDefault="00C84D94" w:rsidP="004F5C79">
            <w:pPr>
              <w:jc w:val="right"/>
              <w:rPr>
                <w:rFonts w:ascii="Times New Roman" w:hAnsi="Times New Roman"/>
                <w:b/>
                <w:sz w:val="20"/>
                <w:szCs w:val="20"/>
              </w:rPr>
            </w:pPr>
          </w:p>
          <w:p w:rsidR="00C84D94" w:rsidRPr="00B46F2F" w:rsidRDefault="00C84D94">
            <w:pPr>
              <w:jc w:val="right"/>
              <w:rPr>
                <w:rFonts w:ascii="Times New Roman" w:hAnsi="Times New Roman"/>
                <w:b/>
                <w:sz w:val="20"/>
                <w:szCs w:val="20"/>
              </w:rPr>
            </w:pPr>
            <w:r w:rsidRPr="00B46F2F">
              <w:rPr>
                <w:rFonts w:ascii="Times New Roman" w:hAnsi="Times New Roman"/>
                <w:b/>
                <w:sz w:val="20"/>
                <w:szCs w:val="20"/>
              </w:rPr>
              <w:t>201</w:t>
            </w:r>
            <w:r w:rsidR="00730C31">
              <w:rPr>
                <w:rFonts w:ascii="Times New Roman" w:hAnsi="Times New Roman"/>
                <w:b/>
                <w:sz w:val="20"/>
                <w:szCs w:val="20"/>
              </w:rPr>
              <w:t>8</w:t>
            </w:r>
          </w:p>
        </w:tc>
        <w:tc>
          <w:tcPr>
            <w:tcW w:w="1701" w:type="dxa"/>
            <w:vAlign w:val="bottom"/>
          </w:tcPr>
          <w:p w:rsidR="00C84D94" w:rsidRDefault="00C84D94" w:rsidP="00895DA9">
            <w:pPr>
              <w:jc w:val="right"/>
              <w:rPr>
                <w:rFonts w:ascii="Times New Roman" w:hAnsi="Times New Roman"/>
                <w:b/>
                <w:sz w:val="20"/>
                <w:szCs w:val="20"/>
              </w:rPr>
            </w:pPr>
          </w:p>
          <w:p w:rsidR="00C84D94" w:rsidRPr="00B46F2F" w:rsidRDefault="00C84D94" w:rsidP="004F5C79">
            <w:pPr>
              <w:jc w:val="right"/>
              <w:rPr>
                <w:rFonts w:ascii="Times New Roman" w:hAnsi="Times New Roman"/>
                <w:b/>
                <w:sz w:val="20"/>
                <w:szCs w:val="20"/>
              </w:rPr>
            </w:pPr>
            <w:r w:rsidRPr="00B46F2F">
              <w:rPr>
                <w:rFonts w:ascii="Times New Roman" w:hAnsi="Times New Roman"/>
                <w:b/>
                <w:sz w:val="20"/>
                <w:szCs w:val="20"/>
              </w:rPr>
              <w:t>201</w:t>
            </w:r>
            <w:r>
              <w:rPr>
                <w:rFonts w:ascii="Times New Roman" w:hAnsi="Times New Roman"/>
                <w:b/>
                <w:sz w:val="20"/>
                <w:szCs w:val="20"/>
              </w:rPr>
              <w:t>7</w:t>
            </w:r>
          </w:p>
        </w:tc>
        <w:tc>
          <w:tcPr>
            <w:tcW w:w="752" w:type="dxa"/>
            <w:shd w:val="clear" w:color="auto" w:fill="auto"/>
            <w:vAlign w:val="bottom"/>
          </w:tcPr>
          <w:p w:rsidR="00C84D94" w:rsidRPr="00B46F2F" w:rsidRDefault="00C84D94" w:rsidP="00594578">
            <w:pPr>
              <w:jc w:val="right"/>
              <w:rPr>
                <w:rFonts w:ascii="Times New Roman" w:hAnsi="Times New Roman"/>
                <w:b/>
                <w:sz w:val="20"/>
                <w:szCs w:val="20"/>
              </w:rPr>
            </w:pPr>
          </w:p>
        </w:tc>
      </w:tr>
      <w:tr w:rsidR="00C84D94" w:rsidRPr="00B46F2F" w:rsidTr="00B74D7C">
        <w:tc>
          <w:tcPr>
            <w:tcW w:w="6511" w:type="dxa"/>
            <w:shd w:val="clear" w:color="auto" w:fill="auto"/>
          </w:tcPr>
          <w:p w:rsidR="00C84D94" w:rsidRPr="00B46F2F" w:rsidRDefault="00C84D94" w:rsidP="00577741">
            <w:pPr>
              <w:rPr>
                <w:rFonts w:ascii="Times New Roman" w:hAnsi="Times New Roman"/>
                <w:sz w:val="20"/>
                <w:szCs w:val="20"/>
              </w:rPr>
            </w:pPr>
          </w:p>
        </w:tc>
        <w:tc>
          <w:tcPr>
            <w:tcW w:w="1994" w:type="dxa"/>
            <w:shd w:val="clear" w:color="auto" w:fill="auto"/>
            <w:vAlign w:val="bottom"/>
          </w:tcPr>
          <w:p w:rsidR="00C84D94" w:rsidRPr="00B46F2F" w:rsidRDefault="00C84D94" w:rsidP="00594578">
            <w:pPr>
              <w:jc w:val="right"/>
              <w:rPr>
                <w:rFonts w:ascii="Times New Roman" w:hAnsi="Times New Roman"/>
                <w:b/>
                <w:sz w:val="20"/>
                <w:szCs w:val="20"/>
              </w:rPr>
            </w:pPr>
            <w:r w:rsidRPr="00B46F2F">
              <w:rPr>
                <w:rFonts w:ascii="Times New Roman" w:hAnsi="Times New Roman"/>
                <w:b/>
                <w:sz w:val="20"/>
                <w:szCs w:val="20"/>
              </w:rPr>
              <w:t>GBP</w:t>
            </w:r>
          </w:p>
        </w:tc>
        <w:tc>
          <w:tcPr>
            <w:tcW w:w="1701" w:type="dxa"/>
            <w:vAlign w:val="bottom"/>
          </w:tcPr>
          <w:p w:rsidR="00C84D94" w:rsidRPr="00B46F2F" w:rsidRDefault="00C84D94" w:rsidP="00590B67">
            <w:pPr>
              <w:jc w:val="right"/>
              <w:rPr>
                <w:rFonts w:ascii="Times New Roman" w:hAnsi="Times New Roman"/>
                <w:b/>
                <w:sz w:val="20"/>
                <w:szCs w:val="20"/>
              </w:rPr>
            </w:pPr>
            <w:r w:rsidRPr="00B46F2F">
              <w:rPr>
                <w:rFonts w:ascii="Times New Roman" w:hAnsi="Times New Roman"/>
                <w:b/>
                <w:sz w:val="20"/>
                <w:szCs w:val="20"/>
              </w:rPr>
              <w:t>GBP</w:t>
            </w:r>
          </w:p>
        </w:tc>
        <w:tc>
          <w:tcPr>
            <w:tcW w:w="752" w:type="dxa"/>
            <w:shd w:val="clear" w:color="auto" w:fill="auto"/>
            <w:vAlign w:val="bottom"/>
          </w:tcPr>
          <w:p w:rsidR="00C84D94" w:rsidRPr="00B46F2F" w:rsidRDefault="00C84D94" w:rsidP="00594578">
            <w:pPr>
              <w:jc w:val="right"/>
              <w:rPr>
                <w:rFonts w:ascii="Times New Roman" w:hAnsi="Times New Roman"/>
                <w:b/>
                <w:sz w:val="20"/>
                <w:szCs w:val="20"/>
              </w:rPr>
            </w:pPr>
          </w:p>
        </w:tc>
      </w:tr>
      <w:tr w:rsidR="00C84D94" w:rsidRPr="00B46F2F" w:rsidTr="00B74D7C">
        <w:trPr>
          <w:cantSplit/>
        </w:trPr>
        <w:tc>
          <w:tcPr>
            <w:tcW w:w="6511" w:type="dxa"/>
            <w:shd w:val="clear" w:color="auto" w:fill="auto"/>
          </w:tcPr>
          <w:p w:rsidR="00C84D94" w:rsidRPr="00B46F2F" w:rsidRDefault="00C84D94" w:rsidP="00577741">
            <w:pPr>
              <w:rPr>
                <w:rFonts w:ascii="Times New Roman" w:hAnsi="Times New Roman"/>
                <w:b/>
                <w:sz w:val="20"/>
                <w:szCs w:val="20"/>
              </w:rPr>
            </w:pPr>
            <w:r w:rsidRPr="00B46F2F">
              <w:rPr>
                <w:rFonts w:ascii="Times New Roman" w:hAnsi="Times New Roman"/>
                <w:b/>
                <w:sz w:val="20"/>
                <w:szCs w:val="20"/>
              </w:rPr>
              <w:t>Liabilities</w:t>
            </w:r>
          </w:p>
        </w:tc>
        <w:tc>
          <w:tcPr>
            <w:tcW w:w="1994" w:type="dxa"/>
            <w:shd w:val="clear" w:color="auto" w:fill="auto"/>
          </w:tcPr>
          <w:p w:rsidR="00C84D94" w:rsidRPr="00B46F2F" w:rsidRDefault="00C84D94" w:rsidP="00577741">
            <w:pPr>
              <w:rPr>
                <w:rFonts w:ascii="Times New Roman" w:hAnsi="Times New Roman"/>
                <w:sz w:val="20"/>
                <w:szCs w:val="20"/>
              </w:rPr>
            </w:pPr>
          </w:p>
        </w:tc>
        <w:tc>
          <w:tcPr>
            <w:tcW w:w="1701" w:type="dxa"/>
          </w:tcPr>
          <w:p w:rsidR="00C84D94" w:rsidRPr="00B46F2F" w:rsidRDefault="00C84D94" w:rsidP="00590B67">
            <w:pPr>
              <w:rPr>
                <w:rFonts w:ascii="Times New Roman" w:hAnsi="Times New Roman"/>
                <w:sz w:val="20"/>
                <w:szCs w:val="20"/>
              </w:rPr>
            </w:pPr>
          </w:p>
        </w:tc>
        <w:tc>
          <w:tcPr>
            <w:tcW w:w="752" w:type="dxa"/>
            <w:shd w:val="clear" w:color="auto" w:fill="auto"/>
          </w:tcPr>
          <w:p w:rsidR="00C84D94" w:rsidRPr="00B46F2F" w:rsidRDefault="00C84D94" w:rsidP="00590B67">
            <w:pPr>
              <w:rPr>
                <w:rFonts w:ascii="Times New Roman" w:hAnsi="Times New Roman"/>
                <w:sz w:val="20"/>
                <w:szCs w:val="20"/>
              </w:rPr>
            </w:pPr>
          </w:p>
        </w:tc>
      </w:tr>
      <w:tr w:rsidR="00C84D94" w:rsidRPr="00B46F2F" w:rsidTr="00B74D7C">
        <w:tc>
          <w:tcPr>
            <w:tcW w:w="6511" w:type="dxa"/>
            <w:shd w:val="clear" w:color="auto" w:fill="auto"/>
          </w:tcPr>
          <w:p w:rsidR="00C84D94" w:rsidRPr="00B46F2F" w:rsidRDefault="00C84D94" w:rsidP="00577741">
            <w:pPr>
              <w:rPr>
                <w:rFonts w:ascii="Times New Roman" w:hAnsi="Times New Roman"/>
                <w:sz w:val="20"/>
                <w:szCs w:val="20"/>
              </w:rPr>
            </w:pPr>
            <w:r w:rsidRPr="00B46F2F">
              <w:rPr>
                <w:rFonts w:ascii="Times New Roman" w:hAnsi="Times New Roman"/>
                <w:sz w:val="20"/>
                <w:szCs w:val="20"/>
              </w:rPr>
              <w:t>Loan payable</w:t>
            </w:r>
          </w:p>
        </w:tc>
        <w:tc>
          <w:tcPr>
            <w:tcW w:w="1994" w:type="dxa"/>
            <w:shd w:val="clear" w:color="auto" w:fill="auto"/>
          </w:tcPr>
          <w:p w:rsidR="00C84D94" w:rsidRPr="000D7F18" w:rsidRDefault="00730C31">
            <w:pPr>
              <w:jc w:val="right"/>
              <w:rPr>
                <w:rFonts w:ascii="Times New Roman" w:hAnsi="Times New Roman"/>
                <w:sz w:val="20"/>
                <w:szCs w:val="20"/>
              </w:rPr>
            </w:pPr>
            <w:r>
              <w:rPr>
                <w:rFonts w:ascii="Times New Roman" w:hAnsi="Times New Roman"/>
                <w:sz w:val="20"/>
                <w:szCs w:val="20"/>
              </w:rPr>
              <w:t>20,0</w:t>
            </w:r>
            <w:r w:rsidR="00762429">
              <w:rPr>
                <w:rFonts w:ascii="Times New Roman" w:hAnsi="Times New Roman"/>
                <w:sz w:val="20"/>
                <w:szCs w:val="20"/>
              </w:rPr>
              <w:t>2</w:t>
            </w:r>
            <w:r>
              <w:rPr>
                <w:rFonts w:ascii="Times New Roman" w:hAnsi="Times New Roman"/>
                <w:sz w:val="20"/>
                <w:szCs w:val="20"/>
              </w:rPr>
              <w:t>5,095</w:t>
            </w:r>
          </w:p>
        </w:tc>
        <w:tc>
          <w:tcPr>
            <w:tcW w:w="1701" w:type="dxa"/>
          </w:tcPr>
          <w:p w:rsidR="00C84D94" w:rsidRPr="00B46F2F" w:rsidRDefault="00C84D94" w:rsidP="00D54AA3">
            <w:pPr>
              <w:jc w:val="right"/>
              <w:rPr>
                <w:rFonts w:ascii="Times New Roman" w:hAnsi="Times New Roman"/>
                <w:sz w:val="20"/>
                <w:szCs w:val="20"/>
              </w:rPr>
            </w:pPr>
            <w:r>
              <w:rPr>
                <w:rFonts w:ascii="Times New Roman" w:hAnsi="Times New Roman"/>
                <w:sz w:val="20"/>
                <w:szCs w:val="20"/>
              </w:rPr>
              <w:t>35,814,484</w:t>
            </w:r>
          </w:p>
        </w:tc>
        <w:tc>
          <w:tcPr>
            <w:tcW w:w="752" w:type="dxa"/>
            <w:shd w:val="clear" w:color="auto" w:fill="auto"/>
          </w:tcPr>
          <w:p w:rsidR="00C84D94" w:rsidRPr="00B46F2F" w:rsidRDefault="00C84D94" w:rsidP="00590B67">
            <w:pPr>
              <w:jc w:val="right"/>
              <w:rPr>
                <w:rFonts w:ascii="Times New Roman" w:hAnsi="Times New Roman"/>
                <w:sz w:val="20"/>
                <w:szCs w:val="20"/>
              </w:rPr>
            </w:pPr>
          </w:p>
        </w:tc>
      </w:tr>
      <w:tr w:rsidR="00C84D94" w:rsidRPr="00B46F2F" w:rsidTr="00B74D7C">
        <w:tc>
          <w:tcPr>
            <w:tcW w:w="6511" w:type="dxa"/>
            <w:shd w:val="clear" w:color="auto" w:fill="auto"/>
          </w:tcPr>
          <w:p w:rsidR="00C84D94" w:rsidRPr="00B46F2F" w:rsidRDefault="00C84D94" w:rsidP="00577741">
            <w:pPr>
              <w:rPr>
                <w:rFonts w:ascii="Times New Roman" w:hAnsi="Times New Roman"/>
                <w:sz w:val="20"/>
                <w:szCs w:val="20"/>
              </w:rPr>
            </w:pPr>
            <w:r w:rsidRPr="00B46F2F">
              <w:rPr>
                <w:rFonts w:ascii="Times New Roman" w:hAnsi="Times New Roman"/>
                <w:sz w:val="20"/>
                <w:szCs w:val="20"/>
              </w:rPr>
              <w:t>Interest payable</w:t>
            </w:r>
          </w:p>
        </w:tc>
        <w:tc>
          <w:tcPr>
            <w:tcW w:w="1994" w:type="dxa"/>
            <w:tcBorders>
              <w:bottom w:val="single" w:sz="4" w:space="0" w:color="auto"/>
            </w:tcBorders>
            <w:shd w:val="clear" w:color="auto" w:fill="auto"/>
          </w:tcPr>
          <w:p w:rsidR="00C84D94" w:rsidRPr="000D7F18" w:rsidRDefault="00730C31">
            <w:pPr>
              <w:jc w:val="right"/>
              <w:rPr>
                <w:rFonts w:ascii="Times New Roman" w:hAnsi="Times New Roman"/>
                <w:sz w:val="20"/>
                <w:szCs w:val="20"/>
              </w:rPr>
            </w:pPr>
            <w:r>
              <w:rPr>
                <w:rFonts w:ascii="Times New Roman" w:hAnsi="Times New Roman"/>
                <w:sz w:val="20"/>
                <w:szCs w:val="20"/>
              </w:rPr>
              <w:t>17,281</w:t>
            </w:r>
          </w:p>
        </w:tc>
        <w:tc>
          <w:tcPr>
            <w:tcW w:w="1701" w:type="dxa"/>
            <w:tcBorders>
              <w:bottom w:val="single" w:sz="4" w:space="0" w:color="auto"/>
            </w:tcBorders>
          </w:tcPr>
          <w:p w:rsidR="00C84D94" w:rsidRPr="00B46F2F" w:rsidRDefault="00C84D94" w:rsidP="00962648">
            <w:pPr>
              <w:jc w:val="right"/>
              <w:rPr>
                <w:rFonts w:ascii="Times New Roman" w:hAnsi="Times New Roman"/>
                <w:sz w:val="20"/>
                <w:szCs w:val="20"/>
              </w:rPr>
            </w:pPr>
            <w:r>
              <w:rPr>
                <w:rFonts w:ascii="Times New Roman" w:hAnsi="Times New Roman"/>
                <w:sz w:val="20"/>
                <w:szCs w:val="20"/>
              </w:rPr>
              <w:t>84,616</w:t>
            </w:r>
          </w:p>
        </w:tc>
        <w:tc>
          <w:tcPr>
            <w:tcW w:w="752" w:type="dxa"/>
            <w:shd w:val="clear" w:color="auto" w:fill="auto"/>
          </w:tcPr>
          <w:p w:rsidR="00C84D94" w:rsidRPr="00B46F2F" w:rsidRDefault="00C84D94" w:rsidP="00590B67">
            <w:pPr>
              <w:jc w:val="right"/>
              <w:rPr>
                <w:rFonts w:ascii="Times New Roman" w:hAnsi="Times New Roman"/>
                <w:sz w:val="20"/>
                <w:szCs w:val="20"/>
              </w:rPr>
            </w:pPr>
          </w:p>
        </w:tc>
      </w:tr>
      <w:tr w:rsidR="00C84D94" w:rsidRPr="009170B8" w:rsidTr="00B74D7C">
        <w:trPr>
          <w:trHeight w:val="60"/>
        </w:trPr>
        <w:tc>
          <w:tcPr>
            <w:tcW w:w="6511" w:type="dxa"/>
          </w:tcPr>
          <w:p w:rsidR="00C84D94" w:rsidRPr="00B46F2F" w:rsidRDefault="00C84D94" w:rsidP="00577741">
            <w:pPr>
              <w:rPr>
                <w:rFonts w:ascii="Times New Roman" w:hAnsi="Times New Roman"/>
                <w:sz w:val="20"/>
                <w:szCs w:val="20"/>
              </w:rPr>
            </w:pPr>
          </w:p>
        </w:tc>
        <w:tc>
          <w:tcPr>
            <w:tcW w:w="1994" w:type="dxa"/>
            <w:tcBorders>
              <w:top w:val="single" w:sz="4" w:space="0" w:color="auto"/>
              <w:bottom w:val="single" w:sz="4" w:space="0" w:color="auto"/>
            </w:tcBorders>
            <w:shd w:val="clear" w:color="auto" w:fill="auto"/>
          </w:tcPr>
          <w:p w:rsidR="00C84D94" w:rsidRPr="00B46F2F" w:rsidRDefault="00730C31">
            <w:pPr>
              <w:jc w:val="right"/>
              <w:rPr>
                <w:rFonts w:ascii="Times New Roman" w:hAnsi="Times New Roman"/>
                <w:b/>
                <w:sz w:val="20"/>
                <w:szCs w:val="20"/>
              </w:rPr>
            </w:pPr>
            <w:r>
              <w:rPr>
                <w:rFonts w:ascii="Times New Roman" w:hAnsi="Times New Roman"/>
                <w:b/>
                <w:sz w:val="20"/>
                <w:szCs w:val="20"/>
              </w:rPr>
              <w:t>20,042,376</w:t>
            </w:r>
          </w:p>
        </w:tc>
        <w:tc>
          <w:tcPr>
            <w:tcW w:w="1701" w:type="dxa"/>
            <w:tcBorders>
              <w:top w:val="single" w:sz="4" w:space="0" w:color="auto"/>
              <w:bottom w:val="single" w:sz="4" w:space="0" w:color="auto"/>
            </w:tcBorders>
          </w:tcPr>
          <w:p w:rsidR="00C84D94" w:rsidRPr="009170B8" w:rsidRDefault="00C84D94" w:rsidP="00D54AA3">
            <w:pPr>
              <w:jc w:val="right"/>
              <w:rPr>
                <w:rFonts w:ascii="Times New Roman" w:hAnsi="Times New Roman"/>
                <w:b/>
                <w:sz w:val="20"/>
                <w:szCs w:val="20"/>
              </w:rPr>
            </w:pPr>
            <w:r>
              <w:rPr>
                <w:rFonts w:ascii="Times New Roman" w:hAnsi="Times New Roman"/>
                <w:b/>
                <w:sz w:val="20"/>
                <w:szCs w:val="20"/>
              </w:rPr>
              <w:t>35,899,100</w:t>
            </w:r>
          </w:p>
        </w:tc>
        <w:tc>
          <w:tcPr>
            <w:tcW w:w="752" w:type="dxa"/>
            <w:shd w:val="clear" w:color="auto" w:fill="auto"/>
          </w:tcPr>
          <w:p w:rsidR="00C84D94" w:rsidRPr="009170B8" w:rsidRDefault="00C84D94" w:rsidP="00590B67">
            <w:pPr>
              <w:jc w:val="right"/>
              <w:rPr>
                <w:rFonts w:ascii="Times New Roman" w:hAnsi="Times New Roman"/>
                <w:b/>
                <w:sz w:val="20"/>
                <w:szCs w:val="20"/>
              </w:rPr>
            </w:pPr>
          </w:p>
        </w:tc>
      </w:tr>
    </w:tbl>
    <w:p w:rsidR="00CA5A90" w:rsidRDefault="00CA5A90" w:rsidP="00E5676A">
      <w:pPr>
        <w:pStyle w:val="BodyText"/>
        <w:tabs>
          <w:tab w:val="clear" w:pos="3402"/>
          <w:tab w:val="clear" w:pos="8222"/>
        </w:tabs>
        <w:ind w:left="426" w:hanging="426"/>
        <w:rPr>
          <w:rFonts w:ascii="Times New Roman" w:hAnsi="Times New Roman"/>
          <w:b/>
        </w:rPr>
      </w:pPr>
    </w:p>
    <w:p w:rsidR="00831C7C" w:rsidRDefault="00831C7C" w:rsidP="00E5676A">
      <w:pPr>
        <w:pStyle w:val="BodyText"/>
        <w:tabs>
          <w:tab w:val="clear" w:pos="3402"/>
          <w:tab w:val="clear" w:pos="8222"/>
        </w:tabs>
        <w:ind w:left="426" w:hanging="426"/>
        <w:rPr>
          <w:rFonts w:ascii="Times New Roman" w:hAnsi="Times New Roman"/>
          <w:b/>
        </w:rPr>
      </w:pPr>
    </w:p>
    <w:p w:rsidR="00831C7C" w:rsidRDefault="00831C7C" w:rsidP="00E5676A">
      <w:pPr>
        <w:pStyle w:val="BodyText"/>
        <w:tabs>
          <w:tab w:val="clear" w:pos="3402"/>
          <w:tab w:val="clear" w:pos="8222"/>
        </w:tabs>
        <w:ind w:left="426" w:hanging="426"/>
        <w:rPr>
          <w:rFonts w:ascii="Times New Roman" w:hAnsi="Times New Roman"/>
          <w:b/>
        </w:rPr>
      </w:pPr>
    </w:p>
    <w:p w:rsidR="00831C7C" w:rsidRDefault="00831C7C" w:rsidP="00E5676A">
      <w:pPr>
        <w:pStyle w:val="BodyText"/>
        <w:tabs>
          <w:tab w:val="clear" w:pos="3402"/>
          <w:tab w:val="clear" w:pos="8222"/>
        </w:tabs>
        <w:ind w:left="426" w:hanging="426"/>
        <w:rPr>
          <w:rFonts w:ascii="Times New Roman" w:hAnsi="Times New Roman"/>
          <w:b/>
        </w:rPr>
      </w:pPr>
    </w:p>
    <w:p w:rsidR="00831C7C" w:rsidRDefault="00831C7C" w:rsidP="006B259D">
      <w:pPr>
        <w:pStyle w:val="BodyText"/>
        <w:tabs>
          <w:tab w:val="clear" w:pos="3402"/>
          <w:tab w:val="clear" w:pos="8222"/>
        </w:tabs>
        <w:rPr>
          <w:rFonts w:ascii="Times New Roman" w:hAnsi="Times New Roman"/>
          <w:b/>
        </w:rPr>
      </w:pPr>
    </w:p>
    <w:p w:rsidR="00831C7C" w:rsidRPr="00B46F2F" w:rsidRDefault="00831C7C" w:rsidP="00831C7C">
      <w:pPr>
        <w:pStyle w:val="Heading2"/>
        <w:tabs>
          <w:tab w:val="right" w:pos="8222"/>
        </w:tabs>
        <w:rPr>
          <w:rFonts w:ascii="Times New Roman" w:hAnsi="Times New Roman"/>
        </w:rPr>
      </w:pPr>
      <w:r w:rsidRPr="009170B8">
        <w:rPr>
          <w:rFonts w:ascii="Times New Roman" w:hAnsi="Times New Roman"/>
        </w:rPr>
        <w:t xml:space="preserve">Notes to the </w:t>
      </w:r>
      <w:r w:rsidRPr="00B46F2F">
        <w:rPr>
          <w:rFonts w:ascii="Times New Roman" w:hAnsi="Times New Roman"/>
        </w:rPr>
        <w:t xml:space="preserve">Financial Statements </w:t>
      </w:r>
      <w:r>
        <w:rPr>
          <w:rFonts w:ascii="Times New Roman" w:hAnsi="Times New Roman"/>
        </w:rPr>
        <w:t xml:space="preserve">of the Fund </w:t>
      </w:r>
      <w:r w:rsidRPr="00B46F2F">
        <w:rPr>
          <w:rFonts w:ascii="Times New Roman" w:hAnsi="Times New Roman"/>
        </w:rPr>
        <w:t>(continued)</w:t>
      </w:r>
    </w:p>
    <w:p w:rsidR="00831C7C" w:rsidRPr="00B46F2F" w:rsidRDefault="00831C7C" w:rsidP="00831C7C">
      <w:pPr>
        <w:pStyle w:val="Heading3"/>
        <w:rPr>
          <w:rFonts w:ascii="Times New Roman" w:hAnsi="Times New Roman"/>
          <w:b w:val="0"/>
        </w:rPr>
      </w:pPr>
      <w:r w:rsidRPr="00B46F2F">
        <w:rPr>
          <w:rFonts w:ascii="Times New Roman" w:hAnsi="Times New Roman"/>
        </w:rPr>
        <w:t>For the year ended 31 December 201</w:t>
      </w:r>
      <w:r w:rsidR="00C84D94">
        <w:rPr>
          <w:rFonts w:ascii="Times New Roman" w:hAnsi="Times New Roman"/>
        </w:rPr>
        <w:t>8</w:t>
      </w:r>
      <w:r w:rsidRPr="00B46F2F">
        <w:rPr>
          <w:rFonts w:ascii="Times New Roman" w:hAnsi="Times New Roman"/>
        </w:rPr>
        <w:t xml:space="preserve"> </w:t>
      </w:r>
    </w:p>
    <w:p w:rsidR="00831C7C" w:rsidRDefault="00831C7C" w:rsidP="00831C7C">
      <w:pPr>
        <w:ind w:left="284"/>
        <w:rPr>
          <w:rFonts w:ascii="Times New Roman" w:hAnsi="Times New Roman"/>
          <w:sz w:val="20"/>
          <w:szCs w:val="20"/>
        </w:rPr>
      </w:pPr>
    </w:p>
    <w:p w:rsidR="00831C7C" w:rsidRPr="00E5676A" w:rsidRDefault="00831C7C" w:rsidP="00831C7C">
      <w:pPr>
        <w:pStyle w:val="BodyText"/>
        <w:tabs>
          <w:tab w:val="clear" w:pos="3402"/>
          <w:tab w:val="clear" w:pos="8222"/>
        </w:tabs>
        <w:ind w:left="426" w:hanging="426"/>
        <w:rPr>
          <w:rFonts w:ascii="Times New Roman" w:hAnsi="Times New Roman"/>
          <w:b/>
        </w:rPr>
      </w:pPr>
      <w:r w:rsidRPr="00E5676A">
        <w:rPr>
          <w:rFonts w:ascii="Times New Roman" w:hAnsi="Times New Roman"/>
          <w:b/>
        </w:rPr>
        <w:t>16. Financial instruments (continued)</w:t>
      </w:r>
    </w:p>
    <w:p w:rsidR="00831C7C" w:rsidRPr="00E5676A" w:rsidRDefault="00831C7C" w:rsidP="00E5676A">
      <w:pPr>
        <w:pStyle w:val="BodyText"/>
        <w:tabs>
          <w:tab w:val="clear" w:pos="3402"/>
          <w:tab w:val="clear" w:pos="8222"/>
        </w:tabs>
        <w:ind w:left="426" w:hanging="426"/>
        <w:rPr>
          <w:rFonts w:ascii="Times New Roman" w:hAnsi="Times New Roman"/>
          <w:b/>
        </w:rPr>
      </w:pPr>
    </w:p>
    <w:p w:rsidR="00E43BB2" w:rsidRPr="00E5676A" w:rsidRDefault="00E43BB2" w:rsidP="00E739C9">
      <w:pPr>
        <w:ind w:left="284"/>
        <w:rPr>
          <w:rFonts w:ascii="Times New Roman" w:hAnsi="Times New Roman"/>
          <w:i/>
          <w:sz w:val="20"/>
          <w:szCs w:val="20"/>
        </w:rPr>
      </w:pPr>
      <w:r w:rsidRPr="00E5676A">
        <w:rPr>
          <w:rFonts w:ascii="Times New Roman" w:hAnsi="Times New Roman"/>
          <w:i/>
          <w:sz w:val="20"/>
          <w:szCs w:val="20"/>
        </w:rPr>
        <w:t>Currency risk (continued)</w:t>
      </w:r>
    </w:p>
    <w:p w:rsidR="00E739C9" w:rsidRDefault="00E739C9" w:rsidP="00E739C9">
      <w:pPr>
        <w:ind w:left="284"/>
        <w:rPr>
          <w:rFonts w:ascii="Times New Roman" w:hAnsi="Times New Roman"/>
          <w:sz w:val="20"/>
          <w:szCs w:val="20"/>
        </w:rPr>
      </w:pPr>
      <w:r w:rsidRPr="009170B8">
        <w:rPr>
          <w:rFonts w:ascii="Times New Roman" w:hAnsi="Times New Roman"/>
          <w:sz w:val="20"/>
          <w:szCs w:val="20"/>
        </w:rPr>
        <w:t xml:space="preserve">The Fund’s net </w:t>
      </w:r>
      <w:r w:rsidRPr="00B46F2F">
        <w:rPr>
          <w:rFonts w:ascii="Times New Roman" w:hAnsi="Times New Roman"/>
          <w:sz w:val="20"/>
          <w:szCs w:val="20"/>
        </w:rPr>
        <w:t>exposure to USD currency at the year end was as follows:</w:t>
      </w:r>
    </w:p>
    <w:p w:rsidR="00E43BB2" w:rsidRPr="00B46F2F" w:rsidRDefault="00E43BB2" w:rsidP="00E739C9">
      <w:pPr>
        <w:ind w:left="284"/>
        <w:rPr>
          <w:rFonts w:ascii="Times New Roman" w:hAnsi="Times New Roman"/>
          <w:sz w:val="20"/>
          <w:szCs w:val="20"/>
        </w:rPr>
      </w:pPr>
    </w:p>
    <w:tbl>
      <w:tblPr>
        <w:tblW w:w="10958" w:type="dxa"/>
        <w:tblInd w:w="392" w:type="dxa"/>
        <w:tblLayout w:type="fixed"/>
        <w:tblLook w:val="0000" w:firstRow="0" w:lastRow="0" w:firstColumn="0" w:lastColumn="0" w:noHBand="0" w:noVBand="0"/>
      </w:tblPr>
      <w:tblGrid>
        <w:gridCol w:w="6511"/>
        <w:gridCol w:w="1569"/>
        <w:gridCol w:w="1439"/>
        <w:gridCol w:w="687"/>
        <w:gridCol w:w="752"/>
      </w:tblGrid>
      <w:tr w:rsidR="002018EA" w:rsidRPr="00B46F2F" w:rsidTr="00B74D7C">
        <w:trPr>
          <w:trHeight w:val="231"/>
        </w:trPr>
        <w:tc>
          <w:tcPr>
            <w:tcW w:w="6511" w:type="dxa"/>
          </w:tcPr>
          <w:p w:rsidR="002018EA" w:rsidRPr="00B46F2F" w:rsidRDefault="002018EA" w:rsidP="00577741">
            <w:pPr>
              <w:rPr>
                <w:rFonts w:ascii="Times New Roman" w:hAnsi="Times New Roman"/>
                <w:sz w:val="20"/>
                <w:szCs w:val="20"/>
              </w:rPr>
            </w:pPr>
          </w:p>
        </w:tc>
        <w:tc>
          <w:tcPr>
            <w:tcW w:w="1569" w:type="dxa"/>
            <w:shd w:val="clear" w:color="auto" w:fill="auto"/>
            <w:vAlign w:val="bottom"/>
          </w:tcPr>
          <w:p w:rsidR="002018EA" w:rsidRPr="00B46F2F" w:rsidRDefault="002018EA">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8</w:t>
            </w:r>
          </w:p>
        </w:tc>
        <w:tc>
          <w:tcPr>
            <w:tcW w:w="2126" w:type="dxa"/>
            <w:gridSpan w:val="2"/>
            <w:vAlign w:val="bottom"/>
          </w:tcPr>
          <w:p w:rsidR="002018EA" w:rsidRPr="00B46F2F" w:rsidRDefault="002018EA">
            <w:pPr>
              <w:jc w:val="right"/>
              <w:rPr>
                <w:rFonts w:ascii="Times New Roman" w:hAnsi="Times New Roman"/>
                <w:b/>
                <w:sz w:val="20"/>
                <w:szCs w:val="20"/>
              </w:rPr>
            </w:pPr>
            <w:r w:rsidRPr="00B46F2F">
              <w:rPr>
                <w:rFonts w:ascii="Times New Roman" w:hAnsi="Times New Roman"/>
                <w:b/>
                <w:sz w:val="20"/>
                <w:szCs w:val="20"/>
              </w:rPr>
              <w:t>201</w:t>
            </w:r>
            <w:r w:rsidR="00C84D94">
              <w:rPr>
                <w:rFonts w:ascii="Times New Roman" w:hAnsi="Times New Roman"/>
                <w:b/>
                <w:sz w:val="20"/>
                <w:szCs w:val="20"/>
              </w:rPr>
              <w:t>7</w:t>
            </w:r>
          </w:p>
        </w:tc>
        <w:tc>
          <w:tcPr>
            <w:tcW w:w="752" w:type="dxa"/>
            <w:shd w:val="clear" w:color="auto" w:fill="auto"/>
          </w:tcPr>
          <w:p w:rsidR="002018EA" w:rsidRPr="00B46F2F" w:rsidRDefault="002018EA" w:rsidP="00460791">
            <w:pPr>
              <w:jc w:val="right"/>
              <w:rPr>
                <w:rFonts w:ascii="Times New Roman" w:hAnsi="Times New Roman"/>
                <w:b/>
                <w:sz w:val="20"/>
                <w:szCs w:val="20"/>
              </w:rPr>
            </w:pPr>
          </w:p>
        </w:tc>
      </w:tr>
      <w:tr w:rsidR="002018EA" w:rsidRPr="00B46F2F" w:rsidTr="00B74D7C">
        <w:trPr>
          <w:trHeight w:val="228"/>
        </w:trPr>
        <w:tc>
          <w:tcPr>
            <w:tcW w:w="6511" w:type="dxa"/>
          </w:tcPr>
          <w:p w:rsidR="002018EA" w:rsidRPr="00B46F2F" w:rsidRDefault="002018EA" w:rsidP="00577741">
            <w:pPr>
              <w:rPr>
                <w:rFonts w:ascii="Times New Roman" w:hAnsi="Times New Roman"/>
                <w:sz w:val="20"/>
                <w:szCs w:val="20"/>
              </w:rPr>
            </w:pPr>
          </w:p>
        </w:tc>
        <w:tc>
          <w:tcPr>
            <w:tcW w:w="1569" w:type="dxa"/>
            <w:shd w:val="clear" w:color="auto" w:fill="auto"/>
          </w:tcPr>
          <w:p w:rsidR="002018EA" w:rsidRPr="00B46F2F" w:rsidRDefault="002018EA" w:rsidP="00460791">
            <w:pPr>
              <w:jc w:val="right"/>
              <w:rPr>
                <w:rFonts w:ascii="Times New Roman" w:hAnsi="Times New Roman"/>
                <w:b/>
                <w:sz w:val="20"/>
                <w:szCs w:val="20"/>
              </w:rPr>
            </w:pPr>
            <w:r w:rsidRPr="00B46F2F">
              <w:rPr>
                <w:rFonts w:ascii="Times New Roman" w:hAnsi="Times New Roman"/>
                <w:b/>
                <w:sz w:val="20"/>
                <w:szCs w:val="20"/>
              </w:rPr>
              <w:t>GBP</w:t>
            </w:r>
          </w:p>
        </w:tc>
        <w:tc>
          <w:tcPr>
            <w:tcW w:w="2126" w:type="dxa"/>
            <w:gridSpan w:val="2"/>
          </w:tcPr>
          <w:p w:rsidR="002018EA" w:rsidRPr="00B46F2F" w:rsidRDefault="002018EA" w:rsidP="00590B67">
            <w:pPr>
              <w:jc w:val="right"/>
              <w:rPr>
                <w:rFonts w:ascii="Times New Roman" w:hAnsi="Times New Roman"/>
                <w:b/>
                <w:sz w:val="20"/>
                <w:szCs w:val="20"/>
              </w:rPr>
            </w:pPr>
            <w:r w:rsidRPr="00B46F2F">
              <w:rPr>
                <w:rFonts w:ascii="Times New Roman" w:hAnsi="Times New Roman"/>
                <w:b/>
                <w:sz w:val="20"/>
                <w:szCs w:val="20"/>
              </w:rPr>
              <w:t>GBP</w:t>
            </w:r>
          </w:p>
        </w:tc>
        <w:tc>
          <w:tcPr>
            <w:tcW w:w="752" w:type="dxa"/>
            <w:shd w:val="clear" w:color="auto" w:fill="auto"/>
          </w:tcPr>
          <w:p w:rsidR="002018EA" w:rsidRPr="00B46F2F" w:rsidRDefault="002018EA" w:rsidP="00460791">
            <w:pPr>
              <w:jc w:val="right"/>
              <w:rPr>
                <w:rFonts w:ascii="Times New Roman" w:hAnsi="Times New Roman"/>
                <w:b/>
                <w:sz w:val="20"/>
                <w:szCs w:val="20"/>
              </w:rPr>
            </w:pPr>
          </w:p>
        </w:tc>
      </w:tr>
      <w:tr w:rsidR="002018EA" w:rsidRPr="00B46F2F" w:rsidTr="00B74D7C">
        <w:trPr>
          <w:trHeight w:val="228"/>
        </w:trPr>
        <w:tc>
          <w:tcPr>
            <w:tcW w:w="6511" w:type="dxa"/>
          </w:tcPr>
          <w:p w:rsidR="002018EA" w:rsidRPr="00B46F2F" w:rsidRDefault="002018EA" w:rsidP="00577741">
            <w:pPr>
              <w:rPr>
                <w:rFonts w:ascii="Times New Roman" w:hAnsi="Times New Roman"/>
                <w:b/>
                <w:sz w:val="20"/>
                <w:szCs w:val="20"/>
              </w:rPr>
            </w:pPr>
            <w:r w:rsidRPr="00B46F2F">
              <w:rPr>
                <w:rFonts w:ascii="Times New Roman" w:hAnsi="Times New Roman"/>
                <w:b/>
                <w:sz w:val="20"/>
                <w:szCs w:val="20"/>
              </w:rPr>
              <w:t>Assets</w:t>
            </w:r>
          </w:p>
        </w:tc>
        <w:tc>
          <w:tcPr>
            <w:tcW w:w="1569" w:type="dxa"/>
            <w:shd w:val="clear" w:color="auto" w:fill="auto"/>
          </w:tcPr>
          <w:p w:rsidR="002018EA" w:rsidRPr="00B46F2F" w:rsidRDefault="002018EA" w:rsidP="00577741">
            <w:pPr>
              <w:jc w:val="right"/>
              <w:rPr>
                <w:rFonts w:ascii="Times New Roman" w:hAnsi="Times New Roman"/>
                <w:b/>
                <w:sz w:val="20"/>
                <w:szCs w:val="20"/>
              </w:rPr>
            </w:pPr>
          </w:p>
        </w:tc>
        <w:tc>
          <w:tcPr>
            <w:tcW w:w="2126" w:type="dxa"/>
            <w:gridSpan w:val="2"/>
          </w:tcPr>
          <w:p w:rsidR="002018EA" w:rsidRPr="00B46F2F" w:rsidRDefault="002018EA" w:rsidP="00590B67">
            <w:pPr>
              <w:jc w:val="right"/>
              <w:rPr>
                <w:rFonts w:ascii="Times New Roman" w:hAnsi="Times New Roman"/>
                <w:b/>
                <w:sz w:val="20"/>
                <w:szCs w:val="20"/>
              </w:rPr>
            </w:pPr>
          </w:p>
        </w:tc>
        <w:tc>
          <w:tcPr>
            <w:tcW w:w="752" w:type="dxa"/>
            <w:shd w:val="clear" w:color="auto" w:fill="auto"/>
          </w:tcPr>
          <w:p w:rsidR="002018EA" w:rsidRPr="00B46F2F" w:rsidRDefault="002018EA" w:rsidP="00577741">
            <w:pPr>
              <w:jc w:val="right"/>
              <w:rPr>
                <w:rFonts w:ascii="Times New Roman" w:hAnsi="Times New Roman"/>
                <w:b/>
                <w:sz w:val="20"/>
                <w:szCs w:val="20"/>
              </w:rPr>
            </w:pPr>
          </w:p>
        </w:tc>
      </w:tr>
      <w:tr w:rsidR="00C84D94" w:rsidRPr="00B46F2F" w:rsidTr="00B74D7C">
        <w:trPr>
          <w:trHeight w:val="228"/>
        </w:trPr>
        <w:tc>
          <w:tcPr>
            <w:tcW w:w="6511" w:type="dxa"/>
          </w:tcPr>
          <w:p w:rsidR="00C84D94" w:rsidRPr="00B46F2F" w:rsidRDefault="00C84D94" w:rsidP="00C50392">
            <w:pPr>
              <w:rPr>
                <w:rFonts w:ascii="Times New Roman" w:hAnsi="Times New Roman"/>
                <w:sz w:val="20"/>
                <w:szCs w:val="20"/>
              </w:rPr>
            </w:pPr>
            <w:r w:rsidRPr="00B46F2F">
              <w:rPr>
                <w:rFonts w:ascii="Times New Roman" w:hAnsi="Times New Roman"/>
                <w:sz w:val="20"/>
                <w:szCs w:val="20"/>
              </w:rPr>
              <w:t>Cash and cash equivalents</w:t>
            </w:r>
          </w:p>
        </w:tc>
        <w:tc>
          <w:tcPr>
            <w:tcW w:w="1569" w:type="dxa"/>
            <w:shd w:val="clear" w:color="auto" w:fill="auto"/>
          </w:tcPr>
          <w:p w:rsidR="00C84D94" w:rsidRPr="000D7F18" w:rsidRDefault="00730C31">
            <w:pPr>
              <w:jc w:val="right"/>
              <w:rPr>
                <w:rFonts w:ascii="Times New Roman" w:hAnsi="Times New Roman"/>
                <w:sz w:val="20"/>
                <w:szCs w:val="20"/>
              </w:rPr>
            </w:pPr>
            <w:r>
              <w:rPr>
                <w:rFonts w:ascii="Times New Roman" w:hAnsi="Times New Roman"/>
                <w:sz w:val="20"/>
                <w:szCs w:val="20"/>
              </w:rPr>
              <w:t>1,994,463</w:t>
            </w:r>
          </w:p>
        </w:tc>
        <w:tc>
          <w:tcPr>
            <w:tcW w:w="2126" w:type="dxa"/>
            <w:gridSpan w:val="2"/>
          </w:tcPr>
          <w:p w:rsidR="00C84D94" w:rsidRPr="000D7F18" w:rsidRDefault="00C84D94" w:rsidP="003B01CA">
            <w:pPr>
              <w:jc w:val="right"/>
              <w:rPr>
                <w:rFonts w:ascii="Times New Roman" w:hAnsi="Times New Roman"/>
                <w:sz w:val="20"/>
                <w:szCs w:val="20"/>
              </w:rPr>
            </w:pPr>
            <w:r>
              <w:rPr>
                <w:rFonts w:ascii="Times New Roman" w:hAnsi="Times New Roman"/>
                <w:sz w:val="20"/>
                <w:szCs w:val="20"/>
              </w:rPr>
              <w:t>565,196</w:t>
            </w:r>
          </w:p>
        </w:tc>
        <w:tc>
          <w:tcPr>
            <w:tcW w:w="752" w:type="dxa"/>
            <w:shd w:val="clear" w:color="auto" w:fill="auto"/>
          </w:tcPr>
          <w:p w:rsidR="00C84D94" w:rsidRPr="00B46F2F" w:rsidRDefault="00C84D94" w:rsidP="00590B67">
            <w:pPr>
              <w:jc w:val="right"/>
              <w:rPr>
                <w:rFonts w:ascii="Times New Roman" w:hAnsi="Times New Roman"/>
                <w:sz w:val="20"/>
                <w:szCs w:val="20"/>
              </w:rPr>
            </w:pPr>
          </w:p>
        </w:tc>
      </w:tr>
      <w:tr w:rsidR="00C84D94" w:rsidRPr="00B46F2F" w:rsidTr="00B74D7C">
        <w:trPr>
          <w:trHeight w:val="228"/>
        </w:trPr>
        <w:tc>
          <w:tcPr>
            <w:tcW w:w="6511" w:type="dxa"/>
          </w:tcPr>
          <w:p w:rsidR="00C84D94" w:rsidRPr="00B46F2F" w:rsidRDefault="00C84D94" w:rsidP="00C50392">
            <w:pPr>
              <w:rPr>
                <w:rFonts w:ascii="Times New Roman" w:hAnsi="Times New Roman"/>
                <w:sz w:val="20"/>
                <w:szCs w:val="20"/>
              </w:rPr>
            </w:pPr>
            <w:r w:rsidRPr="00B46F2F">
              <w:rPr>
                <w:rFonts w:ascii="Times New Roman" w:hAnsi="Times New Roman"/>
                <w:sz w:val="20"/>
                <w:szCs w:val="20"/>
              </w:rPr>
              <w:t>United States equities</w:t>
            </w:r>
          </w:p>
        </w:tc>
        <w:tc>
          <w:tcPr>
            <w:tcW w:w="1569" w:type="dxa"/>
            <w:shd w:val="clear" w:color="auto" w:fill="auto"/>
          </w:tcPr>
          <w:p w:rsidR="00C84D94" w:rsidRPr="000D7F18" w:rsidRDefault="00730C31">
            <w:pPr>
              <w:jc w:val="right"/>
              <w:rPr>
                <w:rFonts w:ascii="Times New Roman" w:hAnsi="Times New Roman"/>
                <w:sz w:val="20"/>
                <w:szCs w:val="20"/>
              </w:rPr>
            </w:pPr>
            <w:r>
              <w:rPr>
                <w:rFonts w:ascii="Times New Roman" w:hAnsi="Times New Roman"/>
                <w:sz w:val="20"/>
                <w:szCs w:val="20"/>
              </w:rPr>
              <w:t>20,7</w:t>
            </w:r>
            <w:r w:rsidR="0069096F">
              <w:rPr>
                <w:rFonts w:ascii="Times New Roman" w:hAnsi="Times New Roman"/>
                <w:sz w:val="20"/>
                <w:szCs w:val="20"/>
              </w:rPr>
              <w:t>22</w:t>
            </w:r>
            <w:r>
              <w:rPr>
                <w:rFonts w:ascii="Times New Roman" w:hAnsi="Times New Roman"/>
                <w:sz w:val="20"/>
                <w:szCs w:val="20"/>
              </w:rPr>
              <w:t>,</w:t>
            </w:r>
            <w:r w:rsidR="0069096F">
              <w:rPr>
                <w:rFonts w:ascii="Times New Roman" w:hAnsi="Times New Roman"/>
                <w:sz w:val="20"/>
                <w:szCs w:val="20"/>
              </w:rPr>
              <w:t>534</w:t>
            </w:r>
          </w:p>
        </w:tc>
        <w:tc>
          <w:tcPr>
            <w:tcW w:w="2126" w:type="dxa"/>
            <w:gridSpan w:val="2"/>
          </w:tcPr>
          <w:p w:rsidR="00C84D94" w:rsidRPr="000D7F18" w:rsidRDefault="00C84D94" w:rsidP="003B01CA">
            <w:pPr>
              <w:jc w:val="right"/>
              <w:rPr>
                <w:rFonts w:ascii="Times New Roman" w:hAnsi="Times New Roman"/>
                <w:sz w:val="20"/>
                <w:szCs w:val="20"/>
              </w:rPr>
            </w:pPr>
            <w:r>
              <w:rPr>
                <w:rFonts w:ascii="Times New Roman" w:hAnsi="Times New Roman"/>
                <w:sz w:val="20"/>
                <w:szCs w:val="20"/>
              </w:rPr>
              <w:t>21,669,306</w:t>
            </w:r>
          </w:p>
        </w:tc>
        <w:tc>
          <w:tcPr>
            <w:tcW w:w="752" w:type="dxa"/>
            <w:shd w:val="clear" w:color="auto" w:fill="auto"/>
          </w:tcPr>
          <w:p w:rsidR="00C84D94" w:rsidRPr="00B46F2F" w:rsidRDefault="00C84D94" w:rsidP="00590B67">
            <w:pPr>
              <w:jc w:val="right"/>
              <w:rPr>
                <w:rFonts w:ascii="Times New Roman" w:hAnsi="Times New Roman"/>
                <w:sz w:val="20"/>
                <w:szCs w:val="20"/>
              </w:rPr>
            </w:pPr>
          </w:p>
        </w:tc>
      </w:tr>
      <w:tr w:rsidR="00C84D94" w:rsidRPr="00B46F2F" w:rsidTr="00B74D7C">
        <w:trPr>
          <w:trHeight w:val="228"/>
        </w:trPr>
        <w:tc>
          <w:tcPr>
            <w:tcW w:w="6511" w:type="dxa"/>
          </w:tcPr>
          <w:p w:rsidR="00C84D94" w:rsidRPr="00B46F2F" w:rsidRDefault="00C84D94" w:rsidP="00590B67">
            <w:pPr>
              <w:rPr>
                <w:rFonts w:ascii="Times New Roman" w:hAnsi="Times New Roman"/>
                <w:sz w:val="20"/>
                <w:szCs w:val="20"/>
              </w:rPr>
            </w:pPr>
            <w:r w:rsidRPr="00B46F2F">
              <w:rPr>
                <w:rFonts w:ascii="Times New Roman" w:hAnsi="Times New Roman"/>
                <w:sz w:val="20"/>
                <w:szCs w:val="20"/>
              </w:rPr>
              <w:t>Accrued income</w:t>
            </w:r>
          </w:p>
        </w:tc>
        <w:tc>
          <w:tcPr>
            <w:tcW w:w="1569" w:type="dxa"/>
            <w:tcBorders>
              <w:bottom w:val="single" w:sz="4" w:space="0" w:color="auto"/>
            </w:tcBorders>
            <w:shd w:val="clear" w:color="auto" w:fill="auto"/>
          </w:tcPr>
          <w:p w:rsidR="00C84D94" w:rsidRPr="000D7F18" w:rsidRDefault="00730C31">
            <w:pPr>
              <w:jc w:val="right"/>
              <w:rPr>
                <w:rFonts w:ascii="Times New Roman" w:hAnsi="Times New Roman"/>
                <w:sz w:val="20"/>
                <w:szCs w:val="20"/>
              </w:rPr>
            </w:pPr>
            <w:r>
              <w:rPr>
                <w:rFonts w:ascii="Times New Roman" w:hAnsi="Times New Roman"/>
                <w:sz w:val="20"/>
                <w:szCs w:val="20"/>
              </w:rPr>
              <w:t>29,245</w:t>
            </w:r>
          </w:p>
        </w:tc>
        <w:tc>
          <w:tcPr>
            <w:tcW w:w="2126" w:type="dxa"/>
            <w:gridSpan w:val="2"/>
            <w:tcBorders>
              <w:bottom w:val="single" w:sz="4" w:space="0" w:color="auto"/>
            </w:tcBorders>
          </w:tcPr>
          <w:p w:rsidR="00C84D94" w:rsidRPr="000D7F18" w:rsidRDefault="00C84D94" w:rsidP="003B01CA">
            <w:pPr>
              <w:jc w:val="right"/>
              <w:rPr>
                <w:rFonts w:ascii="Times New Roman" w:hAnsi="Times New Roman"/>
                <w:sz w:val="20"/>
                <w:szCs w:val="20"/>
              </w:rPr>
            </w:pPr>
            <w:r>
              <w:rPr>
                <w:rFonts w:ascii="Times New Roman" w:hAnsi="Times New Roman"/>
                <w:sz w:val="20"/>
                <w:szCs w:val="20"/>
              </w:rPr>
              <w:t>16,070</w:t>
            </w:r>
          </w:p>
        </w:tc>
        <w:tc>
          <w:tcPr>
            <w:tcW w:w="752" w:type="dxa"/>
            <w:shd w:val="clear" w:color="auto" w:fill="auto"/>
          </w:tcPr>
          <w:p w:rsidR="00C84D94" w:rsidRPr="00B46F2F" w:rsidRDefault="00C84D94" w:rsidP="00590B67">
            <w:pPr>
              <w:jc w:val="right"/>
              <w:rPr>
                <w:rFonts w:ascii="Times New Roman" w:hAnsi="Times New Roman"/>
                <w:sz w:val="20"/>
                <w:szCs w:val="20"/>
              </w:rPr>
            </w:pPr>
          </w:p>
        </w:tc>
      </w:tr>
      <w:tr w:rsidR="00C84D94" w:rsidRPr="00B46F2F" w:rsidTr="00B74D7C">
        <w:trPr>
          <w:trHeight w:val="228"/>
        </w:trPr>
        <w:tc>
          <w:tcPr>
            <w:tcW w:w="6511" w:type="dxa"/>
          </w:tcPr>
          <w:p w:rsidR="00C84D94" w:rsidRPr="00B46F2F" w:rsidRDefault="00C84D94" w:rsidP="00590B67">
            <w:pPr>
              <w:rPr>
                <w:rFonts w:ascii="Times New Roman" w:hAnsi="Times New Roman"/>
                <w:sz w:val="20"/>
                <w:szCs w:val="20"/>
              </w:rPr>
            </w:pPr>
          </w:p>
        </w:tc>
        <w:tc>
          <w:tcPr>
            <w:tcW w:w="1569" w:type="dxa"/>
            <w:tcBorders>
              <w:top w:val="single" w:sz="4" w:space="0" w:color="auto"/>
              <w:bottom w:val="single" w:sz="4" w:space="0" w:color="auto"/>
            </w:tcBorders>
            <w:shd w:val="clear" w:color="auto" w:fill="auto"/>
          </w:tcPr>
          <w:p w:rsidR="00C84D94" w:rsidRPr="00B46F2F" w:rsidRDefault="00C84D94">
            <w:pPr>
              <w:jc w:val="right"/>
              <w:rPr>
                <w:rFonts w:ascii="Times New Roman" w:hAnsi="Times New Roman"/>
                <w:b/>
                <w:sz w:val="20"/>
                <w:szCs w:val="20"/>
              </w:rPr>
            </w:pPr>
            <w:r>
              <w:rPr>
                <w:rFonts w:ascii="Times New Roman" w:hAnsi="Times New Roman"/>
                <w:b/>
                <w:sz w:val="20"/>
                <w:szCs w:val="20"/>
              </w:rPr>
              <w:t>22,</w:t>
            </w:r>
            <w:r w:rsidR="00730C31">
              <w:rPr>
                <w:rFonts w:ascii="Times New Roman" w:hAnsi="Times New Roman"/>
                <w:b/>
                <w:sz w:val="20"/>
                <w:szCs w:val="20"/>
              </w:rPr>
              <w:t>7</w:t>
            </w:r>
            <w:r w:rsidR="0069096F">
              <w:rPr>
                <w:rFonts w:ascii="Times New Roman" w:hAnsi="Times New Roman"/>
                <w:b/>
                <w:sz w:val="20"/>
                <w:szCs w:val="20"/>
              </w:rPr>
              <w:t>46</w:t>
            </w:r>
            <w:r>
              <w:rPr>
                <w:rFonts w:ascii="Times New Roman" w:hAnsi="Times New Roman"/>
                <w:b/>
                <w:sz w:val="20"/>
                <w:szCs w:val="20"/>
              </w:rPr>
              <w:t>,</w:t>
            </w:r>
            <w:r w:rsidR="0069096F">
              <w:rPr>
                <w:rFonts w:ascii="Times New Roman" w:hAnsi="Times New Roman"/>
                <w:b/>
                <w:sz w:val="20"/>
                <w:szCs w:val="20"/>
              </w:rPr>
              <w:t>243</w:t>
            </w:r>
          </w:p>
        </w:tc>
        <w:tc>
          <w:tcPr>
            <w:tcW w:w="2126" w:type="dxa"/>
            <w:gridSpan w:val="2"/>
            <w:tcBorders>
              <w:top w:val="single" w:sz="4" w:space="0" w:color="auto"/>
              <w:bottom w:val="single" w:sz="4" w:space="0" w:color="auto"/>
            </w:tcBorders>
          </w:tcPr>
          <w:p w:rsidR="00C84D94" w:rsidRPr="00B46F2F" w:rsidRDefault="00C84D94" w:rsidP="003B01CA">
            <w:pPr>
              <w:jc w:val="right"/>
              <w:rPr>
                <w:rFonts w:ascii="Times New Roman" w:hAnsi="Times New Roman"/>
                <w:b/>
                <w:sz w:val="20"/>
                <w:szCs w:val="20"/>
              </w:rPr>
            </w:pPr>
            <w:r>
              <w:rPr>
                <w:rFonts w:ascii="Times New Roman" w:hAnsi="Times New Roman"/>
                <w:b/>
                <w:sz w:val="20"/>
                <w:szCs w:val="20"/>
              </w:rPr>
              <w:t>22,250,572</w:t>
            </w:r>
          </w:p>
        </w:tc>
        <w:tc>
          <w:tcPr>
            <w:tcW w:w="752" w:type="dxa"/>
            <w:shd w:val="clear" w:color="auto" w:fill="auto"/>
          </w:tcPr>
          <w:p w:rsidR="00C84D94" w:rsidRPr="00B46F2F" w:rsidRDefault="00C84D94" w:rsidP="00590B67">
            <w:pPr>
              <w:jc w:val="right"/>
              <w:rPr>
                <w:rFonts w:ascii="Times New Roman" w:hAnsi="Times New Roman"/>
                <w:sz w:val="20"/>
                <w:szCs w:val="20"/>
              </w:rPr>
            </w:pPr>
          </w:p>
        </w:tc>
      </w:tr>
      <w:tr w:rsidR="000D7F18" w:rsidRPr="00B46F2F" w:rsidTr="000D7F18">
        <w:trPr>
          <w:trHeight w:val="228"/>
        </w:trPr>
        <w:tc>
          <w:tcPr>
            <w:tcW w:w="6511" w:type="dxa"/>
          </w:tcPr>
          <w:p w:rsidR="000D7F18" w:rsidRPr="00B46F2F" w:rsidRDefault="000D7F18" w:rsidP="00577741">
            <w:pPr>
              <w:rPr>
                <w:rFonts w:ascii="Times New Roman" w:hAnsi="Times New Roman"/>
                <w:sz w:val="20"/>
                <w:szCs w:val="20"/>
              </w:rPr>
            </w:pPr>
          </w:p>
        </w:tc>
        <w:tc>
          <w:tcPr>
            <w:tcW w:w="1569" w:type="dxa"/>
            <w:tcBorders>
              <w:top w:val="single" w:sz="4" w:space="0" w:color="auto"/>
            </w:tcBorders>
            <w:shd w:val="clear" w:color="auto" w:fill="auto"/>
          </w:tcPr>
          <w:p w:rsidR="000D7F18" w:rsidRPr="00B46F2F" w:rsidRDefault="000D7F18" w:rsidP="00590B67">
            <w:pPr>
              <w:jc w:val="right"/>
              <w:rPr>
                <w:rFonts w:ascii="Times New Roman" w:hAnsi="Times New Roman"/>
                <w:b/>
                <w:sz w:val="20"/>
                <w:szCs w:val="20"/>
              </w:rPr>
            </w:pPr>
          </w:p>
        </w:tc>
        <w:tc>
          <w:tcPr>
            <w:tcW w:w="1439" w:type="dxa"/>
            <w:tcBorders>
              <w:top w:val="single" w:sz="4" w:space="0" w:color="auto"/>
            </w:tcBorders>
          </w:tcPr>
          <w:p w:rsidR="000D7F18" w:rsidRPr="00B46F2F" w:rsidRDefault="000D7F18" w:rsidP="00590B67">
            <w:pPr>
              <w:jc w:val="right"/>
              <w:rPr>
                <w:rFonts w:ascii="Times New Roman" w:hAnsi="Times New Roman"/>
                <w:b/>
                <w:sz w:val="20"/>
                <w:szCs w:val="20"/>
              </w:rPr>
            </w:pPr>
          </w:p>
        </w:tc>
        <w:tc>
          <w:tcPr>
            <w:tcW w:w="1439" w:type="dxa"/>
            <w:gridSpan w:val="2"/>
            <w:shd w:val="clear" w:color="auto" w:fill="auto"/>
          </w:tcPr>
          <w:p w:rsidR="000D7F18" w:rsidRPr="00B46F2F" w:rsidRDefault="000D7F18" w:rsidP="00590B67">
            <w:pPr>
              <w:jc w:val="right"/>
              <w:rPr>
                <w:rFonts w:ascii="Times New Roman" w:hAnsi="Times New Roman"/>
                <w:b/>
                <w:sz w:val="20"/>
                <w:szCs w:val="20"/>
              </w:rPr>
            </w:pPr>
          </w:p>
        </w:tc>
      </w:tr>
    </w:tbl>
    <w:p w:rsidR="00627D48" w:rsidRPr="00B46F2F" w:rsidRDefault="00325AC3" w:rsidP="005437AB">
      <w:pPr>
        <w:ind w:firstLine="284"/>
        <w:rPr>
          <w:rFonts w:ascii="Times New Roman" w:hAnsi="Times New Roman"/>
          <w:i/>
          <w:sz w:val="20"/>
          <w:szCs w:val="20"/>
        </w:rPr>
      </w:pPr>
      <w:r w:rsidRPr="00B46F2F">
        <w:rPr>
          <w:rFonts w:ascii="Times New Roman" w:hAnsi="Times New Roman"/>
          <w:i/>
          <w:sz w:val="20"/>
          <w:szCs w:val="20"/>
        </w:rPr>
        <w:t>Sensitivity analysis</w:t>
      </w:r>
    </w:p>
    <w:p w:rsidR="00A33C09" w:rsidRPr="00B46F2F" w:rsidRDefault="00A33C09" w:rsidP="00901761">
      <w:pPr>
        <w:autoSpaceDE w:val="0"/>
        <w:autoSpaceDN w:val="0"/>
        <w:ind w:left="284"/>
        <w:jc w:val="both"/>
        <w:rPr>
          <w:rFonts w:ascii="Times New Roman" w:hAnsi="Times New Roman"/>
          <w:sz w:val="20"/>
          <w:szCs w:val="20"/>
        </w:rPr>
      </w:pPr>
      <w:r w:rsidRPr="00B46F2F">
        <w:rPr>
          <w:rFonts w:ascii="Times New Roman" w:hAnsi="Times New Roman"/>
          <w:sz w:val="20"/>
          <w:szCs w:val="20"/>
        </w:rPr>
        <w:t xml:space="preserve">At 31 December </w:t>
      </w:r>
      <w:r w:rsidR="002018EA" w:rsidRPr="00B46F2F">
        <w:rPr>
          <w:rFonts w:ascii="Times New Roman" w:hAnsi="Times New Roman"/>
          <w:sz w:val="20"/>
          <w:szCs w:val="20"/>
        </w:rPr>
        <w:t>201</w:t>
      </w:r>
      <w:r w:rsidR="00963D05">
        <w:rPr>
          <w:rFonts w:ascii="Times New Roman" w:hAnsi="Times New Roman"/>
          <w:sz w:val="20"/>
          <w:szCs w:val="20"/>
        </w:rPr>
        <w:t>8</w:t>
      </w:r>
      <w:r w:rsidRPr="00B46F2F">
        <w:rPr>
          <w:rFonts w:ascii="Times New Roman" w:hAnsi="Times New Roman"/>
          <w:sz w:val="20"/>
          <w:szCs w:val="20"/>
        </w:rPr>
        <w:t>, had GBP strengthened against the CAD by 5%, with all other</w:t>
      </w:r>
      <w:r w:rsidR="00776D42" w:rsidRPr="00B46F2F">
        <w:rPr>
          <w:rFonts w:ascii="Times New Roman" w:hAnsi="Times New Roman"/>
          <w:sz w:val="20"/>
          <w:szCs w:val="20"/>
        </w:rPr>
        <w:t xml:space="preserve"> variables held constant, the de</w:t>
      </w:r>
      <w:r w:rsidRPr="00B46F2F">
        <w:rPr>
          <w:rFonts w:ascii="Times New Roman" w:hAnsi="Times New Roman"/>
          <w:sz w:val="20"/>
          <w:szCs w:val="20"/>
        </w:rPr>
        <w:t>crease in net assets attributable to shareholders would amount to approximately £</w:t>
      </w:r>
      <w:r w:rsidR="00730C31">
        <w:rPr>
          <w:rFonts w:ascii="Times New Roman" w:hAnsi="Times New Roman"/>
          <w:sz w:val="20"/>
          <w:szCs w:val="20"/>
        </w:rPr>
        <w:t>3,9</w:t>
      </w:r>
      <w:r w:rsidR="0069096F">
        <w:rPr>
          <w:rFonts w:ascii="Times New Roman" w:hAnsi="Times New Roman"/>
          <w:sz w:val="20"/>
          <w:szCs w:val="20"/>
        </w:rPr>
        <w:t>65</w:t>
      </w:r>
      <w:r w:rsidR="00730C31">
        <w:rPr>
          <w:rFonts w:ascii="Times New Roman" w:hAnsi="Times New Roman"/>
          <w:sz w:val="20"/>
          <w:szCs w:val="20"/>
        </w:rPr>
        <w:t>,</w:t>
      </w:r>
      <w:r w:rsidR="0069096F">
        <w:rPr>
          <w:rFonts w:ascii="Times New Roman" w:hAnsi="Times New Roman"/>
          <w:sz w:val="20"/>
          <w:szCs w:val="20"/>
        </w:rPr>
        <w:t>017</w:t>
      </w:r>
      <w:r w:rsidR="004B44DB" w:rsidRPr="00B46F2F">
        <w:rPr>
          <w:rFonts w:ascii="Times New Roman" w:hAnsi="Times New Roman"/>
          <w:sz w:val="20"/>
          <w:szCs w:val="20"/>
        </w:rPr>
        <w:t xml:space="preserve"> (31 December </w:t>
      </w:r>
      <w:r w:rsidR="002018EA" w:rsidRPr="00B46F2F">
        <w:rPr>
          <w:rFonts w:ascii="Times New Roman" w:hAnsi="Times New Roman"/>
          <w:sz w:val="20"/>
          <w:szCs w:val="20"/>
        </w:rPr>
        <w:t>201</w:t>
      </w:r>
      <w:r w:rsidR="00730C31">
        <w:rPr>
          <w:rFonts w:ascii="Times New Roman" w:hAnsi="Times New Roman"/>
          <w:sz w:val="20"/>
          <w:szCs w:val="20"/>
        </w:rPr>
        <w:t>7</w:t>
      </w:r>
      <w:r w:rsidR="004B44DB" w:rsidRPr="00B46F2F">
        <w:rPr>
          <w:rFonts w:ascii="Times New Roman" w:hAnsi="Times New Roman"/>
          <w:sz w:val="20"/>
          <w:szCs w:val="20"/>
        </w:rPr>
        <w:t xml:space="preserve">: </w:t>
      </w:r>
      <w:r w:rsidR="002018EA" w:rsidRPr="00B46F2F">
        <w:rPr>
          <w:rFonts w:ascii="Times New Roman" w:hAnsi="Times New Roman"/>
          <w:sz w:val="20"/>
          <w:szCs w:val="20"/>
        </w:rPr>
        <w:t>£</w:t>
      </w:r>
      <w:r w:rsidR="00730C31">
        <w:rPr>
          <w:rFonts w:ascii="Times New Roman" w:hAnsi="Times New Roman"/>
          <w:sz w:val="20"/>
          <w:szCs w:val="20"/>
        </w:rPr>
        <w:t>4,993,607</w:t>
      </w:r>
      <w:r w:rsidR="004B44DB" w:rsidRPr="00B46F2F">
        <w:rPr>
          <w:rFonts w:ascii="Times New Roman" w:hAnsi="Times New Roman"/>
          <w:sz w:val="20"/>
          <w:szCs w:val="20"/>
        </w:rPr>
        <w:t>)</w:t>
      </w:r>
      <w:r w:rsidRPr="00B46F2F">
        <w:rPr>
          <w:rFonts w:ascii="Times New Roman" w:hAnsi="Times New Roman"/>
          <w:sz w:val="20"/>
          <w:szCs w:val="20"/>
        </w:rPr>
        <w:t>.  Had GBP weakened against the CAD by 5%, this would amount to a</w:t>
      </w:r>
      <w:r w:rsidR="00776D42" w:rsidRPr="00B46F2F">
        <w:rPr>
          <w:rFonts w:ascii="Times New Roman" w:hAnsi="Times New Roman"/>
          <w:sz w:val="20"/>
          <w:szCs w:val="20"/>
        </w:rPr>
        <w:t>n in</w:t>
      </w:r>
      <w:r w:rsidRPr="00B46F2F">
        <w:rPr>
          <w:rFonts w:ascii="Times New Roman" w:hAnsi="Times New Roman"/>
          <w:sz w:val="20"/>
          <w:szCs w:val="20"/>
        </w:rPr>
        <w:t>crease in net assets attributable to shareholders</w:t>
      </w:r>
      <w:r w:rsidR="00901761" w:rsidRPr="00B46F2F">
        <w:rPr>
          <w:rFonts w:ascii="Times New Roman" w:hAnsi="Times New Roman"/>
          <w:sz w:val="20"/>
          <w:szCs w:val="20"/>
        </w:rPr>
        <w:t xml:space="preserve"> </w:t>
      </w:r>
      <w:r w:rsidRPr="00B46F2F">
        <w:rPr>
          <w:rFonts w:ascii="Times New Roman" w:hAnsi="Times New Roman"/>
          <w:sz w:val="20"/>
          <w:szCs w:val="20"/>
        </w:rPr>
        <w:t>of approximately £</w:t>
      </w:r>
      <w:r w:rsidR="00730C31">
        <w:rPr>
          <w:rFonts w:ascii="Times New Roman" w:hAnsi="Times New Roman"/>
          <w:sz w:val="20"/>
          <w:szCs w:val="20"/>
        </w:rPr>
        <w:t>3,9</w:t>
      </w:r>
      <w:r w:rsidR="0069096F">
        <w:rPr>
          <w:rFonts w:ascii="Times New Roman" w:hAnsi="Times New Roman"/>
          <w:sz w:val="20"/>
          <w:szCs w:val="20"/>
        </w:rPr>
        <w:t>65</w:t>
      </w:r>
      <w:r w:rsidR="00730C31">
        <w:rPr>
          <w:rFonts w:ascii="Times New Roman" w:hAnsi="Times New Roman"/>
          <w:sz w:val="20"/>
          <w:szCs w:val="20"/>
        </w:rPr>
        <w:t>,</w:t>
      </w:r>
      <w:r w:rsidR="0069096F">
        <w:rPr>
          <w:rFonts w:ascii="Times New Roman" w:hAnsi="Times New Roman"/>
          <w:sz w:val="20"/>
          <w:szCs w:val="20"/>
        </w:rPr>
        <w:t>017</w:t>
      </w:r>
      <w:r w:rsidR="00730C31" w:rsidRPr="00B46F2F">
        <w:rPr>
          <w:rFonts w:ascii="Times New Roman" w:hAnsi="Times New Roman"/>
          <w:sz w:val="20"/>
          <w:szCs w:val="20"/>
        </w:rPr>
        <w:t xml:space="preserve"> </w:t>
      </w:r>
      <w:r w:rsidR="004B44DB" w:rsidRPr="00B46F2F">
        <w:rPr>
          <w:rFonts w:ascii="Times New Roman" w:hAnsi="Times New Roman"/>
          <w:sz w:val="20"/>
          <w:szCs w:val="20"/>
        </w:rPr>
        <w:t xml:space="preserve">(31 December </w:t>
      </w:r>
      <w:r w:rsidR="002018EA" w:rsidRPr="00B46F2F">
        <w:rPr>
          <w:rFonts w:ascii="Times New Roman" w:hAnsi="Times New Roman"/>
          <w:sz w:val="20"/>
          <w:szCs w:val="20"/>
        </w:rPr>
        <w:t>201</w:t>
      </w:r>
      <w:r w:rsidR="00730C31">
        <w:rPr>
          <w:rFonts w:ascii="Times New Roman" w:hAnsi="Times New Roman"/>
          <w:sz w:val="20"/>
          <w:szCs w:val="20"/>
        </w:rPr>
        <w:t>7</w:t>
      </w:r>
      <w:r w:rsidR="004B44DB" w:rsidRPr="00B46F2F">
        <w:rPr>
          <w:rFonts w:ascii="Times New Roman" w:hAnsi="Times New Roman"/>
          <w:sz w:val="20"/>
          <w:szCs w:val="20"/>
        </w:rPr>
        <w:t xml:space="preserve">: </w:t>
      </w:r>
      <w:r w:rsidR="002018EA" w:rsidRPr="00B46F2F">
        <w:rPr>
          <w:rFonts w:ascii="Times New Roman" w:hAnsi="Times New Roman"/>
          <w:sz w:val="20"/>
          <w:szCs w:val="20"/>
        </w:rPr>
        <w:t>£</w:t>
      </w:r>
      <w:r w:rsidR="00730C31">
        <w:rPr>
          <w:rFonts w:ascii="Times New Roman" w:hAnsi="Times New Roman"/>
          <w:sz w:val="20"/>
          <w:szCs w:val="20"/>
        </w:rPr>
        <w:t>4,993,607</w:t>
      </w:r>
      <w:r w:rsidR="004B44DB" w:rsidRPr="00B46F2F">
        <w:rPr>
          <w:rFonts w:ascii="Times New Roman" w:hAnsi="Times New Roman"/>
          <w:sz w:val="20"/>
          <w:szCs w:val="20"/>
        </w:rPr>
        <w:t>)</w:t>
      </w:r>
      <w:r w:rsidRPr="00B46F2F">
        <w:rPr>
          <w:rFonts w:ascii="Times New Roman" w:hAnsi="Times New Roman"/>
          <w:sz w:val="20"/>
          <w:szCs w:val="20"/>
        </w:rPr>
        <w:t>.</w:t>
      </w:r>
    </w:p>
    <w:p w:rsidR="005437AB" w:rsidRPr="00B46F2F" w:rsidRDefault="005437AB" w:rsidP="00901761">
      <w:pPr>
        <w:autoSpaceDE w:val="0"/>
        <w:autoSpaceDN w:val="0"/>
        <w:ind w:left="284"/>
        <w:jc w:val="both"/>
        <w:rPr>
          <w:rFonts w:ascii="Times New Roman" w:hAnsi="Times New Roman"/>
          <w:sz w:val="20"/>
          <w:szCs w:val="20"/>
        </w:rPr>
      </w:pPr>
    </w:p>
    <w:p w:rsidR="005437AB" w:rsidRPr="005437AB" w:rsidRDefault="005437AB" w:rsidP="005437AB">
      <w:pPr>
        <w:ind w:left="284"/>
        <w:jc w:val="both"/>
      </w:pPr>
      <w:r w:rsidRPr="00B46F2F">
        <w:rPr>
          <w:rFonts w:ascii="Times New Roman" w:hAnsi="Times New Roman"/>
          <w:sz w:val="20"/>
          <w:szCs w:val="20"/>
        </w:rPr>
        <w:t xml:space="preserve">At </w:t>
      </w:r>
      <w:r w:rsidR="00301559" w:rsidRPr="00B46F2F">
        <w:rPr>
          <w:rFonts w:ascii="Times New Roman" w:hAnsi="Times New Roman"/>
          <w:sz w:val="20"/>
          <w:szCs w:val="20"/>
        </w:rPr>
        <w:t>31 December 201</w:t>
      </w:r>
      <w:r w:rsidR="00963D05">
        <w:rPr>
          <w:rFonts w:ascii="Times New Roman" w:hAnsi="Times New Roman"/>
          <w:sz w:val="20"/>
          <w:szCs w:val="20"/>
        </w:rPr>
        <w:t>8</w:t>
      </w:r>
      <w:r w:rsidR="003A3E0E" w:rsidRPr="00B46F2F">
        <w:rPr>
          <w:rFonts w:ascii="Times New Roman" w:hAnsi="Times New Roman"/>
          <w:sz w:val="20"/>
          <w:szCs w:val="20"/>
        </w:rPr>
        <w:t>,</w:t>
      </w:r>
      <w:r w:rsidR="003871A4" w:rsidRPr="00B46F2F">
        <w:rPr>
          <w:rFonts w:ascii="Times New Roman" w:hAnsi="Times New Roman"/>
          <w:sz w:val="20"/>
          <w:szCs w:val="20"/>
        </w:rPr>
        <w:t xml:space="preserve"> had GBP strengthened against the USD by 5%, with all other variables held constant, the decrease in net assets attributable</w:t>
      </w:r>
      <w:r w:rsidRPr="00B46F2F">
        <w:rPr>
          <w:rFonts w:ascii="Times New Roman" w:hAnsi="Times New Roman"/>
          <w:sz w:val="20"/>
          <w:szCs w:val="20"/>
        </w:rPr>
        <w:t xml:space="preserve"> to shareholders would amount to approximately £</w:t>
      </w:r>
      <w:r w:rsidR="008D2F1B">
        <w:rPr>
          <w:rFonts w:ascii="Times New Roman" w:hAnsi="Times New Roman"/>
          <w:sz w:val="20"/>
          <w:szCs w:val="20"/>
        </w:rPr>
        <w:t>1</w:t>
      </w:r>
      <w:r w:rsidR="00E21312">
        <w:rPr>
          <w:rFonts w:ascii="Times New Roman" w:hAnsi="Times New Roman"/>
          <w:sz w:val="20"/>
          <w:szCs w:val="20"/>
        </w:rPr>
        <w:t>,</w:t>
      </w:r>
      <w:r w:rsidR="00730C31">
        <w:rPr>
          <w:rFonts w:ascii="Times New Roman" w:hAnsi="Times New Roman"/>
          <w:sz w:val="20"/>
          <w:szCs w:val="20"/>
        </w:rPr>
        <w:t>137</w:t>
      </w:r>
      <w:r w:rsidR="00E21312">
        <w:rPr>
          <w:rFonts w:ascii="Times New Roman" w:hAnsi="Times New Roman"/>
          <w:sz w:val="20"/>
          <w:szCs w:val="20"/>
        </w:rPr>
        <w:t>,</w:t>
      </w:r>
      <w:r w:rsidR="0069096F">
        <w:rPr>
          <w:rFonts w:ascii="Times New Roman" w:hAnsi="Times New Roman"/>
          <w:sz w:val="20"/>
          <w:szCs w:val="20"/>
        </w:rPr>
        <w:t>312</w:t>
      </w:r>
      <w:r w:rsidR="00730C31" w:rsidRPr="00B46F2F">
        <w:rPr>
          <w:rFonts w:ascii="Times New Roman" w:hAnsi="Times New Roman"/>
          <w:sz w:val="20"/>
          <w:szCs w:val="20"/>
        </w:rPr>
        <w:t xml:space="preserve"> </w:t>
      </w:r>
      <w:r w:rsidRPr="00B46F2F">
        <w:rPr>
          <w:rFonts w:ascii="Times New Roman" w:hAnsi="Times New Roman"/>
          <w:sz w:val="20"/>
          <w:szCs w:val="20"/>
        </w:rPr>
        <w:t xml:space="preserve">(31 December </w:t>
      </w:r>
      <w:r w:rsidR="002018EA" w:rsidRPr="00B46F2F">
        <w:rPr>
          <w:rFonts w:ascii="Times New Roman" w:hAnsi="Times New Roman"/>
          <w:sz w:val="20"/>
          <w:szCs w:val="20"/>
        </w:rPr>
        <w:t>201</w:t>
      </w:r>
      <w:r w:rsidR="00730C31">
        <w:rPr>
          <w:rFonts w:ascii="Times New Roman" w:hAnsi="Times New Roman"/>
          <w:sz w:val="20"/>
          <w:szCs w:val="20"/>
        </w:rPr>
        <w:t>7</w:t>
      </w:r>
      <w:r w:rsidRPr="00B46F2F">
        <w:rPr>
          <w:rFonts w:ascii="Times New Roman" w:hAnsi="Times New Roman"/>
          <w:sz w:val="20"/>
          <w:szCs w:val="20"/>
        </w:rPr>
        <w:t xml:space="preserve">: </w:t>
      </w:r>
      <w:r w:rsidR="002018EA" w:rsidRPr="00B46F2F">
        <w:rPr>
          <w:rFonts w:ascii="Times New Roman" w:hAnsi="Times New Roman"/>
          <w:sz w:val="20"/>
          <w:szCs w:val="20"/>
        </w:rPr>
        <w:t>£</w:t>
      </w:r>
      <w:r w:rsidR="00730C31">
        <w:rPr>
          <w:rFonts w:ascii="Times New Roman" w:hAnsi="Times New Roman"/>
          <w:sz w:val="20"/>
          <w:szCs w:val="20"/>
        </w:rPr>
        <w:t>1,112,529</w:t>
      </w:r>
      <w:r w:rsidRPr="00B46F2F">
        <w:rPr>
          <w:rFonts w:ascii="Times New Roman" w:hAnsi="Times New Roman"/>
          <w:sz w:val="20"/>
          <w:szCs w:val="20"/>
        </w:rPr>
        <w:t>). Had GBP weakened against the USD by 5%, this would amount to a</w:t>
      </w:r>
      <w:r w:rsidR="003A3E0E" w:rsidRPr="00B46F2F">
        <w:rPr>
          <w:rFonts w:ascii="Times New Roman" w:hAnsi="Times New Roman"/>
          <w:sz w:val="20"/>
          <w:szCs w:val="20"/>
        </w:rPr>
        <w:t>n in</w:t>
      </w:r>
      <w:r w:rsidRPr="00B46F2F">
        <w:rPr>
          <w:rFonts w:ascii="Times New Roman" w:hAnsi="Times New Roman"/>
          <w:sz w:val="20"/>
          <w:szCs w:val="20"/>
        </w:rPr>
        <w:t xml:space="preserve">crease in net assets attributable to shareholders of approximately </w:t>
      </w:r>
      <w:r w:rsidR="00A43489" w:rsidRPr="00B46F2F">
        <w:rPr>
          <w:rFonts w:ascii="Times New Roman" w:hAnsi="Times New Roman"/>
          <w:sz w:val="20"/>
          <w:szCs w:val="20"/>
        </w:rPr>
        <w:t>£</w:t>
      </w:r>
      <w:r w:rsidR="00730C31">
        <w:rPr>
          <w:rFonts w:ascii="Times New Roman" w:hAnsi="Times New Roman"/>
          <w:sz w:val="20"/>
          <w:szCs w:val="20"/>
        </w:rPr>
        <w:t>1,137,</w:t>
      </w:r>
      <w:r w:rsidR="0069096F">
        <w:rPr>
          <w:rFonts w:ascii="Times New Roman" w:hAnsi="Times New Roman"/>
          <w:sz w:val="20"/>
          <w:szCs w:val="20"/>
        </w:rPr>
        <w:t>312</w:t>
      </w:r>
      <w:r w:rsidR="00730C31" w:rsidRPr="00B46F2F">
        <w:rPr>
          <w:rFonts w:ascii="Times New Roman" w:hAnsi="Times New Roman"/>
          <w:sz w:val="20"/>
          <w:szCs w:val="20"/>
        </w:rPr>
        <w:t xml:space="preserve"> </w:t>
      </w:r>
      <w:r w:rsidRPr="00B46F2F">
        <w:rPr>
          <w:rFonts w:ascii="Times New Roman" w:hAnsi="Times New Roman"/>
          <w:sz w:val="20"/>
          <w:szCs w:val="20"/>
        </w:rPr>
        <w:t xml:space="preserve">(31 December </w:t>
      </w:r>
      <w:r w:rsidR="002018EA" w:rsidRPr="00B46F2F">
        <w:rPr>
          <w:rFonts w:ascii="Times New Roman" w:hAnsi="Times New Roman"/>
          <w:sz w:val="20"/>
          <w:szCs w:val="20"/>
        </w:rPr>
        <w:t>201</w:t>
      </w:r>
      <w:r w:rsidR="00730C31">
        <w:rPr>
          <w:rFonts w:ascii="Times New Roman" w:hAnsi="Times New Roman"/>
          <w:sz w:val="20"/>
          <w:szCs w:val="20"/>
        </w:rPr>
        <w:t>7</w:t>
      </w:r>
      <w:r w:rsidRPr="00B46F2F">
        <w:rPr>
          <w:rFonts w:ascii="Times New Roman" w:hAnsi="Times New Roman"/>
          <w:sz w:val="20"/>
          <w:szCs w:val="20"/>
        </w:rPr>
        <w:t xml:space="preserve">: </w:t>
      </w:r>
      <w:r w:rsidR="002018EA" w:rsidRPr="00B46F2F">
        <w:rPr>
          <w:rFonts w:ascii="Times New Roman" w:hAnsi="Times New Roman"/>
          <w:sz w:val="20"/>
          <w:szCs w:val="20"/>
        </w:rPr>
        <w:t>£</w:t>
      </w:r>
      <w:r w:rsidR="00730C31">
        <w:rPr>
          <w:rFonts w:ascii="Times New Roman" w:hAnsi="Times New Roman"/>
          <w:sz w:val="20"/>
          <w:szCs w:val="20"/>
        </w:rPr>
        <w:t>1,112,529</w:t>
      </w:r>
      <w:r w:rsidRPr="006A7A08">
        <w:rPr>
          <w:rFonts w:ascii="Times New Roman" w:hAnsi="Times New Roman"/>
          <w:sz w:val="20"/>
          <w:szCs w:val="20"/>
        </w:rPr>
        <w:t>).</w:t>
      </w:r>
    </w:p>
    <w:p w:rsidR="00E12A9A" w:rsidRDefault="00E12A9A" w:rsidP="00E12A9A">
      <w:pPr>
        <w:ind w:left="284" w:hanging="284"/>
        <w:rPr>
          <w:rFonts w:ascii="Times New Roman" w:hAnsi="Times New Roman"/>
          <w:b/>
          <w:sz w:val="20"/>
          <w:szCs w:val="20"/>
        </w:rPr>
      </w:pPr>
    </w:p>
    <w:p w:rsidR="00735183" w:rsidRDefault="00E12A9A">
      <w:pPr>
        <w:ind w:left="284" w:hanging="284"/>
        <w:rPr>
          <w:rFonts w:ascii="Times New Roman" w:hAnsi="Times New Roman"/>
          <w:b/>
          <w:sz w:val="20"/>
          <w:szCs w:val="20"/>
        </w:rPr>
      </w:pPr>
      <w:r w:rsidRPr="009170B8">
        <w:rPr>
          <w:rFonts w:ascii="Times New Roman" w:hAnsi="Times New Roman"/>
          <w:b/>
          <w:sz w:val="20"/>
          <w:szCs w:val="20"/>
        </w:rPr>
        <w:t>1</w:t>
      </w:r>
      <w:r>
        <w:rPr>
          <w:rFonts w:ascii="Times New Roman" w:hAnsi="Times New Roman"/>
          <w:b/>
          <w:sz w:val="20"/>
          <w:szCs w:val="20"/>
        </w:rPr>
        <w:t>7. Cash Flow statement reconciliation of financing activities</w:t>
      </w:r>
    </w:p>
    <w:p w:rsidR="00E12A9A" w:rsidRDefault="00E12A9A" w:rsidP="00BA75C4">
      <w:pPr>
        <w:autoSpaceDE w:val="0"/>
        <w:autoSpaceDN w:val="0"/>
        <w:ind w:left="284"/>
        <w:jc w:val="both"/>
        <w:rPr>
          <w:rFonts w:ascii="Times New Roman" w:hAnsi="Times New Roman"/>
          <w:sz w:val="20"/>
          <w:szCs w:val="20"/>
        </w:rPr>
      </w:pPr>
      <w:r w:rsidRPr="00BA75C4">
        <w:rPr>
          <w:rFonts w:ascii="Times New Roman" w:hAnsi="Times New Roman"/>
          <w:sz w:val="20"/>
          <w:szCs w:val="20"/>
        </w:rPr>
        <w:t>The following table discloses the effects of the amendments to IAS 7 Statement of Cash Flows that require</w:t>
      </w:r>
      <w:r>
        <w:rPr>
          <w:rFonts w:ascii="Times New Roman" w:hAnsi="Times New Roman"/>
          <w:sz w:val="20"/>
          <w:szCs w:val="20"/>
        </w:rPr>
        <w:t xml:space="preserve"> </w:t>
      </w:r>
      <w:r w:rsidRPr="00BA75C4">
        <w:rPr>
          <w:rFonts w:ascii="Times New Roman" w:hAnsi="Times New Roman"/>
          <w:sz w:val="20"/>
          <w:szCs w:val="20"/>
        </w:rPr>
        <w:t>additional disclosures about changes in an entity’s financing liabilities arising from both cash flow and non</w:t>
      </w:r>
      <w:r w:rsidR="00E214AD">
        <w:rPr>
          <w:rFonts w:ascii="Times New Roman" w:hAnsi="Times New Roman"/>
          <w:sz w:val="20"/>
          <w:szCs w:val="20"/>
        </w:rPr>
        <w:t>-</w:t>
      </w:r>
      <w:r w:rsidRPr="00BA75C4">
        <w:rPr>
          <w:rFonts w:ascii="Times New Roman" w:hAnsi="Times New Roman"/>
          <w:sz w:val="20"/>
          <w:szCs w:val="20"/>
        </w:rPr>
        <w:t>cash</w:t>
      </w:r>
      <w:r>
        <w:rPr>
          <w:rFonts w:ascii="Times New Roman" w:hAnsi="Times New Roman"/>
          <w:sz w:val="20"/>
          <w:szCs w:val="20"/>
        </w:rPr>
        <w:t xml:space="preserve"> </w:t>
      </w:r>
      <w:r w:rsidRPr="00BA75C4">
        <w:rPr>
          <w:rFonts w:ascii="Times New Roman" w:hAnsi="Times New Roman"/>
          <w:sz w:val="20"/>
          <w:szCs w:val="20"/>
        </w:rPr>
        <w:t>flow items.</w:t>
      </w:r>
    </w:p>
    <w:p w:rsidR="00E12A9A" w:rsidRPr="00BA75C4" w:rsidRDefault="00E12A9A" w:rsidP="00BA75C4">
      <w:pPr>
        <w:autoSpaceDE w:val="0"/>
        <w:autoSpaceDN w:val="0"/>
        <w:ind w:left="284"/>
        <w:jc w:val="both"/>
        <w:rPr>
          <w:rFonts w:ascii="Times New Roman" w:hAnsi="Times New Roman"/>
          <w:sz w:val="20"/>
          <w:szCs w:val="20"/>
        </w:rPr>
      </w:pPr>
    </w:p>
    <w:tbl>
      <w:tblPr>
        <w:tblW w:w="10348" w:type="dxa"/>
        <w:tblInd w:w="250" w:type="dxa"/>
        <w:tblLayout w:type="fixed"/>
        <w:tblLook w:val="04A0" w:firstRow="1" w:lastRow="0" w:firstColumn="1" w:lastColumn="0" w:noHBand="0" w:noVBand="1"/>
      </w:tblPr>
      <w:tblGrid>
        <w:gridCol w:w="1985"/>
        <w:gridCol w:w="1559"/>
        <w:gridCol w:w="1448"/>
        <w:gridCol w:w="1245"/>
        <w:gridCol w:w="1276"/>
        <w:gridCol w:w="992"/>
        <w:gridCol w:w="1843"/>
      </w:tblGrid>
      <w:tr w:rsidR="00E12A9A" w:rsidRPr="00496D9E" w:rsidTr="00C87A19">
        <w:trPr>
          <w:trHeight w:val="300"/>
        </w:trPr>
        <w:tc>
          <w:tcPr>
            <w:tcW w:w="1985" w:type="dxa"/>
            <w:tcBorders>
              <w:top w:val="nil"/>
              <w:left w:val="nil"/>
              <w:bottom w:val="nil"/>
              <w:right w:val="nil"/>
            </w:tcBorders>
            <w:shd w:val="clear" w:color="auto" w:fill="auto"/>
            <w:noWrap/>
            <w:vAlign w:val="center"/>
            <w:hideMark/>
          </w:tcPr>
          <w:p w:rsidR="00E12A9A" w:rsidRPr="00C87A19" w:rsidRDefault="00E12A9A" w:rsidP="003B01CA">
            <w:pPr>
              <w:rPr>
                <w:rFonts w:ascii="Times New Roman" w:hAnsi="Times New Roman"/>
                <w:sz w:val="20"/>
                <w:szCs w:val="20"/>
                <w:lang w:eastAsia="en-GB"/>
              </w:rPr>
            </w:pPr>
          </w:p>
        </w:tc>
        <w:tc>
          <w:tcPr>
            <w:tcW w:w="1559" w:type="dxa"/>
            <w:tcBorders>
              <w:top w:val="nil"/>
              <w:left w:val="nil"/>
              <w:bottom w:val="nil"/>
              <w:right w:val="nil"/>
            </w:tcBorders>
            <w:shd w:val="clear" w:color="auto" w:fill="auto"/>
            <w:noWrap/>
            <w:vAlign w:val="bottom"/>
            <w:hideMark/>
          </w:tcPr>
          <w:p w:rsidR="00E12A9A" w:rsidRPr="0075060A" w:rsidRDefault="00E12A9A">
            <w:pPr>
              <w:jc w:val="right"/>
              <w:rPr>
                <w:rFonts w:ascii="Times New Roman" w:hAnsi="Times New Roman"/>
                <w:b/>
                <w:sz w:val="20"/>
                <w:szCs w:val="20"/>
              </w:rPr>
            </w:pPr>
            <w:r w:rsidRPr="0075060A">
              <w:rPr>
                <w:rFonts w:ascii="Times New Roman" w:hAnsi="Times New Roman"/>
                <w:b/>
                <w:sz w:val="20"/>
                <w:szCs w:val="20"/>
              </w:rPr>
              <w:t>1 January 201</w:t>
            </w:r>
            <w:r w:rsidR="00C84D94">
              <w:rPr>
                <w:rFonts w:ascii="Times New Roman" w:hAnsi="Times New Roman"/>
                <w:b/>
                <w:sz w:val="20"/>
                <w:szCs w:val="20"/>
              </w:rPr>
              <w:t>8</w:t>
            </w:r>
          </w:p>
        </w:tc>
        <w:tc>
          <w:tcPr>
            <w:tcW w:w="1448" w:type="dxa"/>
            <w:tcBorders>
              <w:top w:val="nil"/>
              <w:left w:val="nil"/>
              <w:bottom w:val="nil"/>
              <w:right w:val="nil"/>
            </w:tcBorders>
            <w:vAlign w:val="bottom"/>
          </w:tcPr>
          <w:p w:rsidR="00E12A9A" w:rsidRPr="0075060A" w:rsidRDefault="00E12A9A" w:rsidP="003B01CA">
            <w:pPr>
              <w:jc w:val="right"/>
              <w:rPr>
                <w:rFonts w:ascii="Times New Roman" w:hAnsi="Times New Roman"/>
                <w:b/>
                <w:sz w:val="20"/>
                <w:szCs w:val="20"/>
              </w:rPr>
            </w:pPr>
            <w:r w:rsidRPr="0075060A">
              <w:rPr>
                <w:rFonts w:ascii="Times New Roman" w:hAnsi="Times New Roman"/>
                <w:b/>
                <w:sz w:val="20"/>
                <w:szCs w:val="20"/>
              </w:rPr>
              <w:t>Cash flows</w:t>
            </w:r>
          </w:p>
        </w:tc>
        <w:tc>
          <w:tcPr>
            <w:tcW w:w="3513" w:type="dxa"/>
            <w:gridSpan w:val="3"/>
            <w:tcBorders>
              <w:top w:val="nil"/>
              <w:left w:val="nil"/>
              <w:bottom w:val="nil"/>
              <w:right w:val="nil"/>
            </w:tcBorders>
            <w:vAlign w:val="bottom"/>
          </w:tcPr>
          <w:p w:rsidR="00E12A9A" w:rsidRPr="0075060A" w:rsidRDefault="00E12A9A">
            <w:pPr>
              <w:jc w:val="center"/>
              <w:rPr>
                <w:rFonts w:ascii="Times New Roman" w:hAnsi="Times New Roman"/>
                <w:b/>
                <w:sz w:val="20"/>
                <w:szCs w:val="20"/>
              </w:rPr>
            </w:pPr>
            <w:r w:rsidRPr="0075060A">
              <w:rPr>
                <w:rFonts w:ascii="Times New Roman" w:hAnsi="Times New Roman"/>
                <w:b/>
                <w:sz w:val="20"/>
                <w:szCs w:val="20"/>
              </w:rPr>
              <w:t>Non</w:t>
            </w:r>
            <w:r w:rsidR="00E214AD">
              <w:rPr>
                <w:rFonts w:ascii="Times New Roman" w:hAnsi="Times New Roman"/>
                <w:b/>
                <w:sz w:val="20"/>
                <w:szCs w:val="20"/>
              </w:rPr>
              <w:t>-</w:t>
            </w:r>
            <w:r w:rsidRPr="0075060A">
              <w:rPr>
                <w:rFonts w:ascii="Times New Roman" w:hAnsi="Times New Roman"/>
                <w:b/>
                <w:sz w:val="20"/>
                <w:szCs w:val="20"/>
              </w:rPr>
              <w:t>cash changes</w:t>
            </w:r>
          </w:p>
        </w:tc>
        <w:tc>
          <w:tcPr>
            <w:tcW w:w="1843" w:type="dxa"/>
            <w:tcBorders>
              <w:top w:val="nil"/>
              <w:left w:val="nil"/>
              <w:bottom w:val="nil"/>
              <w:right w:val="nil"/>
            </w:tcBorders>
            <w:vAlign w:val="bottom"/>
          </w:tcPr>
          <w:p w:rsidR="00E12A9A" w:rsidRPr="0075060A" w:rsidRDefault="00E12A9A">
            <w:pPr>
              <w:rPr>
                <w:rFonts w:ascii="Times New Roman" w:hAnsi="Times New Roman"/>
                <w:b/>
                <w:sz w:val="20"/>
                <w:szCs w:val="20"/>
              </w:rPr>
            </w:pPr>
            <w:r w:rsidRPr="0075060A">
              <w:rPr>
                <w:rFonts w:ascii="Times New Roman" w:hAnsi="Times New Roman"/>
                <w:b/>
                <w:sz w:val="20"/>
                <w:szCs w:val="20"/>
              </w:rPr>
              <w:t>31</w:t>
            </w:r>
            <w:r w:rsidR="0075060A">
              <w:rPr>
                <w:rFonts w:ascii="Times New Roman" w:hAnsi="Times New Roman"/>
                <w:b/>
                <w:sz w:val="20"/>
                <w:szCs w:val="20"/>
              </w:rPr>
              <w:t xml:space="preserve"> </w:t>
            </w:r>
            <w:r w:rsidRPr="0075060A">
              <w:rPr>
                <w:rFonts w:ascii="Times New Roman" w:hAnsi="Times New Roman"/>
                <w:b/>
                <w:sz w:val="20"/>
                <w:szCs w:val="20"/>
              </w:rPr>
              <w:t>December 201</w:t>
            </w:r>
            <w:r w:rsidR="00C84D94">
              <w:rPr>
                <w:rFonts w:ascii="Times New Roman" w:hAnsi="Times New Roman"/>
                <w:b/>
                <w:sz w:val="20"/>
                <w:szCs w:val="20"/>
              </w:rPr>
              <w:t>8</w:t>
            </w:r>
          </w:p>
        </w:tc>
      </w:tr>
      <w:tr w:rsidR="00E12A9A" w:rsidRPr="00496D9E" w:rsidTr="00C87A19">
        <w:trPr>
          <w:trHeight w:val="300"/>
        </w:trPr>
        <w:tc>
          <w:tcPr>
            <w:tcW w:w="1985" w:type="dxa"/>
            <w:tcBorders>
              <w:top w:val="nil"/>
              <w:left w:val="nil"/>
              <w:bottom w:val="nil"/>
              <w:right w:val="nil"/>
            </w:tcBorders>
            <w:shd w:val="clear" w:color="auto" w:fill="auto"/>
            <w:noWrap/>
            <w:vAlign w:val="bottom"/>
          </w:tcPr>
          <w:p w:rsidR="00E12A9A" w:rsidRPr="00C87A19" w:rsidRDefault="00E12A9A" w:rsidP="003B01CA">
            <w:pPr>
              <w:rPr>
                <w:rFonts w:ascii="Times New Roman" w:hAnsi="Times New Roman"/>
                <w:sz w:val="20"/>
                <w:szCs w:val="20"/>
                <w:lang w:eastAsia="en-GB"/>
              </w:rPr>
            </w:pPr>
          </w:p>
        </w:tc>
        <w:tc>
          <w:tcPr>
            <w:tcW w:w="1559" w:type="dxa"/>
            <w:tcBorders>
              <w:top w:val="nil"/>
              <w:left w:val="nil"/>
              <w:bottom w:val="nil"/>
              <w:right w:val="nil"/>
            </w:tcBorders>
            <w:shd w:val="clear" w:color="auto" w:fill="auto"/>
            <w:noWrap/>
            <w:vAlign w:val="bottom"/>
          </w:tcPr>
          <w:p w:rsidR="00E12A9A" w:rsidRPr="00C87A19" w:rsidRDefault="00E12A9A" w:rsidP="003B01CA">
            <w:pPr>
              <w:jc w:val="right"/>
              <w:rPr>
                <w:rFonts w:ascii="Times New Roman" w:hAnsi="Times New Roman"/>
                <w:b/>
                <w:sz w:val="20"/>
                <w:szCs w:val="20"/>
                <w:lang w:eastAsia="en-GB"/>
              </w:rPr>
            </w:pPr>
          </w:p>
        </w:tc>
        <w:tc>
          <w:tcPr>
            <w:tcW w:w="1448" w:type="dxa"/>
            <w:tcBorders>
              <w:top w:val="nil"/>
              <w:left w:val="nil"/>
              <w:bottom w:val="nil"/>
              <w:right w:val="nil"/>
            </w:tcBorders>
            <w:vAlign w:val="bottom"/>
          </w:tcPr>
          <w:p w:rsidR="00E12A9A" w:rsidRPr="00C87A19" w:rsidRDefault="00E12A9A" w:rsidP="003B01CA">
            <w:pPr>
              <w:jc w:val="right"/>
              <w:rPr>
                <w:rFonts w:ascii="Times New Roman" w:hAnsi="Times New Roman"/>
                <w:b/>
                <w:sz w:val="20"/>
                <w:szCs w:val="20"/>
                <w:lang w:eastAsia="en-GB"/>
              </w:rPr>
            </w:pPr>
          </w:p>
        </w:tc>
        <w:tc>
          <w:tcPr>
            <w:tcW w:w="1245" w:type="dxa"/>
            <w:tcBorders>
              <w:top w:val="nil"/>
              <w:left w:val="nil"/>
              <w:bottom w:val="nil"/>
              <w:right w:val="nil"/>
            </w:tcBorders>
            <w:vAlign w:val="bottom"/>
          </w:tcPr>
          <w:p w:rsidR="00E12A9A" w:rsidRPr="0075060A" w:rsidRDefault="00E12A9A">
            <w:pPr>
              <w:jc w:val="right"/>
              <w:rPr>
                <w:rFonts w:ascii="Times New Roman" w:hAnsi="Times New Roman"/>
                <w:sz w:val="20"/>
                <w:szCs w:val="20"/>
              </w:rPr>
            </w:pPr>
            <w:r w:rsidRPr="0075060A">
              <w:rPr>
                <w:rFonts w:ascii="Times New Roman" w:hAnsi="Times New Roman"/>
                <w:sz w:val="20"/>
                <w:szCs w:val="20"/>
              </w:rPr>
              <w:t>Acquisition</w:t>
            </w:r>
          </w:p>
        </w:tc>
        <w:tc>
          <w:tcPr>
            <w:tcW w:w="1276" w:type="dxa"/>
            <w:tcBorders>
              <w:top w:val="nil"/>
              <w:left w:val="nil"/>
              <w:bottom w:val="nil"/>
              <w:right w:val="nil"/>
            </w:tcBorders>
            <w:vAlign w:val="bottom"/>
          </w:tcPr>
          <w:p w:rsidR="00E12A9A" w:rsidRPr="0075060A" w:rsidRDefault="00E12A9A" w:rsidP="003B01CA">
            <w:pPr>
              <w:jc w:val="right"/>
              <w:rPr>
                <w:rFonts w:ascii="Times New Roman" w:hAnsi="Times New Roman"/>
                <w:sz w:val="20"/>
                <w:szCs w:val="20"/>
              </w:rPr>
            </w:pPr>
            <w:r w:rsidRPr="0075060A">
              <w:rPr>
                <w:rFonts w:ascii="Times New Roman" w:hAnsi="Times New Roman"/>
                <w:sz w:val="20"/>
                <w:szCs w:val="20"/>
              </w:rPr>
              <w:t>Foreign exchange movements</w:t>
            </w:r>
          </w:p>
        </w:tc>
        <w:tc>
          <w:tcPr>
            <w:tcW w:w="992" w:type="dxa"/>
            <w:tcBorders>
              <w:top w:val="nil"/>
              <w:left w:val="nil"/>
              <w:bottom w:val="nil"/>
              <w:right w:val="nil"/>
            </w:tcBorders>
            <w:vAlign w:val="bottom"/>
          </w:tcPr>
          <w:p w:rsidR="00E12A9A" w:rsidRPr="0075060A" w:rsidRDefault="00E12A9A" w:rsidP="003B01CA">
            <w:pPr>
              <w:jc w:val="right"/>
              <w:rPr>
                <w:rFonts w:ascii="Times New Roman" w:hAnsi="Times New Roman"/>
                <w:sz w:val="20"/>
                <w:szCs w:val="20"/>
              </w:rPr>
            </w:pPr>
            <w:r w:rsidRPr="0075060A">
              <w:rPr>
                <w:rFonts w:ascii="Times New Roman" w:hAnsi="Times New Roman"/>
                <w:sz w:val="20"/>
                <w:szCs w:val="20"/>
              </w:rPr>
              <w:t>Fair value changes</w:t>
            </w:r>
          </w:p>
        </w:tc>
        <w:tc>
          <w:tcPr>
            <w:tcW w:w="1843" w:type="dxa"/>
            <w:tcBorders>
              <w:top w:val="nil"/>
              <w:left w:val="nil"/>
              <w:bottom w:val="nil"/>
              <w:right w:val="nil"/>
            </w:tcBorders>
            <w:vAlign w:val="bottom"/>
          </w:tcPr>
          <w:p w:rsidR="00E12A9A" w:rsidRPr="00C87A19" w:rsidRDefault="00E12A9A" w:rsidP="003B01CA">
            <w:pPr>
              <w:jc w:val="right"/>
              <w:rPr>
                <w:rFonts w:ascii="Times New Roman" w:hAnsi="Times New Roman"/>
                <w:b/>
                <w:sz w:val="20"/>
                <w:szCs w:val="20"/>
                <w:lang w:eastAsia="en-GB"/>
              </w:rPr>
            </w:pPr>
          </w:p>
        </w:tc>
      </w:tr>
      <w:tr w:rsidR="00E12A9A" w:rsidRPr="00496D9E" w:rsidTr="00C87A19">
        <w:trPr>
          <w:trHeight w:val="300"/>
        </w:trPr>
        <w:tc>
          <w:tcPr>
            <w:tcW w:w="1985" w:type="dxa"/>
            <w:tcBorders>
              <w:top w:val="nil"/>
              <w:left w:val="nil"/>
              <w:bottom w:val="nil"/>
              <w:right w:val="nil"/>
            </w:tcBorders>
            <w:shd w:val="clear" w:color="auto" w:fill="auto"/>
            <w:noWrap/>
            <w:vAlign w:val="bottom"/>
          </w:tcPr>
          <w:p w:rsidR="00E12A9A" w:rsidRPr="00C87A19" w:rsidRDefault="00E12A9A" w:rsidP="003B01CA">
            <w:pPr>
              <w:rPr>
                <w:rFonts w:ascii="Times New Roman" w:hAnsi="Times New Roman"/>
                <w:sz w:val="20"/>
                <w:szCs w:val="20"/>
                <w:lang w:eastAsia="en-GB"/>
              </w:rPr>
            </w:pPr>
          </w:p>
        </w:tc>
        <w:tc>
          <w:tcPr>
            <w:tcW w:w="1559" w:type="dxa"/>
            <w:tcBorders>
              <w:top w:val="nil"/>
              <w:left w:val="nil"/>
              <w:bottom w:val="nil"/>
              <w:right w:val="nil"/>
            </w:tcBorders>
            <w:shd w:val="clear" w:color="auto" w:fill="auto"/>
            <w:noWrap/>
            <w:vAlign w:val="bottom"/>
          </w:tcPr>
          <w:p w:rsidR="00E12A9A" w:rsidRPr="0075060A" w:rsidRDefault="00E12A9A">
            <w:pPr>
              <w:jc w:val="right"/>
              <w:rPr>
                <w:rFonts w:ascii="Times New Roman" w:hAnsi="Times New Roman"/>
                <w:b/>
                <w:sz w:val="20"/>
                <w:szCs w:val="20"/>
              </w:rPr>
            </w:pPr>
            <w:r w:rsidRPr="0075060A">
              <w:rPr>
                <w:rFonts w:ascii="Times New Roman" w:hAnsi="Times New Roman"/>
                <w:b/>
                <w:sz w:val="20"/>
                <w:szCs w:val="20"/>
              </w:rPr>
              <w:t>GBP</w:t>
            </w:r>
          </w:p>
        </w:tc>
        <w:tc>
          <w:tcPr>
            <w:tcW w:w="1448" w:type="dxa"/>
            <w:tcBorders>
              <w:top w:val="nil"/>
              <w:left w:val="nil"/>
              <w:bottom w:val="nil"/>
              <w:right w:val="nil"/>
            </w:tcBorders>
            <w:vAlign w:val="bottom"/>
          </w:tcPr>
          <w:p w:rsidR="00E12A9A" w:rsidRPr="0075060A" w:rsidRDefault="00E12A9A">
            <w:pPr>
              <w:jc w:val="right"/>
              <w:rPr>
                <w:rFonts w:ascii="Times New Roman" w:hAnsi="Times New Roman"/>
                <w:b/>
                <w:sz w:val="20"/>
                <w:szCs w:val="20"/>
              </w:rPr>
            </w:pPr>
            <w:r w:rsidRPr="0075060A">
              <w:rPr>
                <w:rFonts w:ascii="Times New Roman" w:hAnsi="Times New Roman"/>
                <w:b/>
                <w:sz w:val="20"/>
                <w:szCs w:val="20"/>
              </w:rPr>
              <w:t>GBP</w:t>
            </w:r>
          </w:p>
        </w:tc>
        <w:tc>
          <w:tcPr>
            <w:tcW w:w="1245" w:type="dxa"/>
            <w:tcBorders>
              <w:top w:val="nil"/>
              <w:left w:val="nil"/>
              <w:bottom w:val="nil"/>
              <w:right w:val="nil"/>
            </w:tcBorders>
            <w:vAlign w:val="bottom"/>
          </w:tcPr>
          <w:p w:rsidR="00E12A9A" w:rsidRPr="0075060A" w:rsidRDefault="00E12A9A">
            <w:pPr>
              <w:jc w:val="right"/>
              <w:rPr>
                <w:rFonts w:ascii="Times New Roman" w:hAnsi="Times New Roman"/>
                <w:b/>
                <w:sz w:val="20"/>
                <w:szCs w:val="20"/>
              </w:rPr>
            </w:pPr>
            <w:r w:rsidRPr="0075060A">
              <w:rPr>
                <w:rFonts w:ascii="Times New Roman" w:hAnsi="Times New Roman"/>
                <w:b/>
                <w:sz w:val="20"/>
                <w:szCs w:val="20"/>
              </w:rPr>
              <w:t>GBP</w:t>
            </w:r>
          </w:p>
        </w:tc>
        <w:tc>
          <w:tcPr>
            <w:tcW w:w="1276" w:type="dxa"/>
            <w:tcBorders>
              <w:top w:val="nil"/>
              <w:left w:val="nil"/>
              <w:bottom w:val="nil"/>
              <w:right w:val="nil"/>
            </w:tcBorders>
            <w:vAlign w:val="bottom"/>
          </w:tcPr>
          <w:p w:rsidR="00E12A9A" w:rsidRPr="0075060A" w:rsidRDefault="00E12A9A" w:rsidP="003B01CA">
            <w:pPr>
              <w:jc w:val="right"/>
              <w:rPr>
                <w:rFonts w:ascii="Times New Roman" w:hAnsi="Times New Roman"/>
                <w:b/>
                <w:sz w:val="20"/>
                <w:szCs w:val="20"/>
              </w:rPr>
            </w:pPr>
            <w:r w:rsidRPr="0075060A">
              <w:rPr>
                <w:rFonts w:ascii="Times New Roman" w:hAnsi="Times New Roman"/>
                <w:b/>
                <w:sz w:val="20"/>
                <w:szCs w:val="20"/>
              </w:rPr>
              <w:t>GBP</w:t>
            </w:r>
          </w:p>
        </w:tc>
        <w:tc>
          <w:tcPr>
            <w:tcW w:w="992" w:type="dxa"/>
            <w:tcBorders>
              <w:top w:val="nil"/>
              <w:left w:val="nil"/>
              <w:bottom w:val="nil"/>
              <w:right w:val="nil"/>
            </w:tcBorders>
            <w:vAlign w:val="bottom"/>
          </w:tcPr>
          <w:p w:rsidR="00E12A9A" w:rsidRPr="0075060A" w:rsidRDefault="00E12A9A" w:rsidP="003B01CA">
            <w:pPr>
              <w:jc w:val="right"/>
              <w:rPr>
                <w:rFonts w:ascii="Times New Roman" w:hAnsi="Times New Roman"/>
                <w:b/>
                <w:sz w:val="20"/>
                <w:szCs w:val="20"/>
              </w:rPr>
            </w:pPr>
            <w:r w:rsidRPr="0075060A">
              <w:rPr>
                <w:rFonts w:ascii="Times New Roman" w:hAnsi="Times New Roman"/>
                <w:b/>
                <w:sz w:val="20"/>
                <w:szCs w:val="20"/>
              </w:rPr>
              <w:t>GBP</w:t>
            </w:r>
          </w:p>
        </w:tc>
        <w:tc>
          <w:tcPr>
            <w:tcW w:w="1843" w:type="dxa"/>
            <w:tcBorders>
              <w:top w:val="nil"/>
              <w:left w:val="nil"/>
              <w:bottom w:val="nil"/>
              <w:right w:val="nil"/>
            </w:tcBorders>
            <w:vAlign w:val="bottom"/>
          </w:tcPr>
          <w:p w:rsidR="00E12A9A" w:rsidRPr="0075060A" w:rsidRDefault="00E12A9A" w:rsidP="003B01CA">
            <w:pPr>
              <w:jc w:val="right"/>
              <w:rPr>
                <w:rFonts w:ascii="Times New Roman" w:hAnsi="Times New Roman"/>
                <w:b/>
                <w:sz w:val="20"/>
                <w:szCs w:val="20"/>
              </w:rPr>
            </w:pPr>
            <w:r w:rsidRPr="0075060A">
              <w:rPr>
                <w:rFonts w:ascii="Times New Roman" w:hAnsi="Times New Roman"/>
                <w:b/>
                <w:sz w:val="20"/>
                <w:szCs w:val="20"/>
              </w:rPr>
              <w:t>GBP</w:t>
            </w:r>
          </w:p>
        </w:tc>
      </w:tr>
      <w:tr w:rsidR="00E12A9A" w:rsidRPr="00496D9E" w:rsidTr="00C87A19">
        <w:trPr>
          <w:trHeight w:val="300"/>
        </w:trPr>
        <w:tc>
          <w:tcPr>
            <w:tcW w:w="1985" w:type="dxa"/>
            <w:tcBorders>
              <w:top w:val="nil"/>
              <w:left w:val="nil"/>
              <w:bottom w:val="nil"/>
              <w:right w:val="nil"/>
            </w:tcBorders>
            <w:shd w:val="clear" w:color="auto" w:fill="auto"/>
            <w:noWrap/>
            <w:vAlign w:val="bottom"/>
          </w:tcPr>
          <w:p w:rsidR="00E12A9A" w:rsidRPr="00C87A19" w:rsidRDefault="00E12A9A" w:rsidP="003B01CA">
            <w:pPr>
              <w:rPr>
                <w:rFonts w:ascii="Times New Roman" w:hAnsi="Times New Roman"/>
                <w:b/>
                <w:sz w:val="20"/>
                <w:szCs w:val="20"/>
                <w:lang w:eastAsia="en-GB"/>
              </w:rPr>
            </w:pPr>
          </w:p>
        </w:tc>
        <w:tc>
          <w:tcPr>
            <w:tcW w:w="1559" w:type="dxa"/>
            <w:tcBorders>
              <w:top w:val="nil"/>
              <w:left w:val="nil"/>
              <w:bottom w:val="nil"/>
              <w:right w:val="nil"/>
            </w:tcBorders>
            <w:shd w:val="clear" w:color="auto" w:fill="auto"/>
            <w:noWrap/>
            <w:vAlign w:val="bottom"/>
          </w:tcPr>
          <w:p w:rsidR="00E12A9A" w:rsidRPr="00C87A19" w:rsidRDefault="00E12A9A" w:rsidP="003B01CA">
            <w:pPr>
              <w:jc w:val="right"/>
              <w:rPr>
                <w:rFonts w:ascii="Times New Roman" w:hAnsi="Times New Roman"/>
                <w:bCs/>
                <w:sz w:val="20"/>
                <w:szCs w:val="20"/>
                <w:lang w:eastAsia="en-GB"/>
              </w:rPr>
            </w:pPr>
          </w:p>
        </w:tc>
        <w:tc>
          <w:tcPr>
            <w:tcW w:w="1448" w:type="dxa"/>
            <w:tcBorders>
              <w:top w:val="nil"/>
              <w:left w:val="nil"/>
              <w:right w:val="nil"/>
            </w:tcBorders>
            <w:vAlign w:val="bottom"/>
          </w:tcPr>
          <w:p w:rsidR="00E12A9A" w:rsidRPr="00C87A19" w:rsidRDefault="00E12A9A" w:rsidP="003B01CA">
            <w:pPr>
              <w:jc w:val="right"/>
              <w:rPr>
                <w:rFonts w:ascii="Times New Roman" w:hAnsi="Times New Roman"/>
                <w:b/>
                <w:bCs/>
                <w:sz w:val="20"/>
                <w:szCs w:val="20"/>
                <w:lang w:eastAsia="en-GB"/>
              </w:rPr>
            </w:pPr>
          </w:p>
        </w:tc>
        <w:tc>
          <w:tcPr>
            <w:tcW w:w="1245" w:type="dxa"/>
            <w:tcBorders>
              <w:top w:val="nil"/>
              <w:left w:val="nil"/>
              <w:right w:val="nil"/>
            </w:tcBorders>
            <w:vAlign w:val="bottom"/>
          </w:tcPr>
          <w:p w:rsidR="00E12A9A" w:rsidRPr="00C87A19" w:rsidRDefault="00E12A9A" w:rsidP="003B01CA">
            <w:pPr>
              <w:jc w:val="right"/>
              <w:rPr>
                <w:rFonts w:ascii="Times New Roman" w:hAnsi="Times New Roman"/>
                <w:bCs/>
                <w:sz w:val="20"/>
                <w:szCs w:val="20"/>
                <w:lang w:eastAsia="en-GB"/>
              </w:rPr>
            </w:pPr>
          </w:p>
        </w:tc>
        <w:tc>
          <w:tcPr>
            <w:tcW w:w="1276" w:type="dxa"/>
            <w:tcBorders>
              <w:top w:val="nil"/>
              <w:left w:val="nil"/>
              <w:right w:val="nil"/>
            </w:tcBorders>
            <w:vAlign w:val="bottom"/>
          </w:tcPr>
          <w:p w:rsidR="00E12A9A" w:rsidRPr="00C87A19" w:rsidRDefault="00E12A9A" w:rsidP="003B01CA">
            <w:pPr>
              <w:jc w:val="right"/>
              <w:rPr>
                <w:rFonts w:ascii="Times New Roman" w:hAnsi="Times New Roman"/>
                <w:bCs/>
                <w:sz w:val="20"/>
                <w:szCs w:val="20"/>
                <w:lang w:eastAsia="en-GB"/>
              </w:rPr>
            </w:pPr>
          </w:p>
        </w:tc>
        <w:tc>
          <w:tcPr>
            <w:tcW w:w="992" w:type="dxa"/>
            <w:tcBorders>
              <w:top w:val="nil"/>
              <w:left w:val="nil"/>
              <w:right w:val="nil"/>
            </w:tcBorders>
            <w:vAlign w:val="bottom"/>
          </w:tcPr>
          <w:p w:rsidR="00E12A9A" w:rsidRPr="00C87A19" w:rsidRDefault="00E12A9A" w:rsidP="003B01CA">
            <w:pPr>
              <w:jc w:val="right"/>
              <w:rPr>
                <w:rFonts w:ascii="Times New Roman" w:hAnsi="Times New Roman"/>
                <w:bCs/>
                <w:sz w:val="20"/>
                <w:szCs w:val="20"/>
                <w:lang w:eastAsia="en-GB"/>
              </w:rPr>
            </w:pPr>
          </w:p>
        </w:tc>
        <w:tc>
          <w:tcPr>
            <w:tcW w:w="1843" w:type="dxa"/>
            <w:tcBorders>
              <w:top w:val="nil"/>
              <w:left w:val="nil"/>
              <w:right w:val="nil"/>
            </w:tcBorders>
            <w:vAlign w:val="bottom"/>
          </w:tcPr>
          <w:p w:rsidR="00E12A9A" w:rsidRPr="00C87A19" w:rsidRDefault="00E12A9A" w:rsidP="003B01CA">
            <w:pPr>
              <w:jc w:val="right"/>
              <w:rPr>
                <w:rFonts w:ascii="Times New Roman" w:hAnsi="Times New Roman"/>
                <w:bCs/>
                <w:sz w:val="20"/>
                <w:szCs w:val="20"/>
                <w:lang w:eastAsia="en-GB"/>
              </w:rPr>
            </w:pPr>
          </w:p>
        </w:tc>
      </w:tr>
      <w:tr w:rsidR="00E12A9A" w:rsidRPr="00496D9E" w:rsidTr="00C87A19">
        <w:trPr>
          <w:trHeight w:val="300"/>
        </w:trPr>
        <w:tc>
          <w:tcPr>
            <w:tcW w:w="1985" w:type="dxa"/>
            <w:tcBorders>
              <w:top w:val="nil"/>
              <w:left w:val="nil"/>
              <w:bottom w:val="nil"/>
              <w:right w:val="nil"/>
            </w:tcBorders>
            <w:shd w:val="clear" w:color="auto" w:fill="auto"/>
            <w:vAlign w:val="bottom"/>
          </w:tcPr>
          <w:p w:rsidR="00E12A9A" w:rsidRPr="00C87A19" w:rsidRDefault="00E12A9A" w:rsidP="00CA3B7A">
            <w:pPr>
              <w:autoSpaceDE w:val="0"/>
              <w:autoSpaceDN w:val="0"/>
              <w:rPr>
                <w:rFonts w:ascii="Times New Roman" w:hAnsi="Times New Roman"/>
                <w:sz w:val="20"/>
                <w:szCs w:val="20"/>
                <w:lang w:eastAsia="en-GB"/>
              </w:rPr>
            </w:pPr>
            <w:r w:rsidRPr="0075060A">
              <w:rPr>
                <w:rFonts w:ascii="Times New Roman" w:hAnsi="Times New Roman"/>
                <w:sz w:val="20"/>
                <w:szCs w:val="20"/>
              </w:rPr>
              <w:t xml:space="preserve">Financial liabilities held at </w:t>
            </w:r>
            <w:r w:rsidR="005C4EF1">
              <w:rPr>
                <w:rFonts w:ascii="Times New Roman" w:hAnsi="Times New Roman"/>
                <w:sz w:val="20"/>
                <w:szCs w:val="20"/>
              </w:rPr>
              <w:t>amortised cost</w:t>
            </w:r>
            <w:r w:rsidRPr="0075060A">
              <w:rPr>
                <w:rFonts w:ascii="Times New Roman" w:hAnsi="Times New Roman"/>
                <w:sz w:val="20"/>
                <w:szCs w:val="20"/>
              </w:rPr>
              <w:t xml:space="preserve"> </w:t>
            </w:r>
          </w:p>
        </w:tc>
        <w:tc>
          <w:tcPr>
            <w:tcW w:w="1559" w:type="dxa"/>
            <w:tcBorders>
              <w:top w:val="nil"/>
              <w:left w:val="nil"/>
              <w:bottom w:val="nil"/>
              <w:right w:val="nil"/>
            </w:tcBorders>
            <w:shd w:val="clear" w:color="auto" w:fill="auto"/>
            <w:noWrap/>
            <w:vAlign w:val="bottom"/>
          </w:tcPr>
          <w:p w:rsidR="00E12A9A" w:rsidRPr="00C87A19" w:rsidRDefault="008B64A3" w:rsidP="003B01CA">
            <w:pPr>
              <w:jc w:val="right"/>
              <w:rPr>
                <w:rFonts w:ascii="Times New Roman" w:hAnsi="Times New Roman"/>
                <w:sz w:val="20"/>
                <w:szCs w:val="20"/>
                <w:lang w:eastAsia="en-GB"/>
              </w:rPr>
            </w:pPr>
            <w:r w:rsidRPr="00C87A19">
              <w:rPr>
                <w:rFonts w:ascii="Times New Roman" w:hAnsi="Times New Roman"/>
                <w:sz w:val="20"/>
                <w:szCs w:val="20"/>
                <w:lang w:eastAsia="en-GB"/>
              </w:rPr>
              <w:t>35,814,484</w:t>
            </w:r>
          </w:p>
        </w:tc>
        <w:tc>
          <w:tcPr>
            <w:tcW w:w="1448" w:type="dxa"/>
            <w:tcBorders>
              <w:left w:val="nil"/>
              <w:right w:val="nil"/>
            </w:tcBorders>
            <w:vAlign w:val="bottom"/>
          </w:tcPr>
          <w:p w:rsidR="00E12A9A" w:rsidRPr="00C87A19" w:rsidRDefault="008B64A3">
            <w:pPr>
              <w:jc w:val="right"/>
              <w:rPr>
                <w:rFonts w:ascii="Times New Roman" w:hAnsi="Times New Roman"/>
                <w:sz w:val="20"/>
                <w:szCs w:val="20"/>
                <w:lang w:eastAsia="en-GB"/>
              </w:rPr>
            </w:pPr>
            <w:r>
              <w:rPr>
                <w:rFonts w:ascii="Times New Roman" w:hAnsi="Times New Roman"/>
                <w:sz w:val="20"/>
                <w:szCs w:val="20"/>
                <w:lang w:eastAsia="en-GB"/>
              </w:rPr>
              <w:t>(15,022,643)</w:t>
            </w:r>
          </w:p>
        </w:tc>
        <w:tc>
          <w:tcPr>
            <w:tcW w:w="1245" w:type="dxa"/>
            <w:tcBorders>
              <w:left w:val="nil"/>
              <w:right w:val="nil"/>
            </w:tcBorders>
            <w:vAlign w:val="bottom"/>
          </w:tcPr>
          <w:p w:rsidR="00E12A9A" w:rsidRPr="00C87A19" w:rsidRDefault="00E12A9A" w:rsidP="003B01CA">
            <w:pPr>
              <w:jc w:val="right"/>
              <w:rPr>
                <w:rFonts w:ascii="Times New Roman" w:hAnsi="Times New Roman"/>
                <w:sz w:val="20"/>
                <w:szCs w:val="20"/>
                <w:lang w:eastAsia="en-GB"/>
              </w:rPr>
            </w:pPr>
            <w:r w:rsidRPr="00C87A19">
              <w:rPr>
                <w:rFonts w:ascii="Times New Roman" w:hAnsi="Times New Roman"/>
                <w:sz w:val="20"/>
                <w:szCs w:val="20"/>
                <w:lang w:eastAsia="en-GB"/>
              </w:rPr>
              <w:t>-</w:t>
            </w:r>
          </w:p>
        </w:tc>
        <w:tc>
          <w:tcPr>
            <w:tcW w:w="1276" w:type="dxa"/>
            <w:tcBorders>
              <w:left w:val="nil"/>
              <w:right w:val="nil"/>
            </w:tcBorders>
            <w:vAlign w:val="bottom"/>
          </w:tcPr>
          <w:p w:rsidR="00E12A9A" w:rsidRPr="00C87A19" w:rsidRDefault="0075060A">
            <w:pPr>
              <w:jc w:val="right"/>
              <w:rPr>
                <w:rFonts w:ascii="Times New Roman" w:hAnsi="Times New Roman"/>
                <w:sz w:val="20"/>
                <w:szCs w:val="20"/>
                <w:lang w:eastAsia="en-GB"/>
              </w:rPr>
            </w:pPr>
            <w:r w:rsidRPr="0075060A">
              <w:rPr>
                <w:rFonts w:ascii="Times New Roman" w:hAnsi="Times New Roman"/>
                <w:sz w:val="20"/>
                <w:szCs w:val="20"/>
                <w:lang w:eastAsia="en-GB"/>
              </w:rPr>
              <w:t>(</w:t>
            </w:r>
            <w:r w:rsidR="0069096F">
              <w:rPr>
                <w:rFonts w:ascii="Times New Roman" w:hAnsi="Times New Roman"/>
                <w:sz w:val="20"/>
                <w:szCs w:val="20"/>
                <w:lang w:eastAsia="en-GB"/>
              </w:rPr>
              <w:t>766</w:t>
            </w:r>
            <w:r w:rsidR="008B64A3">
              <w:rPr>
                <w:rFonts w:ascii="Times New Roman" w:hAnsi="Times New Roman"/>
                <w:sz w:val="20"/>
                <w:szCs w:val="20"/>
                <w:lang w:eastAsia="en-GB"/>
              </w:rPr>
              <w:t>,</w:t>
            </w:r>
            <w:r w:rsidR="0069096F">
              <w:rPr>
                <w:rFonts w:ascii="Times New Roman" w:hAnsi="Times New Roman"/>
                <w:sz w:val="20"/>
                <w:szCs w:val="20"/>
                <w:lang w:eastAsia="en-GB"/>
              </w:rPr>
              <w:t>746</w:t>
            </w:r>
            <w:r w:rsidRPr="0075060A">
              <w:rPr>
                <w:rFonts w:ascii="Times New Roman" w:hAnsi="Times New Roman"/>
                <w:sz w:val="20"/>
                <w:szCs w:val="20"/>
                <w:lang w:eastAsia="en-GB"/>
              </w:rPr>
              <w:t>)</w:t>
            </w:r>
          </w:p>
        </w:tc>
        <w:tc>
          <w:tcPr>
            <w:tcW w:w="992" w:type="dxa"/>
            <w:tcBorders>
              <w:left w:val="nil"/>
              <w:right w:val="nil"/>
            </w:tcBorders>
            <w:vAlign w:val="bottom"/>
          </w:tcPr>
          <w:p w:rsidR="00E12A9A" w:rsidRPr="00C87A19" w:rsidRDefault="00E12A9A" w:rsidP="003B01CA">
            <w:pPr>
              <w:jc w:val="right"/>
              <w:rPr>
                <w:rFonts w:ascii="Times New Roman" w:hAnsi="Times New Roman"/>
                <w:sz w:val="20"/>
                <w:szCs w:val="20"/>
                <w:lang w:eastAsia="en-GB"/>
              </w:rPr>
            </w:pPr>
            <w:r w:rsidRPr="00C87A19">
              <w:rPr>
                <w:rFonts w:ascii="Times New Roman" w:hAnsi="Times New Roman"/>
                <w:sz w:val="20"/>
                <w:szCs w:val="20"/>
                <w:lang w:eastAsia="en-GB"/>
              </w:rPr>
              <w:t>-</w:t>
            </w:r>
          </w:p>
        </w:tc>
        <w:tc>
          <w:tcPr>
            <w:tcW w:w="1843" w:type="dxa"/>
            <w:tcBorders>
              <w:left w:val="nil"/>
              <w:right w:val="nil"/>
            </w:tcBorders>
            <w:vAlign w:val="bottom"/>
          </w:tcPr>
          <w:p w:rsidR="00E12A9A" w:rsidRPr="00C87A19" w:rsidRDefault="008B64A3" w:rsidP="003B01CA">
            <w:pPr>
              <w:jc w:val="right"/>
              <w:rPr>
                <w:rFonts w:ascii="Times New Roman" w:hAnsi="Times New Roman"/>
                <w:sz w:val="20"/>
                <w:szCs w:val="20"/>
                <w:lang w:eastAsia="en-GB"/>
              </w:rPr>
            </w:pPr>
            <w:r>
              <w:rPr>
                <w:rFonts w:ascii="Times New Roman" w:hAnsi="Times New Roman"/>
                <w:sz w:val="20"/>
                <w:szCs w:val="20"/>
                <w:lang w:eastAsia="en-GB"/>
              </w:rPr>
              <w:t>20,025,095</w:t>
            </w:r>
          </w:p>
        </w:tc>
      </w:tr>
      <w:tr w:rsidR="00E12A9A" w:rsidRPr="00496D9E" w:rsidTr="00C87A19">
        <w:trPr>
          <w:trHeight w:val="300"/>
        </w:trPr>
        <w:tc>
          <w:tcPr>
            <w:tcW w:w="1985" w:type="dxa"/>
            <w:tcBorders>
              <w:top w:val="nil"/>
              <w:left w:val="nil"/>
              <w:bottom w:val="nil"/>
              <w:right w:val="nil"/>
            </w:tcBorders>
            <w:shd w:val="clear" w:color="auto" w:fill="auto"/>
            <w:vAlign w:val="bottom"/>
          </w:tcPr>
          <w:p w:rsidR="00E12A9A" w:rsidRPr="00C87A19" w:rsidRDefault="00E12A9A" w:rsidP="003B01CA">
            <w:pPr>
              <w:rPr>
                <w:rFonts w:ascii="Times New Roman" w:hAnsi="Times New Roman"/>
                <w:sz w:val="20"/>
                <w:szCs w:val="20"/>
                <w:lang w:eastAsia="en-GB"/>
              </w:rPr>
            </w:pPr>
          </w:p>
        </w:tc>
        <w:tc>
          <w:tcPr>
            <w:tcW w:w="1559" w:type="dxa"/>
            <w:tcBorders>
              <w:top w:val="nil"/>
              <w:left w:val="nil"/>
              <w:bottom w:val="nil"/>
              <w:right w:val="nil"/>
            </w:tcBorders>
            <w:shd w:val="clear" w:color="auto" w:fill="auto"/>
            <w:noWrap/>
            <w:vAlign w:val="bottom"/>
          </w:tcPr>
          <w:p w:rsidR="00E12A9A" w:rsidRPr="00C87A19" w:rsidRDefault="00E12A9A" w:rsidP="003B01CA">
            <w:pPr>
              <w:jc w:val="right"/>
              <w:rPr>
                <w:rFonts w:ascii="Times New Roman" w:hAnsi="Times New Roman"/>
                <w:sz w:val="20"/>
                <w:szCs w:val="20"/>
                <w:lang w:eastAsia="en-GB"/>
              </w:rPr>
            </w:pPr>
          </w:p>
        </w:tc>
        <w:tc>
          <w:tcPr>
            <w:tcW w:w="1448" w:type="dxa"/>
            <w:tcBorders>
              <w:left w:val="nil"/>
              <w:right w:val="nil"/>
            </w:tcBorders>
            <w:vAlign w:val="bottom"/>
          </w:tcPr>
          <w:p w:rsidR="00E12A9A" w:rsidRPr="00C87A19" w:rsidRDefault="00E12A9A" w:rsidP="003B01CA">
            <w:pPr>
              <w:jc w:val="right"/>
              <w:rPr>
                <w:rFonts w:ascii="Times New Roman" w:hAnsi="Times New Roman"/>
                <w:sz w:val="20"/>
                <w:szCs w:val="20"/>
                <w:lang w:eastAsia="en-GB"/>
              </w:rPr>
            </w:pPr>
          </w:p>
        </w:tc>
        <w:tc>
          <w:tcPr>
            <w:tcW w:w="1245" w:type="dxa"/>
            <w:tcBorders>
              <w:left w:val="nil"/>
              <w:right w:val="nil"/>
            </w:tcBorders>
            <w:vAlign w:val="bottom"/>
          </w:tcPr>
          <w:p w:rsidR="00E12A9A" w:rsidRPr="00C87A19" w:rsidRDefault="00E12A9A" w:rsidP="003B01CA">
            <w:pPr>
              <w:jc w:val="right"/>
              <w:rPr>
                <w:rFonts w:ascii="Times New Roman" w:hAnsi="Times New Roman"/>
                <w:sz w:val="20"/>
                <w:szCs w:val="20"/>
                <w:lang w:eastAsia="en-GB"/>
              </w:rPr>
            </w:pPr>
          </w:p>
        </w:tc>
        <w:tc>
          <w:tcPr>
            <w:tcW w:w="1276" w:type="dxa"/>
            <w:tcBorders>
              <w:left w:val="nil"/>
              <w:right w:val="nil"/>
            </w:tcBorders>
            <w:vAlign w:val="bottom"/>
          </w:tcPr>
          <w:p w:rsidR="00E12A9A" w:rsidRPr="00C87A19" w:rsidRDefault="00E12A9A" w:rsidP="003B01CA">
            <w:pPr>
              <w:jc w:val="right"/>
              <w:rPr>
                <w:rFonts w:ascii="Times New Roman" w:hAnsi="Times New Roman"/>
                <w:sz w:val="20"/>
                <w:szCs w:val="20"/>
                <w:lang w:eastAsia="en-GB"/>
              </w:rPr>
            </w:pPr>
          </w:p>
        </w:tc>
        <w:tc>
          <w:tcPr>
            <w:tcW w:w="992" w:type="dxa"/>
            <w:tcBorders>
              <w:left w:val="nil"/>
              <w:right w:val="nil"/>
            </w:tcBorders>
            <w:vAlign w:val="bottom"/>
          </w:tcPr>
          <w:p w:rsidR="00E12A9A" w:rsidRPr="00C87A19" w:rsidRDefault="00E12A9A" w:rsidP="003B01CA">
            <w:pPr>
              <w:jc w:val="right"/>
              <w:rPr>
                <w:rFonts w:ascii="Times New Roman" w:hAnsi="Times New Roman"/>
                <w:sz w:val="20"/>
                <w:szCs w:val="20"/>
                <w:lang w:eastAsia="en-GB"/>
              </w:rPr>
            </w:pPr>
          </w:p>
        </w:tc>
        <w:tc>
          <w:tcPr>
            <w:tcW w:w="1843" w:type="dxa"/>
            <w:tcBorders>
              <w:left w:val="nil"/>
              <w:right w:val="nil"/>
            </w:tcBorders>
            <w:vAlign w:val="bottom"/>
          </w:tcPr>
          <w:p w:rsidR="00E12A9A" w:rsidRPr="00C87A19" w:rsidRDefault="00E12A9A" w:rsidP="003B01CA">
            <w:pPr>
              <w:jc w:val="right"/>
              <w:rPr>
                <w:rFonts w:ascii="Times New Roman" w:hAnsi="Times New Roman"/>
                <w:sz w:val="20"/>
                <w:szCs w:val="20"/>
                <w:lang w:eastAsia="en-GB"/>
              </w:rPr>
            </w:pPr>
          </w:p>
        </w:tc>
      </w:tr>
      <w:tr w:rsidR="008B64A3" w:rsidRPr="00B130D2" w:rsidTr="00C87A19">
        <w:trPr>
          <w:trHeight w:val="300"/>
        </w:trPr>
        <w:tc>
          <w:tcPr>
            <w:tcW w:w="1985" w:type="dxa"/>
            <w:tcBorders>
              <w:top w:val="nil"/>
              <w:left w:val="nil"/>
              <w:bottom w:val="nil"/>
              <w:right w:val="nil"/>
            </w:tcBorders>
            <w:shd w:val="clear" w:color="auto" w:fill="auto"/>
            <w:vAlign w:val="bottom"/>
          </w:tcPr>
          <w:p w:rsidR="008B64A3" w:rsidRPr="00C87A19" w:rsidRDefault="008B64A3" w:rsidP="003B01CA">
            <w:pPr>
              <w:rPr>
                <w:rFonts w:ascii="Times New Roman" w:hAnsi="Times New Roman"/>
                <w:b/>
                <w:sz w:val="20"/>
                <w:szCs w:val="20"/>
                <w:lang w:eastAsia="en-GB"/>
              </w:rPr>
            </w:pPr>
            <w:r w:rsidRPr="00C87A19">
              <w:rPr>
                <w:rFonts w:ascii="Times New Roman" w:hAnsi="Times New Roman"/>
                <w:b/>
                <w:sz w:val="20"/>
                <w:szCs w:val="20"/>
                <w:lang w:eastAsia="en-GB"/>
              </w:rPr>
              <w:t xml:space="preserve">Total </w:t>
            </w:r>
          </w:p>
        </w:tc>
        <w:tc>
          <w:tcPr>
            <w:tcW w:w="1559" w:type="dxa"/>
            <w:tcBorders>
              <w:top w:val="nil"/>
              <w:left w:val="nil"/>
              <w:bottom w:val="nil"/>
              <w:right w:val="nil"/>
            </w:tcBorders>
            <w:shd w:val="clear" w:color="auto" w:fill="auto"/>
            <w:noWrap/>
            <w:vAlign w:val="bottom"/>
          </w:tcPr>
          <w:p w:rsidR="008B64A3" w:rsidRPr="008B64A3" w:rsidRDefault="008B64A3" w:rsidP="003B01CA">
            <w:pPr>
              <w:jc w:val="right"/>
              <w:rPr>
                <w:rFonts w:ascii="Times New Roman" w:hAnsi="Times New Roman"/>
                <w:b/>
                <w:sz w:val="20"/>
                <w:szCs w:val="20"/>
                <w:lang w:eastAsia="en-GB"/>
              </w:rPr>
            </w:pPr>
            <w:r w:rsidRPr="00AC5183">
              <w:rPr>
                <w:rFonts w:ascii="Times New Roman" w:hAnsi="Times New Roman"/>
                <w:b/>
                <w:sz w:val="20"/>
                <w:szCs w:val="20"/>
                <w:lang w:eastAsia="en-GB"/>
              </w:rPr>
              <w:t>35,814,484</w:t>
            </w:r>
          </w:p>
        </w:tc>
        <w:tc>
          <w:tcPr>
            <w:tcW w:w="1448" w:type="dxa"/>
            <w:tcBorders>
              <w:left w:val="nil"/>
              <w:right w:val="nil"/>
            </w:tcBorders>
            <w:vAlign w:val="bottom"/>
          </w:tcPr>
          <w:p w:rsidR="008B64A3" w:rsidRPr="008B64A3" w:rsidRDefault="008B64A3">
            <w:pPr>
              <w:jc w:val="right"/>
              <w:rPr>
                <w:rFonts w:ascii="Times New Roman" w:hAnsi="Times New Roman"/>
                <w:b/>
                <w:sz w:val="20"/>
                <w:szCs w:val="20"/>
                <w:lang w:eastAsia="en-GB"/>
              </w:rPr>
            </w:pPr>
            <w:r w:rsidRPr="00AC5183">
              <w:rPr>
                <w:rFonts w:ascii="Times New Roman" w:hAnsi="Times New Roman"/>
                <w:b/>
                <w:sz w:val="20"/>
                <w:szCs w:val="20"/>
                <w:lang w:eastAsia="en-GB"/>
              </w:rPr>
              <w:t>(15,022,643)</w:t>
            </w:r>
          </w:p>
        </w:tc>
        <w:tc>
          <w:tcPr>
            <w:tcW w:w="1245" w:type="dxa"/>
            <w:tcBorders>
              <w:left w:val="nil"/>
              <w:right w:val="nil"/>
            </w:tcBorders>
            <w:vAlign w:val="bottom"/>
          </w:tcPr>
          <w:p w:rsidR="008B64A3" w:rsidRPr="008B64A3" w:rsidRDefault="008B64A3" w:rsidP="003B01CA">
            <w:pPr>
              <w:jc w:val="right"/>
              <w:rPr>
                <w:rFonts w:ascii="Times New Roman" w:hAnsi="Times New Roman"/>
                <w:b/>
                <w:sz w:val="20"/>
                <w:szCs w:val="20"/>
                <w:lang w:eastAsia="en-GB"/>
              </w:rPr>
            </w:pPr>
            <w:r w:rsidRPr="00AC5183">
              <w:rPr>
                <w:rFonts w:ascii="Times New Roman" w:hAnsi="Times New Roman"/>
                <w:b/>
                <w:sz w:val="20"/>
                <w:szCs w:val="20"/>
                <w:lang w:eastAsia="en-GB"/>
              </w:rPr>
              <w:t>-</w:t>
            </w:r>
          </w:p>
        </w:tc>
        <w:tc>
          <w:tcPr>
            <w:tcW w:w="1276" w:type="dxa"/>
            <w:tcBorders>
              <w:left w:val="nil"/>
              <w:right w:val="nil"/>
            </w:tcBorders>
            <w:vAlign w:val="bottom"/>
          </w:tcPr>
          <w:p w:rsidR="008B64A3" w:rsidRPr="008B64A3" w:rsidRDefault="0069096F" w:rsidP="003B01CA">
            <w:pPr>
              <w:jc w:val="right"/>
              <w:rPr>
                <w:rFonts w:ascii="Times New Roman" w:hAnsi="Times New Roman"/>
                <w:b/>
                <w:sz w:val="20"/>
                <w:szCs w:val="20"/>
                <w:lang w:eastAsia="en-GB"/>
              </w:rPr>
            </w:pPr>
            <w:r w:rsidRPr="0075060A">
              <w:rPr>
                <w:rFonts w:ascii="Times New Roman" w:hAnsi="Times New Roman"/>
                <w:sz w:val="20"/>
                <w:szCs w:val="20"/>
                <w:lang w:eastAsia="en-GB"/>
              </w:rPr>
              <w:t>(</w:t>
            </w:r>
            <w:r>
              <w:rPr>
                <w:rFonts w:ascii="Times New Roman" w:hAnsi="Times New Roman"/>
                <w:sz w:val="20"/>
                <w:szCs w:val="20"/>
                <w:lang w:eastAsia="en-GB"/>
              </w:rPr>
              <w:t>766,746</w:t>
            </w:r>
            <w:r w:rsidRPr="0075060A">
              <w:rPr>
                <w:rFonts w:ascii="Times New Roman" w:hAnsi="Times New Roman"/>
                <w:sz w:val="20"/>
                <w:szCs w:val="20"/>
                <w:lang w:eastAsia="en-GB"/>
              </w:rPr>
              <w:t>)</w:t>
            </w:r>
            <w:r w:rsidRPr="008B64A3" w:rsidDel="00F41FA0">
              <w:rPr>
                <w:rFonts w:ascii="Times New Roman" w:hAnsi="Times New Roman"/>
                <w:b/>
                <w:sz w:val="20"/>
                <w:szCs w:val="20"/>
                <w:lang w:eastAsia="en-GB"/>
              </w:rPr>
              <w:t xml:space="preserve"> </w:t>
            </w:r>
          </w:p>
        </w:tc>
        <w:tc>
          <w:tcPr>
            <w:tcW w:w="992" w:type="dxa"/>
            <w:tcBorders>
              <w:left w:val="nil"/>
              <w:right w:val="nil"/>
            </w:tcBorders>
            <w:vAlign w:val="bottom"/>
          </w:tcPr>
          <w:p w:rsidR="008B64A3" w:rsidRPr="008B64A3" w:rsidRDefault="008B64A3" w:rsidP="003B01CA">
            <w:pPr>
              <w:jc w:val="right"/>
              <w:rPr>
                <w:rFonts w:ascii="Times New Roman" w:hAnsi="Times New Roman"/>
                <w:b/>
                <w:sz w:val="20"/>
                <w:szCs w:val="20"/>
                <w:lang w:eastAsia="en-GB"/>
              </w:rPr>
            </w:pPr>
            <w:r w:rsidRPr="00AC5183">
              <w:rPr>
                <w:rFonts w:ascii="Times New Roman" w:hAnsi="Times New Roman"/>
                <w:b/>
                <w:sz w:val="20"/>
                <w:szCs w:val="20"/>
                <w:lang w:eastAsia="en-GB"/>
              </w:rPr>
              <w:t>-</w:t>
            </w:r>
          </w:p>
        </w:tc>
        <w:tc>
          <w:tcPr>
            <w:tcW w:w="1843" w:type="dxa"/>
            <w:tcBorders>
              <w:left w:val="nil"/>
              <w:right w:val="nil"/>
            </w:tcBorders>
            <w:vAlign w:val="bottom"/>
          </w:tcPr>
          <w:p w:rsidR="008B64A3" w:rsidRPr="008B64A3" w:rsidRDefault="008B64A3" w:rsidP="003B01CA">
            <w:pPr>
              <w:jc w:val="right"/>
              <w:rPr>
                <w:rFonts w:ascii="Times New Roman" w:hAnsi="Times New Roman"/>
                <w:b/>
                <w:sz w:val="20"/>
                <w:szCs w:val="20"/>
                <w:lang w:eastAsia="en-GB"/>
              </w:rPr>
            </w:pPr>
            <w:r w:rsidRPr="00AC5183">
              <w:rPr>
                <w:rFonts w:ascii="Times New Roman" w:hAnsi="Times New Roman"/>
                <w:b/>
                <w:sz w:val="20"/>
                <w:szCs w:val="20"/>
                <w:lang w:eastAsia="en-GB"/>
              </w:rPr>
              <w:t>20,025,095</w:t>
            </w:r>
          </w:p>
        </w:tc>
      </w:tr>
    </w:tbl>
    <w:p w:rsidR="00E12A9A" w:rsidRPr="009170B8" w:rsidRDefault="00E12A9A" w:rsidP="00A33C09">
      <w:pPr>
        <w:autoSpaceDE w:val="0"/>
        <w:autoSpaceDN w:val="0"/>
        <w:rPr>
          <w:rFonts w:ascii="Times New Roman" w:hAnsi="Times New Roman"/>
          <w:sz w:val="20"/>
          <w:szCs w:val="20"/>
        </w:rPr>
      </w:pPr>
    </w:p>
    <w:p w:rsidR="00735183" w:rsidRPr="009170B8" w:rsidRDefault="00DE60AD">
      <w:pPr>
        <w:ind w:left="284" w:hanging="284"/>
        <w:rPr>
          <w:rFonts w:ascii="Times New Roman" w:hAnsi="Times New Roman"/>
          <w:b/>
          <w:sz w:val="20"/>
          <w:szCs w:val="20"/>
        </w:rPr>
      </w:pPr>
      <w:r w:rsidRPr="009170B8">
        <w:rPr>
          <w:rFonts w:ascii="Times New Roman" w:hAnsi="Times New Roman"/>
          <w:b/>
          <w:sz w:val="20"/>
          <w:szCs w:val="20"/>
        </w:rPr>
        <w:t>1</w:t>
      </w:r>
      <w:r w:rsidR="00E12A9A">
        <w:rPr>
          <w:rFonts w:ascii="Times New Roman" w:hAnsi="Times New Roman"/>
          <w:b/>
          <w:sz w:val="20"/>
          <w:szCs w:val="20"/>
        </w:rPr>
        <w:t>8</w:t>
      </w:r>
      <w:r w:rsidR="004802E3" w:rsidRPr="009170B8">
        <w:rPr>
          <w:rFonts w:ascii="Times New Roman" w:hAnsi="Times New Roman"/>
          <w:b/>
          <w:sz w:val="20"/>
          <w:szCs w:val="20"/>
        </w:rPr>
        <w:t xml:space="preserve">. </w:t>
      </w:r>
      <w:r w:rsidR="004802E3" w:rsidRPr="00462D4E">
        <w:rPr>
          <w:rFonts w:ascii="Times New Roman" w:hAnsi="Times New Roman"/>
          <w:b/>
          <w:sz w:val="20"/>
          <w:szCs w:val="20"/>
        </w:rPr>
        <w:t xml:space="preserve">Post </w:t>
      </w:r>
      <w:r w:rsidR="00F565C6" w:rsidRPr="00462D4E">
        <w:rPr>
          <w:rFonts w:ascii="Times New Roman" w:hAnsi="Times New Roman"/>
          <w:b/>
          <w:sz w:val="20"/>
          <w:szCs w:val="20"/>
        </w:rPr>
        <w:t>year end</w:t>
      </w:r>
      <w:r w:rsidR="004802E3" w:rsidRPr="00462D4E">
        <w:rPr>
          <w:rFonts w:ascii="Times New Roman" w:hAnsi="Times New Roman"/>
          <w:b/>
          <w:sz w:val="20"/>
          <w:szCs w:val="20"/>
        </w:rPr>
        <w:t xml:space="preserve"> events</w:t>
      </w:r>
    </w:p>
    <w:p w:rsidR="0084306F" w:rsidRPr="00387C93" w:rsidRDefault="00A43489" w:rsidP="00A43489">
      <w:pPr>
        <w:ind w:left="284"/>
        <w:jc w:val="both"/>
        <w:rPr>
          <w:rFonts w:ascii="Times New Roman" w:hAnsi="Times New Roman"/>
          <w:sz w:val="20"/>
          <w:szCs w:val="20"/>
        </w:rPr>
      </w:pPr>
      <w:r w:rsidRPr="00387C93">
        <w:rPr>
          <w:rFonts w:ascii="Times New Roman" w:hAnsi="Times New Roman"/>
          <w:sz w:val="20"/>
          <w:szCs w:val="20"/>
        </w:rPr>
        <w:t xml:space="preserve">On </w:t>
      </w:r>
      <w:r w:rsidR="00C84D94">
        <w:rPr>
          <w:rFonts w:ascii="Times New Roman" w:hAnsi="Times New Roman"/>
          <w:sz w:val="20"/>
          <w:szCs w:val="20"/>
        </w:rPr>
        <w:t>3</w:t>
      </w:r>
      <w:r w:rsidRPr="00387C93">
        <w:rPr>
          <w:rFonts w:ascii="Times New Roman" w:hAnsi="Times New Roman"/>
          <w:sz w:val="20"/>
          <w:szCs w:val="20"/>
        </w:rPr>
        <w:t xml:space="preserve"> January 201</w:t>
      </w:r>
      <w:r w:rsidR="00C84D94">
        <w:rPr>
          <w:rFonts w:ascii="Times New Roman" w:hAnsi="Times New Roman"/>
          <w:sz w:val="20"/>
          <w:szCs w:val="20"/>
        </w:rPr>
        <w:t>9</w:t>
      </w:r>
      <w:r w:rsidR="00CA5A90" w:rsidRPr="00387C93">
        <w:rPr>
          <w:rFonts w:ascii="Times New Roman" w:hAnsi="Times New Roman"/>
          <w:sz w:val="20"/>
          <w:szCs w:val="20"/>
        </w:rPr>
        <w:t>,</w:t>
      </w:r>
      <w:r w:rsidR="00DF1751" w:rsidRPr="00387C93">
        <w:rPr>
          <w:rFonts w:ascii="Times New Roman" w:hAnsi="Times New Roman"/>
          <w:sz w:val="20"/>
          <w:szCs w:val="20"/>
        </w:rPr>
        <w:t xml:space="preserve"> the Company declared a quarterly dividend of 1.2</w:t>
      </w:r>
      <w:r w:rsidR="008D2F1B">
        <w:rPr>
          <w:rFonts w:ascii="Times New Roman" w:hAnsi="Times New Roman"/>
          <w:sz w:val="20"/>
          <w:szCs w:val="20"/>
        </w:rPr>
        <w:t>7</w:t>
      </w:r>
      <w:r w:rsidR="00DF1751" w:rsidRPr="00387C93">
        <w:rPr>
          <w:rFonts w:ascii="Times New Roman" w:hAnsi="Times New Roman"/>
          <w:sz w:val="20"/>
          <w:szCs w:val="20"/>
        </w:rPr>
        <w:t xml:space="preserve">5 pence per </w:t>
      </w:r>
      <w:r w:rsidR="0069322D" w:rsidRPr="00387C93">
        <w:rPr>
          <w:rFonts w:ascii="Times New Roman" w:hAnsi="Times New Roman"/>
          <w:sz w:val="20"/>
          <w:szCs w:val="20"/>
        </w:rPr>
        <w:t>s</w:t>
      </w:r>
      <w:r w:rsidR="00DF1751" w:rsidRPr="00387C93">
        <w:rPr>
          <w:rFonts w:ascii="Times New Roman" w:hAnsi="Times New Roman"/>
          <w:sz w:val="20"/>
          <w:szCs w:val="20"/>
        </w:rPr>
        <w:t>hare. The ex-dividend date was 1</w:t>
      </w:r>
      <w:r w:rsidR="0069096F">
        <w:rPr>
          <w:rFonts w:ascii="Times New Roman" w:hAnsi="Times New Roman"/>
          <w:sz w:val="20"/>
          <w:szCs w:val="20"/>
        </w:rPr>
        <w:t>0</w:t>
      </w:r>
      <w:r w:rsidR="00D316F7" w:rsidRPr="00387C93">
        <w:rPr>
          <w:rFonts w:ascii="Times New Roman" w:hAnsi="Times New Roman"/>
          <w:sz w:val="20"/>
          <w:szCs w:val="20"/>
        </w:rPr>
        <w:t xml:space="preserve"> </w:t>
      </w:r>
      <w:r w:rsidR="00462D4E" w:rsidRPr="00387C93">
        <w:rPr>
          <w:rFonts w:ascii="Times New Roman" w:hAnsi="Times New Roman"/>
          <w:sz w:val="20"/>
          <w:szCs w:val="20"/>
        </w:rPr>
        <w:t>January 201</w:t>
      </w:r>
      <w:r w:rsidR="0069096F">
        <w:rPr>
          <w:rFonts w:ascii="Times New Roman" w:hAnsi="Times New Roman"/>
          <w:sz w:val="20"/>
          <w:szCs w:val="20"/>
        </w:rPr>
        <w:t>9</w:t>
      </w:r>
      <w:r w:rsidR="00462D4E" w:rsidRPr="00387C93">
        <w:rPr>
          <w:rFonts w:ascii="Times New Roman" w:hAnsi="Times New Roman"/>
          <w:sz w:val="20"/>
          <w:szCs w:val="20"/>
        </w:rPr>
        <w:t xml:space="preserve"> and the record date was 1</w:t>
      </w:r>
      <w:r w:rsidR="0069096F">
        <w:rPr>
          <w:rFonts w:ascii="Times New Roman" w:hAnsi="Times New Roman"/>
          <w:sz w:val="20"/>
          <w:szCs w:val="20"/>
        </w:rPr>
        <w:t>1</w:t>
      </w:r>
      <w:r w:rsidR="00387C93">
        <w:rPr>
          <w:rFonts w:ascii="Times New Roman" w:hAnsi="Times New Roman"/>
          <w:sz w:val="20"/>
          <w:szCs w:val="20"/>
        </w:rPr>
        <w:t xml:space="preserve"> </w:t>
      </w:r>
      <w:r w:rsidR="009C0A3A" w:rsidRPr="00387C93">
        <w:rPr>
          <w:rFonts w:ascii="Times New Roman" w:hAnsi="Times New Roman"/>
          <w:sz w:val="20"/>
          <w:szCs w:val="20"/>
        </w:rPr>
        <w:t>January 201</w:t>
      </w:r>
      <w:r w:rsidR="0069096F">
        <w:rPr>
          <w:rFonts w:ascii="Times New Roman" w:hAnsi="Times New Roman"/>
          <w:sz w:val="20"/>
          <w:szCs w:val="20"/>
        </w:rPr>
        <w:t>9</w:t>
      </w:r>
      <w:r w:rsidR="00462D4E" w:rsidRPr="00387C93">
        <w:rPr>
          <w:rFonts w:ascii="Times New Roman" w:hAnsi="Times New Roman"/>
          <w:sz w:val="20"/>
          <w:szCs w:val="20"/>
        </w:rPr>
        <w:t xml:space="preserve">. On </w:t>
      </w:r>
      <w:r w:rsidR="00A91663" w:rsidRPr="00387C93">
        <w:rPr>
          <w:rFonts w:ascii="Times New Roman" w:hAnsi="Times New Roman"/>
          <w:sz w:val="20"/>
          <w:szCs w:val="20"/>
        </w:rPr>
        <w:t>31</w:t>
      </w:r>
      <w:r w:rsidR="00462D4E" w:rsidRPr="00387C93">
        <w:rPr>
          <w:rFonts w:ascii="Times New Roman" w:hAnsi="Times New Roman"/>
          <w:sz w:val="20"/>
          <w:szCs w:val="20"/>
        </w:rPr>
        <w:t xml:space="preserve"> January 201</w:t>
      </w:r>
      <w:r w:rsidR="0069096F">
        <w:rPr>
          <w:rFonts w:ascii="Times New Roman" w:hAnsi="Times New Roman"/>
          <w:sz w:val="20"/>
          <w:szCs w:val="20"/>
        </w:rPr>
        <w:t>9</w:t>
      </w:r>
      <w:r w:rsidR="007E6005">
        <w:rPr>
          <w:rFonts w:ascii="Times New Roman" w:hAnsi="Times New Roman"/>
          <w:sz w:val="20"/>
          <w:szCs w:val="20"/>
        </w:rPr>
        <w:t>,</w:t>
      </w:r>
      <w:r w:rsidR="00DF1751" w:rsidRPr="00387C93">
        <w:rPr>
          <w:rFonts w:ascii="Times New Roman" w:hAnsi="Times New Roman"/>
          <w:sz w:val="20"/>
          <w:szCs w:val="20"/>
        </w:rPr>
        <w:t xml:space="preserve"> the dividend of £1,</w:t>
      </w:r>
      <w:r w:rsidRPr="00387C93">
        <w:rPr>
          <w:rFonts w:ascii="Times New Roman" w:hAnsi="Times New Roman"/>
          <w:sz w:val="20"/>
          <w:szCs w:val="20"/>
        </w:rPr>
        <w:t>3</w:t>
      </w:r>
      <w:r w:rsidR="008D2F1B">
        <w:rPr>
          <w:rFonts w:ascii="Times New Roman" w:hAnsi="Times New Roman"/>
          <w:sz w:val="20"/>
          <w:szCs w:val="20"/>
        </w:rPr>
        <w:t>57</w:t>
      </w:r>
      <w:r w:rsidR="00462D4E" w:rsidRPr="00387C93">
        <w:rPr>
          <w:rFonts w:ascii="Times New Roman" w:hAnsi="Times New Roman"/>
          <w:sz w:val="20"/>
          <w:szCs w:val="20"/>
        </w:rPr>
        <w:t>,</w:t>
      </w:r>
      <w:r w:rsidR="008D2F1B">
        <w:rPr>
          <w:rFonts w:ascii="Times New Roman" w:hAnsi="Times New Roman"/>
          <w:sz w:val="20"/>
          <w:szCs w:val="20"/>
        </w:rPr>
        <w:t>712</w:t>
      </w:r>
      <w:r w:rsidR="00DF1751" w:rsidRPr="00387C93">
        <w:rPr>
          <w:rFonts w:ascii="Times New Roman" w:hAnsi="Times New Roman"/>
          <w:sz w:val="20"/>
          <w:szCs w:val="20"/>
        </w:rPr>
        <w:t xml:space="preserve"> was paid.</w:t>
      </w:r>
    </w:p>
    <w:p w:rsidR="0084306F" w:rsidRPr="004F5C79" w:rsidRDefault="0084306F" w:rsidP="00A43489">
      <w:pPr>
        <w:ind w:left="284"/>
        <w:jc w:val="both"/>
        <w:rPr>
          <w:rFonts w:ascii="Times New Roman" w:hAnsi="Times New Roman"/>
          <w:sz w:val="20"/>
          <w:szCs w:val="20"/>
          <w:highlight w:val="yellow"/>
        </w:rPr>
      </w:pPr>
    </w:p>
    <w:p w:rsidR="007E6005" w:rsidRPr="00CC7F52" w:rsidRDefault="008D2F1B">
      <w:pPr>
        <w:ind w:left="284"/>
        <w:jc w:val="both"/>
        <w:rPr>
          <w:rFonts w:ascii="Times New Roman" w:hAnsi="Times New Roman"/>
          <w:sz w:val="20"/>
          <w:szCs w:val="20"/>
        </w:rPr>
      </w:pPr>
      <w:r>
        <w:rPr>
          <w:rFonts w:ascii="Times New Roman" w:hAnsi="Times New Roman"/>
          <w:sz w:val="20"/>
          <w:szCs w:val="20"/>
        </w:rPr>
        <w:t xml:space="preserve">No redeemable preference shares were purchased by the </w:t>
      </w:r>
      <w:r w:rsidR="000302D8">
        <w:rPr>
          <w:rFonts w:ascii="Times New Roman" w:hAnsi="Times New Roman"/>
          <w:sz w:val="20"/>
          <w:szCs w:val="20"/>
        </w:rPr>
        <w:t>C</w:t>
      </w:r>
      <w:r>
        <w:rPr>
          <w:rFonts w:ascii="Times New Roman" w:hAnsi="Times New Roman"/>
          <w:sz w:val="20"/>
          <w:szCs w:val="20"/>
        </w:rPr>
        <w:t>ompany subsequent to year end</w:t>
      </w:r>
      <w:r w:rsidR="001C0D3D" w:rsidRPr="00CC7F52">
        <w:rPr>
          <w:rFonts w:ascii="Times New Roman" w:hAnsi="Times New Roman"/>
          <w:sz w:val="20"/>
          <w:szCs w:val="20"/>
        </w:rPr>
        <w:t>.</w:t>
      </w:r>
    </w:p>
    <w:p w:rsidR="007E6005" w:rsidRPr="00CC7F52" w:rsidRDefault="007E6005" w:rsidP="00C87A19">
      <w:pPr>
        <w:ind w:left="284"/>
        <w:jc w:val="both"/>
        <w:rPr>
          <w:rFonts w:ascii="Times New Roman" w:hAnsi="Times New Roman"/>
          <w:sz w:val="20"/>
          <w:szCs w:val="20"/>
        </w:rPr>
      </w:pPr>
    </w:p>
    <w:p w:rsidR="008B64A3" w:rsidRDefault="008B64A3" w:rsidP="00C87A19">
      <w:pPr>
        <w:ind w:left="284"/>
        <w:jc w:val="both"/>
        <w:rPr>
          <w:rFonts w:ascii="Times New Roman" w:hAnsi="Times New Roman"/>
          <w:sz w:val="20"/>
          <w:szCs w:val="20"/>
        </w:rPr>
      </w:pPr>
      <w:r w:rsidRPr="00387C93">
        <w:rPr>
          <w:rFonts w:ascii="Times New Roman" w:hAnsi="Times New Roman"/>
          <w:sz w:val="20"/>
          <w:szCs w:val="20"/>
        </w:rPr>
        <w:t>At 31 December 201</w:t>
      </w:r>
      <w:r>
        <w:rPr>
          <w:rFonts w:ascii="Times New Roman" w:hAnsi="Times New Roman"/>
          <w:sz w:val="20"/>
          <w:szCs w:val="20"/>
        </w:rPr>
        <w:t>8</w:t>
      </w:r>
      <w:r w:rsidRPr="00387C93">
        <w:rPr>
          <w:rFonts w:ascii="Times New Roman" w:hAnsi="Times New Roman"/>
          <w:sz w:val="20"/>
          <w:szCs w:val="20"/>
        </w:rPr>
        <w:t>, the Bankers’ Acceptance drawn under the Credit Facility total</w:t>
      </w:r>
      <w:r w:rsidR="00BB783A">
        <w:rPr>
          <w:rFonts w:ascii="Times New Roman" w:hAnsi="Times New Roman"/>
          <w:sz w:val="20"/>
          <w:szCs w:val="20"/>
        </w:rPr>
        <w:t>led</w:t>
      </w:r>
      <w:r w:rsidRPr="00387C93">
        <w:rPr>
          <w:rFonts w:ascii="Times New Roman" w:hAnsi="Times New Roman"/>
          <w:sz w:val="20"/>
          <w:szCs w:val="20"/>
        </w:rPr>
        <w:t xml:space="preserve"> CAD </w:t>
      </w:r>
      <w:r>
        <w:rPr>
          <w:rFonts w:ascii="Times New Roman" w:hAnsi="Times New Roman"/>
          <w:sz w:val="20"/>
          <w:szCs w:val="20"/>
        </w:rPr>
        <w:t>35</w:t>
      </w:r>
      <w:r w:rsidRPr="00387C93">
        <w:rPr>
          <w:rFonts w:ascii="Times New Roman" w:hAnsi="Times New Roman"/>
          <w:sz w:val="20"/>
          <w:szCs w:val="20"/>
        </w:rPr>
        <w:t>,000,000</w:t>
      </w:r>
      <w:r w:rsidRPr="00387C93">
        <w:rPr>
          <w:rFonts w:ascii="Times New Roman" w:hAnsi="Times New Roman"/>
          <w:sz w:val="20"/>
        </w:rPr>
        <w:t xml:space="preserve"> </w:t>
      </w:r>
      <w:r w:rsidRPr="00387C93">
        <w:rPr>
          <w:rFonts w:ascii="Times New Roman" w:hAnsi="Times New Roman"/>
          <w:sz w:val="20"/>
          <w:szCs w:val="20"/>
        </w:rPr>
        <w:t>(31 December 201</w:t>
      </w:r>
      <w:r>
        <w:rPr>
          <w:rFonts w:ascii="Times New Roman" w:hAnsi="Times New Roman"/>
          <w:sz w:val="20"/>
          <w:szCs w:val="20"/>
        </w:rPr>
        <w:t>7</w:t>
      </w:r>
      <w:r w:rsidRPr="00387C93">
        <w:rPr>
          <w:rFonts w:ascii="Times New Roman" w:hAnsi="Times New Roman"/>
          <w:sz w:val="20"/>
          <w:szCs w:val="20"/>
        </w:rPr>
        <w:t xml:space="preserve">: CAD </w:t>
      </w:r>
      <w:r>
        <w:rPr>
          <w:rFonts w:ascii="Times New Roman" w:hAnsi="Times New Roman"/>
          <w:sz w:val="20"/>
          <w:szCs w:val="20"/>
        </w:rPr>
        <w:t>61</w:t>
      </w:r>
      <w:r w:rsidRPr="00387C93">
        <w:rPr>
          <w:rFonts w:ascii="Times New Roman" w:hAnsi="Times New Roman"/>
          <w:sz w:val="20"/>
          <w:szCs w:val="20"/>
        </w:rPr>
        <w:t xml:space="preserve">,000,000). The </w:t>
      </w:r>
      <w:r>
        <w:rPr>
          <w:rFonts w:ascii="Times New Roman" w:hAnsi="Times New Roman"/>
          <w:sz w:val="20"/>
          <w:szCs w:val="20"/>
        </w:rPr>
        <w:t xml:space="preserve">loan value of </w:t>
      </w:r>
      <w:r w:rsidRPr="00387C93">
        <w:rPr>
          <w:rFonts w:ascii="Times New Roman" w:hAnsi="Times New Roman"/>
          <w:sz w:val="20"/>
          <w:szCs w:val="20"/>
        </w:rPr>
        <w:t xml:space="preserve">CAD </w:t>
      </w:r>
      <w:r>
        <w:rPr>
          <w:rFonts w:ascii="Times New Roman" w:hAnsi="Times New Roman"/>
          <w:sz w:val="20"/>
          <w:szCs w:val="20"/>
        </w:rPr>
        <w:t>35</w:t>
      </w:r>
      <w:r w:rsidRPr="00387C93">
        <w:rPr>
          <w:rFonts w:ascii="Times New Roman" w:hAnsi="Times New Roman"/>
          <w:sz w:val="20"/>
          <w:szCs w:val="20"/>
        </w:rPr>
        <w:t>,000,000</w:t>
      </w:r>
      <w:r>
        <w:rPr>
          <w:rFonts w:ascii="Times New Roman" w:hAnsi="Times New Roman"/>
          <w:sz w:val="20"/>
          <w:szCs w:val="20"/>
        </w:rPr>
        <w:t xml:space="preserve"> was made up of one loan issued on 20 December 2018, </w:t>
      </w:r>
      <w:r w:rsidR="00963D05">
        <w:rPr>
          <w:rFonts w:ascii="Times New Roman" w:hAnsi="Times New Roman"/>
          <w:sz w:val="20"/>
          <w:szCs w:val="20"/>
        </w:rPr>
        <w:t>which matured</w:t>
      </w:r>
      <w:r>
        <w:rPr>
          <w:rFonts w:ascii="Times New Roman" w:hAnsi="Times New Roman"/>
          <w:sz w:val="20"/>
          <w:szCs w:val="20"/>
        </w:rPr>
        <w:t xml:space="preserve"> on 19 February 2019.</w:t>
      </w:r>
    </w:p>
    <w:p w:rsidR="00BB783A" w:rsidRDefault="00BB783A" w:rsidP="00C87A19">
      <w:pPr>
        <w:ind w:left="284"/>
        <w:jc w:val="both"/>
        <w:rPr>
          <w:rFonts w:ascii="Times New Roman" w:hAnsi="Times New Roman"/>
          <w:sz w:val="20"/>
          <w:szCs w:val="20"/>
        </w:rPr>
      </w:pPr>
    </w:p>
    <w:p w:rsidR="00BB783A" w:rsidRDefault="00BB783A" w:rsidP="00BB783A">
      <w:pPr>
        <w:ind w:left="284"/>
        <w:jc w:val="both"/>
        <w:rPr>
          <w:rFonts w:ascii="Times New Roman" w:hAnsi="Times New Roman"/>
          <w:sz w:val="20"/>
          <w:szCs w:val="20"/>
        </w:rPr>
      </w:pPr>
      <w:r w:rsidRPr="00E54387">
        <w:rPr>
          <w:rFonts w:ascii="Times New Roman" w:hAnsi="Times New Roman"/>
          <w:sz w:val="20"/>
          <w:szCs w:val="20"/>
        </w:rPr>
        <w:t xml:space="preserve">The loan of CAD </w:t>
      </w:r>
      <w:r>
        <w:rPr>
          <w:rFonts w:ascii="Times New Roman" w:hAnsi="Times New Roman"/>
          <w:sz w:val="20"/>
          <w:szCs w:val="20"/>
        </w:rPr>
        <w:t>35</w:t>
      </w:r>
      <w:r w:rsidRPr="00E54387">
        <w:rPr>
          <w:rFonts w:ascii="Times New Roman" w:hAnsi="Times New Roman"/>
          <w:sz w:val="20"/>
          <w:szCs w:val="20"/>
        </w:rPr>
        <w:t xml:space="preserve">,000,000 maturing on </w:t>
      </w:r>
      <w:r>
        <w:rPr>
          <w:rFonts w:ascii="Times New Roman" w:hAnsi="Times New Roman"/>
          <w:sz w:val="20"/>
          <w:szCs w:val="20"/>
        </w:rPr>
        <w:t>19</w:t>
      </w:r>
      <w:r w:rsidRPr="00E54387">
        <w:rPr>
          <w:rFonts w:ascii="Times New Roman" w:hAnsi="Times New Roman"/>
          <w:sz w:val="20"/>
          <w:szCs w:val="20"/>
        </w:rPr>
        <w:t xml:space="preserve"> February 201</w:t>
      </w:r>
      <w:r>
        <w:rPr>
          <w:rFonts w:ascii="Times New Roman" w:hAnsi="Times New Roman"/>
          <w:sz w:val="20"/>
          <w:szCs w:val="20"/>
        </w:rPr>
        <w:t>9</w:t>
      </w:r>
      <w:r w:rsidRPr="00E54387">
        <w:rPr>
          <w:rFonts w:ascii="Times New Roman" w:hAnsi="Times New Roman"/>
          <w:sz w:val="20"/>
          <w:szCs w:val="20"/>
        </w:rPr>
        <w:t>, was renewed with a maturity date of 2</w:t>
      </w:r>
      <w:r>
        <w:rPr>
          <w:rFonts w:ascii="Times New Roman" w:hAnsi="Times New Roman"/>
          <w:sz w:val="20"/>
          <w:szCs w:val="20"/>
        </w:rPr>
        <w:t>1</w:t>
      </w:r>
      <w:r w:rsidRPr="00E54387">
        <w:rPr>
          <w:rFonts w:ascii="Times New Roman" w:hAnsi="Times New Roman"/>
          <w:sz w:val="20"/>
          <w:szCs w:val="20"/>
        </w:rPr>
        <w:t xml:space="preserve"> Ma</w:t>
      </w:r>
      <w:r>
        <w:rPr>
          <w:rFonts w:ascii="Times New Roman" w:hAnsi="Times New Roman"/>
          <w:sz w:val="20"/>
          <w:szCs w:val="20"/>
        </w:rPr>
        <w:t>rch</w:t>
      </w:r>
      <w:r w:rsidRPr="00E54387">
        <w:rPr>
          <w:rFonts w:ascii="Times New Roman" w:hAnsi="Times New Roman"/>
          <w:sz w:val="20"/>
          <w:szCs w:val="20"/>
        </w:rPr>
        <w:t xml:space="preserve"> 201</w:t>
      </w:r>
      <w:r>
        <w:rPr>
          <w:rFonts w:ascii="Times New Roman" w:hAnsi="Times New Roman"/>
          <w:sz w:val="20"/>
          <w:szCs w:val="20"/>
        </w:rPr>
        <w:t>9</w:t>
      </w:r>
      <w:r w:rsidRPr="00E54387">
        <w:rPr>
          <w:rFonts w:ascii="Times New Roman" w:hAnsi="Times New Roman"/>
          <w:sz w:val="20"/>
          <w:szCs w:val="20"/>
        </w:rPr>
        <w:t>.</w:t>
      </w:r>
      <w:r w:rsidR="00C96F7B">
        <w:rPr>
          <w:rFonts w:ascii="Times New Roman" w:hAnsi="Times New Roman"/>
          <w:sz w:val="20"/>
          <w:szCs w:val="20"/>
        </w:rPr>
        <w:t xml:space="preserve"> The loan was subsequently renewed on 21 March 2019, with a amount of </w:t>
      </w:r>
      <w:r w:rsidR="00C96F7B" w:rsidRPr="00636DB1">
        <w:rPr>
          <w:rFonts w:ascii="Times New Roman" w:hAnsi="Times New Roman"/>
          <w:sz w:val="20"/>
          <w:szCs w:val="20"/>
        </w:rPr>
        <w:t xml:space="preserve">CAD </w:t>
      </w:r>
      <w:r w:rsidR="00C96F7B">
        <w:rPr>
          <w:rFonts w:ascii="Times New Roman" w:hAnsi="Times New Roman"/>
          <w:sz w:val="20"/>
          <w:szCs w:val="20"/>
        </w:rPr>
        <w:t>45</w:t>
      </w:r>
      <w:r w:rsidR="00C96F7B" w:rsidRPr="00636DB1">
        <w:rPr>
          <w:rFonts w:ascii="Times New Roman" w:hAnsi="Times New Roman"/>
          <w:sz w:val="20"/>
          <w:szCs w:val="20"/>
        </w:rPr>
        <w:t xml:space="preserve">,000,000 </w:t>
      </w:r>
      <w:r w:rsidR="00C96F7B">
        <w:rPr>
          <w:rFonts w:ascii="Times New Roman" w:hAnsi="Times New Roman"/>
          <w:sz w:val="20"/>
          <w:szCs w:val="20"/>
        </w:rPr>
        <w:t>and maturity date of 19 June 2019.</w:t>
      </w:r>
    </w:p>
    <w:p w:rsidR="00A00AFF" w:rsidRPr="00A00AFF" w:rsidRDefault="00A00AFF" w:rsidP="00A00AFF">
      <w:pPr>
        <w:autoSpaceDE w:val="0"/>
        <w:autoSpaceDN w:val="0"/>
        <w:rPr>
          <w:rFonts w:ascii="Times New Roman" w:hAnsi="Times New Roman"/>
          <w:b/>
          <w:sz w:val="20"/>
          <w:szCs w:val="20"/>
        </w:rPr>
      </w:pPr>
      <w:r w:rsidRPr="00A00AFF">
        <w:rPr>
          <w:rFonts w:ascii="Times New Roman" w:hAnsi="Times New Roman"/>
          <w:b/>
          <w:bCs/>
          <w:sz w:val="20"/>
          <w:szCs w:val="20"/>
        </w:rPr>
        <w:t xml:space="preserve"> </w:t>
      </w:r>
    </w:p>
    <w:p w:rsidR="00DE60AD" w:rsidRPr="009170B8" w:rsidRDefault="00DE60AD" w:rsidP="00DE60AD">
      <w:pPr>
        <w:autoSpaceDE w:val="0"/>
        <w:autoSpaceDN w:val="0"/>
        <w:rPr>
          <w:rFonts w:ascii="Times New Roman" w:hAnsi="Times New Roman"/>
          <w:b/>
          <w:sz w:val="20"/>
          <w:szCs w:val="20"/>
        </w:rPr>
      </w:pPr>
      <w:r w:rsidRPr="009170B8">
        <w:rPr>
          <w:rFonts w:ascii="Times New Roman" w:hAnsi="Times New Roman"/>
          <w:b/>
          <w:sz w:val="20"/>
          <w:szCs w:val="20"/>
        </w:rPr>
        <w:t>1</w:t>
      </w:r>
      <w:r w:rsidR="00586117">
        <w:rPr>
          <w:rFonts w:ascii="Times New Roman" w:hAnsi="Times New Roman"/>
          <w:b/>
          <w:sz w:val="20"/>
          <w:szCs w:val="20"/>
        </w:rPr>
        <w:t>9</w:t>
      </w:r>
      <w:r w:rsidRPr="009170B8">
        <w:rPr>
          <w:rFonts w:ascii="Times New Roman" w:hAnsi="Times New Roman"/>
          <w:b/>
          <w:sz w:val="20"/>
          <w:szCs w:val="20"/>
        </w:rPr>
        <w:t>. Controlling party</w:t>
      </w:r>
    </w:p>
    <w:p w:rsidR="00780634" w:rsidRPr="005437AB" w:rsidRDefault="00DE60AD" w:rsidP="005437AB">
      <w:pPr>
        <w:autoSpaceDE w:val="0"/>
        <w:autoSpaceDN w:val="0"/>
        <w:ind w:left="284"/>
        <w:rPr>
          <w:rFonts w:ascii="Times New Roman" w:hAnsi="Times New Roman"/>
          <w:sz w:val="20"/>
          <w:szCs w:val="20"/>
        </w:rPr>
      </w:pPr>
      <w:r w:rsidRPr="009170B8">
        <w:rPr>
          <w:rFonts w:ascii="Times New Roman" w:hAnsi="Times New Roman"/>
          <w:sz w:val="20"/>
          <w:szCs w:val="20"/>
        </w:rPr>
        <w:t>There is no ultimate controlling party.</w:t>
      </w:r>
      <w:bookmarkStart w:id="58" w:name="OLE_LINK1"/>
      <w:bookmarkStart w:id="59" w:name="OLE_LINK2"/>
      <w:r w:rsidR="00780634" w:rsidRPr="009170B8">
        <w:rPr>
          <w:rFonts w:ascii="Times New Roman" w:hAnsi="Times New Roman"/>
        </w:rPr>
        <w:br w:type="page"/>
      </w:r>
    </w:p>
    <w:p w:rsidR="00735AEF" w:rsidRPr="009170B8" w:rsidRDefault="00735AEF" w:rsidP="00735AEF">
      <w:pPr>
        <w:pStyle w:val="Heading2"/>
        <w:tabs>
          <w:tab w:val="right" w:pos="8222"/>
        </w:tabs>
        <w:rPr>
          <w:rFonts w:ascii="Times New Roman" w:hAnsi="Times New Roman"/>
        </w:rPr>
      </w:pPr>
      <w:bookmarkStart w:id="60" w:name="OLE_LINK34"/>
      <w:bookmarkStart w:id="61" w:name="OLE_LINK35"/>
      <w:r w:rsidRPr="009170B8">
        <w:rPr>
          <w:rFonts w:ascii="Times New Roman" w:hAnsi="Times New Roman"/>
        </w:rPr>
        <w:t>Notes to the Financial Statements</w:t>
      </w:r>
      <w:r w:rsidR="004337A1">
        <w:rPr>
          <w:rFonts w:ascii="Times New Roman" w:hAnsi="Times New Roman"/>
        </w:rPr>
        <w:t xml:space="preserve"> of the Fund</w:t>
      </w:r>
      <w:r w:rsidRPr="009170B8">
        <w:rPr>
          <w:rFonts w:ascii="Times New Roman" w:hAnsi="Times New Roman"/>
        </w:rPr>
        <w:t xml:space="preserve"> (continued)</w:t>
      </w:r>
    </w:p>
    <w:p w:rsidR="00735AEF" w:rsidRPr="009170B8" w:rsidRDefault="00735AEF" w:rsidP="00735AEF">
      <w:pPr>
        <w:pStyle w:val="Heading3"/>
        <w:rPr>
          <w:rFonts w:ascii="Times New Roman" w:hAnsi="Times New Roman"/>
          <w:b w:val="0"/>
        </w:rPr>
      </w:pPr>
      <w:r w:rsidRPr="009170B8">
        <w:rPr>
          <w:rFonts w:ascii="Times New Roman" w:hAnsi="Times New Roman"/>
        </w:rPr>
        <w:t xml:space="preserve">For the year ended 31 December </w:t>
      </w:r>
      <w:r w:rsidR="006179DC">
        <w:rPr>
          <w:rFonts w:ascii="Times New Roman" w:hAnsi="Times New Roman"/>
        </w:rPr>
        <w:t>201</w:t>
      </w:r>
      <w:r w:rsidR="00C84D94">
        <w:rPr>
          <w:rFonts w:ascii="Times New Roman" w:hAnsi="Times New Roman"/>
        </w:rPr>
        <w:t>8</w:t>
      </w:r>
    </w:p>
    <w:p w:rsidR="0008270C" w:rsidRPr="009170B8" w:rsidRDefault="0008270C">
      <w:pPr>
        <w:pStyle w:val="BodyText"/>
        <w:tabs>
          <w:tab w:val="clear" w:pos="3402"/>
          <w:tab w:val="clear" w:pos="8222"/>
        </w:tabs>
        <w:rPr>
          <w:rFonts w:ascii="Times New Roman" w:hAnsi="Times New Roman"/>
          <w:b/>
        </w:rPr>
      </w:pPr>
    </w:p>
    <w:p w:rsidR="0008270C" w:rsidRPr="009170B8" w:rsidRDefault="00586117">
      <w:pPr>
        <w:pStyle w:val="BodyText"/>
        <w:tabs>
          <w:tab w:val="clear" w:pos="3402"/>
          <w:tab w:val="clear" w:pos="8222"/>
        </w:tabs>
        <w:rPr>
          <w:rFonts w:ascii="Times New Roman" w:hAnsi="Times New Roman"/>
          <w:b/>
          <w:bCs/>
        </w:rPr>
      </w:pPr>
      <w:r>
        <w:rPr>
          <w:rFonts w:ascii="Times New Roman" w:hAnsi="Times New Roman"/>
          <w:b/>
        </w:rPr>
        <w:t>20</w:t>
      </w:r>
      <w:r w:rsidR="0008270C" w:rsidRPr="009170B8">
        <w:rPr>
          <w:rFonts w:ascii="Times New Roman" w:hAnsi="Times New Roman"/>
          <w:b/>
        </w:rPr>
        <w:t>.</w:t>
      </w:r>
      <w:r w:rsidR="0008270C" w:rsidRPr="009170B8">
        <w:rPr>
          <w:rFonts w:ascii="Times New Roman" w:hAnsi="Times New Roman"/>
          <w:b/>
        </w:rPr>
        <w:tab/>
      </w:r>
      <w:r w:rsidR="0008270C" w:rsidRPr="00A65633">
        <w:rPr>
          <w:rFonts w:ascii="Times New Roman" w:hAnsi="Times New Roman"/>
          <w:b/>
        </w:rPr>
        <w:t>Schedule of Investments – Securities (at fair value through profit or loss)</w:t>
      </w:r>
      <w:r w:rsidR="007F3F16" w:rsidRPr="009170B8">
        <w:rPr>
          <w:rFonts w:ascii="Times New Roman" w:hAnsi="Times New Roman"/>
          <w:b/>
        </w:rPr>
        <w:t xml:space="preserve"> </w:t>
      </w:r>
    </w:p>
    <w:bookmarkEnd w:id="58"/>
    <w:bookmarkEnd w:id="59"/>
    <w:bookmarkEnd w:id="60"/>
    <w:bookmarkEnd w:id="61"/>
    <w:p w:rsidR="00FF6EA1" w:rsidRDefault="008950B4" w:rsidP="00FB0254">
      <w:pPr>
        <w:jc w:val="both"/>
        <w:rPr>
          <w:rFonts w:ascii="Times New Roman" w:hAnsi="Times New Roman"/>
          <w:b/>
          <w:sz w:val="20"/>
          <w:szCs w:val="20"/>
        </w:rPr>
      </w:pPr>
      <w:r w:rsidRPr="00E5676A">
        <w:rPr>
          <w:rFonts w:ascii="Times New Roman" w:hAnsi="Times New Roman"/>
          <w:b/>
          <w:sz w:val="20"/>
          <w:szCs w:val="20"/>
        </w:rPr>
        <w:t xml:space="preserve">As at 31 December </w:t>
      </w:r>
      <w:r w:rsidR="006179DC" w:rsidRPr="00E5676A">
        <w:rPr>
          <w:rFonts w:ascii="Times New Roman" w:hAnsi="Times New Roman"/>
          <w:b/>
          <w:sz w:val="20"/>
          <w:szCs w:val="20"/>
        </w:rPr>
        <w:t>201</w:t>
      </w:r>
      <w:r w:rsidR="00C84D94">
        <w:rPr>
          <w:rFonts w:ascii="Times New Roman" w:hAnsi="Times New Roman"/>
          <w:b/>
          <w:sz w:val="20"/>
          <w:szCs w:val="20"/>
        </w:rPr>
        <w:t>8</w:t>
      </w:r>
      <w:r w:rsidR="00950D07" w:rsidRPr="00E5676A">
        <w:rPr>
          <w:rFonts w:ascii="Times New Roman" w:hAnsi="Times New Roman"/>
          <w:b/>
          <w:sz w:val="20"/>
          <w:szCs w:val="20"/>
        </w:rPr>
        <w:t xml:space="preserve"> </w:t>
      </w:r>
    </w:p>
    <w:p w:rsidR="00FB0D6C" w:rsidRPr="00E5676A" w:rsidRDefault="00FB0D6C" w:rsidP="00FB0254">
      <w:pPr>
        <w:jc w:val="both"/>
        <w:rPr>
          <w:rFonts w:ascii="Times New Roman" w:hAnsi="Times New Roman"/>
          <w:b/>
          <w:sz w:val="20"/>
          <w:szCs w:val="20"/>
        </w:rPr>
      </w:pPr>
    </w:p>
    <w:tbl>
      <w:tblPr>
        <w:tblW w:w="10959" w:type="dxa"/>
        <w:tblInd w:w="108" w:type="dxa"/>
        <w:tblLook w:val="04A0" w:firstRow="1" w:lastRow="0" w:firstColumn="1" w:lastColumn="0" w:noHBand="0" w:noVBand="1"/>
      </w:tblPr>
      <w:tblGrid>
        <w:gridCol w:w="234"/>
        <w:gridCol w:w="231"/>
        <w:gridCol w:w="228"/>
        <w:gridCol w:w="228"/>
        <w:gridCol w:w="228"/>
        <w:gridCol w:w="311"/>
        <w:gridCol w:w="228"/>
        <w:gridCol w:w="228"/>
        <w:gridCol w:w="221"/>
        <w:gridCol w:w="216"/>
        <w:gridCol w:w="216"/>
        <w:gridCol w:w="20"/>
        <w:gridCol w:w="433"/>
        <w:gridCol w:w="217"/>
        <w:gridCol w:w="257"/>
        <w:gridCol w:w="351"/>
        <w:gridCol w:w="808"/>
        <w:gridCol w:w="534"/>
        <w:gridCol w:w="1484"/>
        <w:gridCol w:w="332"/>
        <w:gridCol w:w="808"/>
        <w:gridCol w:w="496"/>
        <w:gridCol w:w="219"/>
        <w:gridCol w:w="23"/>
        <w:gridCol w:w="339"/>
        <w:gridCol w:w="307"/>
        <w:gridCol w:w="22"/>
        <w:gridCol w:w="285"/>
        <w:gridCol w:w="274"/>
        <w:gridCol w:w="387"/>
        <w:gridCol w:w="794"/>
      </w:tblGrid>
      <w:tr w:rsidR="00140415" w:rsidRPr="009170B8" w:rsidTr="00A66792">
        <w:trPr>
          <w:trHeight w:val="227"/>
        </w:trPr>
        <w:tc>
          <w:tcPr>
            <w:tcW w:w="3239" w:type="dxa"/>
            <w:gridSpan w:val="14"/>
            <w:tcBorders>
              <w:top w:val="nil"/>
              <w:left w:val="nil"/>
              <w:bottom w:val="nil"/>
              <w:right w:val="nil"/>
            </w:tcBorders>
            <w:shd w:val="clear" w:color="auto" w:fill="auto"/>
            <w:vAlign w:val="bottom"/>
          </w:tcPr>
          <w:p w:rsidR="00225F99" w:rsidRPr="009170B8" w:rsidRDefault="00225F99" w:rsidP="00460791">
            <w:pPr>
              <w:rPr>
                <w:rFonts w:ascii="Times New Roman" w:hAnsi="Times New Roman"/>
                <w:b/>
                <w:bCs/>
                <w:sz w:val="20"/>
                <w:szCs w:val="20"/>
              </w:rPr>
            </w:pPr>
            <w:bookmarkStart w:id="62" w:name="_Hlk355716"/>
            <w:bookmarkStart w:id="63" w:name="OLE_LINK40"/>
            <w:bookmarkStart w:id="64" w:name="OLE_LINK41"/>
            <w:r w:rsidRPr="009170B8">
              <w:rPr>
                <w:rFonts w:ascii="Times New Roman" w:hAnsi="Times New Roman"/>
                <w:b/>
                <w:bCs/>
                <w:sz w:val="20"/>
                <w:szCs w:val="20"/>
              </w:rPr>
              <w:t>Description</w:t>
            </w:r>
          </w:p>
        </w:tc>
        <w:tc>
          <w:tcPr>
            <w:tcW w:w="1416" w:type="dxa"/>
            <w:gridSpan w:val="3"/>
            <w:tcBorders>
              <w:top w:val="nil"/>
              <w:left w:val="nil"/>
              <w:bottom w:val="nil"/>
              <w:right w:val="nil"/>
            </w:tcBorders>
            <w:shd w:val="clear" w:color="auto" w:fill="auto"/>
            <w:vAlign w:val="bottom"/>
          </w:tcPr>
          <w:p w:rsidR="00225F99" w:rsidRPr="009170B8" w:rsidRDefault="00225F99" w:rsidP="00AC5183">
            <w:pPr>
              <w:jc w:val="center"/>
              <w:rPr>
                <w:rFonts w:ascii="Times New Roman" w:hAnsi="Times New Roman"/>
                <w:b/>
                <w:bCs/>
                <w:sz w:val="20"/>
                <w:szCs w:val="20"/>
              </w:rPr>
            </w:pPr>
            <w:r w:rsidRPr="009170B8">
              <w:rPr>
                <w:rFonts w:ascii="Times New Roman" w:hAnsi="Times New Roman"/>
                <w:b/>
                <w:bCs/>
                <w:sz w:val="20"/>
                <w:szCs w:val="20"/>
              </w:rPr>
              <w:t>Shares or Par Value</w:t>
            </w:r>
          </w:p>
        </w:tc>
        <w:tc>
          <w:tcPr>
            <w:tcW w:w="2018" w:type="dxa"/>
            <w:gridSpan w:val="2"/>
            <w:tcBorders>
              <w:top w:val="nil"/>
              <w:left w:val="nil"/>
              <w:bottom w:val="nil"/>
              <w:right w:val="nil"/>
            </w:tcBorders>
            <w:shd w:val="clear" w:color="auto" w:fill="auto"/>
            <w:vAlign w:val="bottom"/>
          </w:tcPr>
          <w:p w:rsidR="00225F99" w:rsidRPr="009170B8" w:rsidRDefault="00225F99" w:rsidP="00460791">
            <w:pPr>
              <w:jc w:val="center"/>
              <w:rPr>
                <w:rFonts w:ascii="Times New Roman" w:hAnsi="Times New Roman"/>
                <w:b/>
                <w:bCs/>
                <w:sz w:val="20"/>
                <w:szCs w:val="20"/>
              </w:rPr>
            </w:pPr>
            <w:r w:rsidRPr="009170B8">
              <w:rPr>
                <w:rFonts w:ascii="Times New Roman" w:hAnsi="Times New Roman"/>
                <w:b/>
                <w:bCs/>
                <w:sz w:val="20"/>
                <w:szCs w:val="20"/>
              </w:rPr>
              <w:t>Book Cost</w:t>
            </w:r>
          </w:p>
        </w:tc>
        <w:tc>
          <w:tcPr>
            <w:tcW w:w="1855" w:type="dxa"/>
            <w:gridSpan w:val="4"/>
            <w:tcBorders>
              <w:top w:val="nil"/>
              <w:left w:val="nil"/>
              <w:bottom w:val="nil"/>
              <w:right w:val="nil"/>
            </w:tcBorders>
            <w:shd w:val="clear" w:color="auto" w:fill="auto"/>
            <w:vAlign w:val="bottom"/>
          </w:tcPr>
          <w:p w:rsidR="00225F99" w:rsidRPr="009170B8" w:rsidRDefault="00225F99" w:rsidP="00AC5183">
            <w:pPr>
              <w:ind w:left="119"/>
              <w:jc w:val="center"/>
              <w:rPr>
                <w:rFonts w:ascii="Times New Roman" w:hAnsi="Times New Roman"/>
                <w:b/>
                <w:bCs/>
                <w:sz w:val="20"/>
                <w:szCs w:val="20"/>
              </w:rPr>
            </w:pPr>
            <w:r w:rsidRPr="009170B8">
              <w:rPr>
                <w:rFonts w:ascii="Times New Roman" w:hAnsi="Times New Roman"/>
                <w:b/>
                <w:bCs/>
                <w:sz w:val="20"/>
                <w:szCs w:val="20"/>
              </w:rPr>
              <w:t>Bid-Market Value</w:t>
            </w:r>
          </w:p>
        </w:tc>
        <w:tc>
          <w:tcPr>
            <w:tcW w:w="1250" w:type="dxa"/>
            <w:gridSpan w:val="6"/>
            <w:tcBorders>
              <w:top w:val="nil"/>
              <w:left w:val="nil"/>
              <w:bottom w:val="nil"/>
              <w:right w:val="nil"/>
            </w:tcBorders>
            <w:shd w:val="clear" w:color="auto" w:fill="auto"/>
            <w:vAlign w:val="bottom"/>
          </w:tcPr>
          <w:p w:rsidR="00225F99" w:rsidRPr="009170B8" w:rsidRDefault="00225F99" w:rsidP="00460791">
            <w:pPr>
              <w:jc w:val="center"/>
              <w:rPr>
                <w:rFonts w:ascii="Times New Roman" w:hAnsi="Times New Roman"/>
                <w:b/>
                <w:bCs/>
                <w:sz w:val="20"/>
                <w:szCs w:val="20"/>
              </w:rPr>
            </w:pPr>
            <w:r w:rsidRPr="009170B8">
              <w:rPr>
                <w:rFonts w:ascii="Times New Roman" w:hAnsi="Times New Roman"/>
                <w:b/>
                <w:bCs/>
                <w:sz w:val="20"/>
                <w:szCs w:val="20"/>
              </w:rPr>
              <w:t>% of Net Assets</w:t>
            </w:r>
          </w:p>
        </w:tc>
        <w:tc>
          <w:tcPr>
            <w:tcW w:w="1181" w:type="dxa"/>
            <w:gridSpan w:val="2"/>
            <w:tcBorders>
              <w:top w:val="nil"/>
              <w:left w:val="nil"/>
              <w:bottom w:val="nil"/>
              <w:right w:val="nil"/>
            </w:tcBorders>
            <w:shd w:val="clear" w:color="auto" w:fill="auto"/>
            <w:vAlign w:val="bottom"/>
          </w:tcPr>
          <w:p w:rsidR="00225F99" w:rsidRPr="009170B8" w:rsidRDefault="00225F99" w:rsidP="00AC5183">
            <w:pPr>
              <w:ind w:right="-144"/>
              <w:jc w:val="center"/>
              <w:rPr>
                <w:rFonts w:ascii="Times New Roman" w:hAnsi="Times New Roman"/>
                <w:b/>
                <w:bCs/>
                <w:sz w:val="20"/>
                <w:szCs w:val="20"/>
              </w:rPr>
            </w:pPr>
            <w:r w:rsidRPr="009170B8">
              <w:rPr>
                <w:rFonts w:ascii="Times New Roman" w:hAnsi="Times New Roman"/>
                <w:b/>
                <w:bCs/>
                <w:sz w:val="20"/>
                <w:szCs w:val="20"/>
              </w:rPr>
              <w:t>% of Portfolio</w:t>
            </w:r>
          </w:p>
        </w:tc>
      </w:tr>
      <w:tr w:rsidR="00140415" w:rsidRPr="009170B8" w:rsidTr="00A66792">
        <w:trPr>
          <w:trHeight w:val="227"/>
        </w:trPr>
        <w:tc>
          <w:tcPr>
            <w:tcW w:w="234" w:type="dxa"/>
            <w:tcBorders>
              <w:top w:val="nil"/>
              <w:left w:val="nil"/>
              <w:bottom w:val="nil"/>
              <w:right w:val="nil"/>
            </w:tcBorders>
            <w:shd w:val="clear" w:color="auto" w:fill="auto"/>
            <w:vAlign w:val="bottom"/>
          </w:tcPr>
          <w:p w:rsidR="00225F99" w:rsidRPr="009170B8" w:rsidRDefault="00225F99" w:rsidP="00460791">
            <w:pPr>
              <w:rPr>
                <w:rFonts w:ascii="Times New Roman" w:hAnsi="Times New Roman"/>
                <w:b/>
                <w:bCs/>
                <w:sz w:val="20"/>
                <w:szCs w:val="20"/>
              </w:rPr>
            </w:pPr>
          </w:p>
        </w:tc>
        <w:tc>
          <w:tcPr>
            <w:tcW w:w="4421" w:type="dxa"/>
            <w:gridSpan w:val="16"/>
            <w:tcBorders>
              <w:top w:val="nil"/>
              <w:left w:val="nil"/>
              <w:bottom w:val="nil"/>
              <w:right w:val="nil"/>
            </w:tcBorders>
            <w:shd w:val="clear" w:color="auto" w:fill="auto"/>
            <w:vAlign w:val="bottom"/>
          </w:tcPr>
          <w:p w:rsidR="00225F99" w:rsidRPr="009170B8" w:rsidRDefault="00225F99" w:rsidP="00460791">
            <w:pPr>
              <w:rPr>
                <w:rFonts w:ascii="Times New Roman" w:hAnsi="Times New Roman"/>
                <w:b/>
                <w:bCs/>
                <w:sz w:val="20"/>
                <w:szCs w:val="20"/>
              </w:rPr>
            </w:pPr>
          </w:p>
        </w:tc>
        <w:tc>
          <w:tcPr>
            <w:tcW w:w="2018" w:type="dxa"/>
            <w:gridSpan w:val="2"/>
            <w:tcBorders>
              <w:top w:val="nil"/>
              <w:left w:val="nil"/>
              <w:bottom w:val="nil"/>
              <w:right w:val="nil"/>
            </w:tcBorders>
            <w:shd w:val="clear" w:color="auto" w:fill="auto"/>
            <w:vAlign w:val="bottom"/>
          </w:tcPr>
          <w:p w:rsidR="00225F99" w:rsidRPr="009170B8" w:rsidRDefault="00423F6A" w:rsidP="00460791">
            <w:pPr>
              <w:jc w:val="center"/>
              <w:rPr>
                <w:rFonts w:ascii="Times New Roman" w:hAnsi="Times New Roman"/>
                <w:b/>
                <w:bCs/>
                <w:sz w:val="20"/>
                <w:szCs w:val="20"/>
              </w:rPr>
            </w:pPr>
            <w:r w:rsidRPr="009170B8">
              <w:rPr>
                <w:rFonts w:ascii="Times New Roman" w:hAnsi="Times New Roman"/>
                <w:b/>
                <w:bCs/>
                <w:sz w:val="20"/>
                <w:szCs w:val="20"/>
              </w:rPr>
              <w:t>GBP</w:t>
            </w:r>
          </w:p>
        </w:tc>
        <w:tc>
          <w:tcPr>
            <w:tcW w:w="1855" w:type="dxa"/>
            <w:gridSpan w:val="4"/>
            <w:tcBorders>
              <w:top w:val="nil"/>
              <w:left w:val="nil"/>
              <w:bottom w:val="nil"/>
              <w:right w:val="nil"/>
            </w:tcBorders>
            <w:shd w:val="clear" w:color="auto" w:fill="auto"/>
            <w:vAlign w:val="bottom"/>
          </w:tcPr>
          <w:p w:rsidR="00225F99" w:rsidRPr="009170B8" w:rsidRDefault="00423F6A" w:rsidP="00460791">
            <w:pPr>
              <w:jc w:val="center"/>
              <w:rPr>
                <w:rFonts w:ascii="Times New Roman" w:hAnsi="Times New Roman"/>
                <w:b/>
                <w:bCs/>
                <w:sz w:val="20"/>
                <w:szCs w:val="20"/>
              </w:rPr>
            </w:pPr>
            <w:r w:rsidRPr="009170B8">
              <w:rPr>
                <w:rFonts w:ascii="Times New Roman" w:hAnsi="Times New Roman"/>
                <w:b/>
                <w:bCs/>
                <w:sz w:val="20"/>
                <w:szCs w:val="20"/>
              </w:rPr>
              <w:t>GBP</w:t>
            </w:r>
          </w:p>
        </w:tc>
        <w:tc>
          <w:tcPr>
            <w:tcW w:w="1250" w:type="dxa"/>
            <w:gridSpan w:val="6"/>
            <w:tcBorders>
              <w:top w:val="nil"/>
              <w:left w:val="nil"/>
              <w:bottom w:val="nil"/>
              <w:right w:val="nil"/>
            </w:tcBorders>
            <w:shd w:val="clear" w:color="auto" w:fill="auto"/>
            <w:vAlign w:val="bottom"/>
          </w:tcPr>
          <w:p w:rsidR="00225F99" w:rsidRPr="009170B8" w:rsidRDefault="00225F99" w:rsidP="00460791">
            <w:pPr>
              <w:rPr>
                <w:rFonts w:ascii="Times New Roman" w:hAnsi="Times New Roman"/>
                <w:b/>
                <w:bCs/>
                <w:sz w:val="20"/>
                <w:szCs w:val="20"/>
              </w:rPr>
            </w:pPr>
          </w:p>
        </w:tc>
        <w:tc>
          <w:tcPr>
            <w:tcW w:w="1181" w:type="dxa"/>
            <w:gridSpan w:val="2"/>
            <w:tcBorders>
              <w:top w:val="nil"/>
              <w:left w:val="nil"/>
              <w:bottom w:val="nil"/>
              <w:right w:val="nil"/>
            </w:tcBorders>
            <w:shd w:val="clear" w:color="auto" w:fill="auto"/>
            <w:noWrap/>
          </w:tcPr>
          <w:p w:rsidR="00225F99" w:rsidRPr="009170B8" w:rsidRDefault="00225F99" w:rsidP="00AC5183">
            <w:pPr>
              <w:ind w:right="-144"/>
              <w:jc w:val="center"/>
              <w:rPr>
                <w:rFonts w:ascii="Times New Roman" w:hAnsi="Times New Roman"/>
                <w:b/>
                <w:bCs/>
                <w:sz w:val="20"/>
                <w:szCs w:val="20"/>
              </w:rPr>
            </w:pPr>
          </w:p>
        </w:tc>
      </w:tr>
      <w:tr w:rsidR="00140415" w:rsidRPr="009170B8" w:rsidTr="00A66792">
        <w:trPr>
          <w:trHeight w:val="227"/>
        </w:trPr>
        <w:tc>
          <w:tcPr>
            <w:tcW w:w="3239" w:type="dxa"/>
            <w:gridSpan w:val="14"/>
            <w:tcBorders>
              <w:top w:val="nil"/>
              <w:left w:val="nil"/>
              <w:bottom w:val="nil"/>
              <w:right w:val="nil"/>
            </w:tcBorders>
            <w:shd w:val="clear" w:color="auto" w:fill="auto"/>
            <w:noWrap/>
            <w:vAlign w:val="bottom"/>
          </w:tcPr>
          <w:p w:rsidR="00225F99" w:rsidRPr="009170B8" w:rsidRDefault="00781E9B" w:rsidP="00460791">
            <w:pPr>
              <w:rPr>
                <w:rFonts w:ascii="Times New Roman" w:hAnsi="Times New Roman"/>
                <w:b/>
                <w:bCs/>
                <w:sz w:val="20"/>
                <w:szCs w:val="20"/>
              </w:rPr>
            </w:pPr>
            <w:r w:rsidRPr="009170B8">
              <w:rPr>
                <w:rFonts w:ascii="Times New Roman" w:hAnsi="Times New Roman"/>
                <w:b/>
                <w:bCs/>
                <w:sz w:val="20"/>
                <w:szCs w:val="20"/>
              </w:rPr>
              <w:t>Equities</w:t>
            </w:r>
          </w:p>
        </w:tc>
        <w:tc>
          <w:tcPr>
            <w:tcW w:w="1416" w:type="dxa"/>
            <w:gridSpan w:val="3"/>
            <w:tcBorders>
              <w:top w:val="nil"/>
              <w:left w:val="nil"/>
              <w:bottom w:val="nil"/>
              <w:right w:val="nil"/>
            </w:tcBorders>
            <w:shd w:val="clear" w:color="auto" w:fill="auto"/>
            <w:noWrap/>
            <w:vAlign w:val="bottom"/>
          </w:tcPr>
          <w:p w:rsidR="00225F99" w:rsidRPr="009170B8" w:rsidRDefault="00225F99" w:rsidP="00460791">
            <w:pPr>
              <w:jc w:val="right"/>
              <w:rPr>
                <w:rFonts w:ascii="Times New Roman" w:hAnsi="Times New Roman"/>
                <w:sz w:val="20"/>
                <w:szCs w:val="20"/>
              </w:rPr>
            </w:pPr>
          </w:p>
        </w:tc>
        <w:tc>
          <w:tcPr>
            <w:tcW w:w="2018" w:type="dxa"/>
            <w:gridSpan w:val="2"/>
            <w:tcBorders>
              <w:top w:val="nil"/>
              <w:left w:val="nil"/>
              <w:bottom w:val="nil"/>
              <w:right w:val="nil"/>
            </w:tcBorders>
            <w:shd w:val="clear" w:color="auto" w:fill="auto"/>
            <w:noWrap/>
            <w:vAlign w:val="bottom"/>
          </w:tcPr>
          <w:p w:rsidR="00225F99" w:rsidRPr="009170B8" w:rsidRDefault="00225F99" w:rsidP="00460791">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225F99" w:rsidRPr="009170B8" w:rsidRDefault="00225F99" w:rsidP="00460791">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225F99" w:rsidRPr="009170B8" w:rsidRDefault="00225F99" w:rsidP="00460791">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225F99" w:rsidRPr="009170B8" w:rsidRDefault="00225F99" w:rsidP="00AC5183">
            <w:pPr>
              <w:ind w:right="-144"/>
              <w:jc w:val="right"/>
              <w:rPr>
                <w:rFonts w:ascii="Times New Roman" w:hAnsi="Times New Roman"/>
                <w:bCs/>
                <w:sz w:val="20"/>
                <w:szCs w:val="20"/>
              </w:rPr>
            </w:pPr>
          </w:p>
        </w:tc>
      </w:tr>
      <w:tr w:rsidR="00140415" w:rsidRPr="009170B8" w:rsidTr="00A66792">
        <w:trPr>
          <w:trHeight w:val="227"/>
        </w:trPr>
        <w:tc>
          <w:tcPr>
            <w:tcW w:w="234" w:type="dxa"/>
            <w:tcBorders>
              <w:top w:val="nil"/>
              <w:left w:val="nil"/>
              <w:bottom w:val="nil"/>
              <w:right w:val="nil"/>
            </w:tcBorders>
            <w:shd w:val="clear" w:color="auto" w:fill="auto"/>
            <w:noWrap/>
            <w:vAlign w:val="bottom"/>
          </w:tcPr>
          <w:p w:rsidR="00781E9B" w:rsidRPr="009170B8" w:rsidRDefault="00781E9B" w:rsidP="00590B67">
            <w:pPr>
              <w:rPr>
                <w:rFonts w:ascii="Times New Roman" w:hAnsi="Times New Roman"/>
                <w:b/>
                <w:bCs/>
                <w:sz w:val="20"/>
                <w:szCs w:val="20"/>
              </w:rPr>
            </w:pPr>
          </w:p>
        </w:tc>
        <w:tc>
          <w:tcPr>
            <w:tcW w:w="4421" w:type="dxa"/>
            <w:gridSpan w:val="16"/>
            <w:tcBorders>
              <w:top w:val="nil"/>
              <w:left w:val="nil"/>
              <w:bottom w:val="nil"/>
              <w:right w:val="nil"/>
            </w:tcBorders>
            <w:shd w:val="clear" w:color="auto" w:fill="auto"/>
            <w:noWrap/>
            <w:vAlign w:val="bottom"/>
          </w:tcPr>
          <w:p w:rsidR="00781E9B" w:rsidRPr="009170B8" w:rsidRDefault="00781E9B" w:rsidP="00AC5183">
            <w:pPr>
              <w:rPr>
                <w:rFonts w:ascii="Times New Roman" w:hAnsi="Times New Roman"/>
                <w:sz w:val="20"/>
                <w:szCs w:val="20"/>
              </w:rPr>
            </w:pPr>
          </w:p>
        </w:tc>
        <w:tc>
          <w:tcPr>
            <w:tcW w:w="2018" w:type="dxa"/>
            <w:gridSpan w:val="2"/>
            <w:tcBorders>
              <w:top w:val="nil"/>
              <w:left w:val="nil"/>
              <w:bottom w:val="nil"/>
              <w:right w:val="nil"/>
            </w:tcBorders>
            <w:shd w:val="clear" w:color="auto" w:fill="auto"/>
            <w:noWrap/>
            <w:vAlign w:val="bottom"/>
          </w:tcPr>
          <w:p w:rsidR="00781E9B" w:rsidRPr="009170B8" w:rsidRDefault="00781E9B" w:rsidP="00460791">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781E9B" w:rsidRPr="009170B8" w:rsidRDefault="00781E9B" w:rsidP="00460791">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781E9B" w:rsidRPr="009170B8" w:rsidRDefault="00781E9B" w:rsidP="00460791">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781E9B" w:rsidRPr="009170B8" w:rsidRDefault="00781E9B" w:rsidP="00AC5183">
            <w:pPr>
              <w:ind w:right="-144"/>
              <w:jc w:val="right"/>
              <w:rPr>
                <w:rFonts w:ascii="Times New Roman" w:hAnsi="Times New Roman"/>
                <w:sz w:val="20"/>
                <w:szCs w:val="20"/>
              </w:rPr>
            </w:pPr>
          </w:p>
        </w:tc>
      </w:tr>
      <w:tr w:rsidR="00140415" w:rsidRPr="009170B8" w:rsidTr="00A66792">
        <w:trPr>
          <w:trHeight w:val="227"/>
        </w:trPr>
        <w:tc>
          <w:tcPr>
            <w:tcW w:w="4655" w:type="dxa"/>
            <w:gridSpan w:val="17"/>
            <w:tcBorders>
              <w:top w:val="nil"/>
              <w:left w:val="nil"/>
              <w:bottom w:val="nil"/>
              <w:right w:val="nil"/>
            </w:tcBorders>
            <w:shd w:val="clear" w:color="auto" w:fill="auto"/>
            <w:noWrap/>
            <w:vAlign w:val="bottom"/>
          </w:tcPr>
          <w:p w:rsidR="008B64A3" w:rsidRDefault="00ED7CA9">
            <w:pPr>
              <w:rPr>
                <w:rFonts w:ascii="Times New Roman" w:hAnsi="Times New Roman"/>
                <w:b/>
                <w:bCs/>
                <w:sz w:val="20"/>
                <w:szCs w:val="20"/>
              </w:rPr>
            </w:pPr>
            <w:bookmarkStart w:id="65" w:name="OLE_LINK56"/>
            <w:bookmarkStart w:id="66" w:name="OLE_LINK57"/>
            <w:r w:rsidRPr="009170B8">
              <w:rPr>
                <w:rFonts w:ascii="Times New Roman" w:hAnsi="Times New Roman"/>
                <w:b/>
                <w:bCs/>
                <w:sz w:val="20"/>
                <w:szCs w:val="20"/>
              </w:rPr>
              <w:t xml:space="preserve">Bermuda </w:t>
            </w:r>
            <w:r w:rsidR="006179DC">
              <w:rPr>
                <w:rFonts w:ascii="Times New Roman" w:hAnsi="Times New Roman"/>
                <w:b/>
                <w:bCs/>
                <w:sz w:val="20"/>
                <w:szCs w:val="20"/>
              </w:rPr>
              <w:t xml:space="preserve">– Quoted Investments </w:t>
            </w:r>
            <w:r w:rsidR="008B64A3">
              <w:rPr>
                <w:rFonts w:ascii="Times New Roman" w:hAnsi="Times New Roman"/>
                <w:b/>
                <w:bCs/>
                <w:sz w:val="20"/>
                <w:szCs w:val="20"/>
              </w:rPr>
              <w:t>5.70</w:t>
            </w:r>
            <w:r w:rsidR="00085CF9" w:rsidRPr="00173446">
              <w:rPr>
                <w:rFonts w:ascii="Times New Roman" w:hAnsi="Times New Roman"/>
                <w:b/>
                <w:bCs/>
                <w:sz w:val="20"/>
                <w:szCs w:val="20"/>
              </w:rPr>
              <w:t>% (201</w:t>
            </w:r>
            <w:r w:rsidR="00C84D94">
              <w:rPr>
                <w:rFonts w:ascii="Times New Roman" w:hAnsi="Times New Roman"/>
                <w:b/>
                <w:bCs/>
                <w:sz w:val="20"/>
                <w:szCs w:val="20"/>
              </w:rPr>
              <w:t>7</w:t>
            </w:r>
            <w:r w:rsidRPr="009170B8">
              <w:rPr>
                <w:rFonts w:ascii="Times New Roman" w:hAnsi="Times New Roman"/>
                <w:b/>
                <w:bCs/>
                <w:sz w:val="20"/>
                <w:szCs w:val="20"/>
              </w:rPr>
              <w:t xml:space="preserve">: </w:t>
            </w:r>
            <w:r w:rsidR="00C84D94">
              <w:rPr>
                <w:rFonts w:ascii="Times New Roman" w:hAnsi="Times New Roman"/>
                <w:b/>
                <w:bCs/>
                <w:sz w:val="20"/>
                <w:szCs w:val="20"/>
              </w:rPr>
              <w:t>2.48</w:t>
            </w:r>
            <w:r w:rsidR="00085CF9">
              <w:rPr>
                <w:rFonts w:ascii="Times New Roman" w:hAnsi="Times New Roman"/>
                <w:b/>
                <w:bCs/>
                <w:sz w:val="20"/>
                <w:szCs w:val="20"/>
              </w:rPr>
              <w:t>%)</w:t>
            </w:r>
          </w:p>
          <w:p w:rsidR="008B64A3" w:rsidRPr="00AC5183" w:rsidRDefault="008B64A3">
            <w:pPr>
              <w:rPr>
                <w:rFonts w:ascii="Times New Roman" w:hAnsi="Times New Roman"/>
                <w:b/>
                <w:bCs/>
                <w:sz w:val="20"/>
                <w:szCs w:val="20"/>
              </w:rPr>
            </w:pPr>
            <w:r>
              <w:rPr>
                <w:rFonts w:ascii="Times New Roman" w:hAnsi="Times New Roman"/>
                <w:b/>
                <w:bCs/>
                <w:sz w:val="20"/>
                <w:szCs w:val="20"/>
              </w:rPr>
              <w:t xml:space="preserve">Power and </w:t>
            </w:r>
            <w:r w:rsidRPr="00693A74">
              <w:rPr>
                <w:rFonts w:ascii="Times New Roman" w:hAnsi="Times New Roman"/>
                <w:b/>
                <w:bCs/>
                <w:sz w:val="20"/>
                <w:szCs w:val="20"/>
              </w:rPr>
              <w:t>Utilities:</w:t>
            </w:r>
          </w:p>
        </w:tc>
        <w:tc>
          <w:tcPr>
            <w:tcW w:w="2018" w:type="dxa"/>
            <w:gridSpan w:val="2"/>
            <w:tcBorders>
              <w:top w:val="nil"/>
              <w:left w:val="nil"/>
              <w:bottom w:val="nil"/>
              <w:right w:val="nil"/>
            </w:tcBorders>
            <w:shd w:val="clear" w:color="auto" w:fill="auto"/>
            <w:noWrap/>
            <w:vAlign w:val="bottom"/>
          </w:tcPr>
          <w:p w:rsidR="00ED7CA9" w:rsidRPr="009170B8" w:rsidRDefault="00ED7CA9" w:rsidP="00590B67">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ED7CA9" w:rsidRPr="009170B8" w:rsidRDefault="00ED7CA9" w:rsidP="00590B67">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ED7CA9" w:rsidRPr="009170B8" w:rsidRDefault="00ED7CA9" w:rsidP="00590B67">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ED7CA9" w:rsidRPr="009170B8" w:rsidRDefault="00ED7CA9" w:rsidP="00AC5183">
            <w:pPr>
              <w:ind w:right="-144"/>
              <w:jc w:val="right"/>
              <w:rPr>
                <w:rFonts w:ascii="Times New Roman" w:hAnsi="Times New Roman"/>
                <w:bCs/>
                <w:sz w:val="20"/>
                <w:szCs w:val="20"/>
              </w:rPr>
            </w:pPr>
          </w:p>
        </w:tc>
      </w:tr>
      <w:bookmarkEnd w:id="65"/>
      <w:bookmarkEnd w:id="66"/>
      <w:tr w:rsidR="00140415" w:rsidRPr="009170B8" w:rsidTr="00A66792">
        <w:trPr>
          <w:trHeight w:val="227"/>
        </w:trPr>
        <w:tc>
          <w:tcPr>
            <w:tcW w:w="3239" w:type="dxa"/>
            <w:gridSpan w:val="14"/>
            <w:tcBorders>
              <w:top w:val="nil"/>
              <w:left w:val="nil"/>
              <w:bottom w:val="nil"/>
              <w:right w:val="nil"/>
            </w:tcBorders>
            <w:shd w:val="clear" w:color="auto" w:fill="auto"/>
            <w:noWrap/>
            <w:vAlign w:val="bottom"/>
          </w:tcPr>
          <w:p w:rsidR="008B64A3" w:rsidRDefault="008B64A3" w:rsidP="00AC5183">
            <w:pPr>
              <w:ind w:right="-144"/>
              <w:rPr>
                <w:rFonts w:ascii="Times New Roman" w:hAnsi="Times New Roman"/>
                <w:b/>
                <w:bCs/>
                <w:sz w:val="20"/>
                <w:szCs w:val="20"/>
              </w:rPr>
            </w:pPr>
            <w:r w:rsidRPr="00693A74">
              <w:rPr>
                <w:rFonts w:ascii="Times New Roman" w:hAnsi="Times New Roman"/>
                <w:bCs/>
                <w:sz w:val="20"/>
                <w:szCs w:val="20"/>
              </w:rPr>
              <w:t>Brookfield Infrastructure Partners L</w:t>
            </w:r>
            <w:r w:rsidR="004317C4">
              <w:rPr>
                <w:rFonts w:ascii="Times New Roman" w:hAnsi="Times New Roman"/>
                <w:bCs/>
                <w:sz w:val="20"/>
                <w:szCs w:val="20"/>
              </w:rPr>
              <w:t>.</w:t>
            </w:r>
            <w:r w:rsidRPr="00693A74">
              <w:rPr>
                <w:rFonts w:ascii="Times New Roman" w:hAnsi="Times New Roman"/>
                <w:bCs/>
                <w:sz w:val="20"/>
                <w:szCs w:val="20"/>
              </w:rPr>
              <w:t>P</w:t>
            </w:r>
            <w:r w:rsidR="004317C4">
              <w:rPr>
                <w:rFonts w:ascii="Times New Roman" w:hAnsi="Times New Roman"/>
                <w:bCs/>
                <w:sz w:val="20"/>
                <w:szCs w:val="20"/>
              </w:rPr>
              <w:t>.</w:t>
            </w:r>
          </w:p>
        </w:tc>
        <w:tc>
          <w:tcPr>
            <w:tcW w:w="1416" w:type="dxa"/>
            <w:gridSpan w:val="3"/>
            <w:tcBorders>
              <w:top w:val="nil"/>
              <w:left w:val="nil"/>
              <w:bottom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100</w:t>
            </w:r>
            <w:r w:rsidRPr="00173446">
              <w:rPr>
                <w:rFonts w:ascii="Times New Roman" w:hAnsi="Times New Roman"/>
                <w:sz w:val="20"/>
                <w:szCs w:val="20"/>
              </w:rPr>
              <w:t>,000</w:t>
            </w:r>
          </w:p>
        </w:tc>
        <w:tc>
          <w:tcPr>
            <w:tcW w:w="2018" w:type="dxa"/>
            <w:gridSpan w:val="2"/>
            <w:tcBorders>
              <w:top w:val="nil"/>
              <w:left w:val="nil"/>
              <w:bottom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2,893,615</w:t>
            </w:r>
          </w:p>
        </w:tc>
        <w:tc>
          <w:tcPr>
            <w:tcW w:w="1855" w:type="dxa"/>
            <w:gridSpan w:val="4"/>
            <w:tcBorders>
              <w:top w:val="nil"/>
              <w:left w:val="nil"/>
              <w:bottom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2,710,428</w:t>
            </w:r>
          </w:p>
        </w:tc>
        <w:tc>
          <w:tcPr>
            <w:tcW w:w="1250" w:type="dxa"/>
            <w:gridSpan w:val="6"/>
            <w:tcBorders>
              <w:top w:val="nil"/>
              <w:left w:val="nil"/>
              <w:bottom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2.65</w:t>
            </w:r>
            <w:r w:rsidRPr="00173446">
              <w:rPr>
                <w:rFonts w:ascii="Times New Roman" w:hAnsi="Times New Roman"/>
                <w:sz w:val="20"/>
                <w:szCs w:val="20"/>
              </w:rPr>
              <w:t>%</w:t>
            </w:r>
          </w:p>
        </w:tc>
        <w:tc>
          <w:tcPr>
            <w:tcW w:w="1181" w:type="dxa"/>
            <w:gridSpan w:val="2"/>
            <w:tcBorders>
              <w:top w:val="nil"/>
              <w:left w:val="nil"/>
              <w:bottom w:val="nil"/>
              <w:right w:val="nil"/>
            </w:tcBorders>
            <w:shd w:val="clear" w:color="auto" w:fill="auto"/>
            <w:noWrap/>
            <w:vAlign w:val="bottom"/>
          </w:tcPr>
          <w:p w:rsidR="008B64A3" w:rsidRDefault="008B64A3" w:rsidP="00AC5183">
            <w:pPr>
              <w:ind w:right="-69"/>
              <w:jc w:val="right"/>
              <w:rPr>
                <w:rFonts w:ascii="Times New Roman" w:hAnsi="Times New Roman"/>
                <w:bCs/>
                <w:sz w:val="20"/>
                <w:szCs w:val="20"/>
              </w:rPr>
            </w:pPr>
            <w:r>
              <w:rPr>
                <w:rFonts w:ascii="Times New Roman" w:hAnsi="Times New Roman"/>
                <w:sz w:val="20"/>
                <w:szCs w:val="20"/>
              </w:rPr>
              <w:t>2.38%</w:t>
            </w:r>
          </w:p>
        </w:tc>
      </w:tr>
      <w:tr w:rsidR="00140415" w:rsidRPr="009170B8" w:rsidTr="00A66792">
        <w:trPr>
          <w:trHeight w:val="227"/>
        </w:trPr>
        <w:tc>
          <w:tcPr>
            <w:tcW w:w="3239" w:type="dxa"/>
            <w:gridSpan w:val="14"/>
            <w:tcBorders>
              <w:top w:val="nil"/>
              <w:left w:val="nil"/>
              <w:bottom w:val="nil"/>
              <w:right w:val="nil"/>
            </w:tcBorders>
            <w:shd w:val="clear" w:color="auto" w:fill="auto"/>
            <w:noWrap/>
            <w:vAlign w:val="bottom"/>
          </w:tcPr>
          <w:p w:rsidR="008B64A3" w:rsidRPr="005D2A03" w:rsidRDefault="008B64A3" w:rsidP="00590B67">
            <w:pPr>
              <w:rPr>
                <w:rFonts w:ascii="Times New Roman" w:hAnsi="Times New Roman"/>
                <w:sz w:val="20"/>
                <w:szCs w:val="20"/>
              </w:rPr>
            </w:pPr>
          </w:p>
        </w:tc>
        <w:tc>
          <w:tcPr>
            <w:tcW w:w="1416" w:type="dxa"/>
            <w:gridSpan w:val="3"/>
            <w:tcBorders>
              <w:top w:val="nil"/>
              <w:left w:val="nil"/>
              <w:bottom w:val="nil"/>
              <w:right w:val="nil"/>
            </w:tcBorders>
            <w:shd w:val="clear" w:color="auto" w:fill="auto"/>
            <w:noWrap/>
            <w:vAlign w:val="bottom"/>
          </w:tcPr>
          <w:p w:rsidR="008B64A3" w:rsidRPr="00173446" w:rsidDel="008B64A3" w:rsidRDefault="008B64A3" w:rsidP="008B64A3">
            <w:pPr>
              <w:jc w:val="right"/>
              <w:rPr>
                <w:rFonts w:ascii="Times New Roman" w:hAnsi="Times New Roman"/>
                <w:sz w:val="20"/>
                <w:szCs w:val="20"/>
              </w:rPr>
            </w:pPr>
          </w:p>
        </w:tc>
        <w:tc>
          <w:tcPr>
            <w:tcW w:w="2018" w:type="dxa"/>
            <w:gridSpan w:val="2"/>
            <w:tcBorders>
              <w:top w:val="nil"/>
              <w:left w:val="nil"/>
              <w:bottom w:val="nil"/>
              <w:right w:val="nil"/>
            </w:tcBorders>
            <w:shd w:val="clear" w:color="auto" w:fill="auto"/>
            <w:noWrap/>
            <w:vAlign w:val="bottom"/>
          </w:tcPr>
          <w:p w:rsidR="008B64A3" w:rsidDel="008B64A3" w:rsidRDefault="008B64A3" w:rsidP="008B64A3">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8B64A3" w:rsidRDefault="008B64A3" w:rsidP="008B64A3">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8B64A3" w:rsidRDefault="008B64A3" w:rsidP="008B64A3">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8B64A3" w:rsidDel="008B64A3" w:rsidRDefault="008B64A3" w:rsidP="00AC5183">
            <w:pPr>
              <w:ind w:right="-69"/>
              <w:jc w:val="right"/>
              <w:rPr>
                <w:rFonts w:ascii="Times New Roman" w:hAnsi="Times New Roman"/>
                <w:sz w:val="20"/>
                <w:szCs w:val="20"/>
              </w:rPr>
            </w:pPr>
          </w:p>
        </w:tc>
      </w:tr>
      <w:tr w:rsidR="00140415" w:rsidRPr="009170B8" w:rsidTr="00A66792">
        <w:trPr>
          <w:trHeight w:val="227"/>
        </w:trPr>
        <w:tc>
          <w:tcPr>
            <w:tcW w:w="3239" w:type="dxa"/>
            <w:gridSpan w:val="14"/>
            <w:tcBorders>
              <w:top w:val="nil"/>
              <w:left w:val="nil"/>
              <w:bottom w:val="nil"/>
              <w:right w:val="nil"/>
            </w:tcBorders>
            <w:shd w:val="clear" w:color="auto" w:fill="auto"/>
            <w:noWrap/>
            <w:vAlign w:val="bottom"/>
          </w:tcPr>
          <w:p w:rsidR="008B64A3" w:rsidRPr="005D2A03" w:rsidRDefault="008B64A3" w:rsidP="00590B67">
            <w:pPr>
              <w:rPr>
                <w:rFonts w:ascii="Times New Roman" w:hAnsi="Times New Roman"/>
                <w:sz w:val="20"/>
                <w:szCs w:val="20"/>
              </w:rPr>
            </w:pPr>
            <w:r>
              <w:rPr>
                <w:rFonts w:ascii="Times New Roman" w:hAnsi="Times New Roman"/>
                <w:b/>
                <w:bCs/>
                <w:sz w:val="20"/>
                <w:szCs w:val="20"/>
              </w:rPr>
              <w:t>Real E</w:t>
            </w:r>
            <w:r w:rsidRPr="009C0A3A">
              <w:rPr>
                <w:rFonts w:ascii="Times New Roman" w:hAnsi="Times New Roman"/>
                <w:b/>
                <w:bCs/>
                <w:sz w:val="20"/>
                <w:szCs w:val="20"/>
              </w:rPr>
              <w:t>state</w:t>
            </w:r>
            <w:r>
              <w:rPr>
                <w:rFonts w:ascii="Times New Roman" w:hAnsi="Times New Roman"/>
                <w:b/>
                <w:bCs/>
                <w:sz w:val="20"/>
                <w:szCs w:val="20"/>
              </w:rPr>
              <w:t>:</w:t>
            </w:r>
          </w:p>
        </w:tc>
        <w:tc>
          <w:tcPr>
            <w:tcW w:w="1416" w:type="dxa"/>
            <w:gridSpan w:val="3"/>
            <w:tcBorders>
              <w:top w:val="nil"/>
              <w:left w:val="nil"/>
              <w:bottom w:val="nil"/>
              <w:right w:val="nil"/>
            </w:tcBorders>
            <w:shd w:val="clear" w:color="auto" w:fill="auto"/>
            <w:noWrap/>
            <w:vAlign w:val="bottom"/>
          </w:tcPr>
          <w:p w:rsidR="008B64A3" w:rsidRPr="00173446" w:rsidDel="008B64A3" w:rsidRDefault="008B64A3" w:rsidP="008B64A3">
            <w:pPr>
              <w:jc w:val="right"/>
              <w:rPr>
                <w:rFonts w:ascii="Times New Roman" w:hAnsi="Times New Roman"/>
                <w:sz w:val="20"/>
                <w:szCs w:val="20"/>
              </w:rPr>
            </w:pPr>
          </w:p>
        </w:tc>
        <w:tc>
          <w:tcPr>
            <w:tcW w:w="2018" w:type="dxa"/>
            <w:gridSpan w:val="2"/>
            <w:tcBorders>
              <w:top w:val="nil"/>
              <w:left w:val="nil"/>
              <w:bottom w:val="nil"/>
              <w:right w:val="nil"/>
            </w:tcBorders>
            <w:shd w:val="clear" w:color="auto" w:fill="auto"/>
            <w:noWrap/>
            <w:vAlign w:val="bottom"/>
          </w:tcPr>
          <w:p w:rsidR="008B64A3" w:rsidDel="008B64A3" w:rsidRDefault="008B64A3" w:rsidP="008B64A3">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8B64A3" w:rsidRDefault="008B64A3" w:rsidP="008B64A3">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8B64A3" w:rsidRDefault="008B64A3" w:rsidP="008B64A3">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8B64A3" w:rsidDel="008B64A3" w:rsidRDefault="008B64A3" w:rsidP="00AC5183">
            <w:pPr>
              <w:ind w:right="-69"/>
              <w:jc w:val="right"/>
              <w:rPr>
                <w:rFonts w:ascii="Times New Roman" w:hAnsi="Times New Roman"/>
                <w:sz w:val="20"/>
                <w:szCs w:val="20"/>
              </w:rPr>
            </w:pPr>
          </w:p>
        </w:tc>
      </w:tr>
      <w:tr w:rsidR="00140415" w:rsidRPr="009170B8" w:rsidTr="00A66792">
        <w:trPr>
          <w:trHeight w:val="227"/>
        </w:trPr>
        <w:tc>
          <w:tcPr>
            <w:tcW w:w="3239" w:type="dxa"/>
            <w:gridSpan w:val="14"/>
            <w:tcBorders>
              <w:top w:val="nil"/>
              <w:left w:val="nil"/>
              <w:bottom w:val="nil"/>
              <w:right w:val="nil"/>
            </w:tcBorders>
            <w:shd w:val="clear" w:color="auto" w:fill="auto"/>
            <w:noWrap/>
            <w:vAlign w:val="bottom"/>
          </w:tcPr>
          <w:p w:rsidR="008B64A3" w:rsidRPr="005D2A03" w:rsidRDefault="008B64A3" w:rsidP="00590B67">
            <w:pPr>
              <w:rPr>
                <w:rFonts w:ascii="Times New Roman" w:hAnsi="Times New Roman"/>
                <w:sz w:val="20"/>
                <w:szCs w:val="20"/>
              </w:rPr>
            </w:pPr>
            <w:r w:rsidRPr="005D2A03">
              <w:rPr>
                <w:rFonts w:ascii="Times New Roman" w:hAnsi="Times New Roman"/>
                <w:sz w:val="20"/>
                <w:szCs w:val="20"/>
              </w:rPr>
              <w:t>Brookfield Property Partners L</w:t>
            </w:r>
            <w:r w:rsidR="004317C4">
              <w:rPr>
                <w:rFonts w:ascii="Times New Roman" w:hAnsi="Times New Roman"/>
                <w:sz w:val="20"/>
                <w:szCs w:val="20"/>
              </w:rPr>
              <w:t>.</w:t>
            </w:r>
            <w:r w:rsidRPr="005D2A03">
              <w:rPr>
                <w:rFonts w:ascii="Times New Roman" w:hAnsi="Times New Roman"/>
                <w:sz w:val="20"/>
                <w:szCs w:val="20"/>
              </w:rPr>
              <w:t>P</w:t>
            </w:r>
            <w:r w:rsidR="004317C4">
              <w:rPr>
                <w:rFonts w:ascii="Times New Roman" w:hAnsi="Times New Roman"/>
                <w:sz w:val="20"/>
                <w:szCs w:val="20"/>
              </w:rPr>
              <w:t>.</w:t>
            </w:r>
          </w:p>
        </w:tc>
        <w:tc>
          <w:tcPr>
            <w:tcW w:w="1416" w:type="dxa"/>
            <w:gridSpan w:val="3"/>
            <w:tcBorders>
              <w:top w:val="nil"/>
              <w:left w:val="nil"/>
              <w:bottom w:val="nil"/>
              <w:right w:val="nil"/>
            </w:tcBorders>
            <w:shd w:val="clear" w:color="auto" w:fill="auto"/>
            <w:noWrap/>
            <w:vAlign w:val="bottom"/>
          </w:tcPr>
          <w:p w:rsidR="008B64A3" w:rsidRPr="00173446" w:rsidDel="008B64A3" w:rsidRDefault="008B64A3" w:rsidP="008B64A3">
            <w:pPr>
              <w:jc w:val="right"/>
              <w:rPr>
                <w:rFonts w:ascii="Times New Roman" w:hAnsi="Times New Roman"/>
                <w:sz w:val="20"/>
                <w:szCs w:val="20"/>
              </w:rPr>
            </w:pPr>
            <w:r>
              <w:rPr>
                <w:rFonts w:ascii="Times New Roman" w:hAnsi="Times New Roman"/>
                <w:sz w:val="20"/>
                <w:szCs w:val="20"/>
              </w:rPr>
              <w:t>300,000</w:t>
            </w:r>
          </w:p>
        </w:tc>
        <w:tc>
          <w:tcPr>
            <w:tcW w:w="2018" w:type="dxa"/>
            <w:gridSpan w:val="2"/>
            <w:tcBorders>
              <w:top w:val="nil"/>
              <w:left w:val="nil"/>
              <w:bottom w:val="nil"/>
              <w:right w:val="nil"/>
            </w:tcBorders>
            <w:shd w:val="clear" w:color="auto" w:fill="auto"/>
            <w:noWrap/>
            <w:vAlign w:val="bottom"/>
          </w:tcPr>
          <w:p w:rsidR="008B64A3" w:rsidDel="008B64A3" w:rsidRDefault="00140415" w:rsidP="008B64A3">
            <w:pPr>
              <w:jc w:val="right"/>
              <w:rPr>
                <w:rFonts w:ascii="Times New Roman" w:hAnsi="Times New Roman"/>
                <w:sz w:val="20"/>
                <w:szCs w:val="20"/>
              </w:rPr>
            </w:pPr>
            <w:r>
              <w:rPr>
                <w:rFonts w:ascii="Times New Roman" w:hAnsi="Times New Roman"/>
                <w:sz w:val="20"/>
                <w:szCs w:val="20"/>
              </w:rPr>
              <w:t>4,489,492</w:t>
            </w:r>
          </w:p>
        </w:tc>
        <w:tc>
          <w:tcPr>
            <w:tcW w:w="1855" w:type="dxa"/>
            <w:gridSpan w:val="4"/>
            <w:tcBorders>
              <w:top w:val="nil"/>
              <w:left w:val="nil"/>
              <w:bottom w:val="nil"/>
              <w:right w:val="nil"/>
            </w:tcBorders>
            <w:shd w:val="clear" w:color="auto" w:fill="auto"/>
            <w:noWrap/>
            <w:vAlign w:val="bottom"/>
          </w:tcPr>
          <w:p w:rsidR="008B64A3" w:rsidRDefault="008B64A3" w:rsidP="008B64A3">
            <w:pPr>
              <w:jc w:val="right"/>
              <w:rPr>
                <w:rFonts w:ascii="Times New Roman" w:hAnsi="Times New Roman"/>
                <w:sz w:val="20"/>
                <w:szCs w:val="20"/>
              </w:rPr>
            </w:pPr>
            <w:r>
              <w:rPr>
                <w:rFonts w:ascii="Times New Roman" w:hAnsi="Times New Roman"/>
                <w:sz w:val="20"/>
                <w:szCs w:val="20"/>
              </w:rPr>
              <w:t>3,785,608</w:t>
            </w:r>
          </w:p>
        </w:tc>
        <w:tc>
          <w:tcPr>
            <w:tcW w:w="1250" w:type="dxa"/>
            <w:gridSpan w:val="6"/>
            <w:tcBorders>
              <w:top w:val="nil"/>
              <w:left w:val="nil"/>
              <w:bottom w:val="nil"/>
              <w:right w:val="nil"/>
            </w:tcBorders>
            <w:shd w:val="clear" w:color="auto" w:fill="auto"/>
            <w:noWrap/>
            <w:vAlign w:val="bottom"/>
          </w:tcPr>
          <w:p w:rsidR="008B64A3" w:rsidRDefault="008B64A3" w:rsidP="008B64A3">
            <w:pPr>
              <w:jc w:val="right"/>
              <w:rPr>
                <w:rFonts w:ascii="Times New Roman" w:hAnsi="Times New Roman"/>
                <w:sz w:val="20"/>
                <w:szCs w:val="20"/>
              </w:rPr>
            </w:pPr>
            <w:r>
              <w:rPr>
                <w:rFonts w:ascii="Times New Roman" w:hAnsi="Times New Roman"/>
                <w:sz w:val="20"/>
                <w:szCs w:val="20"/>
              </w:rPr>
              <w:t>3.71%</w:t>
            </w:r>
          </w:p>
        </w:tc>
        <w:tc>
          <w:tcPr>
            <w:tcW w:w="1181" w:type="dxa"/>
            <w:gridSpan w:val="2"/>
            <w:tcBorders>
              <w:top w:val="nil"/>
              <w:left w:val="nil"/>
              <w:bottom w:val="nil"/>
              <w:right w:val="nil"/>
            </w:tcBorders>
            <w:shd w:val="clear" w:color="auto" w:fill="auto"/>
            <w:noWrap/>
            <w:vAlign w:val="bottom"/>
          </w:tcPr>
          <w:p w:rsidR="008B64A3" w:rsidDel="008B64A3" w:rsidRDefault="008B64A3" w:rsidP="00AC5183">
            <w:pPr>
              <w:ind w:right="-69"/>
              <w:jc w:val="right"/>
              <w:rPr>
                <w:rFonts w:ascii="Times New Roman" w:hAnsi="Times New Roman"/>
                <w:sz w:val="20"/>
                <w:szCs w:val="20"/>
              </w:rPr>
            </w:pPr>
            <w:r>
              <w:rPr>
                <w:rFonts w:ascii="Times New Roman" w:hAnsi="Times New Roman"/>
                <w:sz w:val="20"/>
                <w:szCs w:val="20"/>
              </w:rPr>
              <w:t>3.32%</w:t>
            </w:r>
          </w:p>
        </w:tc>
      </w:tr>
      <w:tr w:rsidR="00140415" w:rsidRPr="009170B8" w:rsidTr="00A66792">
        <w:trPr>
          <w:trHeight w:val="227"/>
        </w:trPr>
        <w:tc>
          <w:tcPr>
            <w:tcW w:w="4655" w:type="dxa"/>
            <w:gridSpan w:val="17"/>
            <w:tcBorders>
              <w:top w:val="nil"/>
              <w:left w:val="nil"/>
              <w:bottom w:val="nil"/>
              <w:right w:val="nil"/>
            </w:tcBorders>
            <w:shd w:val="clear" w:color="auto" w:fill="auto"/>
            <w:noWrap/>
            <w:vAlign w:val="bottom"/>
          </w:tcPr>
          <w:p w:rsidR="008B64A3" w:rsidRDefault="008B64A3" w:rsidP="00A91663">
            <w:pPr>
              <w:rPr>
                <w:rFonts w:ascii="Times New Roman" w:hAnsi="Times New Roman"/>
                <w:b/>
                <w:bCs/>
                <w:sz w:val="20"/>
                <w:szCs w:val="20"/>
              </w:rPr>
            </w:pPr>
          </w:p>
        </w:tc>
        <w:tc>
          <w:tcPr>
            <w:tcW w:w="2018" w:type="dxa"/>
            <w:gridSpan w:val="2"/>
            <w:tcBorders>
              <w:top w:val="nil"/>
              <w:left w:val="nil"/>
              <w:bottom w:val="nil"/>
              <w:right w:val="nil"/>
            </w:tcBorders>
            <w:shd w:val="clear" w:color="auto" w:fill="auto"/>
            <w:noWrap/>
            <w:vAlign w:val="bottom"/>
          </w:tcPr>
          <w:p w:rsidR="008B64A3" w:rsidRPr="009170B8" w:rsidRDefault="008B64A3" w:rsidP="00590B67">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8B64A3" w:rsidRPr="009170B8" w:rsidRDefault="008B64A3" w:rsidP="00590B67">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8B64A3" w:rsidRPr="009170B8" w:rsidRDefault="008B64A3" w:rsidP="00460791">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8B64A3" w:rsidRPr="009170B8" w:rsidRDefault="008B64A3" w:rsidP="00AC5183">
            <w:pPr>
              <w:ind w:right="-69"/>
              <w:jc w:val="right"/>
              <w:rPr>
                <w:rFonts w:ascii="Times New Roman" w:hAnsi="Times New Roman"/>
                <w:bCs/>
                <w:sz w:val="20"/>
                <w:szCs w:val="20"/>
              </w:rPr>
            </w:pPr>
          </w:p>
        </w:tc>
      </w:tr>
      <w:tr w:rsidR="00140415" w:rsidRPr="009170B8" w:rsidTr="00A66792">
        <w:trPr>
          <w:trHeight w:val="262"/>
        </w:trPr>
        <w:tc>
          <w:tcPr>
            <w:tcW w:w="4655" w:type="dxa"/>
            <w:gridSpan w:val="17"/>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r w:rsidRPr="009170B8">
              <w:rPr>
                <w:rFonts w:ascii="Times New Roman" w:hAnsi="Times New Roman"/>
                <w:b/>
                <w:bCs/>
                <w:sz w:val="20"/>
                <w:szCs w:val="20"/>
              </w:rPr>
              <w:t xml:space="preserve">Canada - Quoted Investments </w:t>
            </w:r>
            <w:r w:rsidR="004317C4">
              <w:rPr>
                <w:rFonts w:ascii="Times New Roman" w:hAnsi="Times New Roman"/>
                <w:b/>
                <w:bCs/>
                <w:sz w:val="20"/>
                <w:szCs w:val="20"/>
              </w:rPr>
              <w:t>78</w:t>
            </w:r>
            <w:r w:rsidRPr="00D228F8">
              <w:rPr>
                <w:rFonts w:ascii="Times New Roman" w:hAnsi="Times New Roman"/>
                <w:b/>
                <w:bCs/>
                <w:sz w:val="20"/>
                <w:szCs w:val="20"/>
              </w:rPr>
              <w:t>.</w:t>
            </w:r>
            <w:r w:rsidR="004317C4">
              <w:rPr>
                <w:rFonts w:ascii="Times New Roman" w:hAnsi="Times New Roman"/>
                <w:b/>
                <w:bCs/>
                <w:sz w:val="20"/>
                <w:szCs w:val="20"/>
              </w:rPr>
              <w:t>52</w:t>
            </w:r>
            <w:r w:rsidRPr="00D228F8">
              <w:rPr>
                <w:rFonts w:ascii="Times New Roman" w:hAnsi="Times New Roman"/>
                <w:b/>
                <w:bCs/>
                <w:sz w:val="20"/>
                <w:szCs w:val="20"/>
              </w:rPr>
              <w:t>%</w:t>
            </w:r>
            <w:r>
              <w:rPr>
                <w:rFonts w:ascii="Times New Roman" w:hAnsi="Times New Roman"/>
                <w:b/>
                <w:bCs/>
                <w:sz w:val="20"/>
                <w:szCs w:val="20"/>
              </w:rPr>
              <w:t xml:space="preserve"> (2017</w:t>
            </w:r>
            <w:r w:rsidRPr="009170B8">
              <w:rPr>
                <w:rFonts w:ascii="Times New Roman" w:hAnsi="Times New Roman"/>
                <w:b/>
                <w:bCs/>
                <w:sz w:val="20"/>
                <w:szCs w:val="20"/>
              </w:rPr>
              <w:t xml:space="preserve">: </w:t>
            </w:r>
            <w:r>
              <w:rPr>
                <w:rFonts w:ascii="Times New Roman" w:hAnsi="Times New Roman"/>
                <w:b/>
                <w:bCs/>
                <w:sz w:val="20"/>
                <w:szCs w:val="20"/>
              </w:rPr>
              <w:t>82.92%)</w:t>
            </w:r>
          </w:p>
        </w:tc>
        <w:tc>
          <w:tcPr>
            <w:tcW w:w="2018" w:type="dxa"/>
            <w:gridSpan w:val="2"/>
            <w:tcBorders>
              <w:top w:val="nil"/>
              <w:left w:val="nil"/>
              <w:bottom w:val="nil"/>
              <w:right w:val="nil"/>
            </w:tcBorders>
            <w:shd w:val="clear" w:color="auto" w:fill="auto"/>
            <w:noWrap/>
            <w:vAlign w:val="bottom"/>
          </w:tcPr>
          <w:p w:rsidR="008B64A3" w:rsidRPr="009170B8" w:rsidRDefault="008B64A3" w:rsidP="00590B67">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8B64A3" w:rsidRPr="009170B8" w:rsidRDefault="008B64A3" w:rsidP="00590B67">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8B64A3" w:rsidRPr="009170B8" w:rsidRDefault="008B64A3" w:rsidP="00460791">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8B64A3" w:rsidRPr="009170B8" w:rsidRDefault="008B64A3" w:rsidP="00AC5183">
            <w:pPr>
              <w:ind w:right="-69"/>
              <w:jc w:val="right"/>
              <w:rPr>
                <w:rFonts w:ascii="Times New Roman" w:hAnsi="Times New Roman"/>
                <w:bCs/>
                <w:sz w:val="20"/>
                <w:szCs w:val="20"/>
              </w:rPr>
            </w:pPr>
          </w:p>
        </w:tc>
      </w:tr>
      <w:tr w:rsidR="00140415" w:rsidRPr="009170B8" w:rsidTr="00A66792">
        <w:trPr>
          <w:trHeight w:val="227"/>
        </w:trPr>
        <w:tc>
          <w:tcPr>
            <w:tcW w:w="3239" w:type="dxa"/>
            <w:gridSpan w:val="14"/>
            <w:tcBorders>
              <w:top w:val="nil"/>
              <w:left w:val="nil"/>
              <w:bottom w:val="nil"/>
              <w:right w:val="nil"/>
            </w:tcBorders>
            <w:shd w:val="clear" w:color="auto" w:fill="auto"/>
            <w:noWrap/>
            <w:vAlign w:val="bottom"/>
          </w:tcPr>
          <w:p w:rsidR="008B64A3" w:rsidRDefault="008B64A3" w:rsidP="00AC5183">
            <w:pPr>
              <w:ind w:right="-69"/>
              <w:jc w:val="right"/>
              <w:rPr>
                <w:rFonts w:ascii="Times New Roman" w:hAnsi="Times New Roman"/>
                <w:sz w:val="20"/>
                <w:szCs w:val="20"/>
              </w:rPr>
            </w:pPr>
          </w:p>
        </w:tc>
        <w:tc>
          <w:tcPr>
            <w:tcW w:w="1416" w:type="dxa"/>
            <w:gridSpan w:val="3"/>
            <w:tcBorders>
              <w:top w:val="nil"/>
              <w:left w:val="nil"/>
              <w:bottom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2018" w:type="dxa"/>
            <w:gridSpan w:val="2"/>
            <w:tcBorders>
              <w:top w:val="nil"/>
              <w:left w:val="nil"/>
              <w:bottom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8B64A3" w:rsidRDefault="008B64A3" w:rsidP="009C2F2B">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8B64A3" w:rsidRDefault="008B64A3" w:rsidP="00AC5183">
            <w:pPr>
              <w:ind w:right="-69"/>
              <w:jc w:val="right"/>
              <w:rPr>
                <w:rFonts w:ascii="Times New Roman" w:hAnsi="Times New Roman"/>
                <w:bCs/>
                <w:sz w:val="20"/>
                <w:szCs w:val="20"/>
              </w:rPr>
            </w:pPr>
          </w:p>
        </w:tc>
      </w:tr>
      <w:tr w:rsidR="00140415" w:rsidRPr="009170B8" w:rsidTr="00A66792">
        <w:trPr>
          <w:trHeight w:val="227"/>
        </w:trPr>
        <w:tc>
          <w:tcPr>
            <w:tcW w:w="3239" w:type="dxa"/>
            <w:gridSpan w:val="14"/>
            <w:tcBorders>
              <w:top w:val="nil"/>
              <w:left w:val="nil"/>
              <w:bottom w:val="nil"/>
              <w:right w:val="nil"/>
            </w:tcBorders>
            <w:shd w:val="clear" w:color="auto" w:fill="auto"/>
            <w:noWrap/>
            <w:vAlign w:val="bottom"/>
          </w:tcPr>
          <w:p w:rsidR="008B64A3" w:rsidRPr="009170B8" w:rsidRDefault="008B64A3" w:rsidP="00590B67">
            <w:pPr>
              <w:rPr>
                <w:rFonts w:ascii="Times New Roman" w:hAnsi="Times New Roman"/>
                <w:sz w:val="20"/>
                <w:szCs w:val="20"/>
              </w:rPr>
            </w:pPr>
            <w:r w:rsidRPr="009170B8">
              <w:rPr>
                <w:rFonts w:ascii="Times New Roman" w:hAnsi="Times New Roman"/>
                <w:b/>
                <w:bCs/>
                <w:sz w:val="20"/>
                <w:szCs w:val="20"/>
              </w:rPr>
              <w:t>Energy:</w:t>
            </w:r>
          </w:p>
        </w:tc>
        <w:tc>
          <w:tcPr>
            <w:tcW w:w="1416" w:type="dxa"/>
            <w:gridSpan w:val="3"/>
            <w:tcBorders>
              <w:top w:val="nil"/>
              <w:left w:val="nil"/>
              <w:bottom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2018" w:type="dxa"/>
            <w:gridSpan w:val="2"/>
            <w:tcBorders>
              <w:top w:val="nil"/>
              <w:left w:val="nil"/>
              <w:bottom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top w:val="nil"/>
              <w:left w:val="nil"/>
              <w:bottom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250" w:type="dxa"/>
            <w:gridSpan w:val="6"/>
            <w:tcBorders>
              <w:top w:val="nil"/>
              <w:left w:val="nil"/>
              <w:bottom w:val="nil"/>
              <w:right w:val="nil"/>
            </w:tcBorders>
            <w:shd w:val="clear" w:color="auto" w:fill="auto"/>
            <w:noWrap/>
            <w:vAlign w:val="bottom"/>
          </w:tcPr>
          <w:p w:rsidR="008B64A3" w:rsidRPr="00173446" w:rsidRDefault="008B64A3" w:rsidP="009C2F2B">
            <w:pPr>
              <w:jc w:val="right"/>
              <w:rPr>
                <w:rFonts w:ascii="Times New Roman" w:hAnsi="Times New Roman"/>
                <w:sz w:val="20"/>
                <w:szCs w:val="20"/>
              </w:rPr>
            </w:pPr>
          </w:p>
        </w:tc>
        <w:tc>
          <w:tcPr>
            <w:tcW w:w="1181" w:type="dxa"/>
            <w:gridSpan w:val="2"/>
            <w:tcBorders>
              <w:top w:val="nil"/>
              <w:left w:val="nil"/>
              <w:bottom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p>
        </w:tc>
      </w:tr>
      <w:tr w:rsidR="00140415" w:rsidRPr="009170B8" w:rsidTr="00A66792">
        <w:trPr>
          <w:trHeight w:val="227"/>
        </w:trPr>
        <w:tc>
          <w:tcPr>
            <w:tcW w:w="3239" w:type="dxa"/>
            <w:gridSpan w:val="14"/>
            <w:tcBorders>
              <w:top w:val="nil"/>
              <w:left w:val="nil"/>
              <w:bottom w:val="nil"/>
              <w:right w:val="nil"/>
            </w:tcBorders>
            <w:shd w:val="clear" w:color="auto" w:fill="auto"/>
            <w:noWrap/>
            <w:vAlign w:val="bottom"/>
          </w:tcPr>
          <w:p w:rsidR="008B64A3" w:rsidRPr="009170B8" w:rsidRDefault="008B64A3" w:rsidP="00590B67">
            <w:pPr>
              <w:rPr>
                <w:rFonts w:ascii="Times New Roman" w:hAnsi="Times New Roman"/>
                <w:sz w:val="20"/>
                <w:szCs w:val="20"/>
              </w:rPr>
            </w:pPr>
            <w:r w:rsidRPr="009170B8">
              <w:rPr>
                <w:rFonts w:ascii="Times New Roman" w:hAnsi="Times New Roman"/>
                <w:sz w:val="20"/>
                <w:szCs w:val="20"/>
              </w:rPr>
              <w:t xml:space="preserve">ARC Resources </w:t>
            </w:r>
            <w:r>
              <w:rPr>
                <w:rFonts w:ascii="Times New Roman" w:hAnsi="Times New Roman"/>
                <w:sz w:val="20"/>
                <w:szCs w:val="20"/>
              </w:rPr>
              <w:t>Ltd.</w:t>
            </w:r>
          </w:p>
        </w:tc>
        <w:tc>
          <w:tcPr>
            <w:tcW w:w="1416" w:type="dxa"/>
            <w:gridSpan w:val="3"/>
            <w:tcBorders>
              <w:top w:val="nil"/>
              <w:left w:val="nil"/>
              <w:bottom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500</w:t>
            </w:r>
            <w:r w:rsidRPr="00173446">
              <w:rPr>
                <w:rFonts w:ascii="Times New Roman" w:hAnsi="Times New Roman"/>
                <w:sz w:val="20"/>
                <w:szCs w:val="20"/>
              </w:rPr>
              <w:t>,000</w:t>
            </w:r>
          </w:p>
        </w:tc>
        <w:tc>
          <w:tcPr>
            <w:tcW w:w="2018" w:type="dxa"/>
            <w:gridSpan w:val="2"/>
            <w:tcBorders>
              <w:top w:val="nil"/>
              <w:left w:val="nil"/>
              <w:bottom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4,636,659</w:t>
            </w:r>
          </w:p>
        </w:tc>
        <w:tc>
          <w:tcPr>
            <w:tcW w:w="1855" w:type="dxa"/>
            <w:gridSpan w:val="4"/>
            <w:tcBorders>
              <w:top w:val="nil"/>
              <w:left w:val="nil"/>
              <w:bottom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2,313,906</w:t>
            </w:r>
          </w:p>
        </w:tc>
        <w:tc>
          <w:tcPr>
            <w:tcW w:w="1250" w:type="dxa"/>
            <w:gridSpan w:val="6"/>
            <w:tcBorders>
              <w:top w:val="nil"/>
              <w:left w:val="nil"/>
              <w:bottom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2.26</w:t>
            </w:r>
            <w:r w:rsidRPr="00173446">
              <w:rPr>
                <w:rFonts w:ascii="Times New Roman" w:hAnsi="Times New Roman"/>
                <w:sz w:val="20"/>
                <w:szCs w:val="20"/>
              </w:rPr>
              <w:t>%</w:t>
            </w:r>
          </w:p>
        </w:tc>
        <w:tc>
          <w:tcPr>
            <w:tcW w:w="1181" w:type="dxa"/>
            <w:gridSpan w:val="2"/>
            <w:tcBorders>
              <w:top w:val="nil"/>
              <w:left w:val="nil"/>
              <w:bottom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bCs/>
                <w:sz w:val="20"/>
                <w:szCs w:val="20"/>
              </w:rPr>
              <w:t>2.03</w:t>
            </w:r>
            <w:r w:rsidRPr="00173446">
              <w:rPr>
                <w:rFonts w:ascii="Times New Roman" w:hAnsi="Times New Roman"/>
                <w:bCs/>
                <w:sz w:val="20"/>
                <w:szCs w:val="20"/>
              </w:rPr>
              <w:t>%</w:t>
            </w:r>
          </w:p>
        </w:tc>
      </w:tr>
      <w:tr w:rsidR="00140415" w:rsidRPr="009170B8" w:rsidTr="00A66792">
        <w:trPr>
          <w:trHeight w:hRule="exact" w:val="227"/>
        </w:trPr>
        <w:tc>
          <w:tcPr>
            <w:tcW w:w="3239" w:type="dxa"/>
            <w:gridSpan w:val="14"/>
            <w:tcBorders>
              <w:top w:val="nil"/>
              <w:left w:val="nil"/>
              <w:bottom w:val="nil"/>
              <w:right w:val="nil"/>
            </w:tcBorders>
            <w:shd w:val="clear" w:color="auto" w:fill="auto"/>
            <w:noWrap/>
            <w:vAlign w:val="bottom"/>
          </w:tcPr>
          <w:p w:rsidR="008B64A3" w:rsidRPr="009170B8" w:rsidRDefault="008B64A3" w:rsidP="009C3411">
            <w:pPr>
              <w:rPr>
                <w:rFonts w:ascii="Times New Roman" w:hAnsi="Times New Roman"/>
                <w:sz w:val="20"/>
                <w:szCs w:val="20"/>
              </w:rPr>
            </w:pPr>
            <w:proofErr w:type="spellStart"/>
            <w:r w:rsidRPr="009170B8">
              <w:rPr>
                <w:rFonts w:ascii="Times New Roman" w:hAnsi="Times New Roman"/>
                <w:sz w:val="20"/>
                <w:szCs w:val="20"/>
              </w:rPr>
              <w:t>Birchcliff</w:t>
            </w:r>
            <w:proofErr w:type="spellEnd"/>
            <w:r w:rsidRPr="009170B8">
              <w:rPr>
                <w:rFonts w:ascii="Times New Roman" w:hAnsi="Times New Roman"/>
                <w:sz w:val="20"/>
                <w:szCs w:val="20"/>
              </w:rPr>
              <w:t xml:space="preserve"> Energy - Preferred Shares</w:t>
            </w:r>
          </w:p>
        </w:tc>
        <w:tc>
          <w:tcPr>
            <w:tcW w:w="1416" w:type="dxa"/>
            <w:gridSpan w:val="3"/>
            <w:tcBorders>
              <w:top w:val="nil"/>
              <w:left w:val="nil"/>
              <w:bottom w:val="nil"/>
              <w:right w:val="nil"/>
            </w:tcBorders>
            <w:shd w:val="clear" w:color="auto" w:fill="auto"/>
            <w:noWrap/>
            <w:vAlign w:val="bottom"/>
          </w:tcPr>
          <w:p w:rsidR="008B64A3" w:rsidRPr="00173446" w:rsidRDefault="008B64A3" w:rsidP="00E3748D">
            <w:pPr>
              <w:jc w:val="right"/>
              <w:rPr>
                <w:rFonts w:ascii="Times New Roman" w:hAnsi="Times New Roman"/>
                <w:sz w:val="20"/>
                <w:szCs w:val="20"/>
              </w:rPr>
            </w:pPr>
            <w:r w:rsidRPr="00173446">
              <w:rPr>
                <w:rFonts w:ascii="Times New Roman" w:hAnsi="Times New Roman"/>
                <w:sz w:val="20"/>
                <w:szCs w:val="20"/>
              </w:rPr>
              <w:t>4</w:t>
            </w:r>
            <w:r>
              <w:rPr>
                <w:rFonts w:ascii="Times New Roman" w:hAnsi="Times New Roman"/>
                <w:sz w:val="20"/>
                <w:szCs w:val="20"/>
              </w:rPr>
              <w:t>0</w:t>
            </w:r>
            <w:r w:rsidRPr="00173446">
              <w:rPr>
                <w:rFonts w:ascii="Times New Roman" w:hAnsi="Times New Roman"/>
                <w:sz w:val="20"/>
                <w:szCs w:val="20"/>
              </w:rPr>
              <w:t>,000</w:t>
            </w:r>
          </w:p>
        </w:tc>
        <w:tc>
          <w:tcPr>
            <w:tcW w:w="2018" w:type="dxa"/>
            <w:gridSpan w:val="2"/>
            <w:tcBorders>
              <w:top w:val="nil"/>
              <w:left w:val="nil"/>
              <w:bottom w:val="nil"/>
              <w:right w:val="nil"/>
            </w:tcBorders>
            <w:shd w:val="clear" w:color="auto" w:fill="auto"/>
            <w:noWrap/>
            <w:vAlign w:val="bottom"/>
          </w:tcPr>
          <w:p w:rsidR="008B64A3" w:rsidRPr="00173446" w:rsidRDefault="008B64A3" w:rsidP="00E3748D">
            <w:pPr>
              <w:jc w:val="right"/>
              <w:rPr>
                <w:rFonts w:ascii="Times New Roman" w:hAnsi="Times New Roman"/>
                <w:sz w:val="20"/>
                <w:szCs w:val="20"/>
              </w:rPr>
            </w:pPr>
            <w:r>
              <w:rPr>
                <w:rFonts w:ascii="Times New Roman" w:hAnsi="Times New Roman"/>
                <w:sz w:val="20"/>
                <w:szCs w:val="20"/>
              </w:rPr>
              <w:t>636</w:t>
            </w:r>
            <w:r w:rsidRPr="00173446">
              <w:rPr>
                <w:rFonts w:ascii="Times New Roman" w:hAnsi="Times New Roman"/>
                <w:sz w:val="20"/>
                <w:szCs w:val="20"/>
              </w:rPr>
              <w:t>,</w:t>
            </w:r>
            <w:r>
              <w:rPr>
                <w:rFonts w:ascii="Times New Roman" w:hAnsi="Times New Roman"/>
                <w:sz w:val="20"/>
                <w:szCs w:val="20"/>
              </w:rPr>
              <w:t>779</w:t>
            </w:r>
          </w:p>
        </w:tc>
        <w:tc>
          <w:tcPr>
            <w:tcW w:w="1855" w:type="dxa"/>
            <w:gridSpan w:val="4"/>
            <w:tcBorders>
              <w:top w:val="nil"/>
              <w:left w:val="nil"/>
              <w:bottom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555</w:t>
            </w:r>
            <w:r w:rsidRPr="00173446">
              <w:rPr>
                <w:rFonts w:ascii="Times New Roman" w:hAnsi="Times New Roman"/>
                <w:sz w:val="20"/>
                <w:szCs w:val="20"/>
              </w:rPr>
              <w:t>,</w:t>
            </w:r>
            <w:r>
              <w:rPr>
                <w:rFonts w:ascii="Times New Roman" w:hAnsi="Times New Roman"/>
                <w:sz w:val="20"/>
                <w:szCs w:val="20"/>
              </w:rPr>
              <w:t>567</w:t>
            </w:r>
          </w:p>
        </w:tc>
        <w:tc>
          <w:tcPr>
            <w:tcW w:w="1250" w:type="dxa"/>
            <w:gridSpan w:val="6"/>
            <w:tcBorders>
              <w:top w:val="nil"/>
              <w:left w:val="nil"/>
              <w:bottom w:val="nil"/>
              <w:right w:val="nil"/>
            </w:tcBorders>
            <w:shd w:val="clear" w:color="auto" w:fill="auto"/>
            <w:noWrap/>
            <w:vAlign w:val="bottom"/>
          </w:tcPr>
          <w:p w:rsidR="008B64A3" w:rsidRPr="00173446" w:rsidRDefault="008B64A3">
            <w:pPr>
              <w:jc w:val="right"/>
              <w:rPr>
                <w:rFonts w:ascii="Times New Roman" w:hAnsi="Times New Roman"/>
                <w:sz w:val="20"/>
                <w:szCs w:val="20"/>
              </w:rPr>
            </w:pPr>
            <w:r w:rsidRPr="00173446">
              <w:rPr>
                <w:rFonts w:ascii="Times New Roman" w:hAnsi="Times New Roman"/>
                <w:sz w:val="20"/>
                <w:szCs w:val="20"/>
              </w:rPr>
              <w:t>0.</w:t>
            </w:r>
            <w:r>
              <w:rPr>
                <w:rFonts w:ascii="Times New Roman" w:hAnsi="Times New Roman"/>
                <w:sz w:val="20"/>
                <w:szCs w:val="20"/>
              </w:rPr>
              <w:t>54</w:t>
            </w:r>
            <w:r w:rsidRPr="00173446">
              <w:rPr>
                <w:rFonts w:ascii="Times New Roman" w:hAnsi="Times New Roman"/>
                <w:sz w:val="20"/>
                <w:szCs w:val="20"/>
              </w:rPr>
              <w:t>%</w:t>
            </w:r>
          </w:p>
        </w:tc>
        <w:tc>
          <w:tcPr>
            <w:tcW w:w="1181" w:type="dxa"/>
            <w:gridSpan w:val="2"/>
            <w:tcBorders>
              <w:top w:val="nil"/>
              <w:left w:val="nil"/>
              <w:bottom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sidRPr="00173446">
              <w:rPr>
                <w:rFonts w:ascii="Times New Roman" w:hAnsi="Times New Roman"/>
                <w:bCs/>
                <w:sz w:val="20"/>
                <w:szCs w:val="20"/>
              </w:rPr>
              <w:t>0.</w:t>
            </w:r>
            <w:r>
              <w:rPr>
                <w:rFonts w:ascii="Times New Roman" w:hAnsi="Times New Roman"/>
                <w:bCs/>
                <w:sz w:val="20"/>
                <w:szCs w:val="20"/>
              </w:rPr>
              <w:t>49</w:t>
            </w:r>
            <w:r w:rsidRPr="00173446">
              <w:rPr>
                <w:rFonts w:ascii="Times New Roman" w:hAnsi="Times New Roman"/>
                <w:bCs/>
                <w:sz w:val="20"/>
                <w:szCs w:val="20"/>
              </w:rPr>
              <w:t>%</w:t>
            </w:r>
          </w:p>
        </w:tc>
      </w:tr>
      <w:tr w:rsidR="00140415" w:rsidRPr="009170B8" w:rsidTr="00E54387">
        <w:trPr>
          <w:trHeight w:val="227"/>
        </w:trPr>
        <w:tc>
          <w:tcPr>
            <w:tcW w:w="3239" w:type="dxa"/>
            <w:gridSpan w:val="14"/>
            <w:tcBorders>
              <w:top w:val="nil"/>
              <w:left w:val="nil"/>
              <w:bottom w:val="nil"/>
              <w:right w:val="nil"/>
            </w:tcBorders>
            <w:shd w:val="clear" w:color="auto" w:fill="auto"/>
            <w:noWrap/>
            <w:vAlign w:val="bottom"/>
          </w:tcPr>
          <w:p w:rsidR="008B64A3" w:rsidRDefault="008B64A3" w:rsidP="00590B67">
            <w:pPr>
              <w:rPr>
                <w:rFonts w:ascii="Times New Roman" w:hAnsi="Times New Roman"/>
                <w:sz w:val="20"/>
                <w:szCs w:val="20"/>
              </w:rPr>
            </w:pPr>
            <w:proofErr w:type="spellStart"/>
            <w:r w:rsidRPr="009170B8">
              <w:rPr>
                <w:rFonts w:ascii="Times New Roman" w:hAnsi="Times New Roman"/>
                <w:sz w:val="20"/>
                <w:szCs w:val="20"/>
              </w:rPr>
              <w:t>Birchcliff</w:t>
            </w:r>
            <w:proofErr w:type="spellEnd"/>
            <w:r w:rsidRPr="009170B8">
              <w:rPr>
                <w:rFonts w:ascii="Times New Roman" w:hAnsi="Times New Roman"/>
                <w:sz w:val="20"/>
                <w:szCs w:val="20"/>
              </w:rPr>
              <w:t xml:space="preserve"> Energy </w:t>
            </w:r>
            <w:r>
              <w:rPr>
                <w:rFonts w:ascii="Times New Roman" w:hAnsi="Times New Roman"/>
                <w:sz w:val="20"/>
                <w:szCs w:val="20"/>
              </w:rPr>
              <w:t>Ltd.</w:t>
            </w:r>
          </w:p>
        </w:tc>
        <w:tc>
          <w:tcPr>
            <w:tcW w:w="1416" w:type="dxa"/>
            <w:gridSpan w:val="3"/>
            <w:tcBorders>
              <w:top w:val="nil"/>
              <w:left w:val="nil"/>
              <w:bottom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r w:rsidRPr="00173446">
              <w:rPr>
                <w:rFonts w:ascii="Times New Roman" w:hAnsi="Times New Roman"/>
                <w:sz w:val="20"/>
                <w:szCs w:val="20"/>
              </w:rPr>
              <w:t>85,000</w:t>
            </w:r>
          </w:p>
        </w:tc>
        <w:tc>
          <w:tcPr>
            <w:tcW w:w="2018" w:type="dxa"/>
            <w:gridSpan w:val="2"/>
            <w:tcBorders>
              <w:top w:val="nil"/>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sidRPr="00173446">
              <w:rPr>
                <w:rFonts w:ascii="Times New Roman" w:hAnsi="Times New Roman"/>
                <w:sz w:val="20"/>
                <w:szCs w:val="20"/>
              </w:rPr>
              <w:t>1,</w:t>
            </w:r>
            <w:r>
              <w:rPr>
                <w:rFonts w:ascii="Times New Roman" w:hAnsi="Times New Roman"/>
                <w:sz w:val="20"/>
                <w:szCs w:val="20"/>
              </w:rPr>
              <w:t>300</w:t>
            </w:r>
            <w:r w:rsidRPr="00173446">
              <w:rPr>
                <w:rFonts w:ascii="Times New Roman" w:hAnsi="Times New Roman"/>
                <w:sz w:val="20"/>
                <w:szCs w:val="20"/>
              </w:rPr>
              <w:t>,</w:t>
            </w:r>
            <w:r>
              <w:rPr>
                <w:rFonts w:ascii="Times New Roman" w:hAnsi="Times New Roman"/>
                <w:sz w:val="20"/>
                <w:szCs w:val="20"/>
              </w:rPr>
              <w:t>141</w:t>
            </w:r>
          </w:p>
        </w:tc>
        <w:tc>
          <w:tcPr>
            <w:tcW w:w="1855" w:type="dxa"/>
            <w:gridSpan w:val="4"/>
            <w:tcBorders>
              <w:top w:val="nil"/>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1,184</w:t>
            </w:r>
            <w:r w:rsidRPr="00173446">
              <w:rPr>
                <w:rFonts w:ascii="Times New Roman" w:hAnsi="Times New Roman"/>
                <w:sz w:val="20"/>
                <w:szCs w:val="20"/>
              </w:rPr>
              <w:t>,</w:t>
            </w:r>
            <w:r>
              <w:rPr>
                <w:rFonts w:ascii="Times New Roman" w:hAnsi="Times New Roman"/>
                <w:sz w:val="20"/>
                <w:szCs w:val="20"/>
              </w:rPr>
              <w:t>979</w:t>
            </w:r>
          </w:p>
        </w:tc>
        <w:tc>
          <w:tcPr>
            <w:tcW w:w="1250" w:type="dxa"/>
            <w:gridSpan w:val="6"/>
            <w:tcBorders>
              <w:top w:val="nil"/>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1</w:t>
            </w:r>
            <w:r w:rsidRPr="00173446">
              <w:rPr>
                <w:rFonts w:ascii="Times New Roman" w:hAnsi="Times New Roman"/>
                <w:sz w:val="20"/>
                <w:szCs w:val="20"/>
              </w:rPr>
              <w:t>.</w:t>
            </w:r>
            <w:r>
              <w:rPr>
                <w:rFonts w:ascii="Times New Roman" w:hAnsi="Times New Roman"/>
                <w:sz w:val="20"/>
                <w:szCs w:val="20"/>
              </w:rPr>
              <w:t>16</w:t>
            </w:r>
            <w:r w:rsidRPr="00173446">
              <w:rPr>
                <w:rFonts w:ascii="Times New Roman" w:hAnsi="Times New Roman"/>
                <w:sz w:val="20"/>
                <w:szCs w:val="20"/>
              </w:rPr>
              <w:t>%</w:t>
            </w:r>
          </w:p>
        </w:tc>
        <w:tc>
          <w:tcPr>
            <w:tcW w:w="1181" w:type="dxa"/>
            <w:gridSpan w:val="2"/>
            <w:tcBorders>
              <w:top w:val="nil"/>
              <w:left w:val="nil"/>
              <w:bottom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bCs/>
                <w:sz w:val="20"/>
                <w:szCs w:val="20"/>
              </w:rPr>
              <w:t>1</w:t>
            </w:r>
            <w:r w:rsidRPr="00173446">
              <w:rPr>
                <w:rFonts w:ascii="Times New Roman" w:hAnsi="Times New Roman"/>
                <w:bCs/>
                <w:sz w:val="20"/>
                <w:szCs w:val="20"/>
              </w:rPr>
              <w:t>.</w:t>
            </w:r>
            <w:r>
              <w:rPr>
                <w:rFonts w:ascii="Times New Roman" w:hAnsi="Times New Roman"/>
                <w:bCs/>
                <w:sz w:val="20"/>
                <w:szCs w:val="20"/>
              </w:rPr>
              <w:t>04</w:t>
            </w:r>
            <w:r w:rsidRPr="00173446">
              <w:rPr>
                <w:rFonts w:ascii="Times New Roman" w:hAnsi="Times New Roman"/>
                <w:bCs/>
                <w:sz w:val="20"/>
                <w:szCs w:val="20"/>
              </w:rPr>
              <w:t>%</w:t>
            </w:r>
          </w:p>
        </w:tc>
      </w:tr>
      <w:tr w:rsidR="00140415" w:rsidRPr="009170B8" w:rsidTr="00E54387">
        <w:trPr>
          <w:trHeight w:val="227"/>
        </w:trPr>
        <w:tc>
          <w:tcPr>
            <w:tcW w:w="3239" w:type="dxa"/>
            <w:gridSpan w:val="14"/>
            <w:tcBorders>
              <w:top w:val="nil"/>
              <w:left w:val="nil"/>
              <w:bottom w:val="nil"/>
              <w:right w:val="nil"/>
            </w:tcBorders>
            <w:shd w:val="clear" w:color="auto" w:fill="auto"/>
            <w:noWrap/>
            <w:vAlign w:val="bottom"/>
          </w:tcPr>
          <w:p w:rsidR="008B64A3" w:rsidRPr="009170B8" w:rsidRDefault="008B64A3" w:rsidP="00590B67">
            <w:pPr>
              <w:rPr>
                <w:rFonts w:ascii="Times New Roman" w:hAnsi="Times New Roman"/>
                <w:sz w:val="20"/>
                <w:szCs w:val="20"/>
              </w:rPr>
            </w:pPr>
            <w:r>
              <w:rPr>
                <w:rFonts w:ascii="Times New Roman" w:hAnsi="Times New Roman"/>
                <w:sz w:val="20"/>
                <w:szCs w:val="20"/>
              </w:rPr>
              <w:t>Ensign Energy Services Inc.</w:t>
            </w:r>
          </w:p>
        </w:tc>
        <w:tc>
          <w:tcPr>
            <w:tcW w:w="1416" w:type="dxa"/>
            <w:gridSpan w:val="3"/>
            <w:tcBorders>
              <w:top w:val="nil"/>
              <w:left w:val="nil"/>
              <w:bottom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r>
              <w:rPr>
                <w:rFonts w:ascii="Times New Roman" w:hAnsi="Times New Roman"/>
                <w:sz w:val="20"/>
                <w:szCs w:val="20"/>
              </w:rPr>
              <w:t>950,000</w:t>
            </w:r>
          </w:p>
        </w:tc>
        <w:tc>
          <w:tcPr>
            <w:tcW w:w="2018" w:type="dxa"/>
            <w:gridSpan w:val="2"/>
            <w:tcBorders>
              <w:top w:val="nil"/>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4,650,820</w:t>
            </w:r>
          </w:p>
        </w:tc>
        <w:tc>
          <w:tcPr>
            <w:tcW w:w="1855" w:type="dxa"/>
            <w:gridSpan w:val="4"/>
            <w:tcBorders>
              <w:top w:val="nil"/>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2,616,008</w:t>
            </w:r>
          </w:p>
        </w:tc>
        <w:tc>
          <w:tcPr>
            <w:tcW w:w="1250" w:type="dxa"/>
            <w:gridSpan w:val="6"/>
            <w:tcBorders>
              <w:top w:val="nil"/>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2.56%</w:t>
            </w:r>
          </w:p>
        </w:tc>
        <w:tc>
          <w:tcPr>
            <w:tcW w:w="1181" w:type="dxa"/>
            <w:gridSpan w:val="2"/>
            <w:tcBorders>
              <w:top w:val="nil"/>
              <w:left w:val="nil"/>
              <w:bottom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bCs/>
                <w:sz w:val="20"/>
                <w:szCs w:val="20"/>
              </w:rPr>
              <w:t>2.29%</w:t>
            </w:r>
          </w:p>
        </w:tc>
      </w:tr>
      <w:tr w:rsidR="00140415" w:rsidRPr="009170B8" w:rsidTr="00E54387">
        <w:trPr>
          <w:trHeight w:val="227"/>
        </w:trPr>
        <w:tc>
          <w:tcPr>
            <w:tcW w:w="3239" w:type="dxa"/>
            <w:gridSpan w:val="14"/>
            <w:tcBorders>
              <w:top w:val="nil"/>
              <w:left w:val="nil"/>
              <w:bottom w:val="nil"/>
              <w:right w:val="nil"/>
            </w:tcBorders>
            <w:shd w:val="clear" w:color="auto" w:fill="auto"/>
            <w:noWrap/>
            <w:vAlign w:val="bottom"/>
          </w:tcPr>
          <w:p w:rsidR="008B64A3" w:rsidRPr="009170B8" w:rsidRDefault="008B64A3" w:rsidP="009C3411">
            <w:pPr>
              <w:rPr>
                <w:rFonts w:ascii="Times New Roman" w:hAnsi="Times New Roman"/>
                <w:sz w:val="20"/>
                <w:szCs w:val="20"/>
              </w:rPr>
            </w:pPr>
            <w:r>
              <w:rPr>
                <w:rFonts w:ascii="Times New Roman" w:hAnsi="Times New Roman"/>
                <w:sz w:val="20"/>
                <w:szCs w:val="20"/>
              </w:rPr>
              <w:t>Freehold Royalties Ltd.</w:t>
            </w:r>
          </w:p>
        </w:tc>
        <w:tc>
          <w:tcPr>
            <w:tcW w:w="1416" w:type="dxa"/>
            <w:gridSpan w:val="3"/>
            <w:tcBorders>
              <w:top w:val="nil"/>
              <w:left w:val="nil"/>
              <w:bottom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500,000</w:t>
            </w:r>
          </w:p>
        </w:tc>
        <w:tc>
          <w:tcPr>
            <w:tcW w:w="2018" w:type="dxa"/>
            <w:gridSpan w:val="2"/>
            <w:tcBorders>
              <w:top w:val="nil"/>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3,668,047</w:t>
            </w:r>
          </w:p>
        </w:tc>
        <w:tc>
          <w:tcPr>
            <w:tcW w:w="1855" w:type="dxa"/>
            <w:gridSpan w:val="4"/>
            <w:tcBorders>
              <w:top w:val="nil"/>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2,362,772</w:t>
            </w:r>
          </w:p>
        </w:tc>
        <w:tc>
          <w:tcPr>
            <w:tcW w:w="1250" w:type="dxa"/>
            <w:gridSpan w:val="6"/>
            <w:tcBorders>
              <w:top w:val="nil"/>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2.31%</w:t>
            </w:r>
          </w:p>
        </w:tc>
        <w:tc>
          <w:tcPr>
            <w:tcW w:w="1181" w:type="dxa"/>
            <w:gridSpan w:val="2"/>
            <w:tcBorders>
              <w:top w:val="nil"/>
              <w:left w:val="nil"/>
              <w:bottom w:val="nil"/>
              <w:right w:val="nil"/>
            </w:tcBorders>
            <w:shd w:val="clear" w:color="auto" w:fill="auto"/>
            <w:noWrap/>
            <w:vAlign w:val="bottom"/>
          </w:tcPr>
          <w:p w:rsidR="008B64A3" w:rsidRDefault="008B64A3" w:rsidP="00AC5183">
            <w:pPr>
              <w:ind w:right="-69"/>
              <w:jc w:val="right"/>
              <w:rPr>
                <w:rFonts w:ascii="Times New Roman" w:hAnsi="Times New Roman"/>
                <w:bCs/>
                <w:sz w:val="20"/>
                <w:szCs w:val="20"/>
              </w:rPr>
            </w:pPr>
            <w:r>
              <w:rPr>
                <w:rFonts w:ascii="Times New Roman" w:hAnsi="Times New Roman"/>
                <w:bCs/>
                <w:sz w:val="20"/>
                <w:szCs w:val="20"/>
              </w:rPr>
              <w:t>2.07%</w:t>
            </w:r>
          </w:p>
        </w:tc>
      </w:tr>
      <w:tr w:rsidR="00140415" w:rsidRPr="009170B8" w:rsidTr="00E54387">
        <w:trPr>
          <w:trHeight w:val="227"/>
        </w:trPr>
        <w:tc>
          <w:tcPr>
            <w:tcW w:w="3239" w:type="dxa"/>
            <w:gridSpan w:val="14"/>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r>
              <w:rPr>
                <w:rFonts w:ascii="Times New Roman" w:hAnsi="Times New Roman"/>
                <w:sz w:val="20"/>
                <w:szCs w:val="20"/>
              </w:rPr>
              <w:t>Vermilion Energy Inc.</w:t>
            </w:r>
          </w:p>
        </w:tc>
        <w:tc>
          <w:tcPr>
            <w:tcW w:w="1416" w:type="dxa"/>
            <w:gridSpan w:val="3"/>
            <w:tcBorders>
              <w:top w:val="nil"/>
              <w:left w:val="nil"/>
              <w:bottom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150,000</w:t>
            </w:r>
          </w:p>
        </w:tc>
        <w:tc>
          <w:tcPr>
            <w:tcW w:w="2018" w:type="dxa"/>
            <w:gridSpan w:val="2"/>
            <w:tcBorders>
              <w:top w:val="nil"/>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3,919,</w:t>
            </w:r>
            <w:r w:rsidR="004317C4">
              <w:rPr>
                <w:rFonts w:ascii="Times New Roman" w:hAnsi="Times New Roman"/>
                <w:sz w:val="20"/>
                <w:szCs w:val="20"/>
              </w:rPr>
              <w:t>533</w:t>
            </w:r>
          </w:p>
        </w:tc>
        <w:tc>
          <w:tcPr>
            <w:tcW w:w="1855" w:type="dxa"/>
            <w:gridSpan w:val="4"/>
            <w:tcBorders>
              <w:top w:val="nil"/>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2,471,425</w:t>
            </w:r>
          </w:p>
        </w:tc>
        <w:tc>
          <w:tcPr>
            <w:tcW w:w="1250" w:type="dxa"/>
            <w:gridSpan w:val="6"/>
            <w:tcBorders>
              <w:top w:val="nil"/>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2.42%</w:t>
            </w:r>
          </w:p>
        </w:tc>
        <w:tc>
          <w:tcPr>
            <w:tcW w:w="1181" w:type="dxa"/>
            <w:gridSpan w:val="2"/>
            <w:tcBorders>
              <w:top w:val="nil"/>
              <w:left w:val="nil"/>
              <w:bottom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bCs/>
                <w:sz w:val="20"/>
                <w:szCs w:val="20"/>
              </w:rPr>
              <w:t>2.17%</w:t>
            </w:r>
          </w:p>
        </w:tc>
      </w:tr>
      <w:tr w:rsidR="00140415" w:rsidRPr="009170B8" w:rsidTr="00E54387">
        <w:trPr>
          <w:trHeight w:val="227"/>
        </w:trPr>
        <w:tc>
          <w:tcPr>
            <w:tcW w:w="3239" w:type="dxa"/>
            <w:gridSpan w:val="14"/>
            <w:tcBorders>
              <w:top w:val="nil"/>
              <w:left w:val="nil"/>
              <w:bottom w:val="nil"/>
              <w:right w:val="nil"/>
            </w:tcBorders>
            <w:shd w:val="clear" w:color="auto" w:fill="auto"/>
            <w:noWrap/>
            <w:vAlign w:val="bottom"/>
          </w:tcPr>
          <w:p w:rsidR="008B64A3" w:rsidRDefault="008B64A3" w:rsidP="00AC5183">
            <w:pPr>
              <w:ind w:right="-69"/>
              <w:jc w:val="right"/>
              <w:rPr>
                <w:rFonts w:ascii="Times New Roman" w:hAnsi="Times New Roman"/>
                <w:b/>
                <w:bCs/>
                <w:sz w:val="20"/>
                <w:szCs w:val="20"/>
              </w:rPr>
            </w:pPr>
          </w:p>
        </w:tc>
        <w:tc>
          <w:tcPr>
            <w:tcW w:w="1416" w:type="dxa"/>
            <w:gridSpan w:val="3"/>
            <w:tcBorders>
              <w:top w:val="nil"/>
              <w:left w:val="nil"/>
              <w:bottom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9C2F2B">
            <w:pPr>
              <w:jc w:val="right"/>
              <w:rPr>
                <w:rFonts w:ascii="Times New Roman" w:hAnsi="Times New Roman"/>
                <w:sz w:val="20"/>
                <w:szCs w:val="20"/>
              </w:rPr>
            </w:pPr>
          </w:p>
        </w:tc>
        <w:tc>
          <w:tcPr>
            <w:tcW w:w="1181" w:type="dxa"/>
            <w:gridSpan w:val="2"/>
            <w:tcBorders>
              <w:top w:val="nil"/>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p>
        </w:tc>
      </w:tr>
      <w:tr w:rsidR="00140415" w:rsidRPr="009170B8" w:rsidTr="00E54387">
        <w:trPr>
          <w:trHeight w:val="227"/>
        </w:trPr>
        <w:tc>
          <w:tcPr>
            <w:tcW w:w="3239" w:type="dxa"/>
            <w:gridSpan w:val="14"/>
            <w:tcBorders>
              <w:top w:val="nil"/>
              <w:left w:val="nil"/>
              <w:bottom w:val="nil"/>
              <w:right w:val="nil"/>
            </w:tcBorders>
            <w:shd w:val="clear" w:color="auto" w:fill="auto"/>
            <w:noWrap/>
            <w:vAlign w:val="bottom"/>
          </w:tcPr>
          <w:p w:rsidR="008B64A3" w:rsidRPr="009170B8" w:rsidRDefault="008B64A3" w:rsidP="009C3411">
            <w:pPr>
              <w:rPr>
                <w:rFonts w:ascii="Times New Roman" w:hAnsi="Times New Roman"/>
                <w:sz w:val="20"/>
                <w:szCs w:val="20"/>
              </w:rPr>
            </w:pPr>
            <w:r w:rsidRPr="009170B8">
              <w:rPr>
                <w:rFonts w:ascii="Times New Roman" w:hAnsi="Times New Roman"/>
                <w:b/>
                <w:bCs/>
                <w:sz w:val="20"/>
                <w:szCs w:val="20"/>
              </w:rPr>
              <w:t>Financials:</w:t>
            </w:r>
          </w:p>
        </w:tc>
        <w:tc>
          <w:tcPr>
            <w:tcW w:w="1416" w:type="dxa"/>
            <w:gridSpan w:val="3"/>
            <w:tcBorders>
              <w:top w:val="nil"/>
              <w:left w:val="nil"/>
              <w:bottom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9C2F2B">
            <w:pPr>
              <w:jc w:val="right"/>
              <w:rPr>
                <w:rFonts w:ascii="Times New Roman" w:hAnsi="Times New Roman"/>
                <w:sz w:val="20"/>
                <w:szCs w:val="20"/>
              </w:rPr>
            </w:pPr>
          </w:p>
        </w:tc>
        <w:tc>
          <w:tcPr>
            <w:tcW w:w="1181" w:type="dxa"/>
            <w:gridSpan w:val="2"/>
            <w:tcBorders>
              <w:top w:val="nil"/>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p>
        </w:tc>
      </w:tr>
      <w:tr w:rsidR="00140415" w:rsidRPr="009170B8" w:rsidTr="00A66792">
        <w:trPr>
          <w:trHeight w:val="137"/>
        </w:trPr>
        <w:tc>
          <w:tcPr>
            <w:tcW w:w="3239" w:type="dxa"/>
            <w:gridSpan w:val="14"/>
            <w:tcBorders>
              <w:top w:val="nil"/>
              <w:left w:val="nil"/>
              <w:right w:val="nil"/>
            </w:tcBorders>
            <w:shd w:val="clear" w:color="auto" w:fill="auto"/>
            <w:noWrap/>
            <w:vAlign w:val="bottom"/>
          </w:tcPr>
          <w:p w:rsidR="00BB783A" w:rsidRPr="009170B8" w:rsidRDefault="00BB783A">
            <w:pPr>
              <w:rPr>
                <w:rFonts w:ascii="Times New Roman" w:hAnsi="Times New Roman"/>
                <w:sz w:val="20"/>
                <w:szCs w:val="20"/>
              </w:rPr>
            </w:pPr>
            <w:r>
              <w:rPr>
                <w:rFonts w:ascii="Times New Roman" w:hAnsi="Times New Roman"/>
                <w:sz w:val="20"/>
                <w:szCs w:val="20"/>
              </w:rPr>
              <w:t>Canadian Imperial Bank of Commerce</w:t>
            </w:r>
          </w:p>
        </w:tc>
        <w:tc>
          <w:tcPr>
            <w:tcW w:w="1416" w:type="dxa"/>
            <w:gridSpan w:val="3"/>
            <w:tcBorders>
              <w:top w:val="nil"/>
              <w:left w:val="nil"/>
              <w:right w:val="nil"/>
            </w:tcBorders>
            <w:shd w:val="clear" w:color="auto" w:fill="auto"/>
            <w:noWrap/>
            <w:vAlign w:val="bottom"/>
          </w:tcPr>
          <w:p w:rsidR="00BB783A" w:rsidRPr="00173446" w:rsidRDefault="00BB783A" w:rsidP="00590B67">
            <w:pPr>
              <w:jc w:val="right"/>
              <w:rPr>
                <w:rFonts w:ascii="Times New Roman" w:hAnsi="Times New Roman"/>
                <w:sz w:val="20"/>
                <w:szCs w:val="20"/>
              </w:rPr>
            </w:pPr>
            <w:r>
              <w:rPr>
                <w:rFonts w:ascii="Times New Roman" w:hAnsi="Times New Roman"/>
                <w:sz w:val="20"/>
                <w:szCs w:val="20"/>
              </w:rPr>
              <w:t>65,000</w:t>
            </w:r>
          </w:p>
        </w:tc>
        <w:tc>
          <w:tcPr>
            <w:tcW w:w="2018" w:type="dxa"/>
            <w:gridSpan w:val="2"/>
            <w:tcBorders>
              <w:top w:val="nil"/>
              <w:left w:val="nil"/>
              <w:right w:val="nil"/>
            </w:tcBorders>
            <w:shd w:val="clear" w:color="auto" w:fill="auto"/>
            <w:noWrap/>
            <w:vAlign w:val="bottom"/>
          </w:tcPr>
          <w:p w:rsidR="00BB783A" w:rsidRPr="00173446" w:rsidRDefault="00BB783A">
            <w:pPr>
              <w:jc w:val="right"/>
              <w:rPr>
                <w:rFonts w:ascii="Times New Roman" w:hAnsi="Times New Roman"/>
                <w:sz w:val="20"/>
                <w:szCs w:val="20"/>
              </w:rPr>
            </w:pPr>
            <w:r>
              <w:rPr>
                <w:rFonts w:ascii="Times New Roman" w:hAnsi="Times New Roman"/>
                <w:sz w:val="20"/>
                <w:szCs w:val="20"/>
              </w:rPr>
              <w:t>4,331,765</w:t>
            </w:r>
          </w:p>
        </w:tc>
        <w:tc>
          <w:tcPr>
            <w:tcW w:w="1855" w:type="dxa"/>
            <w:gridSpan w:val="4"/>
            <w:tcBorders>
              <w:top w:val="nil"/>
              <w:left w:val="nil"/>
              <w:right w:val="nil"/>
            </w:tcBorders>
            <w:shd w:val="clear" w:color="auto" w:fill="auto"/>
            <w:noWrap/>
            <w:vAlign w:val="bottom"/>
          </w:tcPr>
          <w:p w:rsidR="00BB783A" w:rsidRPr="00173446" w:rsidRDefault="00BB783A">
            <w:pPr>
              <w:jc w:val="right"/>
              <w:rPr>
                <w:rFonts w:ascii="Times New Roman" w:hAnsi="Times New Roman"/>
                <w:sz w:val="20"/>
                <w:szCs w:val="20"/>
              </w:rPr>
            </w:pPr>
            <w:r>
              <w:rPr>
                <w:rFonts w:ascii="Times New Roman" w:hAnsi="Times New Roman"/>
                <w:sz w:val="20"/>
                <w:szCs w:val="20"/>
              </w:rPr>
              <w:t>3,792,047</w:t>
            </w:r>
          </w:p>
        </w:tc>
        <w:tc>
          <w:tcPr>
            <w:tcW w:w="1250" w:type="dxa"/>
            <w:gridSpan w:val="6"/>
            <w:tcBorders>
              <w:top w:val="nil"/>
              <w:left w:val="nil"/>
              <w:right w:val="nil"/>
            </w:tcBorders>
            <w:shd w:val="clear" w:color="auto" w:fill="auto"/>
            <w:noWrap/>
            <w:vAlign w:val="bottom"/>
          </w:tcPr>
          <w:p w:rsidR="00BB783A" w:rsidRPr="00173446" w:rsidRDefault="00BB783A">
            <w:pPr>
              <w:jc w:val="right"/>
              <w:rPr>
                <w:rFonts w:ascii="Times New Roman" w:hAnsi="Times New Roman"/>
                <w:sz w:val="20"/>
                <w:szCs w:val="20"/>
              </w:rPr>
            </w:pPr>
            <w:r>
              <w:rPr>
                <w:rFonts w:ascii="Times New Roman" w:hAnsi="Times New Roman"/>
                <w:sz w:val="20"/>
                <w:szCs w:val="20"/>
              </w:rPr>
              <w:t>3.71%</w:t>
            </w:r>
          </w:p>
        </w:tc>
        <w:tc>
          <w:tcPr>
            <w:tcW w:w="1181" w:type="dxa"/>
            <w:gridSpan w:val="2"/>
            <w:tcBorders>
              <w:top w:val="nil"/>
              <w:left w:val="nil"/>
              <w:right w:val="nil"/>
            </w:tcBorders>
            <w:shd w:val="clear" w:color="auto" w:fill="auto"/>
            <w:noWrap/>
            <w:vAlign w:val="bottom"/>
          </w:tcPr>
          <w:p w:rsidR="00BB783A" w:rsidRPr="00173446" w:rsidRDefault="00BB783A" w:rsidP="00AC5183">
            <w:pPr>
              <w:ind w:right="-69"/>
              <w:jc w:val="right"/>
              <w:rPr>
                <w:rFonts w:ascii="Times New Roman" w:hAnsi="Times New Roman"/>
                <w:bCs/>
                <w:sz w:val="20"/>
                <w:szCs w:val="20"/>
              </w:rPr>
            </w:pPr>
            <w:r>
              <w:rPr>
                <w:rFonts w:ascii="Times New Roman" w:hAnsi="Times New Roman"/>
                <w:bCs/>
                <w:sz w:val="20"/>
                <w:szCs w:val="20"/>
              </w:rPr>
              <w:t>3.32%</w:t>
            </w:r>
          </w:p>
        </w:tc>
      </w:tr>
      <w:tr w:rsidR="00140415" w:rsidRPr="009170B8" w:rsidTr="00A66792">
        <w:trPr>
          <w:trHeight w:val="137"/>
        </w:trPr>
        <w:tc>
          <w:tcPr>
            <w:tcW w:w="3239" w:type="dxa"/>
            <w:gridSpan w:val="14"/>
            <w:tcBorders>
              <w:top w:val="nil"/>
              <w:left w:val="nil"/>
              <w:right w:val="nil"/>
            </w:tcBorders>
            <w:shd w:val="clear" w:color="auto" w:fill="auto"/>
            <w:noWrap/>
            <w:vAlign w:val="bottom"/>
          </w:tcPr>
          <w:p w:rsidR="00BB783A" w:rsidRDefault="00BB783A">
            <w:pPr>
              <w:rPr>
                <w:rFonts w:ascii="Times New Roman" w:hAnsi="Times New Roman"/>
                <w:sz w:val="20"/>
                <w:szCs w:val="20"/>
              </w:rPr>
            </w:pPr>
            <w:r>
              <w:rPr>
                <w:rFonts w:ascii="Times New Roman" w:hAnsi="Times New Roman"/>
                <w:sz w:val="20"/>
                <w:szCs w:val="20"/>
              </w:rPr>
              <w:t xml:space="preserve">The Bank of Nova Scotia </w:t>
            </w:r>
          </w:p>
        </w:tc>
        <w:tc>
          <w:tcPr>
            <w:tcW w:w="1416" w:type="dxa"/>
            <w:gridSpan w:val="3"/>
            <w:tcBorders>
              <w:top w:val="nil"/>
              <w:left w:val="nil"/>
              <w:right w:val="nil"/>
            </w:tcBorders>
            <w:shd w:val="clear" w:color="auto" w:fill="auto"/>
            <w:noWrap/>
            <w:vAlign w:val="bottom"/>
          </w:tcPr>
          <w:p w:rsidR="00BB783A" w:rsidRDefault="00BB783A" w:rsidP="00590B67">
            <w:pPr>
              <w:jc w:val="right"/>
              <w:rPr>
                <w:rFonts w:ascii="Times New Roman" w:hAnsi="Times New Roman"/>
                <w:sz w:val="20"/>
                <w:szCs w:val="20"/>
              </w:rPr>
            </w:pPr>
            <w:r>
              <w:rPr>
                <w:rFonts w:ascii="Times New Roman" w:hAnsi="Times New Roman"/>
                <w:sz w:val="20"/>
                <w:szCs w:val="20"/>
              </w:rPr>
              <w:t>100,000</w:t>
            </w:r>
          </w:p>
        </w:tc>
        <w:tc>
          <w:tcPr>
            <w:tcW w:w="2018" w:type="dxa"/>
            <w:gridSpan w:val="2"/>
            <w:tcBorders>
              <w:top w:val="nil"/>
              <w:left w:val="nil"/>
              <w:right w:val="nil"/>
            </w:tcBorders>
            <w:shd w:val="clear" w:color="auto" w:fill="auto"/>
            <w:noWrap/>
            <w:vAlign w:val="bottom"/>
          </w:tcPr>
          <w:p w:rsidR="00BB783A" w:rsidRDefault="00BB783A">
            <w:pPr>
              <w:jc w:val="right"/>
              <w:rPr>
                <w:rFonts w:ascii="Times New Roman" w:hAnsi="Times New Roman"/>
                <w:sz w:val="20"/>
                <w:szCs w:val="20"/>
              </w:rPr>
            </w:pPr>
            <w:r>
              <w:rPr>
                <w:rFonts w:ascii="Times New Roman" w:hAnsi="Times New Roman"/>
                <w:sz w:val="20"/>
                <w:szCs w:val="20"/>
              </w:rPr>
              <w:t>4,832,372</w:t>
            </w:r>
          </w:p>
        </w:tc>
        <w:tc>
          <w:tcPr>
            <w:tcW w:w="1855" w:type="dxa"/>
            <w:gridSpan w:val="4"/>
            <w:tcBorders>
              <w:top w:val="nil"/>
              <w:left w:val="nil"/>
              <w:right w:val="nil"/>
            </w:tcBorders>
            <w:shd w:val="clear" w:color="auto" w:fill="auto"/>
            <w:noWrap/>
            <w:vAlign w:val="bottom"/>
          </w:tcPr>
          <w:p w:rsidR="00BB783A" w:rsidRDefault="00BB783A">
            <w:pPr>
              <w:jc w:val="right"/>
              <w:rPr>
                <w:rFonts w:ascii="Times New Roman" w:hAnsi="Times New Roman"/>
                <w:sz w:val="20"/>
                <w:szCs w:val="20"/>
              </w:rPr>
            </w:pPr>
            <w:r>
              <w:rPr>
                <w:rFonts w:ascii="Times New Roman" w:hAnsi="Times New Roman"/>
                <w:sz w:val="20"/>
                <w:szCs w:val="20"/>
              </w:rPr>
              <w:t>3,905,759</w:t>
            </w:r>
          </w:p>
        </w:tc>
        <w:tc>
          <w:tcPr>
            <w:tcW w:w="1250" w:type="dxa"/>
            <w:gridSpan w:val="6"/>
            <w:tcBorders>
              <w:top w:val="nil"/>
              <w:left w:val="nil"/>
              <w:right w:val="nil"/>
            </w:tcBorders>
            <w:shd w:val="clear" w:color="auto" w:fill="auto"/>
            <w:noWrap/>
            <w:vAlign w:val="bottom"/>
          </w:tcPr>
          <w:p w:rsidR="00BB783A" w:rsidRDefault="00BB783A">
            <w:pPr>
              <w:jc w:val="right"/>
              <w:rPr>
                <w:rFonts w:ascii="Times New Roman" w:hAnsi="Times New Roman"/>
                <w:sz w:val="20"/>
                <w:szCs w:val="20"/>
              </w:rPr>
            </w:pPr>
            <w:r>
              <w:rPr>
                <w:rFonts w:ascii="Times New Roman" w:hAnsi="Times New Roman"/>
                <w:sz w:val="20"/>
                <w:szCs w:val="20"/>
              </w:rPr>
              <w:t>3.82</w:t>
            </w:r>
            <w:r w:rsidRPr="00173446">
              <w:rPr>
                <w:rFonts w:ascii="Times New Roman" w:hAnsi="Times New Roman"/>
                <w:sz w:val="20"/>
                <w:szCs w:val="20"/>
              </w:rPr>
              <w:t>%</w:t>
            </w:r>
          </w:p>
        </w:tc>
        <w:tc>
          <w:tcPr>
            <w:tcW w:w="1181" w:type="dxa"/>
            <w:gridSpan w:val="2"/>
            <w:tcBorders>
              <w:top w:val="nil"/>
              <w:left w:val="nil"/>
              <w:right w:val="nil"/>
            </w:tcBorders>
            <w:shd w:val="clear" w:color="auto" w:fill="auto"/>
            <w:noWrap/>
            <w:vAlign w:val="bottom"/>
          </w:tcPr>
          <w:p w:rsidR="00BB783A" w:rsidRDefault="00BB783A" w:rsidP="00AC5183">
            <w:pPr>
              <w:ind w:right="-69"/>
              <w:jc w:val="right"/>
              <w:rPr>
                <w:rFonts w:ascii="Times New Roman" w:hAnsi="Times New Roman"/>
                <w:bCs/>
                <w:sz w:val="20"/>
                <w:szCs w:val="20"/>
              </w:rPr>
            </w:pPr>
            <w:r>
              <w:rPr>
                <w:rFonts w:ascii="Times New Roman" w:hAnsi="Times New Roman"/>
                <w:bCs/>
                <w:sz w:val="20"/>
                <w:szCs w:val="20"/>
              </w:rPr>
              <w:t>3.42%</w:t>
            </w:r>
          </w:p>
        </w:tc>
      </w:tr>
      <w:tr w:rsidR="00140415" w:rsidRPr="009170B8" w:rsidTr="00A66792">
        <w:trPr>
          <w:trHeight w:val="227"/>
        </w:trPr>
        <w:tc>
          <w:tcPr>
            <w:tcW w:w="3239" w:type="dxa"/>
            <w:gridSpan w:val="14"/>
            <w:tcBorders>
              <w:top w:val="nil"/>
              <w:left w:val="nil"/>
              <w:right w:val="nil"/>
            </w:tcBorders>
            <w:shd w:val="clear" w:color="auto" w:fill="auto"/>
            <w:noWrap/>
            <w:vAlign w:val="bottom"/>
          </w:tcPr>
          <w:p w:rsidR="008B64A3" w:rsidRDefault="008B64A3" w:rsidP="00AC5183">
            <w:pPr>
              <w:ind w:right="-69"/>
              <w:rPr>
                <w:rFonts w:ascii="Times New Roman" w:hAnsi="Times New Roman"/>
                <w:sz w:val="20"/>
                <w:szCs w:val="20"/>
              </w:rPr>
            </w:pPr>
            <w:r>
              <w:rPr>
                <w:rFonts w:ascii="Times New Roman" w:hAnsi="Times New Roman"/>
                <w:sz w:val="20"/>
                <w:szCs w:val="20"/>
              </w:rPr>
              <w:t>The Toronto-Dominion Bank</w:t>
            </w:r>
          </w:p>
        </w:tc>
        <w:tc>
          <w:tcPr>
            <w:tcW w:w="1416" w:type="dxa"/>
            <w:gridSpan w:val="3"/>
            <w:tcBorders>
              <w:top w:val="nil"/>
              <w:left w:val="nil"/>
              <w:right w:val="nil"/>
            </w:tcBorders>
            <w:shd w:val="clear" w:color="auto" w:fill="auto"/>
            <w:noWrap/>
            <w:vAlign w:val="bottom"/>
          </w:tcPr>
          <w:p w:rsidR="008B64A3" w:rsidDel="00F0397D" w:rsidRDefault="008B64A3" w:rsidP="00F0397D">
            <w:pPr>
              <w:jc w:val="right"/>
              <w:rPr>
                <w:rFonts w:ascii="Times New Roman" w:hAnsi="Times New Roman"/>
                <w:sz w:val="20"/>
                <w:szCs w:val="20"/>
              </w:rPr>
            </w:pPr>
            <w:r>
              <w:rPr>
                <w:rFonts w:ascii="Times New Roman" w:hAnsi="Times New Roman"/>
                <w:sz w:val="20"/>
                <w:szCs w:val="20"/>
              </w:rPr>
              <w:t>70,000</w:t>
            </w:r>
          </w:p>
        </w:tc>
        <w:tc>
          <w:tcPr>
            <w:tcW w:w="2018" w:type="dxa"/>
            <w:gridSpan w:val="2"/>
            <w:tcBorders>
              <w:top w:val="nil"/>
              <w:left w:val="nil"/>
              <w:right w:val="nil"/>
            </w:tcBorders>
            <w:shd w:val="clear" w:color="auto" w:fill="auto"/>
            <w:noWrap/>
            <w:vAlign w:val="bottom"/>
          </w:tcPr>
          <w:p w:rsidR="008B64A3" w:rsidDel="00F0397D" w:rsidRDefault="008B64A3" w:rsidP="00F0397D">
            <w:pPr>
              <w:jc w:val="right"/>
              <w:rPr>
                <w:rFonts w:ascii="Times New Roman" w:hAnsi="Times New Roman"/>
                <w:sz w:val="20"/>
                <w:szCs w:val="20"/>
              </w:rPr>
            </w:pPr>
            <w:r>
              <w:rPr>
                <w:rFonts w:ascii="Times New Roman" w:hAnsi="Times New Roman"/>
                <w:sz w:val="20"/>
                <w:szCs w:val="20"/>
              </w:rPr>
              <w:t>2,925,792</w:t>
            </w:r>
          </w:p>
        </w:tc>
        <w:tc>
          <w:tcPr>
            <w:tcW w:w="1855" w:type="dxa"/>
            <w:gridSpan w:val="4"/>
            <w:tcBorders>
              <w:top w:val="nil"/>
              <w:left w:val="nil"/>
              <w:right w:val="nil"/>
            </w:tcBorders>
            <w:shd w:val="clear" w:color="auto" w:fill="auto"/>
            <w:noWrap/>
            <w:vAlign w:val="bottom"/>
          </w:tcPr>
          <w:p w:rsidR="008B64A3" w:rsidDel="00F0397D" w:rsidRDefault="008B64A3">
            <w:pPr>
              <w:jc w:val="right"/>
              <w:rPr>
                <w:rFonts w:ascii="Times New Roman" w:hAnsi="Times New Roman"/>
                <w:sz w:val="20"/>
                <w:szCs w:val="20"/>
              </w:rPr>
            </w:pPr>
            <w:r>
              <w:rPr>
                <w:rFonts w:ascii="Times New Roman" w:hAnsi="Times New Roman"/>
                <w:sz w:val="20"/>
                <w:szCs w:val="20"/>
              </w:rPr>
              <w:t>2,728,397</w:t>
            </w:r>
          </w:p>
        </w:tc>
        <w:tc>
          <w:tcPr>
            <w:tcW w:w="1250" w:type="dxa"/>
            <w:gridSpan w:val="6"/>
            <w:tcBorders>
              <w:top w:val="nil"/>
              <w:left w:val="nil"/>
              <w:right w:val="nil"/>
            </w:tcBorders>
            <w:shd w:val="clear" w:color="auto" w:fill="auto"/>
            <w:noWrap/>
            <w:vAlign w:val="bottom"/>
          </w:tcPr>
          <w:p w:rsidR="008B64A3" w:rsidDel="00F0397D" w:rsidRDefault="008B64A3">
            <w:pPr>
              <w:jc w:val="right"/>
              <w:rPr>
                <w:rFonts w:ascii="Times New Roman" w:hAnsi="Times New Roman"/>
                <w:sz w:val="20"/>
                <w:szCs w:val="20"/>
              </w:rPr>
            </w:pPr>
            <w:r>
              <w:rPr>
                <w:rFonts w:ascii="Times New Roman" w:hAnsi="Times New Roman"/>
                <w:sz w:val="20"/>
                <w:szCs w:val="20"/>
              </w:rPr>
              <w:t>2.67%</w:t>
            </w:r>
          </w:p>
        </w:tc>
        <w:tc>
          <w:tcPr>
            <w:tcW w:w="1181" w:type="dxa"/>
            <w:gridSpan w:val="2"/>
            <w:tcBorders>
              <w:top w:val="nil"/>
              <w:left w:val="nil"/>
              <w:right w:val="nil"/>
            </w:tcBorders>
            <w:shd w:val="clear" w:color="auto" w:fill="auto"/>
            <w:noWrap/>
            <w:vAlign w:val="bottom"/>
          </w:tcPr>
          <w:p w:rsidR="008B64A3" w:rsidDel="00F0397D" w:rsidRDefault="008B64A3" w:rsidP="00AC5183">
            <w:pPr>
              <w:ind w:right="-69"/>
              <w:jc w:val="right"/>
              <w:rPr>
                <w:rFonts w:ascii="Times New Roman" w:hAnsi="Times New Roman"/>
                <w:bCs/>
                <w:sz w:val="20"/>
                <w:szCs w:val="20"/>
              </w:rPr>
            </w:pPr>
            <w:r>
              <w:rPr>
                <w:rFonts w:ascii="Times New Roman" w:hAnsi="Times New Roman"/>
                <w:bCs/>
                <w:sz w:val="20"/>
                <w:szCs w:val="20"/>
              </w:rPr>
              <w:t>2.39%</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3B01CA">
            <w:pPr>
              <w:rPr>
                <w:rFonts w:ascii="Times New Roman" w:hAnsi="Times New Roman"/>
                <w:b/>
                <w:bCs/>
                <w:sz w:val="20"/>
                <w:szCs w:val="20"/>
              </w:rPr>
            </w:pPr>
          </w:p>
        </w:tc>
        <w:tc>
          <w:tcPr>
            <w:tcW w:w="1416" w:type="dxa"/>
            <w:gridSpan w:val="3"/>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Pr="009170B8" w:rsidRDefault="008B64A3" w:rsidP="003B01CA">
            <w:pPr>
              <w:rPr>
                <w:rFonts w:ascii="Times New Roman" w:hAnsi="Times New Roman"/>
                <w:sz w:val="20"/>
                <w:szCs w:val="20"/>
              </w:rPr>
            </w:pPr>
            <w:r w:rsidRPr="009170B8">
              <w:rPr>
                <w:rFonts w:ascii="Times New Roman" w:hAnsi="Times New Roman"/>
                <w:b/>
                <w:bCs/>
                <w:sz w:val="20"/>
                <w:szCs w:val="20"/>
              </w:rPr>
              <w:t>Industrials:</w:t>
            </w:r>
          </w:p>
        </w:tc>
        <w:tc>
          <w:tcPr>
            <w:tcW w:w="1416" w:type="dxa"/>
            <w:gridSpan w:val="3"/>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AC5183">
            <w:pPr>
              <w:ind w:right="-69"/>
              <w:rPr>
                <w:rFonts w:ascii="Times New Roman" w:hAnsi="Times New Roman"/>
                <w:sz w:val="20"/>
                <w:szCs w:val="20"/>
              </w:rPr>
            </w:pPr>
            <w:r>
              <w:rPr>
                <w:rFonts w:ascii="Times New Roman" w:hAnsi="Times New Roman"/>
                <w:sz w:val="20"/>
                <w:szCs w:val="20"/>
              </w:rPr>
              <w:t>Chorus Aviation Inc.</w:t>
            </w:r>
          </w:p>
        </w:tc>
        <w:tc>
          <w:tcPr>
            <w:tcW w:w="1416" w:type="dxa"/>
            <w:gridSpan w:val="3"/>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r>
              <w:rPr>
                <w:rFonts w:ascii="Times New Roman" w:hAnsi="Times New Roman"/>
                <w:sz w:val="20"/>
                <w:szCs w:val="20"/>
              </w:rPr>
              <w:t>850</w:t>
            </w:r>
            <w:r w:rsidRPr="00173446">
              <w:rPr>
                <w:rFonts w:ascii="Times New Roman" w:hAnsi="Times New Roman"/>
                <w:sz w:val="20"/>
                <w:szCs w:val="20"/>
              </w:rPr>
              <w:t>,000</w:t>
            </w:r>
          </w:p>
        </w:tc>
        <w:tc>
          <w:tcPr>
            <w:tcW w:w="2018" w:type="dxa"/>
            <w:gridSpan w:val="2"/>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3</w:t>
            </w:r>
            <w:r w:rsidRPr="00173446">
              <w:rPr>
                <w:rFonts w:ascii="Times New Roman" w:hAnsi="Times New Roman"/>
                <w:sz w:val="20"/>
                <w:szCs w:val="20"/>
              </w:rPr>
              <w:t>,</w:t>
            </w:r>
            <w:r>
              <w:rPr>
                <w:rFonts w:ascii="Times New Roman" w:hAnsi="Times New Roman"/>
                <w:sz w:val="20"/>
                <w:szCs w:val="20"/>
              </w:rPr>
              <w:t>813</w:t>
            </w:r>
            <w:r w:rsidRPr="00173446">
              <w:rPr>
                <w:rFonts w:ascii="Times New Roman" w:hAnsi="Times New Roman"/>
                <w:sz w:val="20"/>
                <w:szCs w:val="20"/>
              </w:rPr>
              <w:t>,</w:t>
            </w:r>
            <w:r>
              <w:rPr>
                <w:rFonts w:ascii="Times New Roman" w:hAnsi="Times New Roman"/>
                <w:sz w:val="20"/>
                <w:szCs w:val="20"/>
              </w:rPr>
              <w:t>720</w:t>
            </w:r>
          </w:p>
        </w:tc>
        <w:tc>
          <w:tcPr>
            <w:tcW w:w="1855" w:type="dxa"/>
            <w:gridSpan w:val="4"/>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r>
              <w:rPr>
                <w:rFonts w:ascii="Times New Roman" w:hAnsi="Times New Roman"/>
                <w:sz w:val="20"/>
                <w:szCs w:val="20"/>
              </w:rPr>
              <w:t>2,746,219</w:t>
            </w:r>
          </w:p>
        </w:tc>
        <w:tc>
          <w:tcPr>
            <w:tcW w:w="1250" w:type="dxa"/>
            <w:gridSpan w:val="6"/>
            <w:tcBorders>
              <w:left w:val="nil"/>
              <w:right w:val="nil"/>
            </w:tcBorders>
            <w:shd w:val="clear" w:color="auto" w:fill="auto"/>
            <w:noWrap/>
            <w:vAlign w:val="bottom"/>
          </w:tcPr>
          <w:p w:rsidR="008B64A3" w:rsidRDefault="008B64A3" w:rsidP="00A65633">
            <w:pPr>
              <w:jc w:val="right"/>
              <w:rPr>
                <w:rFonts w:ascii="Times New Roman" w:hAnsi="Times New Roman"/>
                <w:sz w:val="20"/>
                <w:szCs w:val="20"/>
              </w:rPr>
            </w:pPr>
            <w:r>
              <w:rPr>
                <w:rFonts w:ascii="Times New Roman" w:hAnsi="Times New Roman"/>
                <w:sz w:val="20"/>
                <w:szCs w:val="20"/>
              </w:rPr>
              <w:t>2.69</w:t>
            </w:r>
            <w:r w:rsidRPr="00173446">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Default="008B64A3" w:rsidP="00AC5183">
            <w:pPr>
              <w:ind w:right="-69"/>
              <w:jc w:val="right"/>
              <w:rPr>
                <w:rFonts w:ascii="Times New Roman" w:hAnsi="Times New Roman"/>
                <w:bCs/>
                <w:sz w:val="20"/>
                <w:szCs w:val="20"/>
              </w:rPr>
            </w:pPr>
            <w:r>
              <w:rPr>
                <w:rFonts w:ascii="Times New Roman" w:hAnsi="Times New Roman"/>
                <w:bCs/>
                <w:sz w:val="20"/>
                <w:szCs w:val="20"/>
              </w:rPr>
              <w:t>2.41</w:t>
            </w:r>
            <w:r w:rsidRPr="00173446">
              <w:rPr>
                <w:rFonts w:ascii="Times New Roman" w:hAnsi="Times New Roman"/>
                <w:bCs/>
                <w:sz w:val="20"/>
                <w:szCs w:val="20"/>
              </w:rPr>
              <w:t>%</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3B01CA">
            <w:pPr>
              <w:rPr>
                <w:rFonts w:ascii="Times New Roman" w:hAnsi="Times New Roman"/>
                <w:b/>
                <w:bCs/>
                <w:sz w:val="20"/>
                <w:szCs w:val="20"/>
              </w:rPr>
            </w:pPr>
            <w:proofErr w:type="spellStart"/>
            <w:r>
              <w:rPr>
                <w:rFonts w:ascii="Times New Roman" w:hAnsi="Times New Roman"/>
                <w:sz w:val="20"/>
                <w:szCs w:val="20"/>
              </w:rPr>
              <w:t>Morneau</w:t>
            </w:r>
            <w:proofErr w:type="spellEnd"/>
            <w:r>
              <w:rPr>
                <w:rFonts w:ascii="Times New Roman" w:hAnsi="Times New Roman"/>
                <w:sz w:val="20"/>
                <w:szCs w:val="20"/>
              </w:rPr>
              <w:t xml:space="preserve"> Shepell Inc.</w:t>
            </w:r>
          </w:p>
        </w:tc>
        <w:tc>
          <w:tcPr>
            <w:tcW w:w="1416" w:type="dxa"/>
            <w:gridSpan w:val="3"/>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185,000</w:t>
            </w:r>
          </w:p>
        </w:tc>
        <w:tc>
          <w:tcPr>
            <w:tcW w:w="2018" w:type="dxa"/>
            <w:gridSpan w:val="2"/>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2,213,655</w:t>
            </w:r>
          </w:p>
        </w:tc>
        <w:tc>
          <w:tcPr>
            <w:tcW w:w="1855" w:type="dxa"/>
            <w:gridSpan w:val="4"/>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2,647,138</w:t>
            </w:r>
          </w:p>
        </w:tc>
        <w:tc>
          <w:tcPr>
            <w:tcW w:w="1250" w:type="dxa"/>
            <w:gridSpan w:val="6"/>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2.59%</w:t>
            </w: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sz w:val="20"/>
                <w:szCs w:val="20"/>
              </w:rPr>
              <w:t>2.32%</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Pr="00AD00D4" w:rsidRDefault="008B64A3" w:rsidP="003B01CA">
            <w:pPr>
              <w:rPr>
                <w:rFonts w:ascii="Times New Roman" w:hAnsi="Times New Roman"/>
                <w:sz w:val="20"/>
                <w:szCs w:val="20"/>
              </w:rPr>
            </w:pPr>
            <w:r>
              <w:rPr>
                <w:rFonts w:ascii="Times New Roman" w:hAnsi="Times New Roman"/>
                <w:sz w:val="20"/>
                <w:szCs w:val="20"/>
              </w:rPr>
              <w:t>Parkland Fuel Corporation</w:t>
            </w:r>
          </w:p>
        </w:tc>
        <w:tc>
          <w:tcPr>
            <w:tcW w:w="1416" w:type="dxa"/>
            <w:gridSpan w:val="3"/>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r>
              <w:rPr>
                <w:rFonts w:ascii="Times New Roman" w:hAnsi="Times New Roman"/>
                <w:sz w:val="20"/>
                <w:szCs w:val="20"/>
              </w:rPr>
              <w:t>275,000</w:t>
            </w:r>
          </w:p>
        </w:tc>
        <w:tc>
          <w:tcPr>
            <w:tcW w:w="2018" w:type="dxa"/>
            <w:gridSpan w:val="2"/>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3,674,842</w:t>
            </w:r>
          </w:p>
        </w:tc>
        <w:tc>
          <w:tcPr>
            <w:tcW w:w="1855" w:type="dxa"/>
            <w:gridSpan w:val="4"/>
            <w:tcBorders>
              <w:left w:val="nil"/>
              <w:right w:val="nil"/>
            </w:tcBorders>
            <w:shd w:val="clear" w:color="auto" w:fill="auto"/>
            <w:noWrap/>
            <w:vAlign w:val="bottom"/>
          </w:tcPr>
          <w:p w:rsidR="008B64A3" w:rsidRPr="00581489" w:rsidRDefault="008B64A3">
            <w:pPr>
              <w:jc w:val="right"/>
              <w:rPr>
                <w:rFonts w:ascii="Times New Roman" w:hAnsi="Times New Roman"/>
                <w:sz w:val="20"/>
                <w:szCs w:val="20"/>
              </w:rPr>
            </w:pPr>
            <w:r>
              <w:rPr>
                <w:rFonts w:ascii="Times New Roman" w:hAnsi="Times New Roman"/>
                <w:sz w:val="20"/>
                <w:szCs w:val="20"/>
              </w:rPr>
              <w:t>5,564,873</w:t>
            </w:r>
          </w:p>
        </w:tc>
        <w:tc>
          <w:tcPr>
            <w:tcW w:w="1250" w:type="dxa"/>
            <w:gridSpan w:val="6"/>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5.45%</w:t>
            </w:r>
          </w:p>
        </w:tc>
        <w:tc>
          <w:tcPr>
            <w:tcW w:w="1181" w:type="dxa"/>
            <w:gridSpan w:val="2"/>
            <w:tcBorders>
              <w:left w:val="nil"/>
              <w:right w:val="nil"/>
            </w:tcBorders>
            <w:shd w:val="clear" w:color="auto" w:fill="auto"/>
            <w:noWrap/>
            <w:vAlign w:val="bottom"/>
          </w:tcPr>
          <w:p w:rsidR="008B64A3" w:rsidRDefault="008B64A3" w:rsidP="00AC5183">
            <w:pPr>
              <w:ind w:right="-69"/>
              <w:jc w:val="right"/>
              <w:rPr>
                <w:rFonts w:ascii="Times New Roman" w:hAnsi="Times New Roman"/>
                <w:bCs/>
                <w:sz w:val="20"/>
                <w:szCs w:val="20"/>
              </w:rPr>
            </w:pPr>
            <w:r>
              <w:rPr>
                <w:rFonts w:ascii="Times New Roman" w:hAnsi="Times New Roman"/>
                <w:bCs/>
                <w:sz w:val="20"/>
                <w:szCs w:val="20"/>
              </w:rPr>
              <w:t>4.88%</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Pr="00AD00D4" w:rsidRDefault="008B64A3" w:rsidP="003B01CA">
            <w:pPr>
              <w:rPr>
                <w:rFonts w:ascii="Times New Roman" w:hAnsi="Times New Roman"/>
                <w:sz w:val="20"/>
                <w:szCs w:val="20"/>
              </w:rPr>
            </w:pPr>
          </w:p>
        </w:tc>
        <w:tc>
          <w:tcPr>
            <w:tcW w:w="1416" w:type="dxa"/>
            <w:gridSpan w:val="3"/>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581489" w:rsidRDefault="008B64A3" w:rsidP="003B01CA">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p>
        </w:tc>
        <w:tc>
          <w:tcPr>
            <w:tcW w:w="1181" w:type="dxa"/>
            <w:gridSpan w:val="2"/>
            <w:tcBorders>
              <w:left w:val="nil"/>
              <w:right w:val="nil"/>
            </w:tcBorders>
            <w:shd w:val="clear" w:color="auto" w:fill="auto"/>
            <w:noWrap/>
            <w:vAlign w:val="bottom"/>
          </w:tcPr>
          <w:p w:rsidR="008B64A3" w:rsidRDefault="008B64A3" w:rsidP="00AC5183">
            <w:pPr>
              <w:ind w:right="-69"/>
              <w:jc w:val="right"/>
              <w:rPr>
                <w:rFonts w:ascii="Times New Roman" w:hAnsi="Times New Roman"/>
                <w:bCs/>
                <w:sz w:val="20"/>
                <w:szCs w:val="20"/>
              </w:rPr>
            </w:pPr>
          </w:p>
        </w:tc>
      </w:tr>
      <w:tr w:rsidR="00140415" w:rsidRPr="009170B8" w:rsidTr="00A66792">
        <w:trPr>
          <w:trHeight w:val="243"/>
        </w:trPr>
        <w:tc>
          <w:tcPr>
            <w:tcW w:w="3239" w:type="dxa"/>
            <w:gridSpan w:val="14"/>
            <w:tcBorders>
              <w:left w:val="nil"/>
              <w:right w:val="nil"/>
            </w:tcBorders>
            <w:shd w:val="clear" w:color="auto" w:fill="auto"/>
            <w:noWrap/>
            <w:vAlign w:val="bottom"/>
          </w:tcPr>
          <w:p w:rsidR="008B64A3" w:rsidRPr="009170B8" w:rsidRDefault="008B64A3" w:rsidP="00590B67">
            <w:pPr>
              <w:rPr>
                <w:rFonts w:ascii="Times New Roman" w:hAnsi="Times New Roman"/>
                <w:sz w:val="20"/>
                <w:szCs w:val="20"/>
              </w:rPr>
            </w:pPr>
            <w:r w:rsidRPr="009170B8">
              <w:rPr>
                <w:rFonts w:ascii="Times New Roman" w:hAnsi="Times New Roman"/>
                <w:b/>
                <w:bCs/>
                <w:sz w:val="20"/>
                <w:szCs w:val="20"/>
              </w:rPr>
              <w:t>Materials:</w:t>
            </w:r>
          </w:p>
        </w:tc>
        <w:tc>
          <w:tcPr>
            <w:tcW w:w="1416" w:type="dxa"/>
            <w:gridSpan w:val="3"/>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p>
        </w:tc>
      </w:tr>
      <w:tr w:rsidR="00140415" w:rsidRPr="009170B8" w:rsidTr="00A66792">
        <w:trPr>
          <w:trHeight w:val="167"/>
        </w:trPr>
        <w:tc>
          <w:tcPr>
            <w:tcW w:w="3239" w:type="dxa"/>
            <w:gridSpan w:val="14"/>
            <w:tcBorders>
              <w:left w:val="nil"/>
              <w:right w:val="nil"/>
            </w:tcBorders>
            <w:shd w:val="clear" w:color="auto" w:fill="auto"/>
            <w:noWrap/>
            <w:vAlign w:val="bottom"/>
          </w:tcPr>
          <w:p w:rsidR="008B64A3" w:rsidRPr="009170B8" w:rsidRDefault="008B64A3" w:rsidP="00590B67">
            <w:pPr>
              <w:rPr>
                <w:rFonts w:ascii="Times New Roman" w:hAnsi="Times New Roman"/>
                <w:sz w:val="20"/>
                <w:szCs w:val="20"/>
              </w:rPr>
            </w:pPr>
            <w:proofErr w:type="spellStart"/>
            <w:r w:rsidRPr="009170B8">
              <w:rPr>
                <w:rFonts w:ascii="Times New Roman" w:hAnsi="Times New Roman"/>
                <w:sz w:val="20"/>
                <w:szCs w:val="20"/>
              </w:rPr>
              <w:t>Chemtrade</w:t>
            </w:r>
            <w:proofErr w:type="spellEnd"/>
            <w:r w:rsidRPr="009170B8">
              <w:rPr>
                <w:rFonts w:ascii="Times New Roman" w:hAnsi="Times New Roman"/>
                <w:sz w:val="20"/>
                <w:szCs w:val="20"/>
              </w:rPr>
              <w:t xml:space="preserve"> Logistics Income Fund</w:t>
            </w:r>
          </w:p>
        </w:tc>
        <w:tc>
          <w:tcPr>
            <w:tcW w:w="1416" w:type="dxa"/>
            <w:gridSpan w:val="3"/>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3</w:t>
            </w:r>
            <w:r w:rsidR="00963D05">
              <w:rPr>
                <w:rFonts w:ascii="Times New Roman" w:hAnsi="Times New Roman"/>
                <w:sz w:val="20"/>
                <w:szCs w:val="20"/>
              </w:rPr>
              <w:t>5</w:t>
            </w:r>
            <w:r>
              <w:rPr>
                <w:rFonts w:ascii="Times New Roman" w:hAnsi="Times New Roman"/>
                <w:sz w:val="20"/>
                <w:szCs w:val="20"/>
              </w:rPr>
              <w:t>0</w:t>
            </w:r>
            <w:r w:rsidRPr="00173446">
              <w:rPr>
                <w:rFonts w:ascii="Times New Roman" w:hAnsi="Times New Roman"/>
                <w:sz w:val="20"/>
                <w:szCs w:val="20"/>
              </w:rPr>
              <w:t>,000</w:t>
            </w:r>
          </w:p>
        </w:tc>
        <w:tc>
          <w:tcPr>
            <w:tcW w:w="2018" w:type="dxa"/>
            <w:gridSpan w:val="2"/>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3,595,318</w:t>
            </w:r>
          </w:p>
        </w:tc>
        <w:tc>
          <w:tcPr>
            <w:tcW w:w="1855" w:type="dxa"/>
            <w:gridSpan w:val="4"/>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2,108,673</w:t>
            </w:r>
          </w:p>
        </w:tc>
        <w:tc>
          <w:tcPr>
            <w:tcW w:w="1250" w:type="dxa"/>
            <w:gridSpan w:val="6"/>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2.06</w:t>
            </w:r>
            <w:r w:rsidRPr="00173446">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bCs/>
                <w:sz w:val="20"/>
                <w:szCs w:val="20"/>
              </w:rPr>
              <w:t>1</w:t>
            </w:r>
            <w:r w:rsidRPr="00173446">
              <w:rPr>
                <w:rFonts w:ascii="Times New Roman" w:hAnsi="Times New Roman"/>
                <w:bCs/>
                <w:sz w:val="20"/>
                <w:szCs w:val="20"/>
              </w:rPr>
              <w:t>.</w:t>
            </w:r>
            <w:r>
              <w:rPr>
                <w:rFonts w:ascii="Times New Roman" w:hAnsi="Times New Roman"/>
                <w:bCs/>
                <w:sz w:val="20"/>
                <w:szCs w:val="20"/>
              </w:rPr>
              <w:t>85</w:t>
            </w:r>
            <w:r w:rsidRPr="00173446">
              <w:rPr>
                <w:rFonts w:ascii="Times New Roman" w:hAnsi="Times New Roman"/>
                <w:bCs/>
                <w:sz w:val="20"/>
                <w:szCs w:val="20"/>
              </w:rPr>
              <w:t>%</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617038">
            <w:pPr>
              <w:rPr>
                <w:rFonts w:ascii="Times New Roman" w:hAnsi="Times New Roman"/>
                <w:b/>
                <w:sz w:val="20"/>
                <w:szCs w:val="20"/>
              </w:rPr>
            </w:pPr>
          </w:p>
        </w:tc>
        <w:tc>
          <w:tcPr>
            <w:tcW w:w="1416" w:type="dxa"/>
            <w:gridSpan w:val="3"/>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9C2F2B">
            <w:pPr>
              <w:jc w:val="right"/>
              <w:rPr>
                <w:rFonts w:ascii="Times New Roman" w:hAnsi="Times New Roman"/>
                <w:sz w:val="20"/>
                <w:szCs w:val="20"/>
              </w:rPr>
            </w:pP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617038">
            <w:pPr>
              <w:rPr>
                <w:rFonts w:ascii="Times New Roman" w:hAnsi="Times New Roman"/>
                <w:b/>
                <w:sz w:val="20"/>
                <w:szCs w:val="20"/>
              </w:rPr>
            </w:pPr>
            <w:r w:rsidRPr="005D2A03">
              <w:rPr>
                <w:rFonts w:ascii="Times New Roman" w:hAnsi="Times New Roman"/>
                <w:b/>
                <w:bCs/>
                <w:sz w:val="20"/>
                <w:szCs w:val="20"/>
              </w:rPr>
              <w:t>Pipeline</w:t>
            </w:r>
            <w:r>
              <w:rPr>
                <w:rFonts w:ascii="Times New Roman" w:hAnsi="Times New Roman"/>
                <w:b/>
                <w:bCs/>
                <w:sz w:val="20"/>
                <w:szCs w:val="20"/>
              </w:rPr>
              <w:t>s</w:t>
            </w:r>
            <w:r w:rsidRPr="005D2A03">
              <w:rPr>
                <w:rFonts w:ascii="Times New Roman" w:hAnsi="Times New Roman"/>
                <w:b/>
                <w:bCs/>
                <w:sz w:val="20"/>
                <w:szCs w:val="20"/>
              </w:rPr>
              <w:t>:</w:t>
            </w:r>
          </w:p>
        </w:tc>
        <w:tc>
          <w:tcPr>
            <w:tcW w:w="1416" w:type="dxa"/>
            <w:gridSpan w:val="3"/>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9C2F2B">
            <w:pPr>
              <w:jc w:val="right"/>
              <w:rPr>
                <w:rFonts w:ascii="Times New Roman" w:hAnsi="Times New Roman"/>
                <w:sz w:val="20"/>
                <w:szCs w:val="20"/>
              </w:rPr>
            </w:pP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4317C4" w:rsidP="00AC5183">
            <w:pPr>
              <w:ind w:right="-69"/>
              <w:rPr>
                <w:rFonts w:ascii="Times New Roman" w:hAnsi="Times New Roman"/>
                <w:b/>
                <w:sz w:val="20"/>
                <w:szCs w:val="20"/>
              </w:rPr>
            </w:pPr>
            <w:r>
              <w:rPr>
                <w:rFonts w:ascii="Times New Roman" w:hAnsi="Times New Roman"/>
                <w:sz w:val="19"/>
                <w:szCs w:val="19"/>
                <w:lang w:eastAsia="en-GB"/>
              </w:rPr>
              <w:t>Enbridge Income Fund Holdings Inc.</w:t>
            </w:r>
          </w:p>
        </w:tc>
        <w:tc>
          <w:tcPr>
            <w:tcW w:w="1416" w:type="dxa"/>
            <w:gridSpan w:val="3"/>
            <w:tcBorders>
              <w:left w:val="nil"/>
              <w:right w:val="nil"/>
            </w:tcBorders>
            <w:shd w:val="clear" w:color="auto" w:fill="auto"/>
            <w:noWrap/>
            <w:vAlign w:val="bottom"/>
          </w:tcPr>
          <w:p w:rsidR="008B64A3" w:rsidRPr="00173446" w:rsidRDefault="00AE4D50" w:rsidP="00590B67">
            <w:pPr>
              <w:jc w:val="right"/>
              <w:rPr>
                <w:rFonts w:ascii="Times New Roman" w:hAnsi="Times New Roman"/>
                <w:sz w:val="20"/>
                <w:szCs w:val="20"/>
              </w:rPr>
            </w:pPr>
            <w:r>
              <w:rPr>
                <w:rFonts w:ascii="Times New Roman" w:hAnsi="Times New Roman"/>
                <w:sz w:val="20"/>
                <w:szCs w:val="20"/>
              </w:rPr>
              <w:t>30</w:t>
            </w:r>
            <w:r w:rsidR="008B64A3">
              <w:rPr>
                <w:rFonts w:ascii="Times New Roman" w:hAnsi="Times New Roman"/>
                <w:sz w:val="20"/>
                <w:szCs w:val="20"/>
              </w:rPr>
              <w:t>0,000</w:t>
            </w:r>
          </w:p>
        </w:tc>
        <w:tc>
          <w:tcPr>
            <w:tcW w:w="2018" w:type="dxa"/>
            <w:gridSpan w:val="2"/>
            <w:tcBorders>
              <w:left w:val="nil"/>
              <w:right w:val="nil"/>
            </w:tcBorders>
            <w:shd w:val="clear" w:color="auto" w:fill="auto"/>
            <w:noWrap/>
            <w:vAlign w:val="bottom"/>
          </w:tcPr>
          <w:p w:rsidR="008B64A3" w:rsidRPr="00173446" w:rsidRDefault="00AE4D50" w:rsidP="00590B67">
            <w:pPr>
              <w:jc w:val="right"/>
              <w:rPr>
                <w:rFonts w:ascii="Times New Roman" w:hAnsi="Times New Roman"/>
                <w:sz w:val="20"/>
                <w:szCs w:val="20"/>
              </w:rPr>
            </w:pPr>
            <w:r>
              <w:rPr>
                <w:rFonts w:ascii="Times New Roman" w:hAnsi="Times New Roman"/>
                <w:sz w:val="20"/>
                <w:szCs w:val="20"/>
              </w:rPr>
              <w:t>7,120,847</w:t>
            </w:r>
          </w:p>
        </w:tc>
        <w:tc>
          <w:tcPr>
            <w:tcW w:w="1855" w:type="dxa"/>
            <w:gridSpan w:val="4"/>
            <w:tcBorders>
              <w:left w:val="nil"/>
              <w:right w:val="nil"/>
            </w:tcBorders>
            <w:shd w:val="clear" w:color="auto" w:fill="auto"/>
            <w:noWrap/>
            <w:vAlign w:val="bottom"/>
          </w:tcPr>
          <w:p w:rsidR="008B64A3" w:rsidRPr="00173446" w:rsidRDefault="00AE4D50" w:rsidP="00590B67">
            <w:pPr>
              <w:jc w:val="right"/>
              <w:rPr>
                <w:rFonts w:ascii="Times New Roman" w:hAnsi="Times New Roman"/>
                <w:sz w:val="20"/>
                <w:szCs w:val="20"/>
              </w:rPr>
            </w:pPr>
            <w:r>
              <w:rPr>
                <w:rFonts w:ascii="Times New Roman" w:hAnsi="Times New Roman"/>
                <w:sz w:val="20"/>
                <w:szCs w:val="20"/>
              </w:rPr>
              <w:t>7,303,896</w:t>
            </w:r>
          </w:p>
        </w:tc>
        <w:tc>
          <w:tcPr>
            <w:tcW w:w="1250" w:type="dxa"/>
            <w:gridSpan w:val="6"/>
            <w:tcBorders>
              <w:left w:val="nil"/>
              <w:right w:val="nil"/>
            </w:tcBorders>
            <w:shd w:val="clear" w:color="auto" w:fill="auto"/>
            <w:noWrap/>
            <w:vAlign w:val="bottom"/>
          </w:tcPr>
          <w:p w:rsidR="008B64A3" w:rsidRPr="00173446" w:rsidRDefault="00AE4D50" w:rsidP="009C2F2B">
            <w:pPr>
              <w:jc w:val="right"/>
              <w:rPr>
                <w:rFonts w:ascii="Times New Roman" w:hAnsi="Times New Roman"/>
                <w:sz w:val="20"/>
                <w:szCs w:val="20"/>
              </w:rPr>
            </w:pPr>
            <w:r>
              <w:rPr>
                <w:rFonts w:ascii="Times New Roman" w:hAnsi="Times New Roman"/>
                <w:sz w:val="20"/>
                <w:szCs w:val="20"/>
              </w:rPr>
              <w:t>7.15</w:t>
            </w:r>
            <w:r w:rsidR="008B64A3">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Pr="00173446" w:rsidRDefault="00AE4D50" w:rsidP="00AC5183">
            <w:pPr>
              <w:ind w:right="-69"/>
              <w:jc w:val="right"/>
              <w:rPr>
                <w:rFonts w:ascii="Times New Roman" w:hAnsi="Times New Roman"/>
                <w:bCs/>
                <w:sz w:val="20"/>
                <w:szCs w:val="20"/>
              </w:rPr>
            </w:pPr>
            <w:r>
              <w:rPr>
                <w:rFonts w:ascii="Times New Roman" w:hAnsi="Times New Roman"/>
                <w:bCs/>
                <w:sz w:val="20"/>
                <w:szCs w:val="20"/>
              </w:rPr>
              <w:t>6.40</w:t>
            </w:r>
            <w:r w:rsidR="008B64A3">
              <w:rPr>
                <w:rFonts w:ascii="Times New Roman" w:hAnsi="Times New Roman"/>
                <w:bCs/>
                <w:sz w:val="20"/>
                <w:szCs w:val="20"/>
              </w:rPr>
              <w:t>%</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617038">
            <w:pPr>
              <w:rPr>
                <w:rFonts w:ascii="Times New Roman" w:hAnsi="Times New Roman"/>
                <w:b/>
                <w:sz w:val="20"/>
                <w:szCs w:val="20"/>
              </w:rPr>
            </w:pPr>
            <w:r>
              <w:rPr>
                <w:rFonts w:ascii="Times New Roman" w:hAnsi="Times New Roman"/>
                <w:sz w:val="20"/>
                <w:szCs w:val="20"/>
              </w:rPr>
              <w:t>Gibson Energy Inc.</w:t>
            </w:r>
          </w:p>
        </w:tc>
        <w:tc>
          <w:tcPr>
            <w:tcW w:w="1416" w:type="dxa"/>
            <w:gridSpan w:val="3"/>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3</w:t>
            </w:r>
            <w:r w:rsidR="00AE4D50">
              <w:rPr>
                <w:rFonts w:ascii="Times New Roman" w:hAnsi="Times New Roman"/>
                <w:sz w:val="20"/>
                <w:szCs w:val="20"/>
              </w:rPr>
              <w:t>00</w:t>
            </w:r>
            <w:r>
              <w:rPr>
                <w:rFonts w:ascii="Times New Roman" w:hAnsi="Times New Roman"/>
                <w:sz w:val="20"/>
                <w:szCs w:val="20"/>
              </w:rPr>
              <w:t>,000</w:t>
            </w:r>
          </w:p>
        </w:tc>
        <w:tc>
          <w:tcPr>
            <w:tcW w:w="2018" w:type="dxa"/>
            <w:gridSpan w:val="2"/>
            <w:tcBorders>
              <w:left w:val="nil"/>
              <w:right w:val="nil"/>
            </w:tcBorders>
            <w:shd w:val="clear" w:color="auto" w:fill="auto"/>
            <w:noWrap/>
            <w:vAlign w:val="bottom"/>
          </w:tcPr>
          <w:p w:rsidR="008B64A3" w:rsidRPr="00173446" w:rsidRDefault="00AE4D50" w:rsidP="00590B67">
            <w:pPr>
              <w:jc w:val="right"/>
              <w:rPr>
                <w:rFonts w:ascii="Times New Roman" w:hAnsi="Times New Roman"/>
                <w:sz w:val="20"/>
                <w:szCs w:val="20"/>
              </w:rPr>
            </w:pPr>
            <w:r>
              <w:rPr>
                <w:rFonts w:ascii="Times New Roman" w:hAnsi="Times New Roman"/>
                <w:sz w:val="20"/>
                <w:szCs w:val="20"/>
              </w:rPr>
              <w:t>2,791,939</w:t>
            </w:r>
          </w:p>
        </w:tc>
        <w:tc>
          <w:tcPr>
            <w:tcW w:w="1855" w:type="dxa"/>
            <w:gridSpan w:val="4"/>
            <w:tcBorders>
              <w:left w:val="nil"/>
              <w:right w:val="nil"/>
            </w:tcBorders>
            <w:shd w:val="clear" w:color="auto" w:fill="auto"/>
            <w:noWrap/>
            <w:vAlign w:val="bottom"/>
          </w:tcPr>
          <w:p w:rsidR="008B64A3" w:rsidRPr="00173446" w:rsidRDefault="00AE4D50" w:rsidP="00590B67">
            <w:pPr>
              <w:jc w:val="right"/>
              <w:rPr>
                <w:rFonts w:ascii="Times New Roman" w:hAnsi="Times New Roman"/>
                <w:sz w:val="20"/>
                <w:szCs w:val="20"/>
              </w:rPr>
            </w:pPr>
            <w:r>
              <w:rPr>
                <w:rFonts w:ascii="Times New Roman" w:hAnsi="Times New Roman"/>
                <w:sz w:val="20"/>
                <w:szCs w:val="20"/>
              </w:rPr>
              <w:t>3,200,952</w:t>
            </w:r>
          </w:p>
        </w:tc>
        <w:tc>
          <w:tcPr>
            <w:tcW w:w="1250" w:type="dxa"/>
            <w:gridSpan w:val="6"/>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3.</w:t>
            </w:r>
            <w:r w:rsidR="00AE4D50">
              <w:rPr>
                <w:rFonts w:ascii="Times New Roman" w:hAnsi="Times New Roman"/>
                <w:sz w:val="20"/>
                <w:szCs w:val="20"/>
              </w:rPr>
              <w:t>13</w:t>
            </w:r>
            <w:r>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bCs/>
                <w:sz w:val="20"/>
                <w:szCs w:val="20"/>
              </w:rPr>
              <w:t>2.</w:t>
            </w:r>
            <w:r w:rsidR="00AE4D50">
              <w:rPr>
                <w:rFonts w:ascii="Times New Roman" w:hAnsi="Times New Roman"/>
                <w:bCs/>
                <w:sz w:val="20"/>
                <w:szCs w:val="20"/>
              </w:rPr>
              <w:t>81</w:t>
            </w:r>
            <w:r>
              <w:rPr>
                <w:rFonts w:ascii="Times New Roman" w:hAnsi="Times New Roman"/>
                <w:bCs/>
                <w:sz w:val="20"/>
                <w:szCs w:val="20"/>
              </w:rPr>
              <w:t>%</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617038">
            <w:pPr>
              <w:rPr>
                <w:rFonts w:ascii="Times New Roman" w:hAnsi="Times New Roman"/>
                <w:b/>
                <w:sz w:val="20"/>
                <w:szCs w:val="20"/>
              </w:rPr>
            </w:pPr>
            <w:proofErr w:type="spellStart"/>
            <w:r>
              <w:rPr>
                <w:rFonts w:ascii="Times New Roman" w:hAnsi="Times New Roman"/>
                <w:sz w:val="20"/>
                <w:szCs w:val="20"/>
              </w:rPr>
              <w:t>Keyera</w:t>
            </w:r>
            <w:proofErr w:type="spellEnd"/>
            <w:r>
              <w:rPr>
                <w:rFonts w:ascii="Times New Roman" w:hAnsi="Times New Roman"/>
                <w:sz w:val="20"/>
                <w:szCs w:val="20"/>
              </w:rPr>
              <w:t xml:space="preserve"> Corp.</w:t>
            </w:r>
          </w:p>
        </w:tc>
        <w:tc>
          <w:tcPr>
            <w:tcW w:w="1416" w:type="dxa"/>
            <w:gridSpan w:val="3"/>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r>
              <w:rPr>
                <w:rFonts w:ascii="Times New Roman" w:hAnsi="Times New Roman"/>
                <w:sz w:val="20"/>
                <w:szCs w:val="20"/>
              </w:rPr>
              <w:t>200</w:t>
            </w:r>
            <w:r w:rsidRPr="00173446">
              <w:rPr>
                <w:rFonts w:ascii="Times New Roman" w:hAnsi="Times New Roman"/>
                <w:sz w:val="20"/>
                <w:szCs w:val="20"/>
              </w:rPr>
              <w:t>,000</w:t>
            </w: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r>
              <w:rPr>
                <w:rFonts w:ascii="Times New Roman" w:hAnsi="Times New Roman"/>
                <w:sz w:val="20"/>
                <w:szCs w:val="20"/>
              </w:rPr>
              <w:t>4,378,174</w:t>
            </w:r>
          </w:p>
        </w:tc>
        <w:tc>
          <w:tcPr>
            <w:tcW w:w="1855" w:type="dxa"/>
            <w:gridSpan w:val="4"/>
            <w:tcBorders>
              <w:left w:val="nil"/>
              <w:right w:val="nil"/>
            </w:tcBorders>
            <w:shd w:val="clear" w:color="auto" w:fill="auto"/>
            <w:noWrap/>
            <w:vAlign w:val="bottom"/>
          </w:tcPr>
          <w:p w:rsidR="008B64A3" w:rsidRPr="00173446" w:rsidRDefault="00AE4D50">
            <w:pPr>
              <w:jc w:val="right"/>
              <w:rPr>
                <w:rFonts w:ascii="Times New Roman" w:hAnsi="Times New Roman"/>
                <w:sz w:val="20"/>
                <w:szCs w:val="20"/>
              </w:rPr>
            </w:pPr>
            <w:r>
              <w:rPr>
                <w:rFonts w:ascii="Times New Roman" w:hAnsi="Times New Roman"/>
                <w:sz w:val="20"/>
                <w:szCs w:val="20"/>
              </w:rPr>
              <w:t>2</w:t>
            </w:r>
            <w:r w:rsidR="004317C4">
              <w:rPr>
                <w:rFonts w:ascii="Times New Roman" w:hAnsi="Times New Roman"/>
                <w:sz w:val="20"/>
                <w:szCs w:val="20"/>
              </w:rPr>
              <w:t>,</w:t>
            </w:r>
            <w:r>
              <w:rPr>
                <w:rFonts w:ascii="Times New Roman" w:hAnsi="Times New Roman"/>
                <w:sz w:val="20"/>
                <w:szCs w:val="20"/>
              </w:rPr>
              <w:t>956,051</w:t>
            </w:r>
          </w:p>
        </w:tc>
        <w:tc>
          <w:tcPr>
            <w:tcW w:w="1250" w:type="dxa"/>
            <w:gridSpan w:val="6"/>
            <w:tcBorders>
              <w:left w:val="nil"/>
              <w:right w:val="nil"/>
            </w:tcBorders>
            <w:shd w:val="clear" w:color="auto" w:fill="auto"/>
            <w:noWrap/>
            <w:vAlign w:val="bottom"/>
          </w:tcPr>
          <w:p w:rsidR="008B64A3" w:rsidRPr="00173446" w:rsidRDefault="00AE4D50" w:rsidP="009C2F2B">
            <w:pPr>
              <w:jc w:val="right"/>
              <w:rPr>
                <w:rFonts w:ascii="Times New Roman" w:hAnsi="Times New Roman"/>
                <w:sz w:val="20"/>
                <w:szCs w:val="20"/>
              </w:rPr>
            </w:pPr>
            <w:r>
              <w:rPr>
                <w:rFonts w:ascii="Times New Roman" w:hAnsi="Times New Roman"/>
                <w:sz w:val="20"/>
                <w:szCs w:val="20"/>
              </w:rPr>
              <w:t>2.89</w:t>
            </w:r>
            <w:r w:rsidR="008B64A3" w:rsidRPr="00173446">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bCs/>
                <w:sz w:val="20"/>
                <w:szCs w:val="20"/>
              </w:rPr>
              <w:t>2.</w:t>
            </w:r>
            <w:r w:rsidR="00AE4D50">
              <w:rPr>
                <w:rFonts w:ascii="Times New Roman" w:hAnsi="Times New Roman"/>
                <w:bCs/>
                <w:sz w:val="20"/>
                <w:szCs w:val="20"/>
              </w:rPr>
              <w:t>59</w:t>
            </w:r>
            <w:r w:rsidRPr="00173446">
              <w:rPr>
                <w:rFonts w:ascii="Times New Roman" w:hAnsi="Times New Roman"/>
                <w:bCs/>
                <w:sz w:val="20"/>
                <w:szCs w:val="20"/>
              </w:rPr>
              <w:t>%</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617038">
            <w:pPr>
              <w:rPr>
                <w:rFonts w:ascii="Times New Roman" w:hAnsi="Times New Roman"/>
                <w:b/>
                <w:sz w:val="20"/>
                <w:szCs w:val="20"/>
              </w:rPr>
            </w:pPr>
            <w:r>
              <w:rPr>
                <w:rFonts w:ascii="Times New Roman" w:hAnsi="Times New Roman"/>
                <w:sz w:val="20"/>
                <w:szCs w:val="20"/>
              </w:rPr>
              <w:t>Pembina Pipeline Corporation</w:t>
            </w:r>
          </w:p>
        </w:tc>
        <w:tc>
          <w:tcPr>
            <w:tcW w:w="1416" w:type="dxa"/>
            <w:gridSpan w:val="3"/>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r>
              <w:rPr>
                <w:rFonts w:ascii="Times New Roman" w:hAnsi="Times New Roman"/>
                <w:sz w:val="20"/>
                <w:szCs w:val="20"/>
              </w:rPr>
              <w:t>180,000</w:t>
            </w: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r>
              <w:rPr>
                <w:rFonts w:ascii="Times New Roman" w:hAnsi="Times New Roman"/>
                <w:sz w:val="20"/>
                <w:szCs w:val="20"/>
              </w:rPr>
              <w:t>4,044,863</w:t>
            </w:r>
          </w:p>
        </w:tc>
        <w:tc>
          <w:tcPr>
            <w:tcW w:w="1855" w:type="dxa"/>
            <w:gridSpan w:val="4"/>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r>
              <w:rPr>
                <w:rFonts w:ascii="Times New Roman" w:hAnsi="Times New Roman"/>
                <w:sz w:val="20"/>
                <w:szCs w:val="20"/>
              </w:rPr>
              <w:t>4,</w:t>
            </w:r>
            <w:r w:rsidR="00AE4D50">
              <w:rPr>
                <w:rFonts w:ascii="Times New Roman" w:hAnsi="Times New Roman"/>
                <w:sz w:val="20"/>
                <w:szCs w:val="20"/>
              </w:rPr>
              <w:t>191</w:t>
            </w:r>
            <w:r>
              <w:rPr>
                <w:rFonts w:ascii="Times New Roman" w:hAnsi="Times New Roman"/>
                <w:sz w:val="20"/>
                <w:szCs w:val="20"/>
              </w:rPr>
              <w:t>,</w:t>
            </w:r>
            <w:r w:rsidR="00AE4D50">
              <w:rPr>
                <w:rFonts w:ascii="Times New Roman" w:hAnsi="Times New Roman"/>
                <w:sz w:val="20"/>
                <w:szCs w:val="20"/>
              </w:rPr>
              <w:t>936</w:t>
            </w:r>
          </w:p>
        </w:tc>
        <w:tc>
          <w:tcPr>
            <w:tcW w:w="1250" w:type="dxa"/>
            <w:gridSpan w:val="6"/>
            <w:tcBorders>
              <w:left w:val="nil"/>
              <w:right w:val="nil"/>
            </w:tcBorders>
            <w:shd w:val="clear" w:color="auto" w:fill="auto"/>
            <w:noWrap/>
            <w:vAlign w:val="bottom"/>
          </w:tcPr>
          <w:p w:rsidR="008B64A3" w:rsidRPr="00173446" w:rsidRDefault="00AE4D50" w:rsidP="009C2F2B">
            <w:pPr>
              <w:jc w:val="right"/>
              <w:rPr>
                <w:rFonts w:ascii="Times New Roman" w:hAnsi="Times New Roman"/>
                <w:sz w:val="20"/>
                <w:szCs w:val="20"/>
              </w:rPr>
            </w:pPr>
            <w:r>
              <w:rPr>
                <w:rFonts w:ascii="Times New Roman" w:hAnsi="Times New Roman"/>
                <w:sz w:val="20"/>
                <w:szCs w:val="20"/>
              </w:rPr>
              <w:t>4.10</w:t>
            </w:r>
            <w:r w:rsidR="008B64A3">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Pr="00173446" w:rsidRDefault="008B64A3" w:rsidP="00AC5183">
            <w:pPr>
              <w:ind w:right="-69"/>
              <w:jc w:val="right"/>
              <w:rPr>
                <w:rFonts w:ascii="Times New Roman" w:hAnsi="Times New Roman"/>
                <w:bCs/>
                <w:sz w:val="20"/>
                <w:szCs w:val="20"/>
              </w:rPr>
            </w:pPr>
            <w:r>
              <w:rPr>
                <w:rFonts w:ascii="Times New Roman" w:hAnsi="Times New Roman"/>
                <w:bCs/>
                <w:sz w:val="20"/>
                <w:szCs w:val="20"/>
              </w:rPr>
              <w:t>3.</w:t>
            </w:r>
            <w:r w:rsidR="00AE4D50">
              <w:rPr>
                <w:rFonts w:ascii="Times New Roman" w:hAnsi="Times New Roman"/>
                <w:bCs/>
                <w:sz w:val="20"/>
                <w:szCs w:val="20"/>
              </w:rPr>
              <w:t>67</w:t>
            </w:r>
            <w:r>
              <w:rPr>
                <w:rFonts w:ascii="Times New Roman" w:hAnsi="Times New Roman"/>
                <w:bCs/>
                <w:sz w:val="20"/>
                <w:szCs w:val="20"/>
              </w:rPr>
              <w:t>%</w:t>
            </w:r>
          </w:p>
        </w:tc>
      </w:tr>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617038">
            <w:pPr>
              <w:rPr>
                <w:rFonts w:ascii="Times New Roman" w:hAnsi="Times New Roman"/>
                <w:b/>
                <w:sz w:val="20"/>
                <w:szCs w:val="20"/>
              </w:rPr>
            </w:pPr>
            <w:r>
              <w:rPr>
                <w:rFonts w:ascii="Times New Roman" w:hAnsi="Times New Roman"/>
                <w:sz w:val="20"/>
                <w:szCs w:val="20"/>
              </w:rPr>
              <w:t>TransCanada Corporation</w:t>
            </w:r>
          </w:p>
        </w:tc>
        <w:tc>
          <w:tcPr>
            <w:tcW w:w="1416" w:type="dxa"/>
            <w:gridSpan w:val="3"/>
            <w:tcBorders>
              <w:left w:val="nil"/>
              <w:right w:val="nil"/>
            </w:tcBorders>
            <w:shd w:val="clear" w:color="auto" w:fill="auto"/>
            <w:noWrap/>
            <w:vAlign w:val="bottom"/>
          </w:tcPr>
          <w:p w:rsidR="008B64A3" w:rsidRPr="00173446" w:rsidRDefault="00AE4D50" w:rsidP="00590B67">
            <w:pPr>
              <w:jc w:val="right"/>
              <w:rPr>
                <w:rFonts w:ascii="Times New Roman" w:hAnsi="Times New Roman"/>
                <w:sz w:val="20"/>
                <w:szCs w:val="20"/>
              </w:rPr>
            </w:pPr>
            <w:r>
              <w:rPr>
                <w:rFonts w:ascii="Times New Roman" w:hAnsi="Times New Roman"/>
                <w:sz w:val="20"/>
                <w:szCs w:val="20"/>
              </w:rPr>
              <w:t>9</w:t>
            </w:r>
            <w:r w:rsidR="008B64A3">
              <w:rPr>
                <w:rFonts w:ascii="Times New Roman" w:hAnsi="Times New Roman"/>
                <w:sz w:val="20"/>
                <w:szCs w:val="20"/>
              </w:rPr>
              <w:t>0,000</w:t>
            </w:r>
          </w:p>
        </w:tc>
        <w:tc>
          <w:tcPr>
            <w:tcW w:w="2018" w:type="dxa"/>
            <w:gridSpan w:val="2"/>
            <w:tcBorders>
              <w:left w:val="nil"/>
              <w:right w:val="nil"/>
            </w:tcBorders>
            <w:shd w:val="clear" w:color="auto" w:fill="auto"/>
            <w:noWrap/>
            <w:vAlign w:val="bottom"/>
          </w:tcPr>
          <w:p w:rsidR="008B64A3" w:rsidRPr="00173446" w:rsidRDefault="00AE4D50" w:rsidP="00590B67">
            <w:pPr>
              <w:jc w:val="right"/>
              <w:rPr>
                <w:rFonts w:ascii="Times New Roman" w:hAnsi="Times New Roman"/>
                <w:sz w:val="20"/>
                <w:szCs w:val="20"/>
              </w:rPr>
            </w:pPr>
            <w:r>
              <w:rPr>
                <w:rFonts w:ascii="Times New Roman" w:hAnsi="Times New Roman"/>
                <w:sz w:val="20"/>
                <w:szCs w:val="20"/>
              </w:rPr>
              <w:t>2,831,411</w:t>
            </w:r>
          </w:p>
        </w:tc>
        <w:tc>
          <w:tcPr>
            <w:tcW w:w="1855" w:type="dxa"/>
            <w:gridSpan w:val="4"/>
            <w:tcBorders>
              <w:left w:val="nil"/>
              <w:right w:val="nil"/>
            </w:tcBorders>
            <w:shd w:val="clear" w:color="auto" w:fill="auto"/>
            <w:noWrap/>
            <w:vAlign w:val="bottom"/>
          </w:tcPr>
          <w:p w:rsidR="008B64A3" w:rsidRPr="00173446" w:rsidRDefault="00AE4D50" w:rsidP="00590B67">
            <w:pPr>
              <w:jc w:val="right"/>
              <w:rPr>
                <w:rFonts w:ascii="Times New Roman" w:hAnsi="Times New Roman"/>
                <w:sz w:val="20"/>
                <w:szCs w:val="20"/>
              </w:rPr>
            </w:pPr>
            <w:r>
              <w:rPr>
                <w:rFonts w:ascii="Times New Roman" w:hAnsi="Times New Roman"/>
                <w:sz w:val="20"/>
                <w:szCs w:val="20"/>
              </w:rPr>
              <w:t>2,517,645</w:t>
            </w:r>
          </w:p>
        </w:tc>
        <w:tc>
          <w:tcPr>
            <w:tcW w:w="1250" w:type="dxa"/>
            <w:gridSpan w:val="6"/>
            <w:tcBorders>
              <w:left w:val="nil"/>
              <w:right w:val="nil"/>
            </w:tcBorders>
            <w:shd w:val="clear" w:color="auto" w:fill="auto"/>
            <w:noWrap/>
            <w:vAlign w:val="bottom"/>
          </w:tcPr>
          <w:p w:rsidR="008B64A3" w:rsidRPr="00173446" w:rsidRDefault="00AE4D50" w:rsidP="009C2F2B">
            <w:pPr>
              <w:jc w:val="right"/>
              <w:rPr>
                <w:rFonts w:ascii="Times New Roman" w:hAnsi="Times New Roman"/>
                <w:sz w:val="20"/>
                <w:szCs w:val="20"/>
              </w:rPr>
            </w:pPr>
            <w:r>
              <w:rPr>
                <w:rFonts w:ascii="Times New Roman" w:hAnsi="Times New Roman"/>
                <w:sz w:val="20"/>
                <w:szCs w:val="20"/>
              </w:rPr>
              <w:t>2.46</w:t>
            </w:r>
            <w:r w:rsidR="008B64A3">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Pr="00173446" w:rsidRDefault="00AE4D50" w:rsidP="00AC5183">
            <w:pPr>
              <w:ind w:right="-69"/>
              <w:jc w:val="right"/>
              <w:rPr>
                <w:rFonts w:ascii="Times New Roman" w:hAnsi="Times New Roman"/>
                <w:bCs/>
                <w:sz w:val="20"/>
                <w:szCs w:val="20"/>
              </w:rPr>
            </w:pPr>
            <w:r>
              <w:rPr>
                <w:rFonts w:ascii="Times New Roman" w:hAnsi="Times New Roman"/>
                <w:bCs/>
                <w:sz w:val="20"/>
                <w:szCs w:val="20"/>
              </w:rPr>
              <w:t>2.21</w:t>
            </w:r>
            <w:r w:rsidR="008B64A3">
              <w:rPr>
                <w:rFonts w:ascii="Times New Roman" w:hAnsi="Times New Roman"/>
                <w:bCs/>
                <w:sz w:val="20"/>
                <w:szCs w:val="20"/>
              </w:rPr>
              <w:t>%</w:t>
            </w:r>
          </w:p>
        </w:tc>
      </w:tr>
      <w:bookmarkEnd w:id="62"/>
      <w:tr w:rsidR="00140415" w:rsidRPr="009170B8" w:rsidTr="00A66792">
        <w:trPr>
          <w:trHeight w:val="227"/>
        </w:trPr>
        <w:tc>
          <w:tcPr>
            <w:tcW w:w="3239" w:type="dxa"/>
            <w:gridSpan w:val="14"/>
            <w:tcBorders>
              <w:left w:val="nil"/>
              <w:right w:val="nil"/>
            </w:tcBorders>
            <w:shd w:val="clear" w:color="auto" w:fill="auto"/>
            <w:noWrap/>
            <w:vAlign w:val="bottom"/>
          </w:tcPr>
          <w:p w:rsidR="008B64A3" w:rsidRDefault="008B64A3" w:rsidP="00617038">
            <w:pPr>
              <w:rPr>
                <w:rFonts w:ascii="Times New Roman" w:hAnsi="Times New Roman"/>
                <w:b/>
                <w:sz w:val="20"/>
                <w:szCs w:val="20"/>
              </w:rPr>
            </w:pPr>
          </w:p>
        </w:tc>
        <w:tc>
          <w:tcPr>
            <w:tcW w:w="1416" w:type="dxa"/>
            <w:gridSpan w:val="3"/>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9C2F2B">
            <w:pPr>
              <w:jc w:val="right"/>
              <w:rPr>
                <w:rFonts w:ascii="Times New Roman" w:hAnsi="Times New Roman"/>
                <w:sz w:val="20"/>
                <w:szCs w:val="20"/>
              </w:rPr>
            </w:pPr>
          </w:p>
        </w:tc>
        <w:tc>
          <w:tcPr>
            <w:tcW w:w="1181" w:type="dxa"/>
            <w:gridSpan w:val="2"/>
            <w:tcBorders>
              <w:left w:val="nil"/>
              <w:right w:val="nil"/>
            </w:tcBorders>
            <w:shd w:val="clear" w:color="auto" w:fill="auto"/>
            <w:noWrap/>
          </w:tcPr>
          <w:p w:rsidR="008B64A3" w:rsidRPr="00173446" w:rsidRDefault="008B64A3" w:rsidP="00AC5183">
            <w:pPr>
              <w:ind w:right="-144"/>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B07993" w:rsidRDefault="00B07993" w:rsidP="00617038">
            <w:pPr>
              <w:rPr>
                <w:rFonts w:ascii="Times New Roman" w:hAnsi="Times New Roman"/>
                <w:b/>
                <w:sz w:val="20"/>
                <w:szCs w:val="20"/>
              </w:rPr>
            </w:pPr>
          </w:p>
        </w:tc>
        <w:tc>
          <w:tcPr>
            <w:tcW w:w="1416" w:type="dxa"/>
            <w:gridSpan w:val="3"/>
            <w:tcBorders>
              <w:left w:val="nil"/>
              <w:right w:val="nil"/>
            </w:tcBorders>
            <w:shd w:val="clear" w:color="auto" w:fill="auto"/>
            <w:noWrap/>
            <w:vAlign w:val="bottom"/>
          </w:tcPr>
          <w:p w:rsidR="00B07993" w:rsidRPr="00173446" w:rsidRDefault="00B0799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B07993" w:rsidRPr="00173446" w:rsidRDefault="00B0799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B07993" w:rsidRPr="00173446" w:rsidRDefault="00B0799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B07993" w:rsidRPr="00173446" w:rsidRDefault="00B07993" w:rsidP="009C2F2B">
            <w:pPr>
              <w:jc w:val="right"/>
              <w:rPr>
                <w:rFonts w:ascii="Times New Roman" w:hAnsi="Times New Roman"/>
                <w:sz w:val="20"/>
                <w:szCs w:val="20"/>
              </w:rPr>
            </w:pPr>
          </w:p>
        </w:tc>
        <w:tc>
          <w:tcPr>
            <w:tcW w:w="1181" w:type="dxa"/>
            <w:gridSpan w:val="2"/>
            <w:tcBorders>
              <w:left w:val="nil"/>
              <w:right w:val="nil"/>
            </w:tcBorders>
            <w:shd w:val="clear" w:color="auto" w:fill="auto"/>
            <w:noWrap/>
          </w:tcPr>
          <w:p w:rsidR="00B07993" w:rsidRPr="00173446" w:rsidRDefault="00B07993" w:rsidP="00AC5183">
            <w:pPr>
              <w:ind w:right="-144"/>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374009" w:rsidRDefault="00374009" w:rsidP="00617038">
            <w:pPr>
              <w:rPr>
                <w:rFonts w:ascii="Times New Roman" w:hAnsi="Times New Roman"/>
                <w:b/>
                <w:sz w:val="20"/>
                <w:szCs w:val="20"/>
              </w:rPr>
            </w:pPr>
          </w:p>
        </w:tc>
        <w:tc>
          <w:tcPr>
            <w:tcW w:w="1416" w:type="dxa"/>
            <w:gridSpan w:val="3"/>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374009" w:rsidRPr="00173446" w:rsidRDefault="00374009" w:rsidP="009C2F2B">
            <w:pPr>
              <w:jc w:val="right"/>
              <w:rPr>
                <w:rFonts w:ascii="Times New Roman" w:hAnsi="Times New Roman"/>
                <w:sz w:val="20"/>
                <w:szCs w:val="20"/>
              </w:rPr>
            </w:pPr>
          </w:p>
        </w:tc>
        <w:tc>
          <w:tcPr>
            <w:tcW w:w="1181" w:type="dxa"/>
            <w:gridSpan w:val="2"/>
            <w:tcBorders>
              <w:left w:val="nil"/>
              <w:right w:val="nil"/>
            </w:tcBorders>
            <w:shd w:val="clear" w:color="auto" w:fill="auto"/>
            <w:noWrap/>
          </w:tcPr>
          <w:p w:rsidR="00374009" w:rsidRDefault="00374009" w:rsidP="00AC5183">
            <w:pPr>
              <w:ind w:right="-144"/>
              <w:jc w:val="right"/>
              <w:rPr>
                <w:rFonts w:ascii="Times New Roman" w:hAnsi="Times New Roman"/>
                <w:bCs/>
                <w:sz w:val="20"/>
                <w:szCs w:val="20"/>
              </w:rPr>
            </w:pPr>
          </w:p>
          <w:p w:rsidR="000E4B08" w:rsidRPr="00173446" w:rsidRDefault="000E4B08" w:rsidP="00AC5183">
            <w:pPr>
              <w:ind w:right="-144"/>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374009" w:rsidRDefault="00374009" w:rsidP="00617038">
            <w:pPr>
              <w:rPr>
                <w:rFonts w:ascii="Times New Roman" w:hAnsi="Times New Roman"/>
                <w:b/>
                <w:sz w:val="20"/>
                <w:szCs w:val="20"/>
              </w:rPr>
            </w:pPr>
          </w:p>
        </w:tc>
        <w:tc>
          <w:tcPr>
            <w:tcW w:w="1416" w:type="dxa"/>
            <w:gridSpan w:val="3"/>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374009" w:rsidRPr="00173446" w:rsidRDefault="00374009" w:rsidP="009C2F2B">
            <w:pPr>
              <w:jc w:val="right"/>
              <w:rPr>
                <w:rFonts w:ascii="Times New Roman" w:hAnsi="Times New Roman"/>
                <w:sz w:val="20"/>
                <w:szCs w:val="20"/>
              </w:rPr>
            </w:pPr>
          </w:p>
        </w:tc>
        <w:tc>
          <w:tcPr>
            <w:tcW w:w="1181" w:type="dxa"/>
            <w:gridSpan w:val="2"/>
            <w:tcBorders>
              <w:left w:val="nil"/>
              <w:right w:val="nil"/>
            </w:tcBorders>
            <w:shd w:val="clear" w:color="auto" w:fill="auto"/>
            <w:noWrap/>
          </w:tcPr>
          <w:p w:rsidR="00374009" w:rsidRPr="00173446" w:rsidRDefault="00374009" w:rsidP="00AC5183">
            <w:pPr>
              <w:ind w:right="-144"/>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374009" w:rsidRDefault="00374009" w:rsidP="00617038">
            <w:pPr>
              <w:rPr>
                <w:rFonts w:ascii="Times New Roman" w:hAnsi="Times New Roman"/>
                <w:b/>
                <w:sz w:val="20"/>
                <w:szCs w:val="20"/>
              </w:rPr>
            </w:pPr>
          </w:p>
        </w:tc>
        <w:tc>
          <w:tcPr>
            <w:tcW w:w="1416" w:type="dxa"/>
            <w:gridSpan w:val="3"/>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374009" w:rsidRPr="00173446" w:rsidRDefault="00374009"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374009" w:rsidRPr="00173446" w:rsidRDefault="00374009" w:rsidP="009C2F2B">
            <w:pPr>
              <w:jc w:val="right"/>
              <w:rPr>
                <w:rFonts w:ascii="Times New Roman" w:hAnsi="Times New Roman"/>
                <w:sz w:val="20"/>
                <w:szCs w:val="20"/>
              </w:rPr>
            </w:pPr>
          </w:p>
        </w:tc>
        <w:tc>
          <w:tcPr>
            <w:tcW w:w="1181" w:type="dxa"/>
            <w:gridSpan w:val="2"/>
            <w:tcBorders>
              <w:left w:val="nil"/>
              <w:right w:val="nil"/>
            </w:tcBorders>
            <w:shd w:val="clear" w:color="auto" w:fill="auto"/>
            <w:noWrap/>
          </w:tcPr>
          <w:p w:rsidR="00374009" w:rsidRPr="00173446" w:rsidRDefault="00374009" w:rsidP="00AC5183">
            <w:pPr>
              <w:ind w:right="-144"/>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B07993" w:rsidRPr="00AC5183" w:rsidRDefault="00B07993" w:rsidP="00617038">
            <w:pPr>
              <w:rPr>
                <w:rFonts w:ascii="Times New Roman" w:hAnsi="Times New Roman"/>
                <w:sz w:val="20"/>
                <w:szCs w:val="20"/>
              </w:rPr>
            </w:pPr>
          </w:p>
        </w:tc>
        <w:tc>
          <w:tcPr>
            <w:tcW w:w="1416" w:type="dxa"/>
            <w:gridSpan w:val="3"/>
            <w:tcBorders>
              <w:left w:val="nil"/>
              <w:right w:val="nil"/>
            </w:tcBorders>
            <w:shd w:val="clear" w:color="auto" w:fill="auto"/>
            <w:noWrap/>
            <w:vAlign w:val="bottom"/>
          </w:tcPr>
          <w:p w:rsidR="00B07993" w:rsidRPr="000E4B08" w:rsidRDefault="00B0799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B07993" w:rsidRPr="000E4B08" w:rsidRDefault="00B0799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B07993" w:rsidRPr="000E4B08" w:rsidRDefault="00B0799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B07993" w:rsidRPr="000E4B08" w:rsidRDefault="00B07993" w:rsidP="009C2F2B">
            <w:pPr>
              <w:jc w:val="right"/>
              <w:rPr>
                <w:rFonts w:ascii="Times New Roman" w:hAnsi="Times New Roman"/>
                <w:sz w:val="20"/>
                <w:szCs w:val="20"/>
              </w:rPr>
            </w:pPr>
          </w:p>
        </w:tc>
        <w:tc>
          <w:tcPr>
            <w:tcW w:w="1181" w:type="dxa"/>
            <w:gridSpan w:val="2"/>
            <w:tcBorders>
              <w:left w:val="nil"/>
              <w:right w:val="nil"/>
            </w:tcBorders>
            <w:shd w:val="clear" w:color="auto" w:fill="auto"/>
            <w:noWrap/>
          </w:tcPr>
          <w:p w:rsidR="00B07993" w:rsidRPr="000E4B08" w:rsidRDefault="00B07993" w:rsidP="00AC5183">
            <w:pPr>
              <w:ind w:right="-144"/>
              <w:jc w:val="right"/>
              <w:rPr>
                <w:rFonts w:ascii="Times New Roman" w:hAnsi="Times New Roman"/>
                <w:bCs/>
                <w:sz w:val="20"/>
                <w:szCs w:val="20"/>
              </w:rPr>
            </w:pPr>
          </w:p>
        </w:tc>
      </w:tr>
      <w:tr w:rsidR="00140415" w:rsidRPr="009170B8" w:rsidTr="00A66792">
        <w:trPr>
          <w:trHeight w:val="227"/>
        </w:trPr>
        <w:tc>
          <w:tcPr>
            <w:tcW w:w="3239" w:type="dxa"/>
            <w:gridSpan w:val="14"/>
            <w:tcBorders>
              <w:left w:val="nil"/>
              <w:right w:val="nil"/>
            </w:tcBorders>
            <w:shd w:val="clear" w:color="auto" w:fill="auto"/>
            <w:noWrap/>
            <w:vAlign w:val="bottom"/>
          </w:tcPr>
          <w:p w:rsidR="004317C4" w:rsidRPr="00AC5183" w:rsidRDefault="004317C4" w:rsidP="00617038">
            <w:pPr>
              <w:rPr>
                <w:rFonts w:ascii="Times New Roman" w:hAnsi="Times New Roman"/>
                <w:sz w:val="20"/>
                <w:szCs w:val="20"/>
              </w:rPr>
            </w:pPr>
          </w:p>
        </w:tc>
        <w:tc>
          <w:tcPr>
            <w:tcW w:w="1416" w:type="dxa"/>
            <w:gridSpan w:val="3"/>
            <w:tcBorders>
              <w:left w:val="nil"/>
              <w:right w:val="nil"/>
            </w:tcBorders>
            <w:shd w:val="clear" w:color="auto" w:fill="auto"/>
            <w:noWrap/>
            <w:vAlign w:val="bottom"/>
          </w:tcPr>
          <w:p w:rsidR="004317C4" w:rsidRPr="000E4B08" w:rsidRDefault="004317C4"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4317C4" w:rsidRPr="000E4B08" w:rsidRDefault="004317C4"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4317C4" w:rsidRPr="000E4B08" w:rsidRDefault="004317C4"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4317C4" w:rsidRPr="000E4B08" w:rsidRDefault="004317C4" w:rsidP="009C2F2B">
            <w:pPr>
              <w:jc w:val="right"/>
              <w:rPr>
                <w:rFonts w:ascii="Times New Roman" w:hAnsi="Times New Roman"/>
                <w:sz w:val="20"/>
                <w:szCs w:val="20"/>
              </w:rPr>
            </w:pPr>
          </w:p>
        </w:tc>
        <w:tc>
          <w:tcPr>
            <w:tcW w:w="1181" w:type="dxa"/>
            <w:gridSpan w:val="2"/>
            <w:tcBorders>
              <w:left w:val="nil"/>
              <w:right w:val="nil"/>
            </w:tcBorders>
            <w:shd w:val="clear" w:color="auto" w:fill="auto"/>
            <w:noWrap/>
          </w:tcPr>
          <w:p w:rsidR="004317C4" w:rsidRPr="000E4B08" w:rsidRDefault="004317C4" w:rsidP="00AC5183">
            <w:pPr>
              <w:ind w:right="-144"/>
              <w:jc w:val="right"/>
              <w:rPr>
                <w:rFonts w:ascii="Times New Roman" w:hAnsi="Times New Roman"/>
                <w:bCs/>
                <w:sz w:val="20"/>
                <w:szCs w:val="20"/>
              </w:rPr>
            </w:pPr>
          </w:p>
        </w:tc>
      </w:tr>
      <w:tr w:rsidR="008B64A3" w:rsidRPr="009170B8" w:rsidTr="00E54387">
        <w:trPr>
          <w:trHeight w:val="227"/>
        </w:trPr>
        <w:tc>
          <w:tcPr>
            <w:tcW w:w="10959" w:type="dxa"/>
            <w:gridSpan w:val="31"/>
            <w:tcBorders>
              <w:left w:val="nil"/>
              <w:right w:val="nil"/>
            </w:tcBorders>
            <w:shd w:val="clear" w:color="auto" w:fill="auto"/>
            <w:noWrap/>
            <w:vAlign w:val="bottom"/>
          </w:tcPr>
          <w:p w:rsidR="008B64A3" w:rsidRDefault="008B64A3" w:rsidP="005D2A03">
            <w:pPr>
              <w:pStyle w:val="Heading2"/>
              <w:tabs>
                <w:tab w:val="right" w:pos="8222"/>
              </w:tabs>
              <w:rPr>
                <w:rFonts w:ascii="Times New Roman" w:hAnsi="Times New Roman"/>
              </w:rPr>
            </w:pPr>
            <w:r w:rsidRPr="009170B8">
              <w:rPr>
                <w:rFonts w:ascii="Times New Roman" w:hAnsi="Times New Roman"/>
              </w:rPr>
              <w:t>Notes to the Financial Statements</w:t>
            </w:r>
            <w:r>
              <w:rPr>
                <w:rFonts w:ascii="Times New Roman" w:hAnsi="Times New Roman"/>
              </w:rPr>
              <w:t xml:space="preserve"> of the Fund</w:t>
            </w:r>
            <w:r w:rsidRPr="009170B8">
              <w:rPr>
                <w:rFonts w:ascii="Times New Roman" w:hAnsi="Times New Roman"/>
              </w:rPr>
              <w:t xml:space="preserve"> (continued)</w:t>
            </w:r>
          </w:p>
          <w:p w:rsidR="008B64A3" w:rsidRDefault="008B64A3" w:rsidP="005D2A03">
            <w:pPr>
              <w:pStyle w:val="Heading2"/>
              <w:tabs>
                <w:tab w:val="right" w:pos="8222"/>
              </w:tabs>
              <w:rPr>
                <w:rFonts w:ascii="Times New Roman" w:hAnsi="Times New Roman"/>
              </w:rPr>
            </w:pPr>
            <w:r w:rsidRPr="009170B8">
              <w:rPr>
                <w:rFonts w:ascii="Times New Roman" w:hAnsi="Times New Roman"/>
              </w:rPr>
              <w:t xml:space="preserve">For the year ended 31 December </w:t>
            </w:r>
            <w:r>
              <w:rPr>
                <w:rFonts w:ascii="Times New Roman" w:hAnsi="Times New Roman"/>
              </w:rPr>
              <w:t>2018</w:t>
            </w:r>
          </w:p>
          <w:p w:rsidR="008B64A3" w:rsidRPr="007E6005" w:rsidRDefault="008B64A3" w:rsidP="005D2A03">
            <w:pPr>
              <w:pStyle w:val="Heading2"/>
              <w:tabs>
                <w:tab w:val="right" w:pos="8222"/>
              </w:tabs>
              <w:rPr>
                <w:rFonts w:ascii="Times New Roman" w:hAnsi="Times New Roman"/>
              </w:rPr>
            </w:pPr>
          </w:p>
          <w:p w:rsidR="008B64A3" w:rsidRPr="009170B8" w:rsidRDefault="008B64A3" w:rsidP="00CF1C33">
            <w:pPr>
              <w:pStyle w:val="BodyText"/>
              <w:tabs>
                <w:tab w:val="clear" w:pos="3402"/>
                <w:tab w:val="clear" w:pos="8222"/>
              </w:tabs>
              <w:rPr>
                <w:rFonts w:ascii="Times New Roman" w:hAnsi="Times New Roman"/>
                <w:b/>
                <w:bCs/>
              </w:rPr>
            </w:pPr>
            <w:r>
              <w:rPr>
                <w:rFonts w:ascii="Times New Roman" w:hAnsi="Times New Roman"/>
                <w:b/>
              </w:rPr>
              <w:t>20</w:t>
            </w:r>
            <w:r w:rsidRPr="009170B8">
              <w:rPr>
                <w:rFonts w:ascii="Times New Roman" w:hAnsi="Times New Roman"/>
                <w:b/>
              </w:rPr>
              <w:t>.</w:t>
            </w:r>
            <w:r w:rsidRPr="009170B8">
              <w:rPr>
                <w:rFonts w:ascii="Times New Roman" w:hAnsi="Times New Roman"/>
                <w:b/>
              </w:rPr>
              <w:tab/>
            </w:r>
            <w:r w:rsidRPr="00A65633">
              <w:rPr>
                <w:rFonts w:ascii="Times New Roman" w:hAnsi="Times New Roman"/>
                <w:b/>
              </w:rPr>
              <w:t>Schedule of Investments – Securities (at fair value through profit or loss)</w:t>
            </w:r>
            <w:r w:rsidRPr="009170B8">
              <w:rPr>
                <w:rFonts w:ascii="Times New Roman" w:hAnsi="Times New Roman"/>
                <w:b/>
              </w:rPr>
              <w:t xml:space="preserve"> </w:t>
            </w:r>
            <w:r>
              <w:rPr>
                <w:rFonts w:ascii="Times New Roman" w:hAnsi="Times New Roman"/>
                <w:b/>
              </w:rPr>
              <w:t>(continued)</w:t>
            </w:r>
          </w:p>
          <w:p w:rsidR="008B64A3" w:rsidRDefault="008B64A3" w:rsidP="005D2A03">
            <w:pPr>
              <w:pStyle w:val="Heading2"/>
              <w:tabs>
                <w:tab w:val="right" w:pos="8222"/>
              </w:tabs>
              <w:rPr>
                <w:rFonts w:ascii="Times New Roman" w:hAnsi="Times New Roman"/>
              </w:rPr>
            </w:pPr>
            <w:r w:rsidRPr="00E5676A">
              <w:rPr>
                <w:rFonts w:ascii="Times New Roman" w:hAnsi="Times New Roman"/>
              </w:rPr>
              <w:t>As at 31 December 201</w:t>
            </w:r>
            <w:r>
              <w:rPr>
                <w:rFonts w:ascii="Times New Roman" w:hAnsi="Times New Roman"/>
              </w:rPr>
              <w:t>8</w:t>
            </w:r>
          </w:p>
          <w:p w:rsidR="008B64A3" w:rsidRPr="00173446" w:rsidRDefault="008B64A3" w:rsidP="005D2A03">
            <w:pPr>
              <w:rPr>
                <w:rFonts w:ascii="Times New Roman" w:hAnsi="Times New Roman"/>
                <w:bCs/>
                <w:sz w:val="20"/>
                <w:szCs w:val="20"/>
              </w:rPr>
            </w:pPr>
          </w:p>
        </w:tc>
      </w:tr>
      <w:tr w:rsidR="00140415" w:rsidRPr="009170B8" w:rsidTr="00A66792">
        <w:trPr>
          <w:trHeight w:val="227"/>
        </w:trPr>
        <w:tc>
          <w:tcPr>
            <w:tcW w:w="3022" w:type="dxa"/>
            <w:gridSpan w:val="13"/>
            <w:tcBorders>
              <w:left w:val="nil"/>
              <w:right w:val="nil"/>
            </w:tcBorders>
            <w:shd w:val="clear" w:color="auto" w:fill="auto"/>
            <w:noWrap/>
            <w:vAlign w:val="bottom"/>
          </w:tcPr>
          <w:p w:rsidR="008B64A3" w:rsidRPr="009170B8" w:rsidRDefault="008B64A3" w:rsidP="003B01CA">
            <w:pPr>
              <w:rPr>
                <w:rFonts w:ascii="Times New Roman" w:hAnsi="Times New Roman"/>
                <w:b/>
                <w:bCs/>
                <w:sz w:val="20"/>
                <w:szCs w:val="20"/>
              </w:rPr>
            </w:pPr>
            <w:r w:rsidRPr="009170B8">
              <w:rPr>
                <w:rFonts w:ascii="Times New Roman" w:hAnsi="Times New Roman"/>
                <w:b/>
                <w:bCs/>
                <w:sz w:val="20"/>
                <w:szCs w:val="20"/>
              </w:rPr>
              <w:t>Description</w:t>
            </w:r>
          </w:p>
        </w:tc>
        <w:tc>
          <w:tcPr>
            <w:tcW w:w="1633" w:type="dxa"/>
            <w:gridSpan w:val="4"/>
            <w:tcBorders>
              <w:left w:val="nil"/>
              <w:right w:val="nil"/>
            </w:tcBorders>
            <w:shd w:val="clear" w:color="auto" w:fill="auto"/>
            <w:noWrap/>
            <w:vAlign w:val="bottom"/>
          </w:tcPr>
          <w:p w:rsidR="008B64A3" w:rsidRPr="009170B8" w:rsidRDefault="008B64A3" w:rsidP="003B01CA">
            <w:pPr>
              <w:jc w:val="center"/>
              <w:rPr>
                <w:rFonts w:ascii="Times New Roman" w:hAnsi="Times New Roman"/>
                <w:b/>
                <w:bCs/>
                <w:sz w:val="20"/>
                <w:szCs w:val="20"/>
              </w:rPr>
            </w:pPr>
            <w:r w:rsidRPr="009170B8">
              <w:rPr>
                <w:rFonts w:ascii="Times New Roman" w:hAnsi="Times New Roman"/>
                <w:b/>
                <w:bCs/>
                <w:sz w:val="20"/>
                <w:szCs w:val="20"/>
              </w:rPr>
              <w:t>Shares or Par Value</w:t>
            </w:r>
          </w:p>
        </w:tc>
        <w:tc>
          <w:tcPr>
            <w:tcW w:w="2018" w:type="dxa"/>
            <w:gridSpan w:val="2"/>
            <w:tcBorders>
              <w:left w:val="nil"/>
              <w:right w:val="nil"/>
            </w:tcBorders>
            <w:shd w:val="clear" w:color="auto" w:fill="auto"/>
            <w:noWrap/>
            <w:vAlign w:val="bottom"/>
          </w:tcPr>
          <w:p w:rsidR="008B64A3" w:rsidRPr="009170B8" w:rsidRDefault="008B64A3">
            <w:pPr>
              <w:ind w:left="-108"/>
              <w:jc w:val="center"/>
              <w:rPr>
                <w:rFonts w:ascii="Times New Roman" w:hAnsi="Times New Roman"/>
                <w:b/>
                <w:bCs/>
                <w:sz w:val="20"/>
                <w:szCs w:val="20"/>
              </w:rPr>
            </w:pPr>
            <w:r w:rsidRPr="009170B8">
              <w:rPr>
                <w:rFonts w:ascii="Times New Roman" w:hAnsi="Times New Roman"/>
                <w:b/>
                <w:bCs/>
                <w:sz w:val="20"/>
                <w:szCs w:val="20"/>
              </w:rPr>
              <w:t>Book Cost</w:t>
            </w:r>
          </w:p>
        </w:tc>
        <w:tc>
          <w:tcPr>
            <w:tcW w:w="1855" w:type="dxa"/>
            <w:gridSpan w:val="4"/>
            <w:tcBorders>
              <w:left w:val="nil"/>
              <w:right w:val="nil"/>
            </w:tcBorders>
            <w:shd w:val="clear" w:color="auto" w:fill="auto"/>
            <w:noWrap/>
            <w:vAlign w:val="bottom"/>
          </w:tcPr>
          <w:p w:rsidR="008B64A3" w:rsidRPr="009170B8" w:rsidRDefault="008B64A3" w:rsidP="00A53FCE">
            <w:pPr>
              <w:ind w:left="119"/>
              <w:jc w:val="center"/>
              <w:rPr>
                <w:rFonts w:ascii="Times New Roman" w:hAnsi="Times New Roman"/>
                <w:b/>
                <w:bCs/>
                <w:sz w:val="20"/>
                <w:szCs w:val="20"/>
              </w:rPr>
            </w:pPr>
            <w:r w:rsidRPr="009170B8">
              <w:rPr>
                <w:rFonts w:ascii="Times New Roman" w:hAnsi="Times New Roman"/>
                <w:b/>
                <w:bCs/>
                <w:sz w:val="20"/>
                <w:szCs w:val="20"/>
              </w:rPr>
              <w:t>Bid-Market Value</w:t>
            </w:r>
          </w:p>
        </w:tc>
        <w:tc>
          <w:tcPr>
            <w:tcW w:w="1250" w:type="dxa"/>
            <w:gridSpan w:val="6"/>
            <w:tcBorders>
              <w:left w:val="nil"/>
              <w:right w:val="nil"/>
            </w:tcBorders>
            <w:shd w:val="clear" w:color="auto" w:fill="auto"/>
            <w:noWrap/>
            <w:vAlign w:val="bottom"/>
          </w:tcPr>
          <w:p w:rsidR="008B64A3" w:rsidRPr="009170B8" w:rsidRDefault="008B64A3" w:rsidP="003B01CA">
            <w:pPr>
              <w:jc w:val="center"/>
              <w:rPr>
                <w:rFonts w:ascii="Times New Roman" w:hAnsi="Times New Roman"/>
                <w:b/>
                <w:bCs/>
                <w:sz w:val="20"/>
                <w:szCs w:val="20"/>
              </w:rPr>
            </w:pPr>
            <w:r w:rsidRPr="009170B8">
              <w:rPr>
                <w:rFonts w:ascii="Times New Roman" w:hAnsi="Times New Roman"/>
                <w:b/>
                <w:bCs/>
                <w:sz w:val="20"/>
                <w:szCs w:val="20"/>
              </w:rPr>
              <w:t>% of Net Assets</w:t>
            </w:r>
          </w:p>
        </w:tc>
        <w:tc>
          <w:tcPr>
            <w:tcW w:w="1181" w:type="dxa"/>
            <w:gridSpan w:val="2"/>
            <w:tcBorders>
              <w:left w:val="nil"/>
              <w:right w:val="nil"/>
            </w:tcBorders>
            <w:shd w:val="clear" w:color="auto" w:fill="auto"/>
            <w:noWrap/>
            <w:vAlign w:val="bottom"/>
          </w:tcPr>
          <w:p w:rsidR="008B64A3" w:rsidRPr="009170B8" w:rsidRDefault="008B64A3" w:rsidP="00AC5183">
            <w:pPr>
              <w:ind w:right="-144"/>
              <w:jc w:val="center"/>
              <w:rPr>
                <w:rFonts w:ascii="Times New Roman" w:hAnsi="Times New Roman"/>
                <w:b/>
                <w:bCs/>
                <w:sz w:val="20"/>
                <w:szCs w:val="20"/>
              </w:rPr>
            </w:pPr>
            <w:r w:rsidRPr="009170B8">
              <w:rPr>
                <w:rFonts w:ascii="Times New Roman" w:hAnsi="Times New Roman"/>
                <w:b/>
                <w:bCs/>
                <w:sz w:val="20"/>
                <w:szCs w:val="20"/>
              </w:rPr>
              <w:t>% of Portfolio</w:t>
            </w:r>
          </w:p>
        </w:tc>
      </w:tr>
      <w:tr w:rsidR="00140415" w:rsidRPr="009170B8" w:rsidTr="00A66792">
        <w:trPr>
          <w:trHeight w:val="239"/>
        </w:trPr>
        <w:tc>
          <w:tcPr>
            <w:tcW w:w="3022" w:type="dxa"/>
            <w:gridSpan w:val="13"/>
            <w:tcBorders>
              <w:left w:val="nil"/>
              <w:right w:val="nil"/>
            </w:tcBorders>
            <w:shd w:val="clear" w:color="auto" w:fill="auto"/>
            <w:noWrap/>
            <w:vAlign w:val="bottom"/>
          </w:tcPr>
          <w:p w:rsidR="00E4391F" w:rsidRPr="005D2A03" w:rsidRDefault="00E4391F" w:rsidP="00617038">
            <w:pPr>
              <w:rPr>
                <w:rFonts w:ascii="Times New Roman" w:hAnsi="Times New Roman"/>
                <w:b/>
                <w:bCs/>
                <w:sz w:val="20"/>
                <w:szCs w:val="20"/>
              </w:rPr>
            </w:pPr>
          </w:p>
        </w:tc>
        <w:tc>
          <w:tcPr>
            <w:tcW w:w="1633" w:type="dxa"/>
            <w:gridSpan w:val="4"/>
            <w:tcBorders>
              <w:left w:val="nil"/>
              <w:right w:val="nil"/>
            </w:tcBorders>
            <w:shd w:val="clear" w:color="auto" w:fill="auto"/>
            <w:noWrap/>
            <w:vAlign w:val="bottom"/>
          </w:tcPr>
          <w:p w:rsidR="00E4391F" w:rsidRPr="00173446" w:rsidRDefault="00E4391F"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E4391F" w:rsidRPr="00173446" w:rsidRDefault="00E4391F" w:rsidP="00AC5183">
            <w:pPr>
              <w:jc w:val="center"/>
              <w:rPr>
                <w:rFonts w:ascii="Times New Roman" w:hAnsi="Times New Roman"/>
                <w:sz w:val="20"/>
                <w:szCs w:val="20"/>
              </w:rPr>
            </w:pPr>
            <w:r w:rsidRPr="009170B8">
              <w:rPr>
                <w:rFonts w:ascii="Times New Roman" w:hAnsi="Times New Roman"/>
                <w:b/>
                <w:bCs/>
                <w:sz w:val="20"/>
                <w:szCs w:val="20"/>
              </w:rPr>
              <w:t>GBP</w:t>
            </w:r>
          </w:p>
        </w:tc>
        <w:tc>
          <w:tcPr>
            <w:tcW w:w="1855" w:type="dxa"/>
            <w:gridSpan w:val="4"/>
            <w:tcBorders>
              <w:left w:val="nil"/>
              <w:right w:val="nil"/>
            </w:tcBorders>
            <w:shd w:val="clear" w:color="auto" w:fill="auto"/>
            <w:noWrap/>
            <w:vAlign w:val="bottom"/>
          </w:tcPr>
          <w:p w:rsidR="00E4391F" w:rsidRPr="00173446" w:rsidRDefault="00E4391F" w:rsidP="00AC5183">
            <w:pPr>
              <w:jc w:val="center"/>
              <w:rPr>
                <w:rFonts w:ascii="Times New Roman" w:hAnsi="Times New Roman"/>
                <w:sz w:val="20"/>
                <w:szCs w:val="20"/>
              </w:rPr>
            </w:pPr>
            <w:r w:rsidRPr="009170B8">
              <w:rPr>
                <w:rFonts w:ascii="Times New Roman" w:hAnsi="Times New Roman"/>
                <w:b/>
                <w:bCs/>
                <w:sz w:val="20"/>
                <w:szCs w:val="20"/>
              </w:rPr>
              <w:t>GBP</w:t>
            </w:r>
          </w:p>
        </w:tc>
        <w:tc>
          <w:tcPr>
            <w:tcW w:w="1250" w:type="dxa"/>
            <w:gridSpan w:val="6"/>
            <w:tcBorders>
              <w:left w:val="nil"/>
              <w:right w:val="nil"/>
            </w:tcBorders>
            <w:shd w:val="clear" w:color="auto" w:fill="auto"/>
            <w:noWrap/>
            <w:vAlign w:val="bottom"/>
          </w:tcPr>
          <w:p w:rsidR="00E4391F" w:rsidRPr="00173446" w:rsidRDefault="00E4391F" w:rsidP="009C2F2B">
            <w:pPr>
              <w:jc w:val="right"/>
              <w:rPr>
                <w:rFonts w:ascii="Times New Roman" w:hAnsi="Times New Roman"/>
                <w:sz w:val="20"/>
                <w:szCs w:val="20"/>
              </w:rPr>
            </w:pPr>
          </w:p>
        </w:tc>
        <w:tc>
          <w:tcPr>
            <w:tcW w:w="1181" w:type="dxa"/>
            <w:gridSpan w:val="2"/>
            <w:tcBorders>
              <w:left w:val="nil"/>
              <w:right w:val="nil"/>
            </w:tcBorders>
            <w:shd w:val="clear" w:color="auto" w:fill="auto"/>
            <w:noWrap/>
          </w:tcPr>
          <w:p w:rsidR="00E4391F" w:rsidRPr="00173446" w:rsidRDefault="00E4391F" w:rsidP="00AC5183">
            <w:pPr>
              <w:ind w:right="-144"/>
              <w:jc w:val="right"/>
              <w:rPr>
                <w:rFonts w:ascii="Times New Roman" w:hAnsi="Times New Roman"/>
                <w:bCs/>
                <w:sz w:val="20"/>
                <w:szCs w:val="20"/>
              </w:rPr>
            </w:pPr>
          </w:p>
        </w:tc>
      </w:tr>
      <w:tr w:rsidR="00140415" w:rsidRPr="009170B8" w:rsidTr="00A66792">
        <w:trPr>
          <w:trHeight w:val="227"/>
        </w:trPr>
        <w:tc>
          <w:tcPr>
            <w:tcW w:w="3022" w:type="dxa"/>
            <w:gridSpan w:val="13"/>
            <w:tcBorders>
              <w:left w:val="nil"/>
              <w:right w:val="nil"/>
            </w:tcBorders>
            <w:shd w:val="clear" w:color="auto" w:fill="auto"/>
            <w:noWrap/>
            <w:vAlign w:val="bottom"/>
          </w:tcPr>
          <w:p w:rsidR="008B64A3" w:rsidRDefault="008B64A3" w:rsidP="00AC5183">
            <w:pPr>
              <w:ind w:right="-144"/>
              <w:rPr>
                <w:rFonts w:ascii="Times New Roman" w:hAnsi="Times New Roman"/>
                <w:sz w:val="20"/>
                <w:szCs w:val="20"/>
              </w:rPr>
            </w:pPr>
            <w:r>
              <w:rPr>
                <w:rFonts w:ascii="Times New Roman" w:hAnsi="Times New Roman"/>
                <w:b/>
                <w:sz w:val="20"/>
                <w:szCs w:val="20"/>
              </w:rPr>
              <w:t xml:space="preserve">Power and </w:t>
            </w:r>
            <w:r w:rsidRPr="005D2A03">
              <w:rPr>
                <w:rFonts w:ascii="Times New Roman" w:hAnsi="Times New Roman"/>
                <w:b/>
                <w:sz w:val="20"/>
                <w:szCs w:val="20"/>
              </w:rPr>
              <w:t>Utili</w:t>
            </w:r>
            <w:r>
              <w:rPr>
                <w:rFonts w:ascii="Times New Roman" w:hAnsi="Times New Roman"/>
                <w:b/>
                <w:sz w:val="20"/>
                <w:szCs w:val="20"/>
              </w:rPr>
              <w:t>ti</w:t>
            </w:r>
            <w:r w:rsidRPr="005D2A03">
              <w:rPr>
                <w:rFonts w:ascii="Times New Roman" w:hAnsi="Times New Roman"/>
                <w:b/>
                <w:sz w:val="20"/>
                <w:szCs w:val="20"/>
              </w:rPr>
              <w:t>es:</w:t>
            </w:r>
          </w:p>
        </w:tc>
        <w:tc>
          <w:tcPr>
            <w:tcW w:w="1633" w:type="dxa"/>
            <w:gridSpan w:val="4"/>
            <w:tcBorders>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Default="008B64A3">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Default="008B64A3" w:rsidP="00A65633">
            <w:pPr>
              <w:jc w:val="right"/>
              <w:rPr>
                <w:rFonts w:ascii="Times New Roman" w:hAnsi="Times New Roman"/>
                <w:sz w:val="20"/>
                <w:szCs w:val="20"/>
              </w:rPr>
            </w:pPr>
          </w:p>
        </w:tc>
        <w:tc>
          <w:tcPr>
            <w:tcW w:w="1181" w:type="dxa"/>
            <w:gridSpan w:val="2"/>
            <w:tcBorders>
              <w:left w:val="nil"/>
              <w:right w:val="nil"/>
            </w:tcBorders>
            <w:shd w:val="clear" w:color="auto" w:fill="auto"/>
            <w:noWrap/>
          </w:tcPr>
          <w:p w:rsidR="008B64A3" w:rsidRDefault="008B64A3" w:rsidP="00AC5183">
            <w:pPr>
              <w:ind w:right="-144"/>
              <w:jc w:val="right"/>
              <w:rPr>
                <w:rFonts w:ascii="Times New Roman" w:hAnsi="Times New Roman"/>
                <w:bCs/>
                <w:sz w:val="20"/>
                <w:szCs w:val="20"/>
              </w:rPr>
            </w:pPr>
          </w:p>
        </w:tc>
      </w:tr>
      <w:tr w:rsidR="00140415" w:rsidRPr="009170B8" w:rsidTr="00A66792">
        <w:trPr>
          <w:trHeight w:val="227"/>
        </w:trPr>
        <w:tc>
          <w:tcPr>
            <w:tcW w:w="3022" w:type="dxa"/>
            <w:gridSpan w:val="13"/>
            <w:tcBorders>
              <w:left w:val="nil"/>
              <w:right w:val="nil"/>
            </w:tcBorders>
            <w:shd w:val="clear" w:color="auto" w:fill="auto"/>
            <w:noWrap/>
            <w:vAlign w:val="bottom"/>
          </w:tcPr>
          <w:p w:rsidR="008B64A3" w:rsidRDefault="00B07993">
            <w:pPr>
              <w:rPr>
                <w:rFonts w:ascii="Times New Roman" w:hAnsi="Times New Roman"/>
                <w:sz w:val="20"/>
                <w:szCs w:val="20"/>
              </w:rPr>
            </w:pPr>
            <w:proofErr w:type="spellStart"/>
            <w:r>
              <w:rPr>
                <w:rFonts w:ascii="Times New Roman" w:hAnsi="Times New Roman"/>
                <w:sz w:val="20"/>
                <w:szCs w:val="20"/>
              </w:rPr>
              <w:t>Altagas</w:t>
            </w:r>
            <w:proofErr w:type="spellEnd"/>
            <w:r>
              <w:rPr>
                <w:rFonts w:ascii="Times New Roman" w:hAnsi="Times New Roman"/>
                <w:sz w:val="20"/>
                <w:szCs w:val="20"/>
              </w:rPr>
              <w:t xml:space="preserve"> </w:t>
            </w:r>
            <w:r w:rsidR="00885FEF">
              <w:rPr>
                <w:rFonts w:ascii="Times New Roman" w:hAnsi="Times New Roman"/>
                <w:sz w:val="20"/>
                <w:szCs w:val="20"/>
              </w:rPr>
              <w:t>Ltd.</w:t>
            </w:r>
          </w:p>
        </w:tc>
        <w:tc>
          <w:tcPr>
            <w:tcW w:w="1633" w:type="dxa"/>
            <w:gridSpan w:val="4"/>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3</w:t>
            </w:r>
            <w:r w:rsidR="00B07993">
              <w:rPr>
                <w:rFonts w:ascii="Times New Roman" w:hAnsi="Times New Roman"/>
                <w:sz w:val="20"/>
                <w:szCs w:val="20"/>
              </w:rPr>
              <w:t>25</w:t>
            </w:r>
            <w:r>
              <w:rPr>
                <w:rFonts w:ascii="Times New Roman" w:hAnsi="Times New Roman"/>
                <w:sz w:val="20"/>
                <w:szCs w:val="20"/>
              </w:rPr>
              <w:t>,000</w:t>
            </w:r>
          </w:p>
        </w:tc>
        <w:tc>
          <w:tcPr>
            <w:tcW w:w="2018" w:type="dxa"/>
            <w:gridSpan w:val="2"/>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2,756,368</w:t>
            </w:r>
          </w:p>
        </w:tc>
        <w:tc>
          <w:tcPr>
            <w:tcW w:w="1855" w:type="dxa"/>
            <w:gridSpan w:val="4"/>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2,998,736</w:t>
            </w:r>
          </w:p>
        </w:tc>
        <w:tc>
          <w:tcPr>
            <w:tcW w:w="1250" w:type="dxa"/>
            <w:gridSpan w:val="6"/>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2.94</w:t>
            </w:r>
            <w:r w:rsidR="008B64A3">
              <w:rPr>
                <w:rFonts w:ascii="Times New Roman" w:hAnsi="Times New Roman"/>
                <w:sz w:val="20"/>
                <w:szCs w:val="20"/>
              </w:rPr>
              <w:t>%</w:t>
            </w:r>
          </w:p>
        </w:tc>
        <w:tc>
          <w:tcPr>
            <w:tcW w:w="1181" w:type="dxa"/>
            <w:gridSpan w:val="2"/>
            <w:tcBorders>
              <w:left w:val="nil"/>
              <w:right w:val="nil"/>
            </w:tcBorders>
            <w:shd w:val="clear" w:color="auto" w:fill="auto"/>
            <w:noWrap/>
          </w:tcPr>
          <w:p w:rsidR="008B64A3" w:rsidRDefault="008B64A3" w:rsidP="00AC5183">
            <w:pPr>
              <w:ind w:right="-67"/>
              <w:jc w:val="right"/>
              <w:rPr>
                <w:rFonts w:ascii="Times New Roman" w:hAnsi="Times New Roman"/>
                <w:bCs/>
                <w:sz w:val="20"/>
                <w:szCs w:val="20"/>
              </w:rPr>
            </w:pPr>
            <w:r>
              <w:rPr>
                <w:rFonts w:ascii="Times New Roman" w:hAnsi="Times New Roman"/>
                <w:bCs/>
                <w:sz w:val="20"/>
                <w:szCs w:val="20"/>
              </w:rPr>
              <w:t>2.</w:t>
            </w:r>
            <w:r w:rsidR="00B07993">
              <w:rPr>
                <w:rFonts w:ascii="Times New Roman" w:hAnsi="Times New Roman"/>
                <w:bCs/>
                <w:sz w:val="20"/>
                <w:szCs w:val="20"/>
              </w:rPr>
              <w:t>63</w:t>
            </w:r>
            <w:r>
              <w:rPr>
                <w:rFonts w:ascii="Times New Roman" w:hAnsi="Times New Roman"/>
                <w:bCs/>
                <w:sz w:val="20"/>
                <w:szCs w:val="20"/>
              </w:rPr>
              <w:t>%</w:t>
            </w:r>
          </w:p>
        </w:tc>
      </w:tr>
      <w:tr w:rsidR="00140415" w:rsidRPr="009170B8" w:rsidTr="00A66792">
        <w:trPr>
          <w:trHeight w:val="227"/>
        </w:trPr>
        <w:tc>
          <w:tcPr>
            <w:tcW w:w="3022" w:type="dxa"/>
            <w:gridSpan w:val="13"/>
            <w:tcBorders>
              <w:left w:val="nil"/>
              <w:right w:val="nil"/>
            </w:tcBorders>
            <w:shd w:val="clear" w:color="auto" w:fill="auto"/>
            <w:noWrap/>
            <w:vAlign w:val="bottom"/>
          </w:tcPr>
          <w:p w:rsidR="00B07993" w:rsidRDefault="00B07993" w:rsidP="00173446">
            <w:pPr>
              <w:rPr>
                <w:rFonts w:ascii="Times New Roman" w:hAnsi="Times New Roman"/>
                <w:sz w:val="20"/>
                <w:szCs w:val="20"/>
              </w:rPr>
            </w:pPr>
            <w:r>
              <w:rPr>
                <w:rFonts w:ascii="Times New Roman" w:hAnsi="Times New Roman"/>
                <w:sz w:val="20"/>
                <w:szCs w:val="20"/>
              </w:rPr>
              <w:t>Capital Power Corporation</w:t>
            </w:r>
          </w:p>
        </w:tc>
        <w:tc>
          <w:tcPr>
            <w:tcW w:w="1633" w:type="dxa"/>
            <w:gridSpan w:val="4"/>
            <w:tcBorders>
              <w:left w:val="nil"/>
              <w:right w:val="nil"/>
            </w:tcBorders>
            <w:shd w:val="clear" w:color="auto" w:fill="auto"/>
            <w:noWrap/>
            <w:vAlign w:val="bottom"/>
          </w:tcPr>
          <w:p w:rsidR="00B07993" w:rsidRDefault="00B07993" w:rsidP="00590B67">
            <w:pPr>
              <w:jc w:val="right"/>
              <w:rPr>
                <w:rFonts w:ascii="Times New Roman" w:hAnsi="Times New Roman"/>
                <w:sz w:val="20"/>
                <w:szCs w:val="20"/>
              </w:rPr>
            </w:pPr>
            <w:r>
              <w:rPr>
                <w:rFonts w:ascii="Times New Roman" w:hAnsi="Times New Roman"/>
                <w:sz w:val="20"/>
                <w:szCs w:val="20"/>
              </w:rPr>
              <w:t>200,000</w:t>
            </w:r>
          </w:p>
        </w:tc>
        <w:tc>
          <w:tcPr>
            <w:tcW w:w="2018" w:type="dxa"/>
            <w:gridSpan w:val="2"/>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2,942,443</w:t>
            </w:r>
          </w:p>
        </w:tc>
        <w:tc>
          <w:tcPr>
            <w:tcW w:w="1855" w:type="dxa"/>
            <w:gridSpan w:val="4"/>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3,046,883</w:t>
            </w:r>
          </w:p>
        </w:tc>
        <w:tc>
          <w:tcPr>
            <w:tcW w:w="1250" w:type="dxa"/>
            <w:gridSpan w:val="6"/>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2.98%</w:t>
            </w:r>
          </w:p>
        </w:tc>
        <w:tc>
          <w:tcPr>
            <w:tcW w:w="1181" w:type="dxa"/>
            <w:gridSpan w:val="2"/>
            <w:tcBorders>
              <w:left w:val="nil"/>
              <w:right w:val="nil"/>
            </w:tcBorders>
            <w:shd w:val="clear" w:color="auto" w:fill="auto"/>
            <w:noWrap/>
          </w:tcPr>
          <w:p w:rsidR="00B07993" w:rsidRDefault="00B07993" w:rsidP="00AC5183">
            <w:pPr>
              <w:ind w:right="-67"/>
              <w:jc w:val="right"/>
              <w:rPr>
                <w:rFonts w:ascii="Times New Roman" w:hAnsi="Times New Roman"/>
                <w:bCs/>
                <w:sz w:val="20"/>
                <w:szCs w:val="20"/>
              </w:rPr>
            </w:pPr>
            <w:r>
              <w:rPr>
                <w:rFonts w:ascii="Times New Roman" w:hAnsi="Times New Roman"/>
                <w:bCs/>
                <w:sz w:val="20"/>
                <w:szCs w:val="20"/>
              </w:rPr>
              <w:t>2.67%</w:t>
            </w:r>
          </w:p>
        </w:tc>
      </w:tr>
      <w:tr w:rsidR="00140415" w:rsidRPr="009170B8" w:rsidTr="00A66792">
        <w:trPr>
          <w:trHeight w:val="227"/>
        </w:trPr>
        <w:tc>
          <w:tcPr>
            <w:tcW w:w="3022" w:type="dxa"/>
            <w:gridSpan w:val="13"/>
            <w:tcBorders>
              <w:left w:val="nil"/>
              <w:right w:val="nil"/>
            </w:tcBorders>
            <w:shd w:val="clear" w:color="auto" w:fill="auto"/>
            <w:noWrap/>
            <w:vAlign w:val="bottom"/>
          </w:tcPr>
          <w:p w:rsidR="00B07993" w:rsidRPr="009170B8" w:rsidRDefault="00B07993" w:rsidP="00173446">
            <w:pPr>
              <w:rPr>
                <w:rFonts w:ascii="Times New Roman" w:hAnsi="Times New Roman"/>
                <w:sz w:val="20"/>
                <w:szCs w:val="20"/>
              </w:rPr>
            </w:pPr>
            <w:r w:rsidRPr="009170B8">
              <w:rPr>
                <w:rFonts w:ascii="Times New Roman" w:hAnsi="Times New Roman"/>
                <w:sz w:val="20"/>
                <w:szCs w:val="20"/>
              </w:rPr>
              <w:t>Northland Power Inc</w:t>
            </w:r>
            <w:r>
              <w:rPr>
                <w:rFonts w:ascii="Times New Roman" w:hAnsi="Times New Roman"/>
                <w:sz w:val="20"/>
                <w:szCs w:val="20"/>
              </w:rPr>
              <w:t>.</w:t>
            </w:r>
          </w:p>
        </w:tc>
        <w:tc>
          <w:tcPr>
            <w:tcW w:w="1633" w:type="dxa"/>
            <w:gridSpan w:val="4"/>
            <w:tcBorders>
              <w:left w:val="nil"/>
              <w:right w:val="nil"/>
            </w:tcBorders>
            <w:shd w:val="clear" w:color="auto" w:fill="auto"/>
            <w:noWrap/>
            <w:vAlign w:val="bottom"/>
          </w:tcPr>
          <w:p w:rsidR="00B07993" w:rsidRPr="00173446" w:rsidRDefault="00B07993" w:rsidP="00590B67">
            <w:pPr>
              <w:jc w:val="right"/>
              <w:rPr>
                <w:rFonts w:ascii="Times New Roman" w:hAnsi="Times New Roman"/>
                <w:sz w:val="20"/>
                <w:szCs w:val="20"/>
              </w:rPr>
            </w:pPr>
            <w:r>
              <w:rPr>
                <w:rFonts w:ascii="Times New Roman" w:hAnsi="Times New Roman"/>
                <w:sz w:val="20"/>
                <w:szCs w:val="20"/>
              </w:rPr>
              <w:t>3</w:t>
            </w:r>
            <w:r w:rsidRPr="00173446">
              <w:rPr>
                <w:rFonts w:ascii="Times New Roman" w:hAnsi="Times New Roman"/>
                <w:sz w:val="20"/>
                <w:szCs w:val="20"/>
              </w:rPr>
              <w:t>55,000</w:t>
            </w:r>
          </w:p>
        </w:tc>
        <w:tc>
          <w:tcPr>
            <w:tcW w:w="2018" w:type="dxa"/>
            <w:gridSpan w:val="2"/>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3,823,830</w:t>
            </w:r>
          </w:p>
        </w:tc>
        <w:tc>
          <w:tcPr>
            <w:tcW w:w="1855" w:type="dxa"/>
            <w:gridSpan w:val="4"/>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4,418,412</w:t>
            </w:r>
          </w:p>
        </w:tc>
        <w:tc>
          <w:tcPr>
            <w:tcW w:w="1250" w:type="dxa"/>
            <w:gridSpan w:val="6"/>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4.32%</w:t>
            </w:r>
          </w:p>
        </w:tc>
        <w:tc>
          <w:tcPr>
            <w:tcW w:w="1181" w:type="dxa"/>
            <w:gridSpan w:val="2"/>
            <w:tcBorders>
              <w:left w:val="nil"/>
              <w:right w:val="nil"/>
            </w:tcBorders>
            <w:shd w:val="clear" w:color="auto" w:fill="auto"/>
            <w:noWrap/>
          </w:tcPr>
          <w:p w:rsidR="00B07993" w:rsidRDefault="00B07993" w:rsidP="00AC5183">
            <w:pPr>
              <w:ind w:right="-67"/>
              <w:jc w:val="right"/>
              <w:rPr>
                <w:rFonts w:ascii="Times New Roman" w:hAnsi="Times New Roman"/>
                <w:sz w:val="20"/>
                <w:szCs w:val="20"/>
              </w:rPr>
            </w:pPr>
            <w:r>
              <w:rPr>
                <w:rFonts w:ascii="Times New Roman" w:hAnsi="Times New Roman"/>
                <w:sz w:val="20"/>
                <w:szCs w:val="20"/>
              </w:rPr>
              <w:t>3.87%</w:t>
            </w:r>
          </w:p>
        </w:tc>
      </w:tr>
      <w:tr w:rsidR="00140415" w:rsidRPr="009170B8" w:rsidTr="00A66792">
        <w:trPr>
          <w:trHeight w:val="227"/>
        </w:trPr>
        <w:tc>
          <w:tcPr>
            <w:tcW w:w="3022" w:type="dxa"/>
            <w:gridSpan w:val="13"/>
            <w:tcBorders>
              <w:left w:val="nil"/>
              <w:right w:val="nil"/>
            </w:tcBorders>
            <w:shd w:val="clear" w:color="auto" w:fill="auto"/>
            <w:noWrap/>
            <w:vAlign w:val="bottom"/>
          </w:tcPr>
          <w:p w:rsidR="00B07993" w:rsidRPr="009170B8" w:rsidRDefault="00B07993" w:rsidP="00173446">
            <w:pPr>
              <w:rPr>
                <w:rFonts w:ascii="Times New Roman" w:hAnsi="Times New Roman"/>
                <w:sz w:val="20"/>
                <w:szCs w:val="20"/>
              </w:rPr>
            </w:pPr>
            <w:proofErr w:type="spellStart"/>
            <w:r>
              <w:rPr>
                <w:rFonts w:ascii="Times New Roman" w:hAnsi="Times New Roman"/>
                <w:sz w:val="20"/>
                <w:szCs w:val="20"/>
              </w:rPr>
              <w:t>Transalta</w:t>
            </w:r>
            <w:proofErr w:type="spellEnd"/>
            <w:r>
              <w:rPr>
                <w:rFonts w:ascii="Times New Roman" w:hAnsi="Times New Roman"/>
                <w:sz w:val="20"/>
                <w:szCs w:val="20"/>
              </w:rPr>
              <w:t xml:space="preserve"> Corp</w:t>
            </w:r>
            <w:r w:rsidR="004317C4">
              <w:rPr>
                <w:rFonts w:ascii="Times New Roman" w:hAnsi="Times New Roman"/>
                <w:sz w:val="20"/>
                <w:szCs w:val="20"/>
              </w:rPr>
              <w:t>.</w:t>
            </w:r>
          </w:p>
        </w:tc>
        <w:tc>
          <w:tcPr>
            <w:tcW w:w="1633" w:type="dxa"/>
            <w:gridSpan w:val="4"/>
            <w:tcBorders>
              <w:left w:val="nil"/>
              <w:right w:val="nil"/>
            </w:tcBorders>
            <w:shd w:val="clear" w:color="auto" w:fill="auto"/>
            <w:noWrap/>
            <w:vAlign w:val="bottom"/>
          </w:tcPr>
          <w:p w:rsidR="00B07993" w:rsidRPr="00173446" w:rsidRDefault="00B07993" w:rsidP="00590B67">
            <w:pPr>
              <w:jc w:val="right"/>
              <w:rPr>
                <w:rFonts w:ascii="Times New Roman" w:hAnsi="Times New Roman"/>
                <w:sz w:val="20"/>
                <w:szCs w:val="20"/>
              </w:rPr>
            </w:pPr>
            <w:r>
              <w:rPr>
                <w:rFonts w:ascii="Times New Roman" w:hAnsi="Times New Roman"/>
                <w:sz w:val="20"/>
                <w:szCs w:val="20"/>
              </w:rPr>
              <w:t>750,000</w:t>
            </w:r>
          </w:p>
        </w:tc>
        <w:tc>
          <w:tcPr>
            <w:tcW w:w="2018" w:type="dxa"/>
            <w:gridSpan w:val="2"/>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3,029,423</w:t>
            </w:r>
          </w:p>
        </w:tc>
        <w:tc>
          <w:tcPr>
            <w:tcW w:w="1855" w:type="dxa"/>
            <w:gridSpan w:val="4"/>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2,401,576</w:t>
            </w:r>
          </w:p>
        </w:tc>
        <w:tc>
          <w:tcPr>
            <w:tcW w:w="1250" w:type="dxa"/>
            <w:gridSpan w:val="6"/>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2.35%</w:t>
            </w:r>
          </w:p>
        </w:tc>
        <w:tc>
          <w:tcPr>
            <w:tcW w:w="1181" w:type="dxa"/>
            <w:gridSpan w:val="2"/>
            <w:tcBorders>
              <w:left w:val="nil"/>
              <w:right w:val="nil"/>
            </w:tcBorders>
            <w:shd w:val="clear" w:color="auto" w:fill="auto"/>
            <w:noWrap/>
          </w:tcPr>
          <w:p w:rsidR="00B07993" w:rsidRDefault="00B07993" w:rsidP="00AC5183">
            <w:pPr>
              <w:ind w:right="-67"/>
              <w:jc w:val="right"/>
              <w:rPr>
                <w:rFonts w:ascii="Times New Roman" w:hAnsi="Times New Roman"/>
                <w:sz w:val="20"/>
                <w:szCs w:val="20"/>
              </w:rPr>
            </w:pPr>
            <w:r>
              <w:rPr>
                <w:rFonts w:ascii="Times New Roman" w:hAnsi="Times New Roman"/>
                <w:sz w:val="20"/>
                <w:szCs w:val="20"/>
              </w:rPr>
              <w:t>2.10%</w:t>
            </w:r>
          </w:p>
        </w:tc>
      </w:tr>
      <w:tr w:rsidR="00140415" w:rsidRPr="009170B8" w:rsidTr="00A66792">
        <w:trPr>
          <w:trHeight w:val="227"/>
        </w:trPr>
        <w:tc>
          <w:tcPr>
            <w:tcW w:w="3022" w:type="dxa"/>
            <w:gridSpan w:val="13"/>
            <w:tcBorders>
              <w:left w:val="nil"/>
              <w:right w:val="nil"/>
            </w:tcBorders>
            <w:shd w:val="clear" w:color="auto" w:fill="auto"/>
            <w:noWrap/>
            <w:vAlign w:val="bottom"/>
          </w:tcPr>
          <w:p w:rsidR="008B64A3" w:rsidRDefault="008B64A3" w:rsidP="00173446">
            <w:pPr>
              <w:rPr>
                <w:rFonts w:ascii="Times New Roman" w:hAnsi="Times New Roman"/>
                <w:sz w:val="20"/>
                <w:szCs w:val="20"/>
              </w:rPr>
            </w:pPr>
          </w:p>
        </w:tc>
        <w:tc>
          <w:tcPr>
            <w:tcW w:w="1633" w:type="dxa"/>
            <w:gridSpan w:val="4"/>
            <w:tcBorders>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Default="008B64A3">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Default="008B64A3" w:rsidP="00A65633">
            <w:pPr>
              <w:jc w:val="right"/>
              <w:rPr>
                <w:rFonts w:ascii="Times New Roman" w:hAnsi="Times New Roman"/>
                <w:sz w:val="20"/>
                <w:szCs w:val="20"/>
              </w:rPr>
            </w:pPr>
          </w:p>
        </w:tc>
        <w:tc>
          <w:tcPr>
            <w:tcW w:w="1181" w:type="dxa"/>
            <w:gridSpan w:val="2"/>
            <w:tcBorders>
              <w:left w:val="nil"/>
              <w:right w:val="nil"/>
            </w:tcBorders>
            <w:shd w:val="clear" w:color="auto" w:fill="auto"/>
            <w:noWrap/>
          </w:tcPr>
          <w:p w:rsidR="008B64A3" w:rsidRDefault="008B64A3" w:rsidP="00AC5183">
            <w:pPr>
              <w:ind w:right="-67"/>
              <w:jc w:val="right"/>
              <w:rPr>
                <w:rFonts w:ascii="Times New Roman" w:hAnsi="Times New Roman"/>
                <w:bCs/>
                <w:sz w:val="20"/>
                <w:szCs w:val="20"/>
              </w:rPr>
            </w:pPr>
          </w:p>
        </w:tc>
      </w:tr>
      <w:tr w:rsidR="00140415" w:rsidRPr="00776941" w:rsidTr="00A66792">
        <w:trPr>
          <w:trHeight w:val="131"/>
        </w:trPr>
        <w:tc>
          <w:tcPr>
            <w:tcW w:w="3022" w:type="dxa"/>
            <w:gridSpan w:val="13"/>
            <w:tcBorders>
              <w:left w:val="nil"/>
              <w:right w:val="nil"/>
            </w:tcBorders>
            <w:shd w:val="clear" w:color="auto" w:fill="auto"/>
            <w:noWrap/>
            <w:vAlign w:val="bottom"/>
          </w:tcPr>
          <w:p w:rsidR="008B64A3" w:rsidRPr="009170B8" w:rsidRDefault="008B64A3" w:rsidP="005D2A03">
            <w:pPr>
              <w:rPr>
                <w:rFonts w:ascii="Times New Roman" w:hAnsi="Times New Roman"/>
                <w:sz w:val="20"/>
                <w:szCs w:val="20"/>
              </w:rPr>
            </w:pPr>
            <w:r w:rsidRPr="002F7CE4">
              <w:rPr>
                <w:rFonts w:ascii="Times New Roman" w:hAnsi="Times New Roman"/>
                <w:b/>
                <w:sz w:val="20"/>
                <w:szCs w:val="20"/>
              </w:rPr>
              <w:t>Real Estate:</w:t>
            </w:r>
          </w:p>
        </w:tc>
        <w:tc>
          <w:tcPr>
            <w:tcW w:w="1633" w:type="dxa"/>
            <w:gridSpan w:val="4"/>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3B01CA">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pPr>
              <w:jc w:val="right"/>
              <w:rPr>
                <w:rFonts w:ascii="Times New Roman" w:hAnsi="Times New Roman"/>
                <w:sz w:val="20"/>
                <w:szCs w:val="20"/>
              </w:rPr>
            </w:pPr>
          </w:p>
        </w:tc>
        <w:tc>
          <w:tcPr>
            <w:tcW w:w="1181" w:type="dxa"/>
            <w:gridSpan w:val="2"/>
            <w:tcBorders>
              <w:left w:val="nil"/>
              <w:right w:val="nil"/>
            </w:tcBorders>
            <w:shd w:val="clear" w:color="auto" w:fill="auto"/>
            <w:noWrap/>
            <w:vAlign w:val="bottom"/>
          </w:tcPr>
          <w:p w:rsidR="008B64A3" w:rsidRPr="00173446" w:rsidRDefault="008B64A3" w:rsidP="00AC5183">
            <w:pPr>
              <w:ind w:right="-67"/>
              <w:jc w:val="right"/>
              <w:rPr>
                <w:rFonts w:ascii="Times New Roman" w:hAnsi="Times New Roman"/>
                <w:sz w:val="20"/>
                <w:szCs w:val="20"/>
              </w:rPr>
            </w:pPr>
          </w:p>
        </w:tc>
      </w:tr>
      <w:tr w:rsidR="00140415" w:rsidRPr="00776941" w:rsidTr="00A66792">
        <w:trPr>
          <w:trHeight w:val="461"/>
        </w:trPr>
        <w:tc>
          <w:tcPr>
            <w:tcW w:w="3022" w:type="dxa"/>
            <w:gridSpan w:val="13"/>
            <w:tcBorders>
              <w:left w:val="nil"/>
              <w:right w:val="nil"/>
            </w:tcBorders>
            <w:shd w:val="clear" w:color="auto" w:fill="auto"/>
            <w:noWrap/>
            <w:vAlign w:val="bottom"/>
          </w:tcPr>
          <w:p w:rsidR="008B64A3" w:rsidRPr="00B74D7C" w:rsidRDefault="008B64A3">
            <w:pPr>
              <w:rPr>
                <w:rFonts w:ascii="Times New Roman" w:hAnsi="Times New Roman"/>
                <w:bCs/>
                <w:sz w:val="20"/>
                <w:szCs w:val="20"/>
              </w:rPr>
            </w:pPr>
            <w:r w:rsidRPr="00B74D7C">
              <w:rPr>
                <w:rFonts w:ascii="Times New Roman" w:hAnsi="Times New Roman"/>
                <w:bCs/>
                <w:sz w:val="20"/>
                <w:szCs w:val="20"/>
              </w:rPr>
              <w:t>Automotive Properties Real Estate Investment Trust</w:t>
            </w:r>
          </w:p>
        </w:tc>
        <w:tc>
          <w:tcPr>
            <w:tcW w:w="1633" w:type="dxa"/>
            <w:gridSpan w:val="4"/>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r>
              <w:rPr>
                <w:rFonts w:ascii="Times New Roman" w:hAnsi="Times New Roman"/>
                <w:sz w:val="20"/>
                <w:szCs w:val="20"/>
              </w:rPr>
              <w:t>400,000</w:t>
            </w:r>
          </w:p>
        </w:tc>
        <w:tc>
          <w:tcPr>
            <w:tcW w:w="2018" w:type="dxa"/>
            <w:gridSpan w:val="2"/>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r>
              <w:rPr>
                <w:rFonts w:ascii="Times New Roman" w:hAnsi="Times New Roman"/>
                <w:sz w:val="20"/>
                <w:szCs w:val="20"/>
              </w:rPr>
              <w:t>2,619,270</w:t>
            </w:r>
          </w:p>
        </w:tc>
        <w:tc>
          <w:tcPr>
            <w:tcW w:w="1855" w:type="dxa"/>
            <w:gridSpan w:val="4"/>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2,046,586</w:t>
            </w:r>
          </w:p>
        </w:tc>
        <w:tc>
          <w:tcPr>
            <w:tcW w:w="1250" w:type="dxa"/>
            <w:gridSpan w:val="6"/>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w:t>
            </w:r>
            <w:r w:rsidR="00B07993">
              <w:rPr>
                <w:rFonts w:ascii="Times New Roman" w:hAnsi="Times New Roman"/>
                <w:sz w:val="20"/>
                <w:szCs w:val="20"/>
              </w:rPr>
              <w:t>00</w:t>
            </w:r>
            <w:r>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Default="008B64A3" w:rsidP="00AC5183">
            <w:pPr>
              <w:ind w:right="-67"/>
              <w:jc w:val="right"/>
              <w:rPr>
                <w:rFonts w:ascii="Times New Roman" w:hAnsi="Times New Roman"/>
                <w:bCs/>
                <w:sz w:val="20"/>
                <w:szCs w:val="20"/>
              </w:rPr>
            </w:pPr>
          </w:p>
          <w:p w:rsidR="008B64A3" w:rsidDel="00090F47" w:rsidRDefault="008B64A3" w:rsidP="00AC5183">
            <w:pPr>
              <w:ind w:right="-67"/>
              <w:jc w:val="right"/>
              <w:rPr>
                <w:rFonts w:ascii="Times New Roman" w:hAnsi="Times New Roman"/>
                <w:bCs/>
                <w:sz w:val="20"/>
                <w:szCs w:val="20"/>
              </w:rPr>
            </w:pPr>
            <w:r>
              <w:rPr>
                <w:rFonts w:ascii="Times New Roman" w:hAnsi="Times New Roman"/>
                <w:bCs/>
                <w:sz w:val="20"/>
                <w:szCs w:val="20"/>
              </w:rPr>
              <w:t xml:space="preserve">     1.7</w:t>
            </w:r>
            <w:r w:rsidR="004317C4">
              <w:rPr>
                <w:rFonts w:ascii="Times New Roman" w:hAnsi="Times New Roman"/>
                <w:bCs/>
                <w:sz w:val="20"/>
                <w:szCs w:val="20"/>
              </w:rPr>
              <w:t>9</w:t>
            </w:r>
            <w:r>
              <w:rPr>
                <w:rFonts w:ascii="Times New Roman" w:hAnsi="Times New Roman"/>
                <w:bCs/>
                <w:sz w:val="20"/>
                <w:szCs w:val="20"/>
              </w:rPr>
              <w:t>%</w:t>
            </w:r>
          </w:p>
        </w:tc>
      </w:tr>
      <w:tr w:rsidR="00140415" w:rsidRPr="00776941" w:rsidTr="00A66792">
        <w:trPr>
          <w:trHeight w:val="317"/>
        </w:trPr>
        <w:tc>
          <w:tcPr>
            <w:tcW w:w="3022" w:type="dxa"/>
            <w:gridSpan w:val="13"/>
            <w:tcBorders>
              <w:left w:val="nil"/>
              <w:right w:val="nil"/>
            </w:tcBorders>
            <w:shd w:val="clear" w:color="auto" w:fill="auto"/>
            <w:noWrap/>
            <w:vAlign w:val="bottom"/>
          </w:tcPr>
          <w:p w:rsidR="00B07993" w:rsidRPr="00B74D7C" w:rsidRDefault="00B07993">
            <w:pPr>
              <w:rPr>
                <w:rFonts w:ascii="Times New Roman" w:hAnsi="Times New Roman"/>
                <w:bCs/>
                <w:sz w:val="20"/>
                <w:szCs w:val="20"/>
              </w:rPr>
            </w:pPr>
            <w:r>
              <w:rPr>
                <w:rFonts w:ascii="Times New Roman" w:hAnsi="Times New Roman"/>
                <w:bCs/>
                <w:sz w:val="20"/>
                <w:szCs w:val="20"/>
              </w:rPr>
              <w:t>Choice Properties Rea</w:t>
            </w:r>
            <w:r w:rsidR="00885FEF">
              <w:rPr>
                <w:rFonts w:ascii="Times New Roman" w:hAnsi="Times New Roman"/>
                <w:bCs/>
                <w:sz w:val="20"/>
                <w:szCs w:val="20"/>
              </w:rPr>
              <w:t>l</w:t>
            </w:r>
            <w:r>
              <w:rPr>
                <w:rFonts w:ascii="Times New Roman" w:hAnsi="Times New Roman"/>
                <w:bCs/>
                <w:sz w:val="20"/>
                <w:szCs w:val="20"/>
              </w:rPr>
              <w:t xml:space="preserve"> Estate Investment Trust</w:t>
            </w:r>
          </w:p>
        </w:tc>
        <w:tc>
          <w:tcPr>
            <w:tcW w:w="1633" w:type="dxa"/>
            <w:gridSpan w:val="4"/>
            <w:tcBorders>
              <w:left w:val="nil"/>
              <w:right w:val="nil"/>
            </w:tcBorders>
            <w:shd w:val="clear" w:color="auto" w:fill="auto"/>
            <w:noWrap/>
            <w:vAlign w:val="bottom"/>
          </w:tcPr>
          <w:p w:rsidR="00B07993" w:rsidRDefault="00B07993" w:rsidP="003B01CA">
            <w:pPr>
              <w:jc w:val="right"/>
              <w:rPr>
                <w:rFonts w:ascii="Times New Roman" w:hAnsi="Times New Roman"/>
                <w:sz w:val="20"/>
                <w:szCs w:val="20"/>
              </w:rPr>
            </w:pPr>
            <w:r>
              <w:rPr>
                <w:rFonts w:ascii="Times New Roman" w:hAnsi="Times New Roman"/>
                <w:sz w:val="20"/>
                <w:szCs w:val="20"/>
              </w:rPr>
              <w:t>400,000</w:t>
            </w:r>
          </w:p>
        </w:tc>
        <w:tc>
          <w:tcPr>
            <w:tcW w:w="2018" w:type="dxa"/>
            <w:gridSpan w:val="2"/>
            <w:tcBorders>
              <w:left w:val="nil"/>
              <w:right w:val="nil"/>
            </w:tcBorders>
            <w:shd w:val="clear" w:color="auto" w:fill="auto"/>
            <w:noWrap/>
            <w:vAlign w:val="bottom"/>
          </w:tcPr>
          <w:p w:rsidR="00B07993" w:rsidRDefault="00B07993" w:rsidP="003B01CA">
            <w:pPr>
              <w:jc w:val="right"/>
              <w:rPr>
                <w:rFonts w:ascii="Times New Roman" w:hAnsi="Times New Roman"/>
                <w:sz w:val="20"/>
                <w:szCs w:val="20"/>
              </w:rPr>
            </w:pPr>
            <w:r>
              <w:rPr>
                <w:rFonts w:ascii="Times New Roman" w:hAnsi="Times New Roman"/>
                <w:sz w:val="20"/>
                <w:szCs w:val="20"/>
              </w:rPr>
              <w:t>2,914,393</w:t>
            </w:r>
          </w:p>
        </w:tc>
        <w:tc>
          <w:tcPr>
            <w:tcW w:w="1855" w:type="dxa"/>
            <w:gridSpan w:val="4"/>
            <w:tcBorders>
              <w:left w:val="nil"/>
              <w:right w:val="nil"/>
            </w:tcBorders>
            <w:shd w:val="clear" w:color="auto" w:fill="auto"/>
            <w:noWrap/>
            <w:vAlign w:val="bottom"/>
          </w:tcPr>
          <w:p w:rsidR="00B07993" w:rsidDel="00B07993" w:rsidRDefault="00B07993">
            <w:pPr>
              <w:jc w:val="right"/>
              <w:rPr>
                <w:rFonts w:ascii="Times New Roman" w:hAnsi="Times New Roman"/>
                <w:sz w:val="20"/>
                <w:szCs w:val="20"/>
              </w:rPr>
            </w:pPr>
            <w:r>
              <w:rPr>
                <w:rFonts w:ascii="Times New Roman" w:hAnsi="Times New Roman"/>
                <w:sz w:val="20"/>
                <w:szCs w:val="20"/>
              </w:rPr>
              <w:t>2,646,764</w:t>
            </w:r>
          </w:p>
        </w:tc>
        <w:tc>
          <w:tcPr>
            <w:tcW w:w="1250" w:type="dxa"/>
            <w:gridSpan w:val="6"/>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r>
              <w:rPr>
                <w:rFonts w:ascii="Times New Roman" w:hAnsi="Times New Roman"/>
                <w:sz w:val="20"/>
                <w:szCs w:val="20"/>
              </w:rPr>
              <w:t>2.59%</w:t>
            </w:r>
          </w:p>
        </w:tc>
        <w:tc>
          <w:tcPr>
            <w:tcW w:w="1181" w:type="dxa"/>
            <w:gridSpan w:val="2"/>
            <w:tcBorders>
              <w:left w:val="nil"/>
              <w:right w:val="nil"/>
            </w:tcBorders>
            <w:shd w:val="clear" w:color="auto" w:fill="auto"/>
            <w:noWrap/>
            <w:vAlign w:val="bottom"/>
          </w:tcPr>
          <w:p w:rsidR="00B07993" w:rsidRDefault="00B07993" w:rsidP="00AC5183">
            <w:pPr>
              <w:ind w:right="-67"/>
              <w:jc w:val="right"/>
              <w:rPr>
                <w:rFonts w:ascii="Times New Roman" w:hAnsi="Times New Roman"/>
                <w:bCs/>
                <w:sz w:val="20"/>
                <w:szCs w:val="20"/>
              </w:rPr>
            </w:pPr>
            <w:r>
              <w:rPr>
                <w:rFonts w:ascii="Times New Roman" w:hAnsi="Times New Roman"/>
                <w:bCs/>
                <w:sz w:val="20"/>
                <w:szCs w:val="20"/>
              </w:rPr>
              <w:t>2.32%</w:t>
            </w:r>
          </w:p>
        </w:tc>
      </w:tr>
      <w:tr w:rsidR="00140415" w:rsidRPr="00776941" w:rsidTr="00A66792">
        <w:trPr>
          <w:trHeight w:val="223"/>
        </w:trPr>
        <w:tc>
          <w:tcPr>
            <w:tcW w:w="3022" w:type="dxa"/>
            <w:gridSpan w:val="13"/>
            <w:tcBorders>
              <w:left w:val="nil"/>
              <w:right w:val="nil"/>
            </w:tcBorders>
            <w:shd w:val="clear" w:color="auto" w:fill="auto"/>
            <w:noWrap/>
            <w:vAlign w:val="bottom"/>
          </w:tcPr>
          <w:p w:rsidR="008B64A3" w:rsidRPr="009170B8" w:rsidRDefault="008B64A3" w:rsidP="003B01CA">
            <w:pPr>
              <w:rPr>
                <w:rFonts w:ascii="Times New Roman" w:hAnsi="Times New Roman"/>
                <w:sz w:val="20"/>
                <w:szCs w:val="20"/>
              </w:rPr>
            </w:pPr>
            <w:r>
              <w:rPr>
                <w:rFonts w:ascii="Times New Roman" w:hAnsi="Times New Roman"/>
                <w:sz w:val="20"/>
                <w:szCs w:val="20"/>
              </w:rPr>
              <w:t>Dream Global Real Estate Investment Trust</w:t>
            </w:r>
          </w:p>
        </w:tc>
        <w:tc>
          <w:tcPr>
            <w:tcW w:w="1633" w:type="dxa"/>
            <w:gridSpan w:val="4"/>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375</w:t>
            </w:r>
            <w:r w:rsidR="008B64A3">
              <w:rPr>
                <w:rFonts w:ascii="Times New Roman" w:hAnsi="Times New Roman"/>
                <w:sz w:val="20"/>
                <w:szCs w:val="20"/>
              </w:rPr>
              <w:t>,000</w:t>
            </w:r>
          </w:p>
        </w:tc>
        <w:tc>
          <w:tcPr>
            <w:tcW w:w="2018" w:type="dxa"/>
            <w:gridSpan w:val="2"/>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2,360,185</w:t>
            </w:r>
          </w:p>
        </w:tc>
        <w:tc>
          <w:tcPr>
            <w:tcW w:w="1855" w:type="dxa"/>
            <w:gridSpan w:val="4"/>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2,563,262</w:t>
            </w:r>
          </w:p>
        </w:tc>
        <w:tc>
          <w:tcPr>
            <w:tcW w:w="1250" w:type="dxa"/>
            <w:gridSpan w:val="6"/>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2.51%</w:t>
            </w:r>
          </w:p>
        </w:tc>
        <w:tc>
          <w:tcPr>
            <w:tcW w:w="1181" w:type="dxa"/>
            <w:gridSpan w:val="2"/>
            <w:tcBorders>
              <w:left w:val="nil"/>
              <w:right w:val="nil"/>
            </w:tcBorders>
            <w:shd w:val="clear" w:color="auto" w:fill="auto"/>
            <w:noWrap/>
            <w:vAlign w:val="bottom"/>
          </w:tcPr>
          <w:p w:rsidR="008B64A3" w:rsidRPr="00173446" w:rsidRDefault="008B64A3" w:rsidP="00AC5183">
            <w:pPr>
              <w:ind w:right="-67"/>
              <w:jc w:val="right"/>
              <w:rPr>
                <w:rFonts w:ascii="Times New Roman" w:hAnsi="Times New Roman"/>
                <w:bCs/>
                <w:sz w:val="20"/>
                <w:szCs w:val="20"/>
              </w:rPr>
            </w:pPr>
            <w:r>
              <w:rPr>
                <w:rFonts w:ascii="Times New Roman" w:hAnsi="Times New Roman"/>
                <w:bCs/>
                <w:sz w:val="20"/>
                <w:szCs w:val="20"/>
              </w:rPr>
              <w:t xml:space="preserve">    </w:t>
            </w:r>
            <w:r w:rsidR="00B07993">
              <w:rPr>
                <w:rFonts w:ascii="Times New Roman" w:hAnsi="Times New Roman"/>
                <w:bCs/>
                <w:sz w:val="20"/>
                <w:szCs w:val="20"/>
              </w:rPr>
              <w:t>2.</w:t>
            </w:r>
            <w:r w:rsidR="004317C4">
              <w:rPr>
                <w:rFonts w:ascii="Times New Roman" w:hAnsi="Times New Roman"/>
                <w:bCs/>
                <w:sz w:val="20"/>
                <w:szCs w:val="20"/>
              </w:rPr>
              <w:t>25</w:t>
            </w:r>
            <w:r>
              <w:rPr>
                <w:rFonts w:ascii="Times New Roman" w:hAnsi="Times New Roman"/>
                <w:bCs/>
                <w:sz w:val="20"/>
                <w:szCs w:val="20"/>
              </w:rPr>
              <w:t>%</w:t>
            </w:r>
          </w:p>
        </w:tc>
      </w:tr>
      <w:tr w:rsidR="00140415" w:rsidRPr="00776941" w:rsidTr="00A66792">
        <w:trPr>
          <w:trHeight w:val="80"/>
        </w:trPr>
        <w:tc>
          <w:tcPr>
            <w:tcW w:w="3022" w:type="dxa"/>
            <w:gridSpan w:val="13"/>
            <w:tcBorders>
              <w:left w:val="nil"/>
              <w:right w:val="nil"/>
            </w:tcBorders>
            <w:shd w:val="clear" w:color="auto" w:fill="auto"/>
            <w:noWrap/>
            <w:vAlign w:val="bottom"/>
          </w:tcPr>
          <w:p w:rsidR="008B64A3" w:rsidRDefault="008B64A3">
            <w:pPr>
              <w:rPr>
                <w:rFonts w:ascii="Times New Roman" w:hAnsi="Times New Roman"/>
                <w:sz w:val="20"/>
                <w:szCs w:val="20"/>
              </w:rPr>
            </w:pPr>
            <w:r>
              <w:rPr>
                <w:rFonts w:ascii="Times New Roman" w:hAnsi="Times New Roman"/>
                <w:sz w:val="20"/>
                <w:szCs w:val="20"/>
              </w:rPr>
              <w:t xml:space="preserve">First Capital Realty Inc. </w:t>
            </w:r>
          </w:p>
        </w:tc>
        <w:tc>
          <w:tcPr>
            <w:tcW w:w="1633" w:type="dxa"/>
            <w:gridSpan w:val="4"/>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r>
              <w:rPr>
                <w:rFonts w:ascii="Times New Roman" w:hAnsi="Times New Roman"/>
                <w:sz w:val="20"/>
                <w:szCs w:val="20"/>
              </w:rPr>
              <w:t>300,000</w:t>
            </w:r>
          </w:p>
        </w:tc>
        <w:tc>
          <w:tcPr>
            <w:tcW w:w="2018" w:type="dxa"/>
            <w:gridSpan w:val="2"/>
            <w:tcBorders>
              <w:left w:val="nil"/>
              <w:right w:val="nil"/>
            </w:tcBorders>
            <w:shd w:val="clear" w:color="auto" w:fill="auto"/>
            <w:noWrap/>
            <w:vAlign w:val="bottom"/>
          </w:tcPr>
          <w:p w:rsidR="008B64A3" w:rsidRDefault="008B64A3" w:rsidP="003B01CA">
            <w:pPr>
              <w:jc w:val="right"/>
              <w:rPr>
                <w:rFonts w:ascii="Times New Roman" w:hAnsi="Times New Roman"/>
                <w:sz w:val="20"/>
                <w:szCs w:val="20"/>
              </w:rPr>
            </w:pPr>
            <w:r>
              <w:rPr>
                <w:rFonts w:ascii="Times New Roman" w:hAnsi="Times New Roman"/>
                <w:sz w:val="20"/>
                <w:szCs w:val="20"/>
              </w:rPr>
              <w:t>3,808,779</w:t>
            </w:r>
          </w:p>
        </w:tc>
        <w:tc>
          <w:tcPr>
            <w:tcW w:w="1855" w:type="dxa"/>
            <w:gridSpan w:val="4"/>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3,</w:t>
            </w:r>
            <w:r w:rsidR="00B07993">
              <w:rPr>
                <w:rFonts w:ascii="Times New Roman" w:hAnsi="Times New Roman"/>
                <w:sz w:val="20"/>
                <w:szCs w:val="20"/>
              </w:rPr>
              <w:t>237,169</w:t>
            </w:r>
          </w:p>
        </w:tc>
        <w:tc>
          <w:tcPr>
            <w:tcW w:w="1250" w:type="dxa"/>
            <w:gridSpan w:val="6"/>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3.17</w:t>
            </w:r>
            <w:r w:rsidR="008B64A3">
              <w:rPr>
                <w:rFonts w:ascii="Times New Roman" w:hAnsi="Times New Roman"/>
                <w:sz w:val="20"/>
                <w:szCs w:val="20"/>
              </w:rPr>
              <w:t>%</w:t>
            </w:r>
          </w:p>
        </w:tc>
        <w:tc>
          <w:tcPr>
            <w:tcW w:w="1181" w:type="dxa"/>
            <w:gridSpan w:val="2"/>
            <w:tcBorders>
              <w:left w:val="nil"/>
              <w:right w:val="nil"/>
            </w:tcBorders>
            <w:shd w:val="clear" w:color="auto" w:fill="auto"/>
            <w:noWrap/>
          </w:tcPr>
          <w:p w:rsidR="008B64A3" w:rsidRDefault="008B64A3" w:rsidP="00AC5183">
            <w:pPr>
              <w:ind w:right="-67"/>
              <w:jc w:val="right"/>
              <w:rPr>
                <w:rFonts w:ascii="Times New Roman" w:hAnsi="Times New Roman"/>
                <w:bCs/>
                <w:sz w:val="20"/>
                <w:szCs w:val="20"/>
              </w:rPr>
            </w:pPr>
            <w:r>
              <w:rPr>
                <w:rFonts w:ascii="Times New Roman" w:hAnsi="Times New Roman"/>
                <w:bCs/>
                <w:sz w:val="20"/>
                <w:szCs w:val="20"/>
              </w:rPr>
              <w:t>2.</w:t>
            </w:r>
            <w:r w:rsidR="00B07993">
              <w:rPr>
                <w:rFonts w:ascii="Times New Roman" w:hAnsi="Times New Roman"/>
                <w:bCs/>
                <w:sz w:val="20"/>
                <w:szCs w:val="20"/>
              </w:rPr>
              <w:t>84</w:t>
            </w:r>
            <w:r>
              <w:rPr>
                <w:rFonts w:ascii="Times New Roman" w:hAnsi="Times New Roman"/>
                <w:bCs/>
                <w:sz w:val="20"/>
                <w:szCs w:val="20"/>
              </w:rPr>
              <w:t>%</w:t>
            </w:r>
          </w:p>
        </w:tc>
      </w:tr>
      <w:tr w:rsidR="00140415" w:rsidRPr="00776941" w:rsidTr="00A66792">
        <w:trPr>
          <w:trHeight w:val="80"/>
        </w:trPr>
        <w:tc>
          <w:tcPr>
            <w:tcW w:w="3022" w:type="dxa"/>
            <w:gridSpan w:val="13"/>
            <w:tcBorders>
              <w:left w:val="nil"/>
              <w:right w:val="nil"/>
            </w:tcBorders>
            <w:shd w:val="clear" w:color="auto" w:fill="auto"/>
            <w:noWrap/>
            <w:vAlign w:val="bottom"/>
          </w:tcPr>
          <w:p w:rsidR="008B64A3" w:rsidRDefault="00B07993" w:rsidP="00590B67">
            <w:pPr>
              <w:rPr>
                <w:rFonts w:ascii="Times New Roman" w:hAnsi="Times New Roman"/>
                <w:sz w:val="20"/>
                <w:szCs w:val="20"/>
              </w:rPr>
            </w:pPr>
            <w:r>
              <w:rPr>
                <w:rFonts w:ascii="Times New Roman" w:hAnsi="Times New Roman"/>
                <w:sz w:val="20"/>
                <w:szCs w:val="20"/>
              </w:rPr>
              <w:t>Granite Real Estate Investment Trust</w:t>
            </w:r>
          </w:p>
        </w:tc>
        <w:tc>
          <w:tcPr>
            <w:tcW w:w="1633" w:type="dxa"/>
            <w:gridSpan w:val="4"/>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115</w:t>
            </w:r>
            <w:r w:rsidR="008B64A3">
              <w:rPr>
                <w:rFonts w:ascii="Times New Roman" w:hAnsi="Times New Roman"/>
                <w:sz w:val="20"/>
                <w:szCs w:val="20"/>
              </w:rPr>
              <w:t>,000</w:t>
            </w:r>
          </w:p>
        </w:tc>
        <w:tc>
          <w:tcPr>
            <w:tcW w:w="2018" w:type="dxa"/>
            <w:gridSpan w:val="2"/>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3,216,548</w:t>
            </w:r>
          </w:p>
        </w:tc>
        <w:tc>
          <w:tcPr>
            <w:tcW w:w="1855" w:type="dxa"/>
            <w:gridSpan w:val="4"/>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3,502,593</w:t>
            </w:r>
          </w:p>
        </w:tc>
        <w:tc>
          <w:tcPr>
            <w:tcW w:w="1250" w:type="dxa"/>
            <w:gridSpan w:val="6"/>
            <w:tcBorders>
              <w:left w:val="nil"/>
              <w:right w:val="nil"/>
            </w:tcBorders>
            <w:shd w:val="clear" w:color="auto" w:fill="auto"/>
            <w:noWrap/>
            <w:vAlign w:val="bottom"/>
          </w:tcPr>
          <w:p w:rsidR="008B64A3" w:rsidRDefault="00B07993">
            <w:pPr>
              <w:jc w:val="right"/>
              <w:rPr>
                <w:rFonts w:ascii="Times New Roman" w:hAnsi="Times New Roman"/>
                <w:sz w:val="20"/>
                <w:szCs w:val="20"/>
              </w:rPr>
            </w:pPr>
            <w:r>
              <w:rPr>
                <w:rFonts w:ascii="Times New Roman" w:hAnsi="Times New Roman"/>
                <w:sz w:val="20"/>
                <w:szCs w:val="20"/>
              </w:rPr>
              <w:t>3.</w:t>
            </w:r>
            <w:r w:rsidR="004317C4">
              <w:rPr>
                <w:rFonts w:ascii="Times New Roman" w:hAnsi="Times New Roman"/>
                <w:sz w:val="20"/>
                <w:szCs w:val="20"/>
              </w:rPr>
              <w:t>43</w:t>
            </w:r>
            <w:r w:rsidR="008B64A3">
              <w:rPr>
                <w:rFonts w:ascii="Times New Roman" w:hAnsi="Times New Roman"/>
                <w:sz w:val="20"/>
                <w:szCs w:val="20"/>
              </w:rPr>
              <w:t>%</w:t>
            </w:r>
          </w:p>
        </w:tc>
        <w:tc>
          <w:tcPr>
            <w:tcW w:w="1181" w:type="dxa"/>
            <w:gridSpan w:val="2"/>
            <w:tcBorders>
              <w:left w:val="nil"/>
              <w:right w:val="nil"/>
            </w:tcBorders>
            <w:shd w:val="clear" w:color="auto" w:fill="auto"/>
            <w:noWrap/>
            <w:vAlign w:val="bottom"/>
          </w:tcPr>
          <w:p w:rsidR="008B64A3" w:rsidRDefault="004317C4" w:rsidP="00AC5183">
            <w:pPr>
              <w:ind w:right="-67"/>
              <w:jc w:val="right"/>
              <w:rPr>
                <w:rFonts w:ascii="Times New Roman" w:hAnsi="Times New Roman"/>
                <w:bCs/>
                <w:sz w:val="20"/>
                <w:szCs w:val="20"/>
              </w:rPr>
            </w:pPr>
            <w:r>
              <w:rPr>
                <w:rFonts w:ascii="Times New Roman" w:hAnsi="Times New Roman"/>
                <w:bCs/>
                <w:sz w:val="20"/>
                <w:szCs w:val="20"/>
              </w:rPr>
              <w:t>3</w:t>
            </w:r>
            <w:r w:rsidR="00B07993">
              <w:rPr>
                <w:rFonts w:ascii="Times New Roman" w:hAnsi="Times New Roman"/>
                <w:bCs/>
                <w:sz w:val="20"/>
                <w:szCs w:val="20"/>
              </w:rPr>
              <w:t>.</w:t>
            </w:r>
            <w:r>
              <w:rPr>
                <w:rFonts w:ascii="Times New Roman" w:hAnsi="Times New Roman"/>
                <w:bCs/>
                <w:sz w:val="20"/>
                <w:szCs w:val="20"/>
              </w:rPr>
              <w:t>07</w:t>
            </w:r>
            <w:r w:rsidR="008B64A3">
              <w:rPr>
                <w:rFonts w:ascii="Times New Roman" w:hAnsi="Times New Roman"/>
                <w:bCs/>
                <w:sz w:val="20"/>
                <w:szCs w:val="20"/>
              </w:rPr>
              <w:t>%</w:t>
            </w:r>
          </w:p>
        </w:tc>
      </w:tr>
      <w:tr w:rsidR="00140415" w:rsidRPr="00776941" w:rsidTr="00A66792">
        <w:trPr>
          <w:trHeight w:val="80"/>
        </w:trPr>
        <w:tc>
          <w:tcPr>
            <w:tcW w:w="3022" w:type="dxa"/>
            <w:gridSpan w:val="13"/>
            <w:tcBorders>
              <w:left w:val="nil"/>
              <w:right w:val="nil"/>
            </w:tcBorders>
            <w:shd w:val="clear" w:color="auto" w:fill="auto"/>
            <w:noWrap/>
            <w:vAlign w:val="bottom"/>
          </w:tcPr>
          <w:p w:rsidR="008B64A3" w:rsidRPr="00947EDA" w:rsidRDefault="00E4391F">
            <w:pPr>
              <w:rPr>
                <w:rFonts w:ascii="Times New Roman" w:hAnsi="Times New Roman"/>
                <w:b/>
                <w:sz w:val="20"/>
                <w:szCs w:val="20"/>
              </w:rPr>
            </w:pPr>
            <w:r>
              <w:rPr>
                <w:rFonts w:ascii="Times New Roman" w:hAnsi="Times New Roman"/>
                <w:sz w:val="19"/>
                <w:szCs w:val="19"/>
                <w:lang w:eastAsia="en-GB"/>
              </w:rPr>
              <w:t>Pure Multi-Family REIT LP</w:t>
            </w:r>
          </w:p>
        </w:tc>
        <w:tc>
          <w:tcPr>
            <w:tcW w:w="1633" w:type="dxa"/>
            <w:gridSpan w:val="4"/>
            <w:tcBorders>
              <w:left w:val="nil"/>
              <w:right w:val="nil"/>
            </w:tcBorders>
            <w:shd w:val="clear" w:color="auto" w:fill="auto"/>
            <w:noWrap/>
            <w:vAlign w:val="bottom"/>
          </w:tcPr>
          <w:p w:rsidR="008B64A3" w:rsidRPr="00173446" w:rsidRDefault="00B07993">
            <w:pPr>
              <w:jc w:val="right"/>
              <w:rPr>
                <w:rFonts w:ascii="Times New Roman" w:hAnsi="Times New Roman"/>
                <w:sz w:val="20"/>
                <w:szCs w:val="20"/>
              </w:rPr>
            </w:pPr>
            <w:r>
              <w:rPr>
                <w:rFonts w:ascii="Times New Roman" w:hAnsi="Times New Roman"/>
                <w:sz w:val="20"/>
                <w:szCs w:val="20"/>
              </w:rPr>
              <w:t>583</w:t>
            </w:r>
            <w:r w:rsidR="008B64A3" w:rsidRPr="00173446">
              <w:rPr>
                <w:rFonts w:ascii="Times New Roman" w:hAnsi="Times New Roman"/>
                <w:sz w:val="20"/>
                <w:szCs w:val="20"/>
              </w:rPr>
              <w:t>,</w:t>
            </w:r>
            <w:r>
              <w:rPr>
                <w:rFonts w:ascii="Times New Roman" w:hAnsi="Times New Roman"/>
                <w:sz w:val="20"/>
                <w:szCs w:val="20"/>
              </w:rPr>
              <w:t>8</w:t>
            </w:r>
            <w:r w:rsidR="008B64A3" w:rsidRPr="00173446">
              <w:rPr>
                <w:rFonts w:ascii="Times New Roman" w:hAnsi="Times New Roman"/>
                <w:sz w:val="20"/>
                <w:szCs w:val="20"/>
              </w:rPr>
              <w:t>00</w:t>
            </w:r>
          </w:p>
        </w:tc>
        <w:tc>
          <w:tcPr>
            <w:tcW w:w="2018" w:type="dxa"/>
            <w:gridSpan w:val="2"/>
            <w:tcBorders>
              <w:left w:val="nil"/>
              <w:right w:val="nil"/>
            </w:tcBorders>
            <w:shd w:val="clear" w:color="auto" w:fill="auto"/>
            <w:noWrap/>
            <w:vAlign w:val="bottom"/>
          </w:tcPr>
          <w:p w:rsidR="008B64A3" w:rsidRPr="00173446" w:rsidRDefault="00140415">
            <w:pPr>
              <w:jc w:val="right"/>
              <w:rPr>
                <w:rFonts w:ascii="Times New Roman" w:hAnsi="Times New Roman"/>
                <w:sz w:val="20"/>
                <w:szCs w:val="20"/>
              </w:rPr>
            </w:pPr>
            <w:r>
              <w:rPr>
                <w:rFonts w:ascii="Times New Roman" w:hAnsi="Times New Roman"/>
                <w:sz w:val="20"/>
                <w:szCs w:val="20"/>
              </w:rPr>
              <w:t>2,501,675</w:t>
            </w:r>
          </w:p>
        </w:tc>
        <w:tc>
          <w:tcPr>
            <w:tcW w:w="1855" w:type="dxa"/>
            <w:gridSpan w:val="4"/>
            <w:tcBorders>
              <w:left w:val="nil"/>
              <w:right w:val="nil"/>
            </w:tcBorders>
            <w:shd w:val="clear" w:color="auto" w:fill="auto"/>
            <w:noWrap/>
            <w:vAlign w:val="bottom"/>
          </w:tcPr>
          <w:p w:rsidR="008B64A3" w:rsidRPr="00173446" w:rsidRDefault="00B07993">
            <w:pPr>
              <w:jc w:val="right"/>
              <w:rPr>
                <w:rFonts w:ascii="Times New Roman" w:hAnsi="Times New Roman"/>
                <w:sz w:val="20"/>
                <w:szCs w:val="20"/>
              </w:rPr>
            </w:pPr>
            <w:r>
              <w:rPr>
                <w:rFonts w:ascii="Times New Roman" w:hAnsi="Times New Roman"/>
                <w:sz w:val="20"/>
                <w:szCs w:val="20"/>
              </w:rPr>
              <w:t>2</w:t>
            </w:r>
            <w:r w:rsidR="008B64A3">
              <w:rPr>
                <w:rFonts w:ascii="Times New Roman" w:hAnsi="Times New Roman"/>
                <w:sz w:val="20"/>
                <w:szCs w:val="20"/>
              </w:rPr>
              <w:t>,</w:t>
            </w:r>
            <w:r>
              <w:rPr>
                <w:rFonts w:ascii="Times New Roman" w:hAnsi="Times New Roman"/>
                <w:sz w:val="20"/>
                <w:szCs w:val="20"/>
              </w:rPr>
              <w:t>819</w:t>
            </w:r>
            <w:r w:rsidR="008B64A3">
              <w:rPr>
                <w:rFonts w:ascii="Times New Roman" w:hAnsi="Times New Roman"/>
                <w:sz w:val="20"/>
                <w:szCs w:val="20"/>
              </w:rPr>
              <w:t>,</w:t>
            </w:r>
            <w:r>
              <w:rPr>
                <w:rFonts w:ascii="Times New Roman" w:hAnsi="Times New Roman"/>
                <w:sz w:val="20"/>
                <w:szCs w:val="20"/>
              </w:rPr>
              <w:t>183</w:t>
            </w:r>
          </w:p>
        </w:tc>
        <w:tc>
          <w:tcPr>
            <w:tcW w:w="1250" w:type="dxa"/>
            <w:gridSpan w:val="6"/>
            <w:tcBorders>
              <w:left w:val="nil"/>
              <w:right w:val="nil"/>
            </w:tcBorders>
            <w:shd w:val="clear" w:color="auto" w:fill="auto"/>
            <w:noWrap/>
            <w:vAlign w:val="bottom"/>
          </w:tcPr>
          <w:p w:rsidR="008B64A3" w:rsidRPr="00173446" w:rsidRDefault="00B07993">
            <w:pPr>
              <w:jc w:val="right"/>
              <w:rPr>
                <w:rFonts w:ascii="Times New Roman" w:hAnsi="Times New Roman"/>
                <w:sz w:val="20"/>
                <w:szCs w:val="20"/>
              </w:rPr>
            </w:pPr>
            <w:r>
              <w:rPr>
                <w:rFonts w:ascii="Times New Roman" w:hAnsi="Times New Roman"/>
                <w:sz w:val="20"/>
                <w:szCs w:val="20"/>
              </w:rPr>
              <w:t>2.76</w:t>
            </w:r>
            <w:r w:rsidR="008B64A3" w:rsidRPr="00173446">
              <w:rPr>
                <w:rFonts w:ascii="Times New Roman" w:hAnsi="Times New Roman"/>
                <w:sz w:val="20"/>
                <w:szCs w:val="20"/>
              </w:rPr>
              <w:t>%</w:t>
            </w:r>
          </w:p>
        </w:tc>
        <w:tc>
          <w:tcPr>
            <w:tcW w:w="1181" w:type="dxa"/>
            <w:gridSpan w:val="2"/>
            <w:tcBorders>
              <w:left w:val="nil"/>
              <w:right w:val="nil"/>
            </w:tcBorders>
            <w:shd w:val="clear" w:color="auto" w:fill="auto"/>
            <w:noWrap/>
          </w:tcPr>
          <w:p w:rsidR="008B64A3" w:rsidRPr="00947EDA" w:rsidRDefault="00B07993" w:rsidP="00AC5183">
            <w:pPr>
              <w:ind w:right="-67"/>
              <w:jc w:val="right"/>
              <w:rPr>
                <w:rFonts w:ascii="Times New Roman" w:hAnsi="Times New Roman"/>
                <w:sz w:val="20"/>
                <w:szCs w:val="20"/>
              </w:rPr>
            </w:pPr>
            <w:r>
              <w:rPr>
                <w:rFonts w:ascii="Times New Roman" w:hAnsi="Times New Roman"/>
                <w:bCs/>
                <w:sz w:val="20"/>
                <w:szCs w:val="20"/>
              </w:rPr>
              <w:t>2.47</w:t>
            </w:r>
            <w:r w:rsidR="008B64A3" w:rsidRPr="00173446">
              <w:rPr>
                <w:rFonts w:ascii="Times New Roman" w:hAnsi="Times New Roman"/>
                <w:bCs/>
                <w:sz w:val="20"/>
                <w:szCs w:val="20"/>
              </w:rPr>
              <w:t>%</w:t>
            </w:r>
          </w:p>
        </w:tc>
      </w:tr>
      <w:tr w:rsidR="00140415" w:rsidRPr="00776941" w:rsidTr="00A66792">
        <w:trPr>
          <w:trHeight w:val="177"/>
        </w:trPr>
        <w:tc>
          <w:tcPr>
            <w:tcW w:w="3022" w:type="dxa"/>
            <w:gridSpan w:val="13"/>
            <w:tcBorders>
              <w:left w:val="nil"/>
              <w:right w:val="nil"/>
            </w:tcBorders>
            <w:shd w:val="clear" w:color="auto" w:fill="auto"/>
            <w:noWrap/>
            <w:vAlign w:val="bottom"/>
          </w:tcPr>
          <w:p w:rsidR="008B64A3" w:rsidRDefault="008B64A3" w:rsidP="00AC5183">
            <w:pPr>
              <w:ind w:right="-67"/>
              <w:rPr>
                <w:rFonts w:ascii="Times New Roman" w:hAnsi="Times New Roman"/>
                <w:sz w:val="20"/>
                <w:szCs w:val="20"/>
              </w:rPr>
            </w:pPr>
            <w:r>
              <w:rPr>
                <w:rFonts w:ascii="Times New Roman" w:hAnsi="Times New Roman"/>
                <w:sz w:val="20"/>
                <w:szCs w:val="20"/>
              </w:rPr>
              <w:t>Sienna Senior Living Inc.</w:t>
            </w:r>
          </w:p>
        </w:tc>
        <w:tc>
          <w:tcPr>
            <w:tcW w:w="1633" w:type="dxa"/>
            <w:gridSpan w:val="4"/>
            <w:tcBorders>
              <w:left w:val="nil"/>
              <w:right w:val="nil"/>
            </w:tcBorders>
            <w:shd w:val="clear" w:color="auto" w:fill="auto"/>
            <w:noWrap/>
            <w:vAlign w:val="bottom"/>
          </w:tcPr>
          <w:p w:rsidR="008B64A3" w:rsidRDefault="008B64A3" w:rsidP="00581489">
            <w:pPr>
              <w:jc w:val="right"/>
              <w:rPr>
                <w:rFonts w:ascii="Times New Roman" w:hAnsi="Times New Roman"/>
                <w:sz w:val="20"/>
                <w:szCs w:val="20"/>
              </w:rPr>
            </w:pPr>
            <w:r>
              <w:rPr>
                <w:rFonts w:ascii="Times New Roman" w:hAnsi="Times New Roman"/>
                <w:sz w:val="20"/>
                <w:szCs w:val="20"/>
              </w:rPr>
              <w:t>250,000</w:t>
            </w:r>
          </w:p>
        </w:tc>
        <w:tc>
          <w:tcPr>
            <w:tcW w:w="2018" w:type="dxa"/>
            <w:gridSpan w:val="2"/>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2,597,601</w:t>
            </w:r>
          </w:p>
        </w:tc>
        <w:tc>
          <w:tcPr>
            <w:tcW w:w="1855" w:type="dxa"/>
            <w:gridSpan w:val="4"/>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w:t>
            </w:r>
            <w:r w:rsidR="00B07993">
              <w:rPr>
                <w:rFonts w:ascii="Times New Roman" w:hAnsi="Times New Roman"/>
                <w:sz w:val="20"/>
                <w:szCs w:val="20"/>
              </w:rPr>
              <w:t>259</w:t>
            </w:r>
            <w:r>
              <w:rPr>
                <w:rFonts w:ascii="Times New Roman" w:hAnsi="Times New Roman"/>
                <w:sz w:val="20"/>
                <w:szCs w:val="20"/>
              </w:rPr>
              <w:t>,</w:t>
            </w:r>
            <w:r w:rsidR="00B07993">
              <w:rPr>
                <w:rFonts w:ascii="Times New Roman" w:hAnsi="Times New Roman"/>
                <w:sz w:val="20"/>
                <w:szCs w:val="20"/>
              </w:rPr>
              <w:t>292</w:t>
            </w:r>
          </w:p>
        </w:tc>
        <w:tc>
          <w:tcPr>
            <w:tcW w:w="1250" w:type="dxa"/>
            <w:gridSpan w:val="6"/>
            <w:tcBorders>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2.</w:t>
            </w:r>
            <w:r w:rsidR="00B07993">
              <w:rPr>
                <w:rFonts w:ascii="Times New Roman" w:hAnsi="Times New Roman"/>
                <w:sz w:val="20"/>
                <w:szCs w:val="20"/>
              </w:rPr>
              <w:t>21</w:t>
            </w:r>
            <w:r>
              <w:rPr>
                <w:rFonts w:ascii="Times New Roman" w:hAnsi="Times New Roman"/>
                <w:sz w:val="20"/>
                <w:szCs w:val="20"/>
              </w:rPr>
              <w:t>%</w:t>
            </w:r>
          </w:p>
        </w:tc>
        <w:tc>
          <w:tcPr>
            <w:tcW w:w="1181" w:type="dxa"/>
            <w:gridSpan w:val="2"/>
            <w:tcBorders>
              <w:left w:val="nil"/>
              <w:right w:val="nil"/>
            </w:tcBorders>
            <w:shd w:val="clear" w:color="auto" w:fill="auto"/>
            <w:noWrap/>
          </w:tcPr>
          <w:p w:rsidR="008B64A3" w:rsidRDefault="008B64A3" w:rsidP="00AC5183">
            <w:pPr>
              <w:ind w:right="-67"/>
              <w:jc w:val="right"/>
              <w:rPr>
                <w:rFonts w:ascii="Times New Roman" w:hAnsi="Times New Roman"/>
                <w:sz w:val="20"/>
                <w:szCs w:val="20"/>
              </w:rPr>
            </w:pPr>
            <w:r>
              <w:rPr>
                <w:rFonts w:ascii="Times New Roman" w:hAnsi="Times New Roman"/>
                <w:bCs/>
                <w:sz w:val="20"/>
                <w:szCs w:val="20"/>
              </w:rPr>
              <w:t>1.</w:t>
            </w:r>
            <w:r w:rsidR="00B07993">
              <w:rPr>
                <w:rFonts w:ascii="Times New Roman" w:hAnsi="Times New Roman"/>
                <w:bCs/>
                <w:sz w:val="20"/>
                <w:szCs w:val="20"/>
              </w:rPr>
              <w:t>98</w:t>
            </w:r>
            <w:r>
              <w:rPr>
                <w:rFonts w:ascii="Times New Roman" w:hAnsi="Times New Roman"/>
                <w:bCs/>
                <w:sz w:val="20"/>
                <w:szCs w:val="20"/>
              </w:rPr>
              <w:t>%</w:t>
            </w:r>
          </w:p>
        </w:tc>
      </w:tr>
      <w:tr w:rsidR="00140415" w:rsidRPr="00776941" w:rsidTr="00A66792">
        <w:trPr>
          <w:trHeight w:val="177"/>
        </w:trPr>
        <w:tc>
          <w:tcPr>
            <w:tcW w:w="3022" w:type="dxa"/>
            <w:gridSpan w:val="13"/>
            <w:tcBorders>
              <w:left w:val="nil"/>
              <w:right w:val="nil"/>
            </w:tcBorders>
            <w:shd w:val="clear" w:color="auto" w:fill="auto"/>
            <w:noWrap/>
            <w:vAlign w:val="bottom"/>
          </w:tcPr>
          <w:p w:rsidR="00B07993" w:rsidRDefault="00B07993" w:rsidP="005D2A03">
            <w:pPr>
              <w:rPr>
                <w:rFonts w:ascii="Times New Roman" w:hAnsi="Times New Roman"/>
                <w:sz w:val="20"/>
                <w:szCs w:val="20"/>
              </w:rPr>
            </w:pPr>
          </w:p>
        </w:tc>
        <w:tc>
          <w:tcPr>
            <w:tcW w:w="1633" w:type="dxa"/>
            <w:gridSpan w:val="4"/>
            <w:tcBorders>
              <w:left w:val="nil"/>
              <w:right w:val="nil"/>
            </w:tcBorders>
            <w:shd w:val="clear" w:color="auto" w:fill="auto"/>
            <w:noWrap/>
            <w:vAlign w:val="bottom"/>
          </w:tcPr>
          <w:p w:rsidR="00B07993" w:rsidRDefault="00B07993" w:rsidP="00581489">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B07993" w:rsidRDefault="00B07993">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p>
        </w:tc>
        <w:tc>
          <w:tcPr>
            <w:tcW w:w="1181" w:type="dxa"/>
            <w:gridSpan w:val="2"/>
            <w:tcBorders>
              <w:left w:val="nil"/>
              <w:right w:val="nil"/>
            </w:tcBorders>
            <w:shd w:val="clear" w:color="auto" w:fill="auto"/>
            <w:noWrap/>
          </w:tcPr>
          <w:p w:rsidR="00B07993" w:rsidRDefault="00B07993" w:rsidP="00AC5183">
            <w:pPr>
              <w:ind w:right="-67"/>
              <w:jc w:val="right"/>
              <w:rPr>
                <w:rFonts w:ascii="Times New Roman" w:hAnsi="Times New Roman"/>
                <w:bCs/>
                <w:sz w:val="20"/>
                <w:szCs w:val="20"/>
              </w:rPr>
            </w:pPr>
          </w:p>
        </w:tc>
      </w:tr>
      <w:tr w:rsidR="00140415" w:rsidRPr="00776941" w:rsidTr="00A66792">
        <w:trPr>
          <w:trHeight w:val="177"/>
        </w:trPr>
        <w:tc>
          <w:tcPr>
            <w:tcW w:w="3022" w:type="dxa"/>
            <w:gridSpan w:val="13"/>
            <w:tcBorders>
              <w:left w:val="nil"/>
              <w:right w:val="nil"/>
            </w:tcBorders>
            <w:shd w:val="clear" w:color="auto" w:fill="auto"/>
            <w:noWrap/>
            <w:vAlign w:val="bottom"/>
          </w:tcPr>
          <w:p w:rsidR="00B07993" w:rsidRDefault="00B07993" w:rsidP="005D2A03">
            <w:pPr>
              <w:rPr>
                <w:rFonts w:ascii="Times New Roman" w:hAnsi="Times New Roman"/>
                <w:sz w:val="20"/>
                <w:szCs w:val="20"/>
              </w:rPr>
            </w:pPr>
            <w:r w:rsidRPr="00AC5183">
              <w:rPr>
                <w:rFonts w:ascii="Times New Roman" w:hAnsi="Times New Roman"/>
                <w:b/>
                <w:sz w:val="20"/>
                <w:szCs w:val="20"/>
              </w:rPr>
              <w:t>Telecommunication Services:</w:t>
            </w:r>
          </w:p>
        </w:tc>
        <w:tc>
          <w:tcPr>
            <w:tcW w:w="1633" w:type="dxa"/>
            <w:gridSpan w:val="4"/>
            <w:tcBorders>
              <w:left w:val="nil"/>
              <w:right w:val="nil"/>
            </w:tcBorders>
            <w:shd w:val="clear" w:color="auto" w:fill="auto"/>
            <w:noWrap/>
            <w:vAlign w:val="bottom"/>
          </w:tcPr>
          <w:p w:rsidR="00B07993" w:rsidRDefault="00B07993" w:rsidP="00581489">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B07993" w:rsidRDefault="00B07993">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p>
        </w:tc>
        <w:tc>
          <w:tcPr>
            <w:tcW w:w="1181" w:type="dxa"/>
            <w:gridSpan w:val="2"/>
            <w:tcBorders>
              <w:left w:val="nil"/>
              <w:right w:val="nil"/>
            </w:tcBorders>
            <w:shd w:val="clear" w:color="auto" w:fill="auto"/>
            <w:noWrap/>
          </w:tcPr>
          <w:p w:rsidR="00B07993" w:rsidRDefault="00B07993" w:rsidP="00AC5183">
            <w:pPr>
              <w:ind w:right="-67"/>
              <w:jc w:val="right"/>
              <w:rPr>
                <w:rFonts w:ascii="Times New Roman" w:hAnsi="Times New Roman"/>
                <w:bCs/>
                <w:sz w:val="20"/>
                <w:szCs w:val="20"/>
              </w:rPr>
            </w:pPr>
          </w:p>
        </w:tc>
      </w:tr>
      <w:tr w:rsidR="00140415" w:rsidRPr="00776941" w:rsidTr="00A66792">
        <w:trPr>
          <w:trHeight w:val="177"/>
        </w:trPr>
        <w:tc>
          <w:tcPr>
            <w:tcW w:w="3022" w:type="dxa"/>
            <w:gridSpan w:val="13"/>
            <w:tcBorders>
              <w:left w:val="nil"/>
              <w:right w:val="nil"/>
            </w:tcBorders>
            <w:shd w:val="clear" w:color="auto" w:fill="auto"/>
            <w:noWrap/>
            <w:vAlign w:val="bottom"/>
          </w:tcPr>
          <w:p w:rsidR="00B07993" w:rsidRDefault="00B07993" w:rsidP="005D2A03">
            <w:pPr>
              <w:rPr>
                <w:rFonts w:ascii="Times New Roman" w:hAnsi="Times New Roman"/>
                <w:sz w:val="20"/>
                <w:szCs w:val="20"/>
              </w:rPr>
            </w:pPr>
            <w:r>
              <w:rPr>
                <w:rFonts w:ascii="Times New Roman" w:hAnsi="Times New Roman"/>
                <w:sz w:val="20"/>
                <w:szCs w:val="20"/>
              </w:rPr>
              <w:t xml:space="preserve">BCE </w:t>
            </w:r>
            <w:proofErr w:type="spellStart"/>
            <w:r>
              <w:rPr>
                <w:rFonts w:ascii="Times New Roman" w:hAnsi="Times New Roman"/>
                <w:sz w:val="20"/>
                <w:szCs w:val="20"/>
              </w:rPr>
              <w:t>Inc</w:t>
            </w:r>
            <w:proofErr w:type="spellEnd"/>
          </w:p>
        </w:tc>
        <w:tc>
          <w:tcPr>
            <w:tcW w:w="1633" w:type="dxa"/>
            <w:gridSpan w:val="4"/>
            <w:tcBorders>
              <w:left w:val="nil"/>
              <w:right w:val="nil"/>
            </w:tcBorders>
            <w:shd w:val="clear" w:color="auto" w:fill="auto"/>
            <w:noWrap/>
            <w:vAlign w:val="bottom"/>
          </w:tcPr>
          <w:p w:rsidR="00B07993" w:rsidRDefault="00B07993" w:rsidP="00581489">
            <w:pPr>
              <w:jc w:val="right"/>
              <w:rPr>
                <w:rFonts w:ascii="Times New Roman" w:hAnsi="Times New Roman"/>
                <w:sz w:val="20"/>
                <w:szCs w:val="20"/>
              </w:rPr>
            </w:pPr>
            <w:r>
              <w:rPr>
                <w:rFonts w:ascii="Times New Roman" w:hAnsi="Times New Roman"/>
                <w:sz w:val="20"/>
                <w:szCs w:val="20"/>
              </w:rPr>
              <w:t>80,000</w:t>
            </w:r>
          </w:p>
        </w:tc>
        <w:tc>
          <w:tcPr>
            <w:tcW w:w="2018" w:type="dxa"/>
            <w:gridSpan w:val="2"/>
            <w:tcBorders>
              <w:left w:val="nil"/>
              <w:right w:val="nil"/>
            </w:tcBorders>
            <w:shd w:val="clear" w:color="auto" w:fill="auto"/>
            <w:noWrap/>
            <w:vAlign w:val="bottom"/>
          </w:tcPr>
          <w:p w:rsidR="00B07993" w:rsidRDefault="00B07993">
            <w:pPr>
              <w:jc w:val="right"/>
              <w:rPr>
                <w:rFonts w:ascii="Times New Roman" w:hAnsi="Times New Roman"/>
                <w:sz w:val="20"/>
                <w:szCs w:val="20"/>
              </w:rPr>
            </w:pPr>
            <w:r>
              <w:rPr>
                <w:rFonts w:ascii="Times New Roman" w:hAnsi="Times New Roman"/>
                <w:sz w:val="20"/>
                <w:szCs w:val="20"/>
              </w:rPr>
              <w:t>2,539,491</w:t>
            </w:r>
          </w:p>
        </w:tc>
        <w:tc>
          <w:tcPr>
            <w:tcW w:w="1855" w:type="dxa"/>
            <w:gridSpan w:val="4"/>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r>
              <w:rPr>
                <w:rFonts w:ascii="Times New Roman" w:hAnsi="Times New Roman"/>
                <w:sz w:val="20"/>
                <w:szCs w:val="20"/>
              </w:rPr>
              <w:t>2,478,438</w:t>
            </w:r>
          </w:p>
        </w:tc>
        <w:tc>
          <w:tcPr>
            <w:tcW w:w="1250" w:type="dxa"/>
            <w:gridSpan w:val="6"/>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r>
              <w:rPr>
                <w:rFonts w:ascii="Times New Roman" w:hAnsi="Times New Roman"/>
                <w:sz w:val="20"/>
                <w:szCs w:val="20"/>
              </w:rPr>
              <w:t>2.43%</w:t>
            </w:r>
          </w:p>
        </w:tc>
        <w:tc>
          <w:tcPr>
            <w:tcW w:w="1181" w:type="dxa"/>
            <w:gridSpan w:val="2"/>
            <w:tcBorders>
              <w:left w:val="nil"/>
              <w:right w:val="nil"/>
            </w:tcBorders>
            <w:shd w:val="clear" w:color="auto" w:fill="auto"/>
            <w:noWrap/>
          </w:tcPr>
          <w:p w:rsidR="00B07993" w:rsidRDefault="00B07993" w:rsidP="00AC5183">
            <w:pPr>
              <w:ind w:right="-67"/>
              <w:jc w:val="right"/>
              <w:rPr>
                <w:rFonts w:ascii="Times New Roman" w:hAnsi="Times New Roman"/>
                <w:bCs/>
                <w:sz w:val="20"/>
                <w:szCs w:val="20"/>
              </w:rPr>
            </w:pPr>
            <w:r>
              <w:rPr>
                <w:rFonts w:ascii="Times New Roman" w:hAnsi="Times New Roman"/>
                <w:bCs/>
                <w:sz w:val="20"/>
                <w:szCs w:val="20"/>
              </w:rPr>
              <w:t>2.17%</w:t>
            </w:r>
          </w:p>
        </w:tc>
      </w:tr>
      <w:tr w:rsidR="00140415" w:rsidRPr="00776941" w:rsidTr="00A66792">
        <w:trPr>
          <w:trHeight w:val="177"/>
        </w:trPr>
        <w:tc>
          <w:tcPr>
            <w:tcW w:w="3022" w:type="dxa"/>
            <w:gridSpan w:val="13"/>
            <w:tcBorders>
              <w:left w:val="nil"/>
              <w:right w:val="nil"/>
            </w:tcBorders>
            <w:shd w:val="clear" w:color="auto" w:fill="auto"/>
            <w:noWrap/>
            <w:vAlign w:val="bottom"/>
          </w:tcPr>
          <w:p w:rsidR="00B07993" w:rsidRDefault="00B07993" w:rsidP="005D2A03">
            <w:pPr>
              <w:rPr>
                <w:rFonts w:ascii="Times New Roman" w:hAnsi="Times New Roman"/>
                <w:sz w:val="20"/>
                <w:szCs w:val="20"/>
              </w:rPr>
            </w:pPr>
          </w:p>
        </w:tc>
        <w:tc>
          <w:tcPr>
            <w:tcW w:w="1633" w:type="dxa"/>
            <w:gridSpan w:val="4"/>
            <w:tcBorders>
              <w:left w:val="nil"/>
              <w:right w:val="nil"/>
            </w:tcBorders>
            <w:shd w:val="clear" w:color="auto" w:fill="auto"/>
            <w:noWrap/>
            <w:vAlign w:val="bottom"/>
          </w:tcPr>
          <w:p w:rsidR="00B07993" w:rsidRDefault="00B07993" w:rsidP="00581489">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B07993" w:rsidRDefault="00B07993">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B07993" w:rsidRDefault="00B07993" w:rsidP="00B07993">
            <w:pPr>
              <w:jc w:val="right"/>
              <w:rPr>
                <w:rFonts w:ascii="Times New Roman" w:hAnsi="Times New Roman"/>
                <w:sz w:val="20"/>
                <w:szCs w:val="20"/>
              </w:rPr>
            </w:pPr>
          </w:p>
        </w:tc>
        <w:tc>
          <w:tcPr>
            <w:tcW w:w="1181" w:type="dxa"/>
            <w:gridSpan w:val="2"/>
            <w:tcBorders>
              <w:left w:val="nil"/>
              <w:right w:val="nil"/>
            </w:tcBorders>
            <w:shd w:val="clear" w:color="auto" w:fill="auto"/>
            <w:noWrap/>
          </w:tcPr>
          <w:p w:rsidR="00B07993" w:rsidRDefault="00B07993" w:rsidP="00AC5183">
            <w:pPr>
              <w:ind w:right="-67"/>
              <w:jc w:val="right"/>
              <w:rPr>
                <w:rFonts w:ascii="Times New Roman" w:hAnsi="Times New Roman"/>
                <w:bCs/>
                <w:sz w:val="20"/>
                <w:szCs w:val="20"/>
              </w:rPr>
            </w:pPr>
          </w:p>
        </w:tc>
      </w:tr>
      <w:tr w:rsidR="00140415" w:rsidRPr="00776941" w:rsidTr="00A66792">
        <w:trPr>
          <w:trHeight w:val="80"/>
        </w:trPr>
        <w:tc>
          <w:tcPr>
            <w:tcW w:w="3022" w:type="dxa"/>
            <w:gridSpan w:val="13"/>
            <w:tcBorders>
              <w:left w:val="nil"/>
              <w:right w:val="nil"/>
            </w:tcBorders>
            <w:shd w:val="clear" w:color="auto" w:fill="auto"/>
            <w:noWrap/>
            <w:vAlign w:val="bottom"/>
          </w:tcPr>
          <w:p w:rsidR="008B64A3" w:rsidRDefault="008B64A3" w:rsidP="00AC5183">
            <w:pPr>
              <w:ind w:right="-67"/>
              <w:rPr>
                <w:rFonts w:ascii="Times New Roman" w:hAnsi="Times New Roman"/>
                <w:b/>
                <w:sz w:val="20"/>
                <w:szCs w:val="20"/>
              </w:rPr>
            </w:pPr>
          </w:p>
        </w:tc>
        <w:tc>
          <w:tcPr>
            <w:tcW w:w="1633" w:type="dxa"/>
            <w:gridSpan w:val="4"/>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2018" w:type="dxa"/>
            <w:gridSpan w:val="2"/>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855" w:type="dxa"/>
            <w:gridSpan w:val="4"/>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250" w:type="dxa"/>
            <w:gridSpan w:val="6"/>
            <w:tcBorders>
              <w:left w:val="nil"/>
              <w:right w:val="nil"/>
            </w:tcBorders>
            <w:shd w:val="clear" w:color="auto" w:fill="auto"/>
            <w:noWrap/>
            <w:vAlign w:val="bottom"/>
          </w:tcPr>
          <w:p w:rsidR="008B64A3" w:rsidRPr="00173446" w:rsidRDefault="008B64A3" w:rsidP="00590B67">
            <w:pPr>
              <w:jc w:val="right"/>
              <w:rPr>
                <w:rFonts w:ascii="Times New Roman" w:hAnsi="Times New Roman"/>
                <w:sz w:val="20"/>
                <w:szCs w:val="20"/>
              </w:rPr>
            </w:pPr>
          </w:p>
        </w:tc>
        <w:tc>
          <w:tcPr>
            <w:tcW w:w="1181" w:type="dxa"/>
            <w:gridSpan w:val="2"/>
            <w:tcBorders>
              <w:left w:val="nil"/>
              <w:right w:val="nil"/>
            </w:tcBorders>
            <w:shd w:val="clear" w:color="auto" w:fill="auto"/>
            <w:noWrap/>
          </w:tcPr>
          <w:p w:rsidR="008B64A3" w:rsidRPr="00173446" w:rsidRDefault="008B64A3" w:rsidP="00AC5183">
            <w:pPr>
              <w:ind w:right="-67"/>
              <w:jc w:val="right"/>
              <w:rPr>
                <w:rFonts w:ascii="Times New Roman" w:hAnsi="Times New Roman"/>
                <w:sz w:val="20"/>
                <w:szCs w:val="20"/>
              </w:rPr>
            </w:pPr>
          </w:p>
        </w:tc>
      </w:tr>
      <w:tr w:rsidR="00140415" w:rsidRPr="009170B8" w:rsidTr="00A66792">
        <w:trPr>
          <w:trHeight w:val="227"/>
        </w:trPr>
        <w:tc>
          <w:tcPr>
            <w:tcW w:w="3496" w:type="dxa"/>
            <w:gridSpan w:val="15"/>
            <w:tcBorders>
              <w:top w:val="nil"/>
              <w:left w:val="nil"/>
              <w:bottom w:val="nil"/>
              <w:right w:val="nil"/>
            </w:tcBorders>
            <w:shd w:val="clear" w:color="auto" w:fill="auto"/>
            <w:noWrap/>
            <w:vAlign w:val="bottom"/>
          </w:tcPr>
          <w:p w:rsidR="008B64A3" w:rsidRPr="00947EDA" w:rsidRDefault="008B64A3">
            <w:pPr>
              <w:rPr>
                <w:rFonts w:ascii="Times New Roman" w:hAnsi="Times New Roman"/>
                <w:sz w:val="20"/>
                <w:szCs w:val="20"/>
              </w:rPr>
            </w:pPr>
            <w:r w:rsidRPr="00947EDA">
              <w:rPr>
                <w:rFonts w:ascii="Times New Roman" w:hAnsi="Times New Roman"/>
                <w:b/>
                <w:bCs/>
                <w:sz w:val="20"/>
                <w:szCs w:val="20"/>
              </w:rPr>
              <w:t xml:space="preserve">United States - Quoted Investments </w:t>
            </w:r>
            <w:r>
              <w:rPr>
                <w:rFonts w:ascii="Times New Roman" w:hAnsi="Times New Roman"/>
                <w:b/>
                <w:bCs/>
                <w:sz w:val="20"/>
                <w:szCs w:val="20"/>
              </w:rPr>
              <w:t>1</w:t>
            </w:r>
            <w:r w:rsidR="004317C4">
              <w:rPr>
                <w:rFonts w:ascii="Times New Roman" w:hAnsi="Times New Roman"/>
                <w:b/>
                <w:bCs/>
                <w:sz w:val="20"/>
                <w:szCs w:val="20"/>
              </w:rPr>
              <w:t>4</w:t>
            </w:r>
            <w:r>
              <w:rPr>
                <w:rFonts w:ascii="Times New Roman" w:hAnsi="Times New Roman"/>
                <w:b/>
                <w:bCs/>
                <w:sz w:val="20"/>
                <w:szCs w:val="20"/>
              </w:rPr>
              <w:t>.</w:t>
            </w:r>
            <w:r w:rsidR="004317C4">
              <w:rPr>
                <w:rFonts w:ascii="Times New Roman" w:hAnsi="Times New Roman"/>
                <w:b/>
                <w:bCs/>
                <w:sz w:val="20"/>
                <w:szCs w:val="20"/>
              </w:rPr>
              <w:t>77</w:t>
            </w:r>
            <w:r w:rsidRPr="00947EDA">
              <w:rPr>
                <w:rFonts w:ascii="Times New Roman" w:hAnsi="Times New Roman"/>
                <w:b/>
                <w:bCs/>
                <w:sz w:val="20"/>
                <w:szCs w:val="20"/>
              </w:rPr>
              <w:t>% (201</w:t>
            </w:r>
            <w:r>
              <w:rPr>
                <w:rFonts w:ascii="Times New Roman" w:hAnsi="Times New Roman"/>
                <w:b/>
                <w:bCs/>
                <w:sz w:val="20"/>
                <w:szCs w:val="20"/>
              </w:rPr>
              <w:t>7</w:t>
            </w:r>
            <w:r w:rsidRPr="00947EDA">
              <w:rPr>
                <w:rFonts w:ascii="Times New Roman" w:hAnsi="Times New Roman"/>
                <w:b/>
                <w:bCs/>
                <w:sz w:val="20"/>
                <w:szCs w:val="20"/>
              </w:rPr>
              <w:t xml:space="preserve">: </w:t>
            </w:r>
            <w:r>
              <w:rPr>
                <w:rFonts w:ascii="Times New Roman" w:hAnsi="Times New Roman"/>
                <w:b/>
                <w:bCs/>
                <w:sz w:val="20"/>
                <w:szCs w:val="20"/>
              </w:rPr>
              <w:t>13.79</w:t>
            </w:r>
            <w:r w:rsidRPr="00947EDA">
              <w:rPr>
                <w:rFonts w:ascii="Times New Roman" w:hAnsi="Times New Roman"/>
                <w:b/>
                <w:bCs/>
                <w:sz w:val="20"/>
                <w:szCs w:val="20"/>
              </w:rPr>
              <w:t>%)</w:t>
            </w:r>
          </w:p>
        </w:tc>
        <w:tc>
          <w:tcPr>
            <w:tcW w:w="3177" w:type="dxa"/>
            <w:gridSpan w:val="4"/>
            <w:tcBorders>
              <w:top w:val="nil"/>
              <w:left w:val="nil"/>
              <w:right w:val="nil"/>
            </w:tcBorders>
            <w:shd w:val="clear" w:color="auto" w:fill="auto"/>
            <w:noWrap/>
            <w:vAlign w:val="bottom"/>
          </w:tcPr>
          <w:p w:rsidR="008B64A3" w:rsidRPr="00947EDA" w:rsidRDefault="008B64A3" w:rsidP="00781E9B">
            <w:pPr>
              <w:ind w:left="-108"/>
              <w:jc w:val="right"/>
              <w:rPr>
                <w:rFonts w:ascii="Times New Roman" w:hAnsi="Times New Roman"/>
                <w:sz w:val="20"/>
                <w:szCs w:val="20"/>
              </w:rPr>
            </w:pPr>
          </w:p>
        </w:tc>
        <w:tc>
          <w:tcPr>
            <w:tcW w:w="1855" w:type="dxa"/>
            <w:gridSpan w:val="4"/>
            <w:tcBorders>
              <w:top w:val="nil"/>
              <w:left w:val="nil"/>
              <w:right w:val="nil"/>
            </w:tcBorders>
            <w:shd w:val="clear" w:color="auto" w:fill="auto"/>
            <w:noWrap/>
            <w:vAlign w:val="bottom"/>
          </w:tcPr>
          <w:p w:rsidR="008B64A3" w:rsidRPr="00947EDA" w:rsidRDefault="008B64A3" w:rsidP="00781E9B">
            <w:pPr>
              <w:jc w:val="right"/>
              <w:rPr>
                <w:rFonts w:ascii="Times New Roman" w:hAnsi="Times New Roman"/>
                <w:sz w:val="20"/>
                <w:szCs w:val="20"/>
              </w:rPr>
            </w:pPr>
          </w:p>
        </w:tc>
        <w:tc>
          <w:tcPr>
            <w:tcW w:w="1250" w:type="dxa"/>
            <w:gridSpan w:val="6"/>
            <w:tcBorders>
              <w:top w:val="nil"/>
              <w:left w:val="nil"/>
              <w:right w:val="nil"/>
            </w:tcBorders>
            <w:shd w:val="clear" w:color="auto" w:fill="auto"/>
            <w:noWrap/>
            <w:vAlign w:val="bottom"/>
          </w:tcPr>
          <w:p w:rsidR="008B64A3" w:rsidRPr="00947EDA" w:rsidRDefault="008B64A3" w:rsidP="00460791">
            <w:pPr>
              <w:jc w:val="right"/>
              <w:rPr>
                <w:rFonts w:ascii="Times New Roman" w:hAnsi="Times New Roman"/>
                <w:sz w:val="20"/>
                <w:szCs w:val="20"/>
              </w:rPr>
            </w:pPr>
          </w:p>
        </w:tc>
        <w:tc>
          <w:tcPr>
            <w:tcW w:w="1181" w:type="dxa"/>
            <w:gridSpan w:val="2"/>
            <w:tcBorders>
              <w:top w:val="nil"/>
              <w:left w:val="nil"/>
              <w:right w:val="nil"/>
            </w:tcBorders>
            <w:shd w:val="clear" w:color="auto" w:fill="auto"/>
            <w:noWrap/>
            <w:vAlign w:val="bottom"/>
          </w:tcPr>
          <w:p w:rsidR="008B64A3" w:rsidRPr="00947EDA" w:rsidRDefault="008B64A3" w:rsidP="00AC5183">
            <w:pPr>
              <w:ind w:right="-67"/>
              <w:jc w:val="right"/>
              <w:rPr>
                <w:rFonts w:ascii="Times New Roman" w:hAnsi="Times New Roman"/>
                <w:bCs/>
                <w:sz w:val="20"/>
                <w:szCs w:val="20"/>
              </w:rPr>
            </w:pPr>
          </w:p>
        </w:tc>
      </w:tr>
      <w:tr w:rsidR="00140415" w:rsidRPr="009170B8" w:rsidTr="00E54387">
        <w:trPr>
          <w:trHeight w:val="227"/>
        </w:trPr>
        <w:tc>
          <w:tcPr>
            <w:tcW w:w="1688" w:type="dxa"/>
            <w:gridSpan w:val="7"/>
            <w:tcBorders>
              <w:top w:val="nil"/>
              <w:left w:val="nil"/>
              <w:bottom w:val="nil"/>
              <w:right w:val="nil"/>
            </w:tcBorders>
            <w:shd w:val="clear" w:color="auto" w:fill="auto"/>
            <w:noWrap/>
            <w:vAlign w:val="bottom"/>
          </w:tcPr>
          <w:p w:rsidR="008B64A3" w:rsidRPr="00947EDA" w:rsidRDefault="008B64A3" w:rsidP="00590B67">
            <w:pPr>
              <w:rPr>
                <w:rFonts w:ascii="Times New Roman" w:hAnsi="Times New Roman"/>
                <w:sz w:val="20"/>
                <w:szCs w:val="20"/>
              </w:rPr>
            </w:pPr>
            <w:r w:rsidRPr="009170B8">
              <w:rPr>
                <w:rFonts w:ascii="Times New Roman" w:hAnsi="Times New Roman"/>
                <w:b/>
                <w:bCs/>
                <w:sz w:val="20"/>
                <w:szCs w:val="20"/>
              </w:rPr>
              <w:t>Financials:</w:t>
            </w:r>
          </w:p>
        </w:tc>
        <w:tc>
          <w:tcPr>
            <w:tcW w:w="1334" w:type="dxa"/>
            <w:gridSpan w:val="6"/>
            <w:tcBorders>
              <w:top w:val="nil"/>
              <w:left w:val="nil"/>
              <w:bottom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3651" w:type="dxa"/>
            <w:gridSpan w:val="6"/>
            <w:tcBorders>
              <w:top w:val="nil"/>
              <w:left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1855" w:type="dxa"/>
            <w:gridSpan w:val="4"/>
            <w:tcBorders>
              <w:top w:val="nil"/>
              <w:left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1250" w:type="dxa"/>
            <w:gridSpan w:val="6"/>
            <w:tcBorders>
              <w:top w:val="nil"/>
              <w:left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1181" w:type="dxa"/>
            <w:gridSpan w:val="2"/>
            <w:tcBorders>
              <w:top w:val="nil"/>
              <w:left w:val="nil"/>
              <w:right w:val="nil"/>
            </w:tcBorders>
            <w:shd w:val="clear" w:color="auto" w:fill="auto"/>
            <w:noWrap/>
            <w:vAlign w:val="bottom"/>
          </w:tcPr>
          <w:p w:rsidR="008B64A3" w:rsidRPr="00947EDA" w:rsidRDefault="008B64A3" w:rsidP="00AC5183">
            <w:pPr>
              <w:ind w:right="-67"/>
              <w:jc w:val="right"/>
              <w:rPr>
                <w:rFonts w:ascii="Times New Roman" w:hAnsi="Times New Roman"/>
                <w:bCs/>
                <w:sz w:val="20"/>
                <w:szCs w:val="20"/>
              </w:rPr>
            </w:pPr>
          </w:p>
        </w:tc>
      </w:tr>
      <w:tr w:rsidR="00140415" w:rsidRPr="009170B8" w:rsidTr="00E54387">
        <w:trPr>
          <w:trHeight w:val="175"/>
        </w:trPr>
        <w:tc>
          <w:tcPr>
            <w:tcW w:w="3022" w:type="dxa"/>
            <w:gridSpan w:val="13"/>
            <w:tcBorders>
              <w:top w:val="nil"/>
              <w:left w:val="nil"/>
              <w:bottom w:val="nil"/>
              <w:right w:val="nil"/>
            </w:tcBorders>
            <w:shd w:val="clear" w:color="auto" w:fill="auto"/>
            <w:noWrap/>
            <w:vAlign w:val="bottom"/>
          </w:tcPr>
          <w:p w:rsidR="008B64A3" w:rsidRPr="00AD00D4" w:rsidRDefault="008B64A3">
            <w:pPr>
              <w:rPr>
                <w:rFonts w:ascii="Times New Roman" w:hAnsi="Times New Roman"/>
                <w:sz w:val="20"/>
                <w:szCs w:val="20"/>
              </w:rPr>
            </w:pPr>
            <w:r w:rsidRPr="009170B8">
              <w:rPr>
                <w:rFonts w:ascii="Times New Roman" w:hAnsi="Times New Roman"/>
                <w:sz w:val="20"/>
                <w:szCs w:val="20"/>
              </w:rPr>
              <w:t xml:space="preserve">JP Morgan Chase </w:t>
            </w:r>
            <w:r>
              <w:rPr>
                <w:rFonts w:ascii="Times New Roman" w:hAnsi="Times New Roman"/>
                <w:sz w:val="20"/>
                <w:szCs w:val="20"/>
              </w:rPr>
              <w:t>&amp; Co.</w:t>
            </w:r>
          </w:p>
        </w:tc>
        <w:tc>
          <w:tcPr>
            <w:tcW w:w="1633" w:type="dxa"/>
            <w:gridSpan w:val="4"/>
            <w:tcBorders>
              <w:top w:val="nil"/>
              <w:left w:val="nil"/>
              <w:bottom w:val="nil"/>
              <w:right w:val="nil"/>
            </w:tcBorders>
            <w:shd w:val="clear" w:color="auto" w:fill="auto"/>
            <w:noWrap/>
            <w:vAlign w:val="bottom"/>
          </w:tcPr>
          <w:p w:rsidR="008B64A3" w:rsidRPr="00947EDA" w:rsidRDefault="008B64A3">
            <w:pPr>
              <w:jc w:val="right"/>
              <w:rPr>
                <w:rFonts w:ascii="Times New Roman" w:hAnsi="Times New Roman"/>
                <w:sz w:val="20"/>
                <w:szCs w:val="20"/>
              </w:rPr>
            </w:pPr>
            <w:r>
              <w:rPr>
                <w:rFonts w:ascii="Times New Roman" w:hAnsi="Times New Roman"/>
                <w:sz w:val="20"/>
                <w:szCs w:val="20"/>
              </w:rPr>
              <w:t xml:space="preserve">  </w:t>
            </w:r>
            <w:r w:rsidR="0074128C">
              <w:rPr>
                <w:rFonts w:ascii="Times New Roman" w:hAnsi="Times New Roman"/>
                <w:sz w:val="20"/>
                <w:szCs w:val="20"/>
              </w:rPr>
              <w:t>75</w:t>
            </w:r>
            <w:r w:rsidRPr="00947EDA">
              <w:rPr>
                <w:rFonts w:ascii="Times New Roman" w:hAnsi="Times New Roman"/>
                <w:sz w:val="20"/>
                <w:szCs w:val="20"/>
              </w:rPr>
              <w:t>,000</w:t>
            </w:r>
          </w:p>
        </w:tc>
        <w:tc>
          <w:tcPr>
            <w:tcW w:w="2018" w:type="dxa"/>
            <w:gridSpan w:val="2"/>
            <w:tcBorders>
              <w:top w:val="nil"/>
              <w:left w:val="nil"/>
              <w:right w:val="nil"/>
            </w:tcBorders>
            <w:shd w:val="clear" w:color="auto" w:fill="auto"/>
            <w:noWrap/>
            <w:vAlign w:val="bottom"/>
          </w:tcPr>
          <w:p w:rsidR="008B64A3" w:rsidRPr="00947EDA" w:rsidRDefault="0074128C">
            <w:pPr>
              <w:ind w:left="-108"/>
              <w:jc w:val="right"/>
              <w:rPr>
                <w:rFonts w:ascii="Times New Roman" w:hAnsi="Times New Roman"/>
                <w:sz w:val="20"/>
                <w:szCs w:val="20"/>
              </w:rPr>
            </w:pPr>
            <w:r>
              <w:rPr>
                <w:rFonts w:ascii="Times New Roman" w:hAnsi="Times New Roman"/>
                <w:sz w:val="20"/>
                <w:szCs w:val="20"/>
              </w:rPr>
              <w:t>3</w:t>
            </w:r>
            <w:r w:rsidR="008B64A3" w:rsidRPr="00947EDA">
              <w:rPr>
                <w:rFonts w:ascii="Times New Roman" w:hAnsi="Times New Roman"/>
                <w:sz w:val="20"/>
                <w:szCs w:val="20"/>
              </w:rPr>
              <w:t>,</w:t>
            </w:r>
            <w:r>
              <w:rPr>
                <w:rFonts w:ascii="Times New Roman" w:hAnsi="Times New Roman"/>
                <w:sz w:val="20"/>
                <w:szCs w:val="20"/>
              </w:rPr>
              <w:t>158</w:t>
            </w:r>
            <w:r w:rsidR="008B64A3" w:rsidRPr="00947EDA">
              <w:rPr>
                <w:rFonts w:ascii="Times New Roman" w:hAnsi="Times New Roman"/>
                <w:sz w:val="20"/>
                <w:szCs w:val="20"/>
              </w:rPr>
              <w:t>,</w:t>
            </w:r>
            <w:r>
              <w:rPr>
                <w:rFonts w:ascii="Times New Roman" w:hAnsi="Times New Roman"/>
                <w:sz w:val="20"/>
                <w:szCs w:val="20"/>
              </w:rPr>
              <w:t>284</w:t>
            </w:r>
          </w:p>
        </w:tc>
        <w:tc>
          <w:tcPr>
            <w:tcW w:w="1855" w:type="dxa"/>
            <w:gridSpan w:val="4"/>
            <w:tcBorders>
              <w:top w:val="nil"/>
              <w:left w:val="nil"/>
              <w:right w:val="nil"/>
            </w:tcBorders>
            <w:shd w:val="clear" w:color="auto" w:fill="auto"/>
            <w:noWrap/>
            <w:vAlign w:val="bottom"/>
          </w:tcPr>
          <w:p w:rsidR="008B64A3" w:rsidRPr="00947EDA" w:rsidRDefault="0074128C">
            <w:pPr>
              <w:jc w:val="right"/>
              <w:rPr>
                <w:rFonts w:ascii="Times New Roman" w:hAnsi="Times New Roman"/>
                <w:sz w:val="20"/>
                <w:szCs w:val="20"/>
              </w:rPr>
            </w:pPr>
            <w:r>
              <w:rPr>
                <w:rFonts w:ascii="Times New Roman" w:hAnsi="Times New Roman"/>
                <w:sz w:val="20"/>
                <w:szCs w:val="20"/>
              </w:rPr>
              <w:t>5,754,555</w:t>
            </w:r>
          </w:p>
        </w:tc>
        <w:tc>
          <w:tcPr>
            <w:tcW w:w="1250" w:type="dxa"/>
            <w:gridSpan w:val="6"/>
            <w:tcBorders>
              <w:top w:val="nil"/>
              <w:left w:val="nil"/>
              <w:right w:val="nil"/>
            </w:tcBorders>
            <w:shd w:val="clear" w:color="auto" w:fill="auto"/>
            <w:noWrap/>
            <w:vAlign w:val="bottom"/>
          </w:tcPr>
          <w:p w:rsidR="008B64A3" w:rsidRPr="00947EDA" w:rsidRDefault="008B64A3">
            <w:pPr>
              <w:jc w:val="right"/>
              <w:rPr>
                <w:rFonts w:ascii="Times New Roman" w:hAnsi="Times New Roman"/>
                <w:sz w:val="20"/>
                <w:szCs w:val="20"/>
              </w:rPr>
            </w:pPr>
            <w:r>
              <w:rPr>
                <w:rFonts w:ascii="Times New Roman" w:hAnsi="Times New Roman"/>
                <w:sz w:val="20"/>
                <w:szCs w:val="20"/>
              </w:rPr>
              <w:t xml:space="preserve">   </w:t>
            </w:r>
            <w:r w:rsidR="0074128C">
              <w:rPr>
                <w:rFonts w:ascii="Times New Roman" w:hAnsi="Times New Roman"/>
                <w:sz w:val="20"/>
                <w:szCs w:val="20"/>
              </w:rPr>
              <w:t>5.63</w:t>
            </w:r>
            <w:r w:rsidRPr="00947EDA">
              <w:rPr>
                <w:rFonts w:ascii="Times New Roman" w:hAnsi="Times New Roman"/>
                <w:sz w:val="20"/>
                <w:szCs w:val="20"/>
              </w:rPr>
              <w:t>%</w:t>
            </w:r>
          </w:p>
        </w:tc>
        <w:tc>
          <w:tcPr>
            <w:tcW w:w="1181" w:type="dxa"/>
            <w:gridSpan w:val="2"/>
            <w:tcBorders>
              <w:top w:val="nil"/>
              <w:left w:val="nil"/>
              <w:right w:val="nil"/>
            </w:tcBorders>
            <w:shd w:val="clear" w:color="auto" w:fill="auto"/>
            <w:noWrap/>
            <w:vAlign w:val="bottom"/>
          </w:tcPr>
          <w:p w:rsidR="008B64A3" w:rsidRPr="007E6005" w:rsidRDefault="0074128C" w:rsidP="00AC5183">
            <w:pPr>
              <w:ind w:right="-67"/>
              <w:jc w:val="right"/>
              <w:rPr>
                <w:rFonts w:ascii="Times New Roman" w:hAnsi="Times New Roman"/>
                <w:sz w:val="20"/>
                <w:szCs w:val="20"/>
              </w:rPr>
            </w:pPr>
            <w:r>
              <w:rPr>
                <w:rFonts w:ascii="Times New Roman" w:hAnsi="Times New Roman"/>
                <w:sz w:val="20"/>
                <w:szCs w:val="20"/>
              </w:rPr>
              <w:t>5.04</w:t>
            </w:r>
            <w:r w:rsidR="008B64A3" w:rsidRPr="007E6005">
              <w:rPr>
                <w:rFonts w:ascii="Times New Roman" w:hAnsi="Times New Roman"/>
                <w:sz w:val="20"/>
                <w:szCs w:val="20"/>
              </w:rPr>
              <w:t>%</w:t>
            </w:r>
          </w:p>
        </w:tc>
      </w:tr>
      <w:tr w:rsidR="00140415" w:rsidRPr="009170B8" w:rsidTr="00E54387">
        <w:trPr>
          <w:trHeight w:val="175"/>
        </w:trPr>
        <w:tc>
          <w:tcPr>
            <w:tcW w:w="3022" w:type="dxa"/>
            <w:gridSpan w:val="13"/>
            <w:tcBorders>
              <w:top w:val="nil"/>
              <w:left w:val="nil"/>
              <w:bottom w:val="nil"/>
              <w:right w:val="nil"/>
            </w:tcBorders>
            <w:shd w:val="clear" w:color="auto" w:fill="auto"/>
            <w:noWrap/>
            <w:vAlign w:val="bottom"/>
          </w:tcPr>
          <w:p w:rsidR="00BB783A" w:rsidRPr="009170B8" w:rsidRDefault="00BB783A">
            <w:pPr>
              <w:rPr>
                <w:rFonts w:ascii="Times New Roman" w:hAnsi="Times New Roman"/>
                <w:sz w:val="20"/>
                <w:szCs w:val="20"/>
              </w:rPr>
            </w:pPr>
            <w:r>
              <w:rPr>
                <w:rFonts w:ascii="Times New Roman" w:hAnsi="Times New Roman"/>
                <w:sz w:val="20"/>
                <w:szCs w:val="20"/>
              </w:rPr>
              <w:t>The Blackstone Group L.P.</w:t>
            </w:r>
          </w:p>
        </w:tc>
        <w:tc>
          <w:tcPr>
            <w:tcW w:w="1633" w:type="dxa"/>
            <w:gridSpan w:val="4"/>
            <w:tcBorders>
              <w:top w:val="nil"/>
              <w:left w:val="nil"/>
              <w:bottom w:val="nil"/>
              <w:right w:val="nil"/>
            </w:tcBorders>
            <w:shd w:val="clear" w:color="auto" w:fill="auto"/>
            <w:noWrap/>
            <w:vAlign w:val="bottom"/>
          </w:tcPr>
          <w:p w:rsidR="00BB783A" w:rsidRDefault="00BB783A">
            <w:pPr>
              <w:jc w:val="right"/>
              <w:rPr>
                <w:rFonts w:ascii="Times New Roman" w:hAnsi="Times New Roman"/>
                <w:sz w:val="20"/>
                <w:szCs w:val="20"/>
              </w:rPr>
            </w:pPr>
            <w:r>
              <w:rPr>
                <w:rFonts w:ascii="Times New Roman" w:hAnsi="Times New Roman"/>
                <w:sz w:val="20"/>
                <w:szCs w:val="20"/>
              </w:rPr>
              <w:t>120,000</w:t>
            </w:r>
          </w:p>
        </w:tc>
        <w:tc>
          <w:tcPr>
            <w:tcW w:w="2018" w:type="dxa"/>
            <w:gridSpan w:val="2"/>
            <w:tcBorders>
              <w:top w:val="nil"/>
              <w:left w:val="nil"/>
              <w:right w:val="nil"/>
            </w:tcBorders>
            <w:shd w:val="clear" w:color="auto" w:fill="auto"/>
            <w:noWrap/>
            <w:vAlign w:val="bottom"/>
          </w:tcPr>
          <w:p w:rsidR="00BB783A" w:rsidRDefault="00140415">
            <w:pPr>
              <w:ind w:left="-108"/>
              <w:jc w:val="right"/>
              <w:rPr>
                <w:rFonts w:ascii="Times New Roman" w:hAnsi="Times New Roman"/>
                <w:sz w:val="20"/>
                <w:szCs w:val="20"/>
              </w:rPr>
            </w:pPr>
            <w:r>
              <w:rPr>
                <w:rFonts w:ascii="Times New Roman" w:hAnsi="Times New Roman"/>
                <w:sz w:val="20"/>
                <w:szCs w:val="20"/>
              </w:rPr>
              <w:t>2,972,764</w:t>
            </w:r>
          </w:p>
        </w:tc>
        <w:tc>
          <w:tcPr>
            <w:tcW w:w="1855" w:type="dxa"/>
            <w:gridSpan w:val="4"/>
            <w:tcBorders>
              <w:top w:val="nil"/>
              <w:left w:val="nil"/>
              <w:right w:val="nil"/>
            </w:tcBorders>
            <w:shd w:val="clear" w:color="auto" w:fill="auto"/>
            <w:noWrap/>
            <w:vAlign w:val="bottom"/>
          </w:tcPr>
          <w:p w:rsidR="00BB783A" w:rsidRDefault="00BB783A">
            <w:pPr>
              <w:jc w:val="right"/>
              <w:rPr>
                <w:rFonts w:ascii="Times New Roman" w:hAnsi="Times New Roman"/>
                <w:sz w:val="20"/>
                <w:szCs w:val="20"/>
              </w:rPr>
            </w:pPr>
            <w:r>
              <w:rPr>
                <w:rFonts w:ascii="Times New Roman" w:hAnsi="Times New Roman"/>
                <w:sz w:val="20"/>
                <w:szCs w:val="20"/>
              </w:rPr>
              <w:t xml:space="preserve">   2,807,789</w:t>
            </w:r>
          </w:p>
        </w:tc>
        <w:tc>
          <w:tcPr>
            <w:tcW w:w="1250" w:type="dxa"/>
            <w:gridSpan w:val="6"/>
            <w:tcBorders>
              <w:top w:val="nil"/>
              <w:left w:val="nil"/>
              <w:right w:val="nil"/>
            </w:tcBorders>
            <w:shd w:val="clear" w:color="auto" w:fill="auto"/>
            <w:noWrap/>
            <w:vAlign w:val="bottom"/>
          </w:tcPr>
          <w:p w:rsidR="00BB783A" w:rsidRDefault="00BB783A">
            <w:pPr>
              <w:jc w:val="right"/>
              <w:rPr>
                <w:rFonts w:ascii="Times New Roman" w:hAnsi="Times New Roman"/>
                <w:sz w:val="20"/>
                <w:szCs w:val="20"/>
              </w:rPr>
            </w:pPr>
            <w:r>
              <w:rPr>
                <w:rFonts w:ascii="Times New Roman" w:hAnsi="Times New Roman"/>
                <w:sz w:val="20"/>
                <w:szCs w:val="20"/>
              </w:rPr>
              <w:t xml:space="preserve">   2.75</w:t>
            </w:r>
            <w:r w:rsidRPr="00947EDA">
              <w:rPr>
                <w:rFonts w:ascii="Times New Roman" w:hAnsi="Times New Roman"/>
                <w:sz w:val="20"/>
                <w:szCs w:val="20"/>
              </w:rPr>
              <w:t>%</w:t>
            </w:r>
          </w:p>
        </w:tc>
        <w:tc>
          <w:tcPr>
            <w:tcW w:w="1181" w:type="dxa"/>
            <w:gridSpan w:val="2"/>
            <w:tcBorders>
              <w:top w:val="nil"/>
              <w:left w:val="nil"/>
              <w:right w:val="nil"/>
            </w:tcBorders>
            <w:shd w:val="clear" w:color="auto" w:fill="auto"/>
            <w:noWrap/>
            <w:vAlign w:val="bottom"/>
          </w:tcPr>
          <w:p w:rsidR="00BB783A" w:rsidRDefault="00BB783A" w:rsidP="00AC5183">
            <w:pPr>
              <w:ind w:right="-67"/>
              <w:jc w:val="right"/>
              <w:rPr>
                <w:rFonts w:ascii="Times New Roman" w:hAnsi="Times New Roman"/>
                <w:sz w:val="20"/>
                <w:szCs w:val="20"/>
              </w:rPr>
            </w:pPr>
            <w:r>
              <w:rPr>
                <w:rFonts w:ascii="Times New Roman" w:hAnsi="Times New Roman"/>
                <w:sz w:val="20"/>
                <w:szCs w:val="20"/>
              </w:rPr>
              <w:t>2.46</w:t>
            </w:r>
            <w:r w:rsidRPr="007E6005">
              <w:rPr>
                <w:rFonts w:ascii="Times New Roman" w:hAnsi="Times New Roman"/>
                <w:sz w:val="20"/>
                <w:szCs w:val="20"/>
              </w:rPr>
              <w:t>%</w:t>
            </w:r>
          </w:p>
        </w:tc>
      </w:tr>
      <w:tr w:rsidR="00140415" w:rsidRPr="009170B8" w:rsidTr="00E54387">
        <w:trPr>
          <w:trHeight w:val="227"/>
        </w:trPr>
        <w:tc>
          <w:tcPr>
            <w:tcW w:w="921" w:type="dxa"/>
            <w:gridSpan w:val="4"/>
            <w:tcBorders>
              <w:top w:val="nil"/>
              <w:left w:val="nil"/>
              <w:bottom w:val="nil"/>
              <w:right w:val="nil"/>
            </w:tcBorders>
            <w:shd w:val="clear" w:color="auto" w:fill="auto"/>
            <w:noWrap/>
            <w:vAlign w:val="bottom"/>
          </w:tcPr>
          <w:p w:rsidR="008B64A3" w:rsidRPr="009170B8" w:rsidRDefault="008B64A3" w:rsidP="007E6005">
            <w:pPr>
              <w:jc w:val="right"/>
              <w:rPr>
                <w:rFonts w:ascii="Times New Roman" w:hAnsi="Times New Roman"/>
                <w:sz w:val="20"/>
                <w:szCs w:val="20"/>
              </w:rPr>
            </w:pPr>
          </w:p>
        </w:tc>
        <w:tc>
          <w:tcPr>
            <w:tcW w:w="539" w:type="dxa"/>
            <w:gridSpan w:val="2"/>
            <w:tcBorders>
              <w:top w:val="nil"/>
              <w:left w:val="nil"/>
              <w:bottom w:val="nil"/>
              <w:right w:val="nil"/>
            </w:tcBorders>
            <w:shd w:val="clear" w:color="auto" w:fill="auto"/>
            <w:noWrap/>
            <w:vAlign w:val="bottom"/>
          </w:tcPr>
          <w:p w:rsidR="008B64A3" w:rsidRPr="00947EDA" w:rsidRDefault="008B64A3" w:rsidP="007E6005">
            <w:pPr>
              <w:jc w:val="right"/>
              <w:rPr>
                <w:rFonts w:ascii="Times New Roman" w:hAnsi="Times New Roman"/>
                <w:sz w:val="20"/>
                <w:szCs w:val="20"/>
              </w:rPr>
            </w:pPr>
          </w:p>
        </w:tc>
        <w:tc>
          <w:tcPr>
            <w:tcW w:w="5213" w:type="dxa"/>
            <w:gridSpan w:val="13"/>
            <w:tcBorders>
              <w:top w:val="nil"/>
              <w:left w:val="nil"/>
              <w:right w:val="nil"/>
            </w:tcBorders>
            <w:shd w:val="clear" w:color="auto" w:fill="auto"/>
            <w:noWrap/>
            <w:vAlign w:val="bottom"/>
          </w:tcPr>
          <w:p w:rsidR="008B64A3" w:rsidRPr="00947EDA" w:rsidRDefault="008B64A3" w:rsidP="007E6005">
            <w:pPr>
              <w:ind w:left="-108"/>
              <w:jc w:val="right"/>
              <w:rPr>
                <w:rFonts w:ascii="Times New Roman" w:hAnsi="Times New Roman"/>
                <w:sz w:val="20"/>
                <w:szCs w:val="20"/>
              </w:rPr>
            </w:pPr>
          </w:p>
        </w:tc>
        <w:tc>
          <w:tcPr>
            <w:tcW w:w="1855" w:type="dxa"/>
            <w:gridSpan w:val="4"/>
            <w:tcBorders>
              <w:top w:val="nil"/>
              <w:left w:val="nil"/>
              <w:right w:val="nil"/>
            </w:tcBorders>
            <w:shd w:val="clear" w:color="auto" w:fill="auto"/>
            <w:noWrap/>
            <w:vAlign w:val="bottom"/>
          </w:tcPr>
          <w:p w:rsidR="008B64A3" w:rsidRDefault="008B64A3" w:rsidP="007E6005">
            <w:pPr>
              <w:jc w:val="right"/>
              <w:rPr>
                <w:rFonts w:ascii="Times New Roman" w:hAnsi="Times New Roman"/>
                <w:sz w:val="20"/>
                <w:szCs w:val="20"/>
              </w:rPr>
            </w:pPr>
          </w:p>
        </w:tc>
        <w:tc>
          <w:tcPr>
            <w:tcW w:w="1637" w:type="dxa"/>
            <w:gridSpan w:val="7"/>
            <w:tcBorders>
              <w:top w:val="nil"/>
              <w:left w:val="nil"/>
              <w:right w:val="nil"/>
            </w:tcBorders>
            <w:shd w:val="clear" w:color="auto" w:fill="auto"/>
            <w:noWrap/>
            <w:vAlign w:val="bottom"/>
          </w:tcPr>
          <w:p w:rsidR="008B64A3" w:rsidRDefault="008B64A3" w:rsidP="00AC5183">
            <w:pPr>
              <w:ind w:right="-67"/>
              <w:jc w:val="right"/>
              <w:rPr>
                <w:rFonts w:ascii="Times New Roman" w:hAnsi="Times New Roman"/>
                <w:sz w:val="20"/>
                <w:szCs w:val="20"/>
              </w:rPr>
            </w:pPr>
          </w:p>
        </w:tc>
        <w:tc>
          <w:tcPr>
            <w:tcW w:w="794" w:type="dxa"/>
            <w:tcBorders>
              <w:top w:val="nil"/>
              <w:left w:val="nil"/>
              <w:right w:val="nil"/>
            </w:tcBorders>
            <w:shd w:val="clear" w:color="auto" w:fill="auto"/>
            <w:noWrap/>
            <w:vAlign w:val="bottom"/>
          </w:tcPr>
          <w:p w:rsidR="008B64A3" w:rsidRPr="007E6005" w:rsidRDefault="008B64A3" w:rsidP="00AC5183">
            <w:pPr>
              <w:ind w:right="-67"/>
              <w:jc w:val="right"/>
              <w:rPr>
                <w:rFonts w:ascii="Times New Roman" w:hAnsi="Times New Roman"/>
                <w:sz w:val="20"/>
                <w:szCs w:val="20"/>
              </w:rPr>
            </w:pPr>
          </w:p>
        </w:tc>
      </w:tr>
      <w:tr w:rsidR="00140415" w:rsidRPr="009170B8" w:rsidTr="00A66792">
        <w:trPr>
          <w:trHeight w:val="227"/>
        </w:trPr>
        <w:tc>
          <w:tcPr>
            <w:tcW w:w="1460" w:type="dxa"/>
            <w:gridSpan w:val="6"/>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r>
              <w:rPr>
                <w:rFonts w:ascii="Times New Roman" w:hAnsi="Times New Roman"/>
                <w:b/>
                <w:sz w:val="20"/>
                <w:szCs w:val="20"/>
              </w:rPr>
              <w:t>Healthcare</w:t>
            </w:r>
            <w:r w:rsidRPr="00C01B88">
              <w:rPr>
                <w:rFonts w:ascii="Times New Roman" w:hAnsi="Times New Roman"/>
                <w:b/>
                <w:sz w:val="20"/>
                <w:szCs w:val="20"/>
              </w:rPr>
              <w:t>:</w:t>
            </w:r>
          </w:p>
        </w:tc>
        <w:tc>
          <w:tcPr>
            <w:tcW w:w="893" w:type="dxa"/>
            <w:gridSpan w:val="4"/>
            <w:tcBorders>
              <w:top w:val="nil"/>
              <w:left w:val="nil"/>
              <w:bottom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4320" w:type="dxa"/>
            <w:gridSpan w:val="9"/>
            <w:tcBorders>
              <w:top w:val="nil"/>
              <w:left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1855" w:type="dxa"/>
            <w:gridSpan w:val="4"/>
            <w:tcBorders>
              <w:top w:val="nil"/>
              <w:left w:val="nil"/>
              <w:right w:val="nil"/>
            </w:tcBorders>
            <w:shd w:val="clear" w:color="auto" w:fill="auto"/>
            <w:noWrap/>
            <w:vAlign w:val="bottom"/>
          </w:tcPr>
          <w:p w:rsidR="008B64A3" w:rsidRPr="00947EDA" w:rsidRDefault="008B64A3" w:rsidP="00781E9B">
            <w:pPr>
              <w:jc w:val="right"/>
              <w:rPr>
                <w:rFonts w:ascii="Times New Roman" w:hAnsi="Times New Roman"/>
                <w:sz w:val="20"/>
                <w:szCs w:val="20"/>
              </w:rPr>
            </w:pPr>
          </w:p>
        </w:tc>
        <w:tc>
          <w:tcPr>
            <w:tcW w:w="1637" w:type="dxa"/>
            <w:gridSpan w:val="7"/>
            <w:tcBorders>
              <w:top w:val="nil"/>
              <w:left w:val="nil"/>
              <w:right w:val="nil"/>
            </w:tcBorders>
            <w:shd w:val="clear" w:color="auto" w:fill="auto"/>
            <w:noWrap/>
            <w:vAlign w:val="bottom"/>
          </w:tcPr>
          <w:p w:rsidR="008B64A3" w:rsidRPr="00947EDA" w:rsidRDefault="008B64A3" w:rsidP="00AC5183">
            <w:pPr>
              <w:ind w:right="-67"/>
              <w:jc w:val="right"/>
              <w:rPr>
                <w:rFonts w:ascii="Times New Roman" w:hAnsi="Times New Roman"/>
                <w:sz w:val="20"/>
                <w:szCs w:val="20"/>
              </w:rPr>
            </w:pPr>
          </w:p>
        </w:tc>
        <w:tc>
          <w:tcPr>
            <w:tcW w:w="794" w:type="dxa"/>
            <w:tcBorders>
              <w:top w:val="nil"/>
              <w:left w:val="nil"/>
              <w:right w:val="nil"/>
            </w:tcBorders>
            <w:shd w:val="clear" w:color="auto" w:fill="auto"/>
            <w:noWrap/>
            <w:vAlign w:val="bottom"/>
          </w:tcPr>
          <w:p w:rsidR="008B64A3" w:rsidRPr="00947EDA" w:rsidRDefault="008B64A3" w:rsidP="00AC5183">
            <w:pPr>
              <w:ind w:right="-67"/>
              <w:jc w:val="right"/>
              <w:rPr>
                <w:rFonts w:ascii="Times New Roman" w:hAnsi="Times New Roman"/>
                <w:bCs/>
                <w:sz w:val="20"/>
                <w:szCs w:val="20"/>
              </w:rPr>
            </w:pPr>
          </w:p>
        </w:tc>
      </w:tr>
      <w:tr w:rsidR="00140415" w:rsidRPr="009170B8" w:rsidTr="00E54387">
        <w:trPr>
          <w:trHeight w:val="227"/>
        </w:trPr>
        <w:tc>
          <w:tcPr>
            <w:tcW w:w="3022" w:type="dxa"/>
            <w:gridSpan w:val="13"/>
            <w:tcBorders>
              <w:top w:val="nil"/>
              <w:left w:val="nil"/>
              <w:bottom w:val="nil"/>
              <w:right w:val="nil"/>
            </w:tcBorders>
            <w:shd w:val="clear" w:color="auto" w:fill="auto"/>
            <w:noWrap/>
            <w:vAlign w:val="bottom"/>
          </w:tcPr>
          <w:p w:rsidR="008B64A3" w:rsidRDefault="008B64A3" w:rsidP="003B01CA">
            <w:pPr>
              <w:rPr>
                <w:rFonts w:ascii="Times New Roman" w:hAnsi="Times New Roman"/>
                <w:sz w:val="20"/>
                <w:szCs w:val="20"/>
              </w:rPr>
            </w:pPr>
            <w:r>
              <w:rPr>
                <w:rFonts w:ascii="Times New Roman" w:hAnsi="Times New Roman"/>
                <w:sz w:val="20"/>
                <w:szCs w:val="20"/>
              </w:rPr>
              <w:t>Bristol-Myers Squibb Company</w:t>
            </w:r>
          </w:p>
        </w:tc>
        <w:tc>
          <w:tcPr>
            <w:tcW w:w="1633" w:type="dxa"/>
            <w:gridSpan w:val="4"/>
            <w:tcBorders>
              <w:top w:val="nil"/>
              <w:left w:val="nil"/>
              <w:bottom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90,000</w:t>
            </w:r>
          </w:p>
        </w:tc>
        <w:tc>
          <w:tcPr>
            <w:tcW w:w="2018" w:type="dxa"/>
            <w:gridSpan w:val="2"/>
            <w:tcBorders>
              <w:top w:val="nil"/>
              <w:left w:val="nil"/>
              <w:right w:val="nil"/>
            </w:tcBorders>
            <w:shd w:val="clear" w:color="auto" w:fill="auto"/>
            <w:noWrap/>
            <w:vAlign w:val="bottom"/>
          </w:tcPr>
          <w:p w:rsidR="008B64A3" w:rsidRDefault="008B64A3">
            <w:pPr>
              <w:ind w:left="-108"/>
              <w:jc w:val="right"/>
              <w:rPr>
                <w:rFonts w:ascii="Times New Roman" w:hAnsi="Times New Roman"/>
                <w:sz w:val="20"/>
                <w:szCs w:val="20"/>
              </w:rPr>
            </w:pPr>
            <w:r>
              <w:rPr>
                <w:rFonts w:ascii="Times New Roman" w:hAnsi="Times New Roman"/>
                <w:sz w:val="20"/>
                <w:szCs w:val="20"/>
              </w:rPr>
              <w:t>3,</w:t>
            </w:r>
            <w:r w:rsidR="0074128C">
              <w:rPr>
                <w:rFonts w:ascii="Times New Roman" w:hAnsi="Times New Roman"/>
                <w:sz w:val="20"/>
                <w:szCs w:val="20"/>
              </w:rPr>
              <w:t>903,996</w:t>
            </w:r>
          </w:p>
        </w:tc>
        <w:tc>
          <w:tcPr>
            <w:tcW w:w="1855" w:type="dxa"/>
            <w:gridSpan w:val="4"/>
            <w:tcBorders>
              <w:top w:val="nil"/>
              <w:left w:val="nil"/>
              <w:right w:val="nil"/>
            </w:tcBorders>
            <w:shd w:val="clear" w:color="auto" w:fill="auto"/>
            <w:noWrap/>
            <w:vAlign w:val="bottom"/>
          </w:tcPr>
          <w:p w:rsidR="008B64A3" w:rsidRDefault="0074128C">
            <w:pPr>
              <w:jc w:val="right"/>
              <w:rPr>
                <w:rFonts w:ascii="Times New Roman" w:hAnsi="Times New Roman"/>
                <w:sz w:val="20"/>
                <w:szCs w:val="20"/>
              </w:rPr>
            </w:pPr>
            <w:r>
              <w:rPr>
                <w:rFonts w:ascii="Times New Roman" w:hAnsi="Times New Roman"/>
                <w:sz w:val="20"/>
                <w:szCs w:val="20"/>
              </w:rPr>
              <w:t>3</w:t>
            </w:r>
            <w:r w:rsidR="008B64A3">
              <w:rPr>
                <w:rFonts w:ascii="Times New Roman" w:hAnsi="Times New Roman"/>
                <w:sz w:val="20"/>
                <w:szCs w:val="20"/>
              </w:rPr>
              <w:t>,</w:t>
            </w:r>
            <w:r>
              <w:rPr>
                <w:rFonts w:ascii="Times New Roman" w:hAnsi="Times New Roman"/>
                <w:sz w:val="20"/>
                <w:szCs w:val="20"/>
              </w:rPr>
              <w:t>671</w:t>
            </w:r>
            <w:r w:rsidR="008B64A3">
              <w:rPr>
                <w:rFonts w:ascii="Times New Roman" w:hAnsi="Times New Roman"/>
                <w:sz w:val="20"/>
                <w:szCs w:val="20"/>
              </w:rPr>
              <w:t>,</w:t>
            </w:r>
            <w:r>
              <w:rPr>
                <w:rFonts w:ascii="Times New Roman" w:hAnsi="Times New Roman"/>
                <w:sz w:val="20"/>
                <w:szCs w:val="20"/>
              </w:rPr>
              <w:t>797</w:t>
            </w:r>
          </w:p>
        </w:tc>
        <w:tc>
          <w:tcPr>
            <w:tcW w:w="1250" w:type="dxa"/>
            <w:gridSpan w:val="6"/>
            <w:tcBorders>
              <w:top w:val="nil"/>
              <w:left w:val="nil"/>
              <w:right w:val="nil"/>
            </w:tcBorders>
            <w:shd w:val="clear" w:color="auto" w:fill="auto"/>
            <w:noWrap/>
            <w:vAlign w:val="bottom"/>
          </w:tcPr>
          <w:p w:rsidR="008B64A3" w:rsidRDefault="008B64A3">
            <w:pPr>
              <w:jc w:val="right"/>
              <w:rPr>
                <w:rFonts w:ascii="Times New Roman" w:hAnsi="Times New Roman"/>
                <w:sz w:val="20"/>
                <w:szCs w:val="20"/>
              </w:rPr>
            </w:pPr>
            <w:r>
              <w:rPr>
                <w:rFonts w:ascii="Times New Roman" w:hAnsi="Times New Roman"/>
                <w:sz w:val="20"/>
                <w:szCs w:val="20"/>
              </w:rPr>
              <w:t>3.</w:t>
            </w:r>
            <w:r w:rsidR="0074128C">
              <w:rPr>
                <w:rFonts w:ascii="Times New Roman" w:hAnsi="Times New Roman"/>
                <w:sz w:val="20"/>
                <w:szCs w:val="20"/>
              </w:rPr>
              <w:t>59</w:t>
            </w:r>
            <w:r>
              <w:rPr>
                <w:rFonts w:ascii="Times New Roman" w:hAnsi="Times New Roman"/>
                <w:sz w:val="20"/>
                <w:szCs w:val="20"/>
              </w:rPr>
              <w:t>%</w:t>
            </w:r>
          </w:p>
        </w:tc>
        <w:tc>
          <w:tcPr>
            <w:tcW w:w="1181" w:type="dxa"/>
            <w:gridSpan w:val="2"/>
            <w:tcBorders>
              <w:top w:val="nil"/>
              <w:left w:val="nil"/>
              <w:right w:val="nil"/>
            </w:tcBorders>
            <w:shd w:val="clear" w:color="auto" w:fill="auto"/>
            <w:noWrap/>
            <w:vAlign w:val="bottom"/>
          </w:tcPr>
          <w:p w:rsidR="008B64A3" w:rsidRPr="005D2A03" w:rsidRDefault="0074128C" w:rsidP="00AC5183">
            <w:pPr>
              <w:ind w:right="-67"/>
              <w:jc w:val="right"/>
              <w:rPr>
                <w:rFonts w:ascii="Times New Roman" w:hAnsi="Times New Roman"/>
                <w:sz w:val="20"/>
                <w:szCs w:val="20"/>
              </w:rPr>
            </w:pPr>
            <w:r>
              <w:rPr>
                <w:rFonts w:ascii="Times New Roman" w:hAnsi="Times New Roman"/>
                <w:sz w:val="20"/>
                <w:szCs w:val="20"/>
              </w:rPr>
              <w:t>3.22</w:t>
            </w:r>
            <w:r w:rsidR="008B64A3" w:rsidRPr="005D2A03">
              <w:rPr>
                <w:rFonts w:ascii="Times New Roman" w:hAnsi="Times New Roman"/>
                <w:sz w:val="20"/>
                <w:szCs w:val="20"/>
              </w:rPr>
              <w:t>%</w:t>
            </w:r>
          </w:p>
        </w:tc>
      </w:tr>
      <w:tr w:rsidR="00140415" w:rsidRPr="009170B8" w:rsidTr="00E54387">
        <w:trPr>
          <w:trHeight w:val="227"/>
        </w:trPr>
        <w:tc>
          <w:tcPr>
            <w:tcW w:w="3022" w:type="dxa"/>
            <w:gridSpan w:val="13"/>
            <w:tcBorders>
              <w:top w:val="nil"/>
              <w:left w:val="nil"/>
              <w:bottom w:val="nil"/>
              <w:right w:val="nil"/>
            </w:tcBorders>
            <w:shd w:val="clear" w:color="auto" w:fill="auto"/>
            <w:noWrap/>
            <w:vAlign w:val="bottom"/>
          </w:tcPr>
          <w:p w:rsidR="0074128C" w:rsidRDefault="0074128C" w:rsidP="003B01CA">
            <w:pPr>
              <w:rPr>
                <w:rFonts w:ascii="Times New Roman" w:hAnsi="Times New Roman"/>
                <w:sz w:val="20"/>
                <w:szCs w:val="20"/>
              </w:rPr>
            </w:pPr>
            <w:r>
              <w:rPr>
                <w:rFonts w:ascii="Times New Roman" w:hAnsi="Times New Roman"/>
                <w:sz w:val="20"/>
                <w:szCs w:val="20"/>
              </w:rPr>
              <w:t>Pfizer Inc</w:t>
            </w:r>
            <w:r w:rsidR="00885FEF">
              <w:rPr>
                <w:rFonts w:ascii="Times New Roman" w:hAnsi="Times New Roman"/>
                <w:sz w:val="20"/>
                <w:szCs w:val="20"/>
              </w:rPr>
              <w:t>.</w:t>
            </w:r>
          </w:p>
        </w:tc>
        <w:tc>
          <w:tcPr>
            <w:tcW w:w="1633" w:type="dxa"/>
            <w:gridSpan w:val="4"/>
            <w:tcBorders>
              <w:top w:val="nil"/>
              <w:left w:val="nil"/>
              <w:bottom w:val="nil"/>
              <w:right w:val="nil"/>
            </w:tcBorders>
            <w:shd w:val="clear" w:color="auto" w:fill="auto"/>
            <w:noWrap/>
            <w:vAlign w:val="bottom"/>
          </w:tcPr>
          <w:p w:rsidR="0074128C" w:rsidRDefault="0074128C">
            <w:pPr>
              <w:jc w:val="right"/>
              <w:rPr>
                <w:rFonts w:ascii="Times New Roman" w:hAnsi="Times New Roman"/>
                <w:sz w:val="20"/>
                <w:szCs w:val="20"/>
              </w:rPr>
            </w:pPr>
            <w:r>
              <w:rPr>
                <w:rFonts w:ascii="Times New Roman" w:hAnsi="Times New Roman"/>
                <w:sz w:val="20"/>
                <w:szCs w:val="20"/>
              </w:rPr>
              <w:t>95,000</w:t>
            </w:r>
          </w:p>
        </w:tc>
        <w:tc>
          <w:tcPr>
            <w:tcW w:w="2018" w:type="dxa"/>
            <w:gridSpan w:val="2"/>
            <w:tcBorders>
              <w:top w:val="nil"/>
              <w:left w:val="nil"/>
              <w:right w:val="nil"/>
            </w:tcBorders>
            <w:shd w:val="clear" w:color="auto" w:fill="auto"/>
            <w:noWrap/>
            <w:vAlign w:val="bottom"/>
          </w:tcPr>
          <w:p w:rsidR="0074128C" w:rsidRDefault="0074128C">
            <w:pPr>
              <w:ind w:left="-108"/>
              <w:jc w:val="right"/>
              <w:rPr>
                <w:rFonts w:ascii="Times New Roman" w:hAnsi="Times New Roman"/>
                <w:sz w:val="20"/>
                <w:szCs w:val="20"/>
              </w:rPr>
            </w:pPr>
            <w:r>
              <w:rPr>
                <w:rFonts w:ascii="Times New Roman" w:hAnsi="Times New Roman"/>
                <w:sz w:val="20"/>
                <w:szCs w:val="20"/>
              </w:rPr>
              <w:t>2,572,792</w:t>
            </w:r>
          </w:p>
        </w:tc>
        <w:tc>
          <w:tcPr>
            <w:tcW w:w="1855" w:type="dxa"/>
            <w:gridSpan w:val="4"/>
            <w:tcBorders>
              <w:top w:val="nil"/>
              <w:left w:val="nil"/>
              <w:right w:val="nil"/>
            </w:tcBorders>
            <w:shd w:val="clear" w:color="auto" w:fill="auto"/>
            <w:noWrap/>
            <w:vAlign w:val="bottom"/>
          </w:tcPr>
          <w:p w:rsidR="0074128C" w:rsidRDefault="0074128C">
            <w:pPr>
              <w:jc w:val="right"/>
              <w:rPr>
                <w:rFonts w:ascii="Times New Roman" w:hAnsi="Times New Roman"/>
                <w:sz w:val="20"/>
                <w:szCs w:val="20"/>
              </w:rPr>
            </w:pPr>
            <w:r>
              <w:rPr>
                <w:rFonts w:ascii="Times New Roman" w:hAnsi="Times New Roman"/>
                <w:sz w:val="20"/>
                <w:szCs w:val="20"/>
              </w:rPr>
              <w:t>3,255,183</w:t>
            </w:r>
          </w:p>
        </w:tc>
        <w:tc>
          <w:tcPr>
            <w:tcW w:w="1250" w:type="dxa"/>
            <w:gridSpan w:val="6"/>
            <w:tcBorders>
              <w:top w:val="nil"/>
              <w:left w:val="nil"/>
              <w:right w:val="nil"/>
            </w:tcBorders>
            <w:shd w:val="clear" w:color="auto" w:fill="auto"/>
            <w:noWrap/>
            <w:vAlign w:val="bottom"/>
          </w:tcPr>
          <w:p w:rsidR="0074128C" w:rsidRDefault="0074128C">
            <w:pPr>
              <w:jc w:val="right"/>
              <w:rPr>
                <w:rFonts w:ascii="Times New Roman" w:hAnsi="Times New Roman"/>
                <w:sz w:val="20"/>
                <w:szCs w:val="20"/>
              </w:rPr>
            </w:pPr>
            <w:r>
              <w:rPr>
                <w:rFonts w:ascii="Times New Roman" w:hAnsi="Times New Roman"/>
                <w:sz w:val="20"/>
                <w:szCs w:val="20"/>
              </w:rPr>
              <w:t>3.19%</w:t>
            </w:r>
          </w:p>
        </w:tc>
        <w:tc>
          <w:tcPr>
            <w:tcW w:w="1181" w:type="dxa"/>
            <w:gridSpan w:val="2"/>
            <w:tcBorders>
              <w:top w:val="nil"/>
              <w:left w:val="nil"/>
              <w:right w:val="nil"/>
            </w:tcBorders>
            <w:shd w:val="clear" w:color="auto" w:fill="auto"/>
            <w:noWrap/>
            <w:vAlign w:val="bottom"/>
          </w:tcPr>
          <w:p w:rsidR="0074128C" w:rsidRDefault="0074128C" w:rsidP="00AC5183">
            <w:pPr>
              <w:ind w:right="-67"/>
              <w:jc w:val="right"/>
              <w:rPr>
                <w:rFonts w:ascii="Times New Roman" w:hAnsi="Times New Roman"/>
                <w:sz w:val="20"/>
                <w:szCs w:val="20"/>
              </w:rPr>
            </w:pPr>
            <w:r>
              <w:rPr>
                <w:rFonts w:ascii="Times New Roman" w:hAnsi="Times New Roman"/>
                <w:sz w:val="20"/>
                <w:szCs w:val="20"/>
              </w:rPr>
              <w:t>2.85%</w:t>
            </w:r>
          </w:p>
        </w:tc>
      </w:tr>
      <w:tr w:rsidR="00140415" w:rsidRPr="009170B8" w:rsidTr="00A66792">
        <w:trPr>
          <w:trHeight w:val="227"/>
        </w:trPr>
        <w:tc>
          <w:tcPr>
            <w:tcW w:w="693" w:type="dxa"/>
            <w:gridSpan w:val="3"/>
            <w:tcBorders>
              <w:top w:val="nil"/>
              <w:left w:val="nil"/>
              <w:bottom w:val="nil"/>
              <w:right w:val="nil"/>
            </w:tcBorders>
            <w:shd w:val="clear" w:color="auto" w:fill="auto"/>
            <w:noWrap/>
            <w:vAlign w:val="bottom"/>
          </w:tcPr>
          <w:p w:rsidR="008B64A3" w:rsidRDefault="008B64A3" w:rsidP="003B01CA">
            <w:pPr>
              <w:rPr>
                <w:rFonts w:ascii="Times New Roman" w:hAnsi="Times New Roman"/>
                <w:sz w:val="20"/>
                <w:szCs w:val="20"/>
              </w:rPr>
            </w:pPr>
          </w:p>
        </w:tc>
        <w:tc>
          <w:tcPr>
            <w:tcW w:w="767" w:type="dxa"/>
            <w:gridSpan w:val="3"/>
            <w:tcBorders>
              <w:top w:val="nil"/>
              <w:left w:val="nil"/>
              <w:bottom w:val="nil"/>
              <w:right w:val="nil"/>
            </w:tcBorders>
            <w:shd w:val="clear" w:color="auto" w:fill="auto"/>
            <w:noWrap/>
            <w:vAlign w:val="bottom"/>
          </w:tcPr>
          <w:p w:rsidR="008B64A3" w:rsidDel="00E11D87" w:rsidRDefault="008B64A3" w:rsidP="00E11D87">
            <w:pPr>
              <w:jc w:val="right"/>
              <w:rPr>
                <w:rFonts w:ascii="Times New Roman" w:hAnsi="Times New Roman"/>
                <w:sz w:val="20"/>
                <w:szCs w:val="20"/>
              </w:rPr>
            </w:pPr>
          </w:p>
        </w:tc>
        <w:tc>
          <w:tcPr>
            <w:tcW w:w="893" w:type="dxa"/>
            <w:gridSpan w:val="4"/>
            <w:tcBorders>
              <w:top w:val="nil"/>
              <w:left w:val="nil"/>
              <w:right w:val="nil"/>
            </w:tcBorders>
            <w:shd w:val="clear" w:color="auto" w:fill="auto"/>
            <w:noWrap/>
            <w:vAlign w:val="bottom"/>
          </w:tcPr>
          <w:p w:rsidR="008B64A3" w:rsidDel="00E11D87" w:rsidRDefault="008B64A3" w:rsidP="00E11D87">
            <w:pPr>
              <w:ind w:left="-108"/>
              <w:jc w:val="right"/>
              <w:rPr>
                <w:rFonts w:ascii="Times New Roman" w:hAnsi="Times New Roman"/>
                <w:sz w:val="20"/>
                <w:szCs w:val="20"/>
              </w:rPr>
            </w:pPr>
          </w:p>
        </w:tc>
        <w:tc>
          <w:tcPr>
            <w:tcW w:w="5460" w:type="dxa"/>
            <w:gridSpan w:val="11"/>
            <w:tcBorders>
              <w:top w:val="nil"/>
              <w:left w:val="nil"/>
              <w:right w:val="nil"/>
            </w:tcBorders>
            <w:shd w:val="clear" w:color="auto" w:fill="auto"/>
            <w:noWrap/>
            <w:vAlign w:val="bottom"/>
          </w:tcPr>
          <w:p w:rsidR="008B64A3" w:rsidDel="00E11D87" w:rsidRDefault="008B64A3" w:rsidP="00E11D87">
            <w:pPr>
              <w:jc w:val="right"/>
              <w:rPr>
                <w:rFonts w:ascii="Times New Roman" w:hAnsi="Times New Roman"/>
                <w:sz w:val="20"/>
                <w:szCs w:val="20"/>
              </w:rPr>
            </w:pPr>
          </w:p>
        </w:tc>
        <w:tc>
          <w:tcPr>
            <w:tcW w:w="1077" w:type="dxa"/>
            <w:gridSpan w:val="4"/>
            <w:tcBorders>
              <w:top w:val="nil"/>
              <w:left w:val="nil"/>
              <w:right w:val="nil"/>
            </w:tcBorders>
            <w:shd w:val="clear" w:color="auto" w:fill="auto"/>
            <w:noWrap/>
            <w:vAlign w:val="bottom"/>
          </w:tcPr>
          <w:p w:rsidR="008B64A3" w:rsidDel="00E11D87" w:rsidRDefault="008B64A3" w:rsidP="00E11D87">
            <w:pPr>
              <w:jc w:val="right"/>
              <w:rPr>
                <w:rFonts w:ascii="Times New Roman" w:hAnsi="Times New Roman"/>
                <w:sz w:val="20"/>
                <w:szCs w:val="20"/>
              </w:rPr>
            </w:pPr>
          </w:p>
        </w:tc>
        <w:tc>
          <w:tcPr>
            <w:tcW w:w="2069" w:type="dxa"/>
            <w:gridSpan w:val="6"/>
            <w:tcBorders>
              <w:top w:val="nil"/>
              <w:left w:val="nil"/>
              <w:right w:val="nil"/>
            </w:tcBorders>
            <w:shd w:val="clear" w:color="auto" w:fill="auto"/>
            <w:noWrap/>
            <w:vAlign w:val="bottom"/>
          </w:tcPr>
          <w:p w:rsidR="008B64A3" w:rsidRPr="005D2A03" w:rsidDel="00E11D87" w:rsidRDefault="008B64A3" w:rsidP="00AC5183">
            <w:pPr>
              <w:ind w:right="-67"/>
              <w:jc w:val="right"/>
              <w:rPr>
                <w:rFonts w:ascii="Times New Roman" w:hAnsi="Times New Roman"/>
                <w:sz w:val="20"/>
                <w:szCs w:val="20"/>
              </w:rPr>
            </w:pPr>
          </w:p>
        </w:tc>
      </w:tr>
      <w:tr w:rsidR="00140415" w:rsidRPr="009170B8" w:rsidTr="00A66792">
        <w:trPr>
          <w:trHeight w:val="227"/>
        </w:trPr>
        <w:tc>
          <w:tcPr>
            <w:tcW w:w="1916" w:type="dxa"/>
            <w:gridSpan w:val="8"/>
            <w:tcBorders>
              <w:top w:val="nil"/>
              <w:left w:val="nil"/>
              <w:bottom w:val="nil"/>
              <w:right w:val="nil"/>
            </w:tcBorders>
            <w:shd w:val="clear" w:color="auto" w:fill="auto"/>
            <w:noWrap/>
            <w:vAlign w:val="bottom"/>
          </w:tcPr>
          <w:p w:rsidR="008B64A3" w:rsidRPr="009170B8" w:rsidRDefault="008B64A3" w:rsidP="00AC5183">
            <w:pPr>
              <w:ind w:right="-67"/>
              <w:rPr>
                <w:rFonts w:ascii="Times New Roman" w:hAnsi="Times New Roman"/>
                <w:sz w:val="20"/>
                <w:szCs w:val="20"/>
              </w:rPr>
            </w:pPr>
            <w:r>
              <w:rPr>
                <w:rFonts w:ascii="Times New Roman" w:hAnsi="Times New Roman"/>
                <w:b/>
                <w:sz w:val="20"/>
                <w:szCs w:val="20"/>
              </w:rPr>
              <w:t>Telecommunications Services</w:t>
            </w:r>
            <w:r w:rsidRPr="00C01B88">
              <w:rPr>
                <w:rFonts w:ascii="Times New Roman" w:hAnsi="Times New Roman"/>
                <w:b/>
                <w:sz w:val="20"/>
                <w:szCs w:val="20"/>
              </w:rPr>
              <w:t>:</w:t>
            </w:r>
          </w:p>
        </w:tc>
        <w:tc>
          <w:tcPr>
            <w:tcW w:w="437" w:type="dxa"/>
            <w:gridSpan w:val="2"/>
            <w:tcBorders>
              <w:top w:val="nil"/>
              <w:left w:val="nil"/>
              <w:bottom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236" w:type="dxa"/>
            <w:gridSpan w:val="2"/>
            <w:tcBorders>
              <w:top w:val="nil"/>
              <w:left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5962" w:type="dxa"/>
            <w:gridSpan w:val="12"/>
            <w:tcBorders>
              <w:top w:val="nil"/>
              <w:left w:val="nil"/>
              <w:right w:val="nil"/>
            </w:tcBorders>
            <w:shd w:val="clear" w:color="auto" w:fill="auto"/>
            <w:noWrap/>
            <w:vAlign w:val="bottom"/>
          </w:tcPr>
          <w:p w:rsidR="008B64A3" w:rsidRPr="00947EDA" w:rsidRDefault="008B64A3" w:rsidP="00590B67">
            <w:pPr>
              <w:jc w:val="right"/>
              <w:rPr>
                <w:rFonts w:ascii="Times New Roman" w:hAnsi="Times New Roman"/>
                <w:sz w:val="20"/>
                <w:szCs w:val="20"/>
              </w:rPr>
            </w:pPr>
          </w:p>
        </w:tc>
        <w:tc>
          <w:tcPr>
            <w:tcW w:w="668" w:type="dxa"/>
            <w:gridSpan w:val="3"/>
            <w:tcBorders>
              <w:top w:val="nil"/>
              <w:left w:val="nil"/>
              <w:right w:val="nil"/>
            </w:tcBorders>
            <w:shd w:val="clear" w:color="auto" w:fill="auto"/>
            <w:noWrap/>
            <w:vAlign w:val="bottom"/>
          </w:tcPr>
          <w:p w:rsidR="008B64A3" w:rsidRPr="00947EDA" w:rsidRDefault="008B64A3" w:rsidP="00617038">
            <w:pPr>
              <w:jc w:val="right"/>
              <w:rPr>
                <w:rFonts w:ascii="Times New Roman" w:hAnsi="Times New Roman"/>
                <w:sz w:val="20"/>
                <w:szCs w:val="20"/>
              </w:rPr>
            </w:pPr>
          </w:p>
        </w:tc>
        <w:tc>
          <w:tcPr>
            <w:tcW w:w="1740" w:type="dxa"/>
            <w:gridSpan w:val="4"/>
            <w:tcBorders>
              <w:top w:val="nil"/>
              <w:left w:val="nil"/>
              <w:right w:val="nil"/>
            </w:tcBorders>
            <w:shd w:val="clear" w:color="auto" w:fill="auto"/>
            <w:noWrap/>
            <w:vAlign w:val="bottom"/>
          </w:tcPr>
          <w:p w:rsidR="008B64A3" w:rsidRPr="00947EDA" w:rsidRDefault="008B64A3" w:rsidP="00AC5183">
            <w:pPr>
              <w:ind w:right="-67"/>
              <w:jc w:val="right"/>
              <w:rPr>
                <w:rFonts w:ascii="Times New Roman" w:hAnsi="Times New Roman"/>
                <w:bCs/>
                <w:sz w:val="20"/>
                <w:szCs w:val="20"/>
              </w:rPr>
            </w:pPr>
          </w:p>
        </w:tc>
      </w:tr>
      <w:tr w:rsidR="00140415" w:rsidRPr="009170B8" w:rsidTr="00E54387">
        <w:trPr>
          <w:trHeight w:val="227"/>
        </w:trPr>
        <w:tc>
          <w:tcPr>
            <w:tcW w:w="3022" w:type="dxa"/>
            <w:gridSpan w:val="13"/>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bookmarkStart w:id="67" w:name="OLE_LINK58"/>
            <w:bookmarkStart w:id="68" w:name="OLE_LINK59"/>
            <w:r>
              <w:rPr>
                <w:rFonts w:ascii="Times New Roman" w:hAnsi="Times New Roman"/>
                <w:sz w:val="20"/>
                <w:szCs w:val="20"/>
              </w:rPr>
              <w:t>CenturyLink, Inc.</w:t>
            </w:r>
            <w:bookmarkEnd w:id="67"/>
            <w:bookmarkEnd w:id="68"/>
          </w:p>
        </w:tc>
        <w:tc>
          <w:tcPr>
            <w:tcW w:w="1633" w:type="dxa"/>
            <w:gridSpan w:val="4"/>
            <w:tcBorders>
              <w:top w:val="nil"/>
              <w:left w:val="nil"/>
              <w:bottom w:val="nil"/>
              <w:right w:val="nil"/>
            </w:tcBorders>
            <w:shd w:val="clear" w:color="auto" w:fill="auto"/>
            <w:noWrap/>
            <w:vAlign w:val="bottom"/>
          </w:tcPr>
          <w:p w:rsidR="008B64A3" w:rsidRPr="00947EDA" w:rsidRDefault="0074128C">
            <w:pPr>
              <w:jc w:val="right"/>
              <w:rPr>
                <w:rFonts w:ascii="Times New Roman" w:hAnsi="Times New Roman"/>
                <w:sz w:val="20"/>
                <w:szCs w:val="20"/>
              </w:rPr>
            </w:pPr>
            <w:r>
              <w:rPr>
                <w:rFonts w:ascii="Times New Roman" w:hAnsi="Times New Roman"/>
                <w:sz w:val="20"/>
                <w:szCs w:val="20"/>
              </w:rPr>
              <w:t>115</w:t>
            </w:r>
            <w:r w:rsidR="008B64A3">
              <w:rPr>
                <w:rFonts w:ascii="Times New Roman" w:hAnsi="Times New Roman"/>
                <w:sz w:val="20"/>
                <w:szCs w:val="20"/>
              </w:rPr>
              <w:t>,000</w:t>
            </w:r>
          </w:p>
        </w:tc>
        <w:tc>
          <w:tcPr>
            <w:tcW w:w="2018" w:type="dxa"/>
            <w:gridSpan w:val="2"/>
            <w:tcBorders>
              <w:top w:val="nil"/>
              <w:left w:val="nil"/>
              <w:right w:val="nil"/>
            </w:tcBorders>
            <w:shd w:val="clear" w:color="auto" w:fill="auto"/>
            <w:noWrap/>
            <w:vAlign w:val="bottom"/>
          </w:tcPr>
          <w:p w:rsidR="008B64A3" w:rsidRPr="00947EDA" w:rsidRDefault="0074128C">
            <w:pPr>
              <w:jc w:val="right"/>
              <w:rPr>
                <w:rFonts w:ascii="Times New Roman" w:hAnsi="Times New Roman"/>
                <w:sz w:val="20"/>
                <w:szCs w:val="20"/>
              </w:rPr>
            </w:pPr>
            <w:r>
              <w:rPr>
                <w:rFonts w:ascii="Times New Roman" w:hAnsi="Times New Roman"/>
                <w:sz w:val="20"/>
                <w:szCs w:val="20"/>
              </w:rPr>
              <w:t>1</w:t>
            </w:r>
            <w:r w:rsidR="008B64A3">
              <w:rPr>
                <w:rFonts w:ascii="Times New Roman" w:hAnsi="Times New Roman"/>
                <w:sz w:val="20"/>
                <w:szCs w:val="20"/>
              </w:rPr>
              <w:t>,</w:t>
            </w:r>
            <w:r>
              <w:rPr>
                <w:rFonts w:ascii="Times New Roman" w:hAnsi="Times New Roman"/>
                <w:sz w:val="20"/>
                <w:szCs w:val="20"/>
              </w:rPr>
              <w:t>577</w:t>
            </w:r>
            <w:r w:rsidR="008B64A3">
              <w:rPr>
                <w:rFonts w:ascii="Times New Roman" w:hAnsi="Times New Roman"/>
                <w:sz w:val="20"/>
                <w:szCs w:val="20"/>
              </w:rPr>
              <w:t>,</w:t>
            </w:r>
            <w:r>
              <w:rPr>
                <w:rFonts w:ascii="Times New Roman" w:hAnsi="Times New Roman"/>
                <w:sz w:val="20"/>
                <w:szCs w:val="20"/>
              </w:rPr>
              <w:t>8</w:t>
            </w:r>
            <w:r w:rsidR="004317C4">
              <w:rPr>
                <w:rFonts w:ascii="Times New Roman" w:hAnsi="Times New Roman"/>
                <w:sz w:val="20"/>
                <w:szCs w:val="20"/>
              </w:rPr>
              <w:t>10</w:t>
            </w:r>
          </w:p>
        </w:tc>
        <w:tc>
          <w:tcPr>
            <w:tcW w:w="1855" w:type="dxa"/>
            <w:gridSpan w:val="4"/>
            <w:tcBorders>
              <w:top w:val="nil"/>
              <w:left w:val="nil"/>
              <w:right w:val="nil"/>
            </w:tcBorders>
            <w:shd w:val="clear" w:color="auto" w:fill="auto"/>
            <w:noWrap/>
            <w:vAlign w:val="bottom"/>
          </w:tcPr>
          <w:p w:rsidR="008B64A3" w:rsidRPr="00947EDA" w:rsidRDefault="0074128C">
            <w:pPr>
              <w:jc w:val="right"/>
              <w:rPr>
                <w:rFonts w:ascii="Times New Roman" w:hAnsi="Times New Roman"/>
                <w:sz w:val="20"/>
                <w:szCs w:val="20"/>
              </w:rPr>
            </w:pPr>
            <w:r>
              <w:rPr>
                <w:rFonts w:ascii="Times New Roman" w:hAnsi="Times New Roman"/>
                <w:sz w:val="20"/>
                <w:szCs w:val="20"/>
              </w:rPr>
              <w:t>1</w:t>
            </w:r>
            <w:r w:rsidR="008B64A3">
              <w:rPr>
                <w:rFonts w:ascii="Times New Roman" w:hAnsi="Times New Roman"/>
                <w:sz w:val="20"/>
                <w:szCs w:val="20"/>
              </w:rPr>
              <w:t>,</w:t>
            </w:r>
            <w:r>
              <w:rPr>
                <w:rFonts w:ascii="Times New Roman" w:hAnsi="Times New Roman"/>
                <w:sz w:val="20"/>
                <w:szCs w:val="20"/>
              </w:rPr>
              <w:t>367</w:t>
            </w:r>
            <w:r w:rsidR="008B64A3">
              <w:rPr>
                <w:rFonts w:ascii="Times New Roman" w:hAnsi="Times New Roman"/>
                <w:sz w:val="20"/>
                <w:szCs w:val="20"/>
              </w:rPr>
              <w:t>,</w:t>
            </w:r>
            <w:r>
              <w:rPr>
                <w:rFonts w:ascii="Times New Roman" w:hAnsi="Times New Roman"/>
                <w:sz w:val="20"/>
                <w:szCs w:val="20"/>
              </w:rPr>
              <w:t>97</w:t>
            </w:r>
            <w:r w:rsidR="004317C4">
              <w:rPr>
                <w:rFonts w:ascii="Times New Roman" w:hAnsi="Times New Roman"/>
                <w:sz w:val="20"/>
                <w:szCs w:val="20"/>
              </w:rPr>
              <w:t>5</w:t>
            </w:r>
          </w:p>
        </w:tc>
        <w:tc>
          <w:tcPr>
            <w:tcW w:w="1250" w:type="dxa"/>
            <w:gridSpan w:val="6"/>
            <w:tcBorders>
              <w:top w:val="nil"/>
              <w:left w:val="nil"/>
              <w:right w:val="nil"/>
            </w:tcBorders>
            <w:shd w:val="clear" w:color="auto" w:fill="auto"/>
            <w:noWrap/>
            <w:vAlign w:val="bottom"/>
          </w:tcPr>
          <w:p w:rsidR="008B64A3" w:rsidRPr="00947EDA" w:rsidRDefault="0074128C">
            <w:pPr>
              <w:jc w:val="right"/>
              <w:rPr>
                <w:rFonts w:ascii="Times New Roman" w:hAnsi="Times New Roman"/>
                <w:sz w:val="20"/>
                <w:szCs w:val="20"/>
              </w:rPr>
            </w:pPr>
            <w:r>
              <w:rPr>
                <w:rFonts w:ascii="Times New Roman" w:hAnsi="Times New Roman"/>
                <w:sz w:val="20"/>
                <w:szCs w:val="20"/>
              </w:rPr>
              <w:t>1</w:t>
            </w:r>
            <w:r w:rsidR="008B64A3">
              <w:rPr>
                <w:rFonts w:ascii="Times New Roman" w:hAnsi="Times New Roman"/>
                <w:sz w:val="20"/>
                <w:szCs w:val="20"/>
              </w:rPr>
              <w:t>.</w:t>
            </w:r>
            <w:r>
              <w:rPr>
                <w:rFonts w:ascii="Times New Roman" w:hAnsi="Times New Roman"/>
                <w:sz w:val="20"/>
                <w:szCs w:val="20"/>
              </w:rPr>
              <w:t>3</w:t>
            </w:r>
            <w:r w:rsidR="00885FEF">
              <w:rPr>
                <w:rFonts w:ascii="Times New Roman" w:hAnsi="Times New Roman"/>
                <w:sz w:val="20"/>
                <w:szCs w:val="20"/>
              </w:rPr>
              <w:t>6</w:t>
            </w:r>
            <w:r w:rsidR="008B64A3">
              <w:rPr>
                <w:rFonts w:ascii="Times New Roman" w:hAnsi="Times New Roman"/>
                <w:sz w:val="20"/>
                <w:szCs w:val="20"/>
              </w:rPr>
              <w:t>%</w:t>
            </w:r>
          </w:p>
        </w:tc>
        <w:tc>
          <w:tcPr>
            <w:tcW w:w="1181" w:type="dxa"/>
            <w:gridSpan w:val="2"/>
            <w:tcBorders>
              <w:top w:val="nil"/>
              <w:left w:val="nil"/>
              <w:right w:val="nil"/>
            </w:tcBorders>
            <w:shd w:val="clear" w:color="auto" w:fill="auto"/>
            <w:noWrap/>
            <w:vAlign w:val="bottom"/>
          </w:tcPr>
          <w:p w:rsidR="008B64A3" w:rsidRPr="005D2A03" w:rsidRDefault="008B64A3" w:rsidP="00AC5183">
            <w:pPr>
              <w:ind w:right="-67"/>
              <w:jc w:val="right"/>
              <w:rPr>
                <w:rFonts w:ascii="Times New Roman" w:hAnsi="Times New Roman"/>
                <w:sz w:val="20"/>
                <w:szCs w:val="20"/>
              </w:rPr>
            </w:pPr>
            <w:r>
              <w:rPr>
                <w:rFonts w:ascii="Times New Roman" w:hAnsi="Times New Roman"/>
                <w:sz w:val="20"/>
                <w:szCs w:val="20"/>
              </w:rPr>
              <w:t>1</w:t>
            </w:r>
            <w:r w:rsidRPr="005D2A03">
              <w:rPr>
                <w:rFonts w:ascii="Times New Roman" w:hAnsi="Times New Roman"/>
                <w:sz w:val="20"/>
                <w:szCs w:val="20"/>
              </w:rPr>
              <w:t>.</w:t>
            </w:r>
            <w:r w:rsidR="0074128C">
              <w:rPr>
                <w:rFonts w:ascii="Times New Roman" w:hAnsi="Times New Roman"/>
                <w:sz w:val="20"/>
                <w:szCs w:val="20"/>
              </w:rPr>
              <w:t>20</w:t>
            </w:r>
            <w:r w:rsidRPr="005D2A03">
              <w:rPr>
                <w:rFonts w:ascii="Times New Roman" w:hAnsi="Times New Roman"/>
                <w:sz w:val="20"/>
                <w:szCs w:val="20"/>
              </w:rPr>
              <w:t>%</w:t>
            </w: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8B64A3" w:rsidRDefault="008B64A3">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8B64A3" w:rsidRDefault="008B64A3" w:rsidP="00DC2D03">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8B64A3" w:rsidRDefault="008B64A3">
            <w:pPr>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8B64A3" w:rsidRDefault="008B64A3" w:rsidP="00617038">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8B64A3" w:rsidRDefault="008B64A3" w:rsidP="00AC5183">
            <w:pPr>
              <w:ind w:right="-67"/>
              <w:jc w:val="right"/>
              <w:rPr>
                <w:rFonts w:ascii="Times New Roman" w:hAnsi="Times New Roman"/>
                <w:bCs/>
                <w:sz w:val="20"/>
                <w:szCs w:val="20"/>
              </w:rPr>
            </w:pPr>
          </w:p>
        </w:tc>
      </w:tr>
      <w:tr w:rsidR="00A66792" w:rsidRPr="009170B8" w:rsidTr="00E54387">
        <w:trPr>
          <w:trHeight w:val="227"/>
        </w:trPr>
        <w:tc>
          <w:tcPr>
            <w:tcW w:w="3022" w:type="dxa"/>
            <w:gridSpan w:val="13"/>
            <w:tcBorders>
              <w:top w:val="nil"/>
              <w:left w:val="nil"/>
              <w:right w:val="nil"/>
            </w:tcBorders>
            <w:shd w:val="clear" w:color="auto" w:fill="auto"/>
            <w:noWrap/>
            <w:vAlign w:val="bottom"/>
          </w:tcPr>
          <w:p w:rsidR="00A66792" w:rsidRDefault="00A66792" w:rsidP="00637D10">
            <w:pPr>
              <w:rPr>
                <w:rFonts w:ascii="Times New Roman" w:hAnsi="Times New Roman"/>
                <w:sz w:val="20"/>
                <w:szCs w:val="20"/>
              </w:rPr>
            </w:pPr>
            <w:r>
              <w:rPr>
                <w:rFonts w:ascii="Times New Roman" w:hAnsi="Times New Roman"/>
                <w:b/>
                <w:sz w:val="20"/>
                <w:szCs w:val="20"/>
              </w:rPr>
              <w:t>Total Equities</w:t>
            </w:r>
          </w:p>
        </w:tc>
        <w:tc>
          <w:tcPr>
            <w:tcW w:w="1633" w:type="dxa"/>
            <w:gridSpan w:val="4"/>
            <w:tcBorders>
              <w:top w:val="nil"/>
              <w:left w:val="nil"/>
              <w:right w:val="nil"/>
            </w:tcBorders>
            <w:shd w:val="clear" w:color="auto" w:fill="auto"/>
            <w:noWrap/>
            <w:vAlign w:val="bottom"/>
          </w:tcPr>
          <w:p w:rsidR="00A66792" w:rsidRDefault="00A66792" w:rsidP="00637D10">
            <w:pPr>
              <w:jc w:val="right"/>
              <w:rPr>
                <w:rFonts w:ascii="Times New Roman" w:hAnsi="Times New Roman"/>
                <w:sz w:val="20"/>
                <w:szCs w:val="20"/>
              </w:rPr>
            </w:pPr>
          </w:p>
        </w:tc>
        <w:tc>
          <w:tcPr>
            <w:tcW w:w="2018" w:type="dxa"/>
            <w:gridSpan w:val="2"/>
            <w:tcBorders>
              <w:top w:val="single" w:sz="4" w:space="0" w:color="auto"/>
              <w:left w:val="nil"/>
              <w:bottom w:val="single" w:sz="4" w:space="0" w:color="auto"/>
              <w:right w:val="nil"/>
            </w:tcBorders>
            <w:shd w:val="clear" w:color="auto" w:fill="auto"/>
            <w:noWrap/>
            <w:vAlign w:val="bottom"/>
          </w:tcPr>
          <w:p w:rsidR="00A66792" w:rsidRPr="00E54387" w:rsidRDefault="00A66792">
            <w:pPr>
              <w:ind w:left="-108"/>
              <w:jc w:val="right"/>
              <w:rPr>
                <w:rFonts w:ascii="Times New Roman" w:hAnsi="Times New Roman"/>
                <w:b/>
                <w:sz w:val="20"/>
                <w:szCs w:val="20"/>
              </w:rPr>
            </w:pPr>
            <w:r>
              <w:rPr>
                <w:rFonts w:ascii="Times New Roman" w:hAnsi="Times New Roman"/>
                <w:b/>
                <w:sz w:val="20"/>
                <w:szCs w:val="20"/>
              </w:rPr>
              <w:t>122</w:t>
            </w:r>
            <w:r w:rsidRPr="00E54387">
              <w:rPr>
                <w:rFonts w:ascii="Times New Roman" w:hAnsi="Times New Roman"/>
                <w:b/>
                <w:sz w:val="20"/>
                <w:szCs w:val="20"/>
              </w:rPr>
              <w:t>,</w:t>
            </w:r>
            <w:r>
              <w:rPr>
                <w:rFonts w:ascii="Times New Roman" w:hAnsi="Times New Roman"/>
                <w:b/>
                <w:sz w:val="20"/>
                <w:szCs w:val="20"/>
              </w:rPr>
              <w:t>045</w:t>
            </w:r>
            <w:r w:rsidRPr="00E54387">
              <w:rPr>
                <w:rFonts w:ascii="Times New Roman" w:hAnsi="Times New Roman"/>
                <w:b/>
                <w:sz w:val="20"/>
                <w:szCs w:val="20"/>
              </w:rPr>
              <w:t>,</w:t>
            </w:r>
            <w:r>
              <w:rPr>
                <w:rFonts w:ascii="Times New Roman" w:hAnsi="Times New Roman"/>
                <w:b/>
                <w:sz w:val="20"/>
                <w:szCs w:val="20"/>
              </w:rPr>
              <w:t>436</w:t>
            </w:r>
          </w:p>
        </w:tc>
        <w:tc>
          <w:tcPr>
            <w:tcW w:w="1855" w:type="dxa"/>
            <w:gridSpan w:val="4"/>
            <w:tcBorders>
              <w:top w:val="single" w:sz="4" w:space="0" w:color="auto"/>
              <w:left w:val="nil"/>
              <w:bottom w:val="single" w:sz="4" w:space="0" w:color="auto"/>
              <w:right w:val="nil"/>
            </w:tcBorders>
            <w:shd w:val="clear" w:color="auto" w:fill="auto"/>
            <w:noWrap/>
            <w:vAlign w:val="bottom"/>
          </w:tcPr>
          <w:p w:rsidR="00A66792" w:rsidRPr="00E54387" w:rsidRDefault="00A66792">
            <w:pPr>
              <w:jc w:val="right"/>
              <w:rPr>
                <w:rFonts w:ascii="Times New Roman" w:hAnsi="Times New Roman"/>
                <w:b/>
                <w:sz w:val="20"/>
                <w:szCs w:val="20"/>
              </w:rPr>
            </w:pPr>
            <w:r>
              <w:rPr>
                <w:rFonts w:ascii="Times New Roman" w:hAnsi="Times New Roman"/>
                <w:b/>
                <w:sz w:val="20"/>
                <w:szCs w:val="20"/>
              </w:rPr>
              <w:t>112</w:t>
            </w:r>
            <w:r w:rsidRPr="00E54387">
              <w:rPr>
                <w:rFonts w:ascii="Times New Roman" w:hAnsi="Times New Roman"/>
                <w:b/>
                <w:sz w:val="20"/>
                <w:szCs w:val="20"/>
              </w:rPr>
              <w:t>,</w:t>
            </w:r>
            <w:r>
              <w:rPr>
                <w:rFonts w:ascii="Times New Roman" w:hAnsi="Times New Roman"/>
                <w:b/>
                <w:sz w:val="20"/>
                <w:szCs w:val="20"/>
              </w:rPr>
              <w:t>940</w:t>
            </w:r>
            <w:r w:rsidRPr="00E54387">
              <w:rPr>
                <w:rFonts w:ascii="Times New Roman" w:hAnsi="Times New Roman"/>
                <w:b/>
                <w:sz w:val="20"/>
                <w:szCs w:val="20"/>
              </w:rPr>
              <w:t>,</w:t>
            </w:r>
            <w:r>
              <w:rPr>
                <w:rFonts w:ascii="Times New Roman" w:hAnsi="Times New Roman"/>
                <w:b/>
                <w:sz w:val="20"/>
                <w:szCs w:val="20"/>
              </w:rPr>
              <w:t>472</w:t>
            </w:r>
          </w:p>
        </w:tc>
        <w:tc>
          <w:tcPr>
            <w:tcW w:w="1250" w:type="dxa"/>
            <w:gridSpan w:val="6"/>
            <w:tcBorders>
              <w:top w:val="single" w:sz="4" w:space="0" w:color="auto"/>
              <w:left w:val="nil"/>
              <w:bottom w:val="single" w:sz="4" w:space="0" w:color="auto"/>
              <w:right w:val="nil"/>
            </w:tcBorders>
            <w:shd w:val="clear" w:color="auto" w:fill="auto"/>
            <w:noWrap/>
            <w:vAlign w:val="bottom"/>
          </w:tcPr>
          <w:p w:rsidR="00A66792" w:rsidRPr="00E54387" w:rsidRDefault="00A66792">
            <w:pPr>
              <w:jc w:val="right"/>
              <w:rPr>
                <w:rFonts w:ascii="Times New Roman" w:hAnsi="Times New Roman"/>
                <w:b/>
                <w:sz w:val="20"/>
                <w:szCs w:val="20"/>
              </w:rPr>
            </w:pPr>
            <w:r>
              <w:rPr>
                <w:rFonts w:ascii="Times New Roman" w:hAnsi="Times New Roman"/>
                <w:b/>
                <w:sz w:val="20"/>
                <w:szCs w:val="20"/>
              </w:rPr>
              <w:t>110.54</w:t>
            </w:r>
            <w:r w:rsidRPr="00E54387">
              <w:rPr>
                <w:rFonts w:ascii="Times New Roman" w:hAnsi="Times New Roman"/>
                <w:b/>
                <w:sz w:val="20"/>
                <w:szCs w:val="20"/>
              </w:rPr>
              <w:t>%</w:t>
            </w:r>
          </w:p>
        </w:tc>
        <w:tc>
          <w:tcPr>
            <w:tcW w:w="1181" w:type="dxa"/>
            <w:gridSpan w:val="2"/>
            <w:tcBorders>
              <w:top w:val="single" w:sz="4" w:space="0" w:color="auto"/>
              <w:left w:val="nil"/>
              <w:bottom w:val="single" w:sz="4" w:space="0" w:color="auto"/>
              <w:right w:val="nil"/>
            </w:tcBorders>
            <w:shd w:val="clear" w:color="auto" w:fill="auto"/>
            <w:noWrap/>
            <w:vAlign w:val="bottom"/>
          </w:tcPr>
          <w:p w:rsidR="00A66792" w:rsidRPr="00E54387" w:rsidRDefault="00A66792">
            <w:pPr>
              <w:ind w:right="-67"/>
              <w:jc w:val="right"/>
              <w:rPr>
                <w:rFonts w:ascii="Times New Roman" w:hAnsi="Times New Roman"/>
                <w:b/>
                <w:sz w:val="20"/>
                <w:szCs w:val="20"/>
              </w:rPr>
            </w:pPr>
            <w:r>
              <w:rPr>
                <w:rFonts w:ascii="Times New Roman" w:hAnsi="Times New Roman"/>
                <w:b/>
                <w:sz w:val="20"/>
                <w:szCs w:val="20"/>
              </w:rPr>
              <w:t>98</w:t>
            </w:r>
            <w:r w:rsidRPr="00E54387">
              <w:rPr>
                <w:rFonts w:ascii="Times New Roman" w:hAnsi="Times New Roman"/>
                <w:b/>
                <w:sz w:val="20"/>
                <w:szCs w:val="20"/>
              </w:rPr>
              <w:t>.</w:t>
            </w:r>
            <w:r>
              <w:rPr>
                <w:rFonts w:ascii="Times New Roman" w:hAnsi="Times New Roman"/>
                <w:b/>
                <w:sz w:val="20"/>
                <w:szCs w:val="20"/>
              </w:rPr>
              <w:t>99</w:t>
            </w:r>
            <w:r w:rsidRPr="00E54387">
              <w:rPr>
                <w:rFonts w:ascii="Times New Roman" w:hAnsi="Times New Roman"/>
                <w:b/>
                <w:sz w:val="20"/>
                <w:szCs w:val="20"/>
              </w:rPr>
              <w:t>%</w:t>
            </w:r>
          </w:p>
        </w:tc>
      </w:tr>
      <w:tr w:rsidR="00140415" w:rsidRPr="009170B8" w:rsidTr="00E54387">
        <w:trPr>
          <w:trHeight w:val="227"/>
        </w:trPr>
        <w:tc>
          <w:tcPr>
            <w:tcW w:w="2137" w:type="dxa"/>
            <w:gridSpan w:val="9"/>
            <w:tcBorders>
              <w:top w:val="nil"/>
              <w:left w:val="nil"/>
              <w:bottom w:val="nil"/>
              <w:right w:val="nil"/>
            </w:tcBorders>
            <w:shd w:val="clear" w:color="auto" w:fill="auto"/>
            <w:noWrap/>
            <w:vAlign w:val="bottom"/>
          </w:tcPr>
          <w:p w:rsidR="008B64A3" w:rsidRPr="001B1B01" w:rsidRDefault="008B64A3" w:rsidP="00590B67">
            <w:pPr>
              <w:rPr>
                <w:rFonts w:ascii="Times New Roman" w:hAnsi="Times New Roman"/>
                <w:b/>
                <w:sz w:val="20"/>
                <w:szCs w:val="20"/>
              </w:rPr>
            </w:pPr>
          </w:p>
        </w:tc>
        <w:tc>
          <w:tcPr>
            <w:tcW w:w="1102" w:type="dxa"/>
            <w:gridSpan w:val="5"/>
            <w:tcBorders>
              <w:top w:val="nil"/>
              <w:left w:val="nil"/>
              <w:bottom w:val="nil"/>
              <w:right w:val="nil"/>
            </w:tcBorders>
            <w:shd w:val="clear" w:color="auto" w:fill="auto"/>
            <w:noWrap/>
            <w:vAlign w:val="bottom"/>
          </w:tcPr>
          <w:p w:rsidR="008B64A3" w:rsidRPr="00B74D7C" w:rsidRDefault="008B64A3" w:rsidP="00B74D7C">
            <w:pPr>
              <w:ind w:left="-108"/>
              <w:jc w:val="right"/>
              <w:rPr>
                <w:rFonts w:ascii="Times New Roman" w:hAnsi="Times New Roman"/>
                <w:b/>
                <w:bCs/>
                <w:sz w:val="20"/>
                <w:szCs w:val="20"/>
              </w:rPr>
            </w:pPr>
          </w:p>
        </w:tc>
        <w:tc>
          <w:tcPr>
            <w:tcW w:w="3434" w:type="dxa"/>
            <w:gridSpan w:val="5"/>
            <w:tcBorders>
              <w:left w:val="nil"/>
              <w:right w:val="nil"/>
            </w:tcBorders>
            <w:shd w:val="clear" w:color="auto" w:fill="auto"/>
            <w:noWrap/>
            <w:vAlign w:val="bottom"/>
          </w:tcPr>
          <w:p w:rsidR="008B64A3" w:rsidRPr="00B74D7C" w:rsidRDefault="008B64A3">
            <w:pPr>
              <w:ind w:left="-108"/>
              <w:jc w:val="right"/>
              <w:rPr>
                <w:rFonts w:ascii="Times New Roman" w:hAnsi="Times New Roman"/>
                <w:b/>
                <w:bCs/>
                <w:sz w:val="20"/>
                <w:szCs w:val="20"/>
              </w:rPr>
            </w:pPr>
          </w:p>
        </w:tc>
        <w:tc>
          <w:tcPr>
            <w:tcW w:w="1855" w:type="dxa"/>
            <w:gridSpan w:val="4"/>
            <w:tcBorders>
              <w:left w:val="nil"/>
              <w:right w:val="nil"/>
            </w:tcBorders>
            <w:shd w:val="clear" w:color="auto" w:fill="auto"/>
            <w:noWrap/>
            <w:vAlign w:val="bottom"/>
          </w:tcPr>
          <w:p w:rsidR="008B64A3" w:rsidRPr="00B74D7C" w:rsidRDefault="008B64A3">
            <w:pPr>
              <w:ind w:left="-108"/>
              <w:jc w:val="right"/>
              <w:rPr>
                <w:rFonts w:ascii="Times New Roman" w:hAnsi="Times New Roman"/>
                <w:b/>
                <w:bCs/>
                <w:sz w:val="20"/>
                <w:szCs w:val="20"/>
              </w:rPr>
            </w:pPr>
          </w:p>
        </w:tc>
        <w:tc>
          <w:tcPr>
            <w:tcW w:w="1250" w:type="dxa"/>
            <w:gridSpan w:val="6"/>
            <w:tcBorders>
              <w:left w:val="nil"/>
              <w:right w:val="nil"/>
            </w:tcBorders>
            <w:shd w:val="clear" w:color="auto" w:fill="auto"/>
            <w:noWrap/>
            <w:vAlign w:val="bottom"/>
          </w:tcPr>
          <w:p w:rsidR="008B64A3" w:rsidRPr="00B74D7C" w:rsidRDefault="008B64A3">
            <w:pPr>
              <w:ind w:left="-108"/>
              <w:jc w:val="right"/>
              <w:rPr>
                <w:rFonts w:ascii="Times New Roman" w:hAnsi="Times New Roman"/>
                <w:b/>
                <w:bCs/>
                <w:sz w:val="20"/>
                <w:szCs w:val="20"/>
              </w:rPr>
            </w:pPr>
          </w:p>
        </w:tc>
        <w:tc>
          <w:tcPr>
            <w:tcW w:w="1181" w:type="dxa"/>
            <w:gridSpan w:val="2"/>
            <w:tcBorders>
              <w:left w:val="nil"/>
              <w:right w:val="nil"/>
            </w:tcBorders>
            <w:shd w:val="clear" w:color="auto" w:fill="auto"/>
            <w:noWrap/>
            <w:vAlign w:val="bottom"/>
          </w:tcPr>
          <w:p w:rsidR="008B64A3" w:rsidRPr="00B74D7C" w:rsidRDefault="008B64A3" w:rsidP="00AC5183">
            <w:pPr>
              <w:ind w:left="-108" w:right="-67"/>
              <w:jc w:val="right"/>
              <w:rPr>
                <w:rFonts w:ascii="Times New Roman" w:hAnsi="Times New Roman"/>
                <w:b/>
                <w:bCs/>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8B64A3" w:rsidRDefault="008B64A3"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8B64A3" w:rsidRDefault="008B64A3">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8B64A3" w:rsidRDefault="008B64A3"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8B64A3" w:rsidRPr="005D2A03" w:rsidRDefault="008B64A3"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8B64A3" w:rsidRDefault="008B64A3"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8B64A3" w:rsidRDefault="008B64A3">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8B64A3" w:rsidRDefault="008B64A3"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8B64A3" w:rsidRPr="005D2A03" w:rsidRDefault="008B64A3"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8B64A3" w:rsidRDefault="008B64A3"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8B64A3" w:rsidRDefault="008B64A3">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8B64A3" w:rsidRDefault="008B64A3"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8B64A3" w:rsidRPr="005D2A03" w:rsidRDefault="008B64A3"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8B64A3" w:rsidRDefault="008B64A3"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8B64A3" w:rsidRDefault="008B64A3">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8B64A3" w:rsidRDefault="008B64A3"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8B64A3" w:rsidRPr="005D2A03" w:rsidRDefault="008B64A3"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B07993" w:rsidRDefault="00B07993"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B07993" w:rsidRDefault="00B07993"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B07993" w:rsidRDefault="00B07993">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B07993" w:rsidRDefault="00B0799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B07993" w:rsidRDefault="00B07993"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B07993" w:rsidRPr="005D2A03" w:rsidRDefault="00B07993"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B07993" w:rsidRDefault="00B07993"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B07993" w:rsidRDefault="00B07993"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B07993" w:rsidRDefault="00B07993">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B07993" w:rsidRDefault="00B0799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B07993" w:rsidRDefault="00B07993"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B07993" w:rsidRPr="005D2A03" w:rsidRDefault="00B07993"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B07993" w:rsidRDefault="00B07993"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B07993" w:rsidRDefault="00B07993"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B07993" w:rsidRDefault="00B07993">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B07993" w:rsidRDefault="00B0799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B07993" w:rsidRDefault="00B07993"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B07993" w:rsidRPr="005D2A03" w:rsidRDefault="00B07993"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374009" w:rsidRDefault="00374009"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374009" w:rsidRDefault="00374009"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374009" w:rsidRDefault="00374009">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374009" w:rsidRDefault="00374009"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374009" w:rsidRDefault="00374009"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374009" w:rsidRPr="005D2A03" w:rsidRDefault="00374009"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8B64A3" w:rsidRDefault="008B64A3"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8B64A3" w:rsidRDefault="008B64A3">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8B64A3" w:rsidRDefault="008B64A3"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8B64A3" w:rsidRDefault="008B64A3"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8B64A3" w:rsidRPr="005D2A03" w:rsidRDefault="008B64A3" w:rsidP="00F01D35">
            <w:pPr>
              <w:jc w:val="right"/>
              <w:rPr>
                <w:rFonts w:ascii="Times New Roman" w:hAnsi="Times New Roman"/>
                <w:sz w:val="20"/>
                <w:szCs w:val="20"/>
              </w:rPr>
            </w:pPr>
          </w:p>
        </w:tc>
      </w:tr>
      <w:tr w:rsidR="00140415" w:rsidRPr="009170B8" w:rsidTr="00A66792">
        <w:trPr>
          <w:trHeight w:val="227"/>
        </w:trPr>
        <w:tc>
          <w:tcPr>
            <w:tcW w:w="465" w:type="dxa"/>
            <w:gridSpan w:val="2"/>
            <w:tcBorders>
              <w:top w:val="nil"/>
              <w:left w:val="nil"/>
              <w:bottom w:val="nil"/>
              <w:right w:val="nil"/>
            </w:tcBorders>
            <w:shd w:val="clear" w:color="auto" w:fill="auto"/>
            <w:noWrap/>
            <w:vAlign w:val="bottom"/>
          </w:tcPr>
          <w:p w:rsidR="000E4B08" w:rsidRDefault="000E4B08" w:rsidP="00590B67">
            <w:pPr>
              <w:rPr>
                <w:rFonts w:ascii="Times New Roman" w:hAnsi="Times New Roman"/>
                <w:sz w:val="20"/>
                <w:szCs w:val="20"/>
              </w:rPr>
            </w:pPr>
          </w:p>
          <w:p w:rsidR="000E4B08" w:rsidRDefault="000E4B08" w:rsidP="00590B67">
            <w:pPr>
              <w:rPr>
                <w:rFonts w:ascii="Times New Roman" w:hAnsi="Times New Roman"/>
                <w:sz w:val="20"/>
                <w:szCs w:val="20"/>
              </w:rPr>
            </w:pPr>
          </w:p>
          <w:p w:rsidR="000E4B08" w:rsidRDefault="000E4B08" w:rsidP="00590B67">
            <w:pPr>
              <w:rPr>
                <w:rFonts w:ascii="Times New Roman" w:hAnsi="Times New Roman"/>
                <w:sz w:val="20"/>
                <w:szCs w:val="20"/>
              </w:rPr>
            </w:pPr>
          </w:p>
          <w:p w:rsidR="000E4B08" w:rsidRDefault="000E4B08" w:rsidP="00590B67">
            <w:pPr>
              <w:rPr>
                <w:rFonts w:ascii="Times New Roman" w:hAnsi="Times New Roman"/>
                <w:sz w:val="20"/>
                <w:szCs w:val="20"/>
              </w:rPr>
            </w:pPr>
          </w:p>
          <w:p w:rsidR="000E4B08" w:rsidRDefault="000E4B08" w:rsidP="00590B67">
            <w:pPr>
              <w:rPr>
                <w:rFonts w:ascii="Times New Roman" w:hAnsi="Times New Roman"/>
                <w:sz w:val="20"/>
                <w:szCs w:val="20"/>
              </w:rPr>
            </w:pPr>
          </w:p>
        </w:tc>
        <w:tc>
          <w:tcPr>
            <w:tcW w:w="995" w:type="dxa"/>
            <w:gridSpan w:val="4"/>
            <w:tcBorders>
              <w:top w:val="nil"/>
              <w:left w:val="nil"/>
              <w:bottom w:val="nil"/>
              <w:right w:val="nil"/>
            </w:tcBorders>
            <w:shd w:val="clear" w:color="auto" w:fill="auto"/>
            <w:noWrap/>
            <w:vAlign w:val="bottom"/>
          </w:tcPr>
          <w:p w:rsidR="000E4B08" w:rsidRDefault="000E4B08" w:rsidP="00590B67">
            <w:pPr>
              <w:jc w:val="right"/>
              <w:rPr>
                <w:rFonts w:ascii="Times New Roman" w:hAnsi="Times New Roman"/>
                <w:sz w:val="20"/>
                <w:szCs w:val="20"/>
              </w:rPr>
            </w:pPr>
          </w:p>
        </w:tc>
        <w:tc>
          <w:tcPr>
            <w:tcW w:w="1109" w:type="dxa"/>
            <w:gridSpan w:val="5"/>
            <w:tcBorders>
              <w:top w:val="nil"/>
              <w:left w:val="nil"/>
              <w:right w:val="nil"/>
            </w:tcBorders>
            <w:shd w:val="clear" w:color="auto" w:fill="auto"/>
            <w:noWrap/>
            <w:vAlign w:val="bottom"/>
          </w:tcPr>
          <w:p w:rsidR="000E4B08" w:rsidRDefault="000E4B08">
            <w:pPr>
              <w:ind w:left="-108"/>
              <w:jc w:val="right"/>
              <w:rPr>
                <w:rFonts w:ascii="Times New Roman" w:hAnsi="Times New Roman"/>
                <w:sz w:val="20"/>
                <w:szCs w:val="20"/>
              </w:rPr>
            </w:pPr>
          </w:p>
        </w:tc>
        <w:tc>
          <w:tcPr>
            <w:tcW w:w="5959" w:type="dxa"/>
            <w:gridSpan w:val="12"/>
            <w:tcBorders>
              <w:top w:val="nil"/>
              <w:left w:val="nil"/>
              <w:right w:val="nil"/>
            </w:tcBorders>
            <w:shd w:val="clear" w:color="auto" w:fill="auto"/>
            <w:noWrap/>
            <w:vAlign w:val="bottom"/>
          </w:tcPr>
          <w:p w:rsidR="000E4B08" w:rsidRDefault="000E4B08" w:rsidP="00590B67">
            <w:pPr>
              <w:jc w:val="right"/>
              <w:rPr>
                <w:rFonts w:ascii="Times New Roman" w:hAnsi="Times New Roman"/>
                <w:sz w:val="20"/>
                <w:szCs w:val="20"/>
              </w:rPr>
            </w:pPr>
          </w:p>
        </w:tc>
        <w:tc>
          <w:tcPr>
            <w:tcW w:w="669" w:type="dxa"/>
            <w:gridSpan w:val="3"/>
            <w:tcBorders>
              <w:top w:val="nil"/>
              <w:left w:val="nil"/>
              <w:right w:val="nil"/>
            </w:tcBorders>
            <w:shd w:val="clear" w:color="auto" w:fill="auto"/>
            <w:noWrap/>
            <w:vAlign w:val="bottom"/>
          </w:tcPr>
          <w:p w:rsidR="000E4B08" w:rsidRDefault="000E4B08" w:rsidP="00A65633">
            <w:pPr>
              <w:jc w:val="right"/>
              <w:rPr>
                <w:rFonts w:ascii="Times New Roman" w:hAnsi="Times New Roman"/>
                <w:sz w:val="20"/>
                <w:szCs w:val="20"/>
              </w:rPr>
            </w:pPr>
          </w:p>
        </w:tc>
        <w:tc>
          <w:tcPr>
            <w:tcW w:w="1762" w:type="dxa"/>
            <w:gridSpan w:val="5"/>
            <w:tcBorders>
              <w:top w:val="nil"/>
              <w:left w:val="nil"/>
              <w:right w:val="nil"/>
            </w:tcBorders>
            <w:shd w:val="clear" w:color="auto" w:fill="auto"/>
            <w:noWrap/>
            <w:vAlign w:val="bottom"/>
          </w:tcPr>
          <w:p w:rsidR="000E4B08" w:rsidRPr="005D2A03" w:rsidRDefault="000E4B08" w:rsidP="00F01D35">
            <w:pPr>
              <w:jc w:val="right"/>
              <w:rPr>
                <w:rFonts w:ascii="Times New Roman" w:hAnsi="Times New Roman"/>
                <w:sz w:val="20"/>
                <w:szCs w:val="20"/>
              </w:rPr>
            </w:pPr>
          </w:p>
        </w:tc>
      </w:tr>
      <w:tr w:rsidR="008B64A3" w:rsidRPr="009170B8" w:rsidTr="00E54387">
        <w:trPr>
          <w:trHeight w:val="1442"/>
        </w:trPr>
        <w:tc>
          <w:tcPr>
            <w:tcW w:w="10959" w:type="dxa"/>
            <w:gridSpan w:val="31"/>
            <w:tcBorders>
              <w:top w:val="nil"/>
              <w:left w:val="nil"/>
              <w:bottom w:val="nil"/>
              <w:right w:val="nil"/>
            </w:tcBorders>
            <w:shd w:val="clear" w:color="auto" w:fill="auto"/>
            <w:noWrap/>
            <w:vAlign w:val="bottom"/>
          </w:tcPr>
          <w:p w:rsidR="008B64A3" w:rsidRDefault="008B64A3" w:rsidP="005D2A03">
            <w:pPr>
              <w:pStyle w:val="Heading2"/>
              <w:tabs>
                <w:tab w:val="right" w:pos="8222"/>
              </w:tabs>
              <w:rPr>
                <w:rFonts w:ascii="Times New Roman" w:hAnsi="Times New Roman"/>
              </w:rPr>
            </w:pPr>
            <w:r w:rsidRPr="009170B8">
              <w:rPr>
                <w:rFonts w:ascii="Times New Roman" w:hAnsi="Times New Roman"/>
              </w:rPr>
              <w:t>Notes to the Financial Statements</w:t>
            </w:r>
            <w:r>
              <w:rPr>
                <w:rFonts w:ascii="Times New Roman" w:hAnsi="Times New Roman"/>
              </w:rPr>
              <w:t xml:space="preserve"> of the Fund</w:t>
            </w:r>
            <w:r w:rsidRPr="009170B8">
              <w:rPr>
                <w:rFonts w:ascii="Times New Roman" w:hAnsi="Times New Roman"/>
              </w:rPr>
              <w:t xml:space="preserve"> (continued)</w:t>
            </w:r>
          </w:p>
          <w:p w:rsidR="008B64A3" w:rsidRDefault="008B64A3" w:rsidP="005D2A03">
            <w:pPr>
              <w:pStyle w:val="Heading2"/>
              <w:tabs>
                <w:tab w:val="right" w:pos="8222"/>
              </w:tabs>
              <w:rPr>
                <w:rFonts w:ascii="Times New Roman" w:hAnsi="Times New Roman"/>
              </w:rPr>
            </w:pPr>
            <w:r w:rsidRPr="009170B8">
              <w:rPr>
                <w:rFonts w:ascii="Times New Roman" w:hAnsi="Times New Roman"/>
              </w:rPr>
              <w:t xml:space="preserve">For the year ended 31 December </w:t>
            </w:r>
            <w:r>
              <w:rPr>
                <w:rFonts w:ascii="Times New Roman" w:hAnsi="Times New Roman"/>
              </w:rPr>
              <w:t>2018</w:t>
            </w:r>
          </w:p>
          <w:p w:rsidR="008B64A3" w:rsidRPr="007E6005" w:rsidRDefault="008B64A3" w:rsidP="005D2A03">
            <w:pPr>
              <w:pStyle w:val="Heading2"/>
              <w:tabs>
                <w:tab w:val="right" w:pos="8222"/>
              </w:tabs>
              <w:rPr>
                <w:rFonts w:ascii="Times New Roman" w:hAnsi="Times New Roman"/>
              </w:rPr>
            </w:pPr>
          </w:p>
          <w:p w:rsidR="008B64A3" w:rsidRPr="009170B8" w:rsidRDefault="008B64A3" w:rsidP="00CF1C33">
            <w:pPr>
              <w:pStyle w:val="BodyText"/>
              <w:tabs>
                <w:tab w:val="clear" w:pos="3402"/>
                <w:tab w:val="clear" w:pos="8222"/>
              </w:tabs>
              <w:rPr>
                <w:rFonts w:ascii="Times New Roman" w:hAnsi="Times New Roman"/>
                <w:b/>
                <w:bCs/>
              </w:rPr>
            </w:pPr>
            <w:r>
              <w:rPr>
                <w:rFonts w:ascii="Times New Roman" w:hAnsi="Times New Roman"/>
                <w:b/>
              </w:rPr>
              <w:t>20</w:t>
            </w:r>
            <w:r w:rsidRPr="009170B8">
              <w:rPr>
                <w:rFonts w:ascii="Times New Roman" w:hAnsi="Times New Roman"/>
                <w:b/>
              </w:rPr>
              <w:t>.</w:t>
            </w:r>
            <w:r w:rsidRPr="009170B8">
              <w:rPr>
                <w:rFonts w:ascii="Times New Roman" w:hAnsi="Times New Roman"/>
                <w:b/>
              </w:rPr>
              <w:tab/>
            </w:r>
            <w:r w:rsidRPr="00A65633">
              <w:rPr>
                <w:rFonts w:ascii="Times New Roman" w:hAnsi="Times New Roman"/>
                <w:b/>
              </w:rPr>
              <w:t>Schedule of Investments – Securities (at fair value through profit or loss)</w:t>
            </w:r>
            <w:r w:rsidRPr="009170B8">
              <w:rPr>
                <w:rFonts w:ascii="Times New Roman" w:hAnsi="Times New Roman"/>
                <w:b/>
              </w:rPr>
              <w:t xml:space="preserve"> </w:t>
            </w:r>
            <w:r>
              <w:rPr>
                <w:rFonts w:ascii="Times New Roman" w:hAnsi="Times New Roman"/>
                <w:b/>
              </w:rPr>
              <w:t xml:space="preserve">(continued) </w:t>
            </w:r>
          </w:p>
          <w:p w:rsidR="008B64A3" w:rsidRDefault="008B64A3" w:rsidP="005D2A03">
            <w:pPr>
              <w:pStyle w:val="Heading2"/>
              <w:tabs>
                <w:tab w:val="right" w:pos="8222"/>
              </w:tabs>
              <w:rPr>
                <w:rFonts w:ascii="Times New Roman" w:hAnsi="Times New Roman"/>
              </w:rPr>
            </w:pPr>
            <w:r w:rsidRPr="00E5676A">
              <w:rPr>
                <w:rFonts w:ascii="Times New Roman" w:hAnsi="Times New Roman"/>
              </w:rPr>
              <w:t>As at 31 December 201</w:t>
            </w:r>
            <w:r>
              <w:rPr>
                <w:rFonts w:ascii="Times New Roman" w:hAnsi="Times New Roman"/>
              </w:rPr>
              <w:t>8</w:t>
            </w:r>
          </w:p>
          <w:p w:rsidR="008B64A3" w:rsidRPr="005D2A03" w:rsidRDefault="008B64A3" w:rsidP="005D2A03">
            <w:pPr>
              <w:rPr>
                <w:rFonts w:ascii="Times New Roman" w:hAnsi="Times New Roman"/>
                <w:sz w:val="20"/>
                <w:szCs w:val="20"/>
              </w:rPr>
            </w:pPr>
          </w:p>
        </w:tc>
      </w:tr>
      <w:tr w:rsidR="00140415" w:rsidRPr="009170B8" w:rsidTr="00E54387">
        <w:trPr>
          <w:trHeight w:val="227"/>
        </w:trPr>
        <w:tc>
          <w:tcPr>
            <w:tcW w:w="3239" w:type="dxa"/>
            <w:gridSpan w:val="14"/>
            <w:tcBorders>
              <w:top w:val="nil"/>
              <w:left w:val="nil"/>
              <w:bottom w:val="nil"/>
              <w:right w:val="nil"/>
            </w:tcBorders>
            <w:shd w:val="clear" w:color="auto" w:fill="auto"/>
            <w:noWrap/>
            <w:vAlign w:val="bottom"/>
          </w:tcPr>
          <w:p w:rsidR="008B64A3" w:rsidRPr="009170B8" w:rsidRDefault="008B64A3" w:rsidP="003B01CA">
            <w:pPr>
              <w:rPr>
                <w:rFonts w:ascii="Times New Roman" w:hAnsi="Times New Roman"/>
                <w:b/>
                <w:bCs/>
                <w:sz w:val="20"/>
                <w:szCs w:val="20"/>
              </w:rPr>
            </w:pPr>
            <w:r w:rsidRPr="009170B8">
              <w:rPr>
                <w:rFonts w:ascii="Times New Roman" w:hAnsi="Times New Roman"/>
                <w:b/>
                <w:bCs/>
                <w:sz w:val="20"/>
                <w:szCs w:val="20"/>
              </w:rPr>
              <w:t>Description</w:t>
            </w:r>
          </w:p>
        </w:tc>
        <w:tc>
          <w:tcPr>
            <w:tcW w:w="1950" w:type="dxa"/>
            <w:gridSpan w:val="4"/>
            <w:tcBorders>
              <w:top w:val="nil"/>
              <w:left w:val="nil"/>
              <w:bottom w:val="nil"/>
              <w:right w:val="nil"/>
            </w:tcBorders>
            <w:shd w:val="clear" w:color="auto" w:fill="auto"/>
            <w:noWrap/>
            <w:vAlign w:val="bottom"/>
          </w:tcPr>
          <w:p w:rsidR="008B64A3" w:rsidRPr="009170B8" w:rsidRDefault="008B64A3" w:rsidP="003B01CA">
            <w:pPr>
              <w:jc w:val="center"/>
              <w:rPr>
                <w:rFonts w:ascii="Times New Roman" w:hAnsi="Times New Roman"/>
                <w:b/>
                <w:bCs/>
                <w:sz w:val="20"/>
                <w:szCs w:val="20"/>
              </w:rPr>
            </w:pPr>
            <w:r w:rsidRPr="009170B8">
              <w:rPr>
                <w:rFonts w:ascii="Times New Roman" w:hAnsi="Times New Roman"/>
                <w:b/>
                <w:bCs/>
                <w:sz w:val="20"/>
                <w:szCs w:val="20"/>
              </w:rPr>
              <w:t>Shares or Par Value</w:t>
            </w:r>
          </w:p>
        </w:tc>
        <w:tc>
          <w:tcPr>
            <w:tcW w:w="1816" w:type="dxa"/>
            <w:gridSpan w:val="2"/>
            <w:tcBorders>
              <w:top w:val="nil"/>
              <w:left w:val="nil"/>
              <w:right w:val="nil"/>
            </w:tcBorders>
            <w:shd w:val="clear" w:color="auto" w:fill="auto"/>
            <w:noWrap/>
            <w:vAlign w:val="bottom"/>
          </w:tcPr>
          <w:p w:rsidR="008B64A3" w:rsidRPr="009170B8" w:rsidRDefault="008B64A3" w:rsidP="003B01CA">
            <w:pPr>
              <w:ind w:left="-108"/>
              <w:jc w:val="center"/>
              <w:rPr>
                <w:rFonts w:ascii="Times New Roman" w:hAnsi="Times New Roman"/>
                <w:b/>
                <w:bCs/>
                <w:sz w:val="20"/>
                <w:szCs w:val="20"/>
              </w:rPr>
            </w:pPr>
            <w:r w:rsidRPr="009170B8">
              <w:rPr>
                <w:rFonts w:ascii="Times New Roman" w:hAnsi="Times New Roman"/>
                <w:b/>
                <w:bCs/>
                <w:sz w:val="20"/>
                <w:szCs w:val="20"/>
              </w:rPr>
              <w:t>Book Cost</w:t>
            </w:r>
          </w:p>
        </w:tc>
        <w:tc>
          <w:tcPr>
            <w:tcW w:w="1304" w:type="dxa"/>
            <w:gridSpan w:val="2"/>
            <w:tcBorders>
              <w:top w:val="nil"/>
              <w:left w:val="nil"/>
              <w:right w:val="nil"/>
            </w:tcBorders>
            <w:shd w:val="clear" w:color="auto" w:fill="auto"/>
            <w:noWrap/>
            <w:vAlign w:val="bottom"/>
          </w:tcPr>
          <w:p w:rsidR="008B64A3" w:rsidRPr="009170B8" w:rsidRDefault="008B64A3" w:rsidP="003B01CA">
            <w:pPr>
              <w:jc w:val="center"/>
              <w:rPr>
                <w:rFonts w:ascii="Times New Roman" w:hAnsi="Times New Roman"/>
                <w:b/>
                <w:bCs/>
                <w:sz w:val="20"/>
                <w:szCs w:val="20"/>
              </w:rPr>
            </w:pPr>
            <w:r w:rsidRPr="009170B8">
              <w:rPr>
                <w:rFonts w:ascii="Times New Roman" w:hAnsi="Times New Roman"/>
                <w:b/>
                <w:bCs/>
                <w:sz w:val="20"/>
                <w:szCs w:val="20"/>
              </w:rPr>
              <w:t>Bid-Market Value</w:t>
            </w:r>
          </w:p>
        </w:tc>
        <w:tc>
          <w:tcPr>
            <w:tcW w:w="1195" w:type="dxa"/>
            <w:gridSpan w:val="6"/>
            <w:tcBorders>
              <w:top w:val="nil"/>
              <w:left w:val="nil"/>
              <w:right w:val="nil"/>
            </w:tcBorders>
            <w:shd w:val="clear" w:color="auto" w:fill="auto"/>
            <w:noWrap/>
            <w:vAlign w:val="bottom"/>
          </w:tcPr>
          <w:p w:rsidR="008B64A3" w:rsidRPr="009170B8" w:rsidRDefault="008B64A3" w:rsidP="003B01CA">
            <w:pPr>
              <w:jc w:val="center"/>
              <w:rPr>
                <w:rFonts w:ascii="Times New Roman" w:hAnsi="Times New Roman"/>
                <w:b/>
                <w:bCs/>
                <w:sz w:val="20"/>
                <w:szCs w:val="20"/>
              </w:rPr>
            </w:pPr>
            <w:r w:rsidRPr="009170B8">
              <w:rPr>
                <w:rFonts w:ascii="Times New Roman" w:hAnsi="Times New Roman"/>
                <w:b/>
                <w:bCs/>
                <w:sz w:val="20"/>
                <w:szCs w:val="20"/>
              </w:rPr>
              <w:t>% of Net Assets</w:t>
            </w:r>
          </w:p>
        </w:tc>
        <w:tc>
          <w:tcPr>
            <w:tcW w:w="1455" w:type="dxa"/>
            <w:gridSpan w:val="3"/>
            <w:tcBorders>
              <w:top w:val="nil"/>
              <w:left w:val="nil"/>
              <w:right w:val="nil"/>
            </w:tcBorders>
            <w:shd w:val="clear" w:color="auto" w:fill="auto"/>
            <w:noWrap/>
            <w:vAlign w:val="bottom"/>
          </w:tcPr>
          <w:p w:rsidR="008B64A3" w:rsidRPr="009170B8" w:rsidRDefault="008B64A3">
            <w:pPr>
              <w:jc w:val="center"/>
              <w:rPr>
                <w:rFonts w:ascii="Times New Roman" w:hAnsi="Times New Roman"/>
                <w:b/>
                <w:bCs/>
                <w:sz w:val="20"/>
                <w:szCs w:val="20"/>
              </w:rPr>
            </w:pPr>
            <w:r w:rsidRPr="009170B8">
              <w:rPr>
                <w:rFonts w:ascii="Times New Roman" w:hAnsi="Times New Roman"/>
                <w:b/>
                <w:bCs/>
                <w:sz w:val="20"/>
                <w:szCs w:val="20"/>
              </w:rPr>
              <w:t>% of Portfolio</w:t>
            </w:r>
          </w:p>
        </w:tc>
      </w:tr>
      <w:tr w:rsidR="00140415" w:rsidRPr="009170B8" w:rsidTr="00E54387">
        <w:trPr>
          <w:trHeight w:val="227"/>
        </w:trPr>
        <w:tc>
          <w:tcPr>
            <w:tcW w:w="1149" w:type="dxa"/>
            <w:gridSpan w:val="5"/>
            <w:tcBorders>
              <w:top w:val="nil"/>
              <w:left w:val="nil"/>
              <w:bottom w:val="nil"/>
              <w:right w:val="nil"/>
            </w:tcBorders>
            <w:shd w:val="clear" w:color="auto" w:fill="auto"/>
            <w:noWrap/>
            <w:vAlign w:val="bottom"/>
          </w:tcPr>
          <w:p w:rsidR="00E4391F" w:rsidRPr="009170B8" w:rsidRDefault="00E4391F" w:rsidP="00460791">
            <w:pPr>
              <w:rPr>
                <w:rFonts w:ascii="Times New Roman" w:hAnsi="Times New Roman"/>
                <w:sz w:val="20"/>
                <w:szCs w:val="20"/>
              </w:rPr>
            </w:pPr>
          </w:p>
        </w:tc>
        <w:tc>
          <w:tcPr>
            <w:tcW w:w="4040" w:type="dxa"/>
            <w:gridSpan w:val="13"/>
            <w:tcBorders>
              <w:top w:val="nil"/>
              <w:left w:val="nil"/>
              <w:bottom w:val="nil"/>
              <w:right w:val="nil"/>
            </w:tcBorders>
            <w:shd w:val="clear" w:color="auto" w:fill="auto"/>
            <w:noWrap/>
            <w:vAlign w:val="bottom"/>
          </w:tcPr>
          <w:p w:rsidR="00E4391F" w:rsidRPr="00776941" w:rsidRDefault="00E4391F" w:rsidP="00460791">
            <w:pPr>
              <w:jc w:val="right"/>
              <w:rPr>
                <w:rFonts w:ascii="Times New Roman" w:hAnsi="Times New Roman"/>
                <w:sz w:val="20"/>
                <w:szCs w:val="20"/>
                <w:highlight w:val="yellow"/>
              </w:rPr>
            </w:pPr>
          </w:p>
        </w:tc>
        <w:tc>
          <w:tcPr>
            <w:tcW w:w="1816" w:type="dxa"/>
            <w:gridSpan w:val="2"/>
            <w:tcBorders>
              <w:top w:val="single" w:sz="4" w:space="0" w:color="auto"/>
              <w:left w:val="nil"/>
              <w:bottom w:val="nil"/>
              <w:right w:val="nil"/>
            </w:tcBorders>
            <w:shd w:val="clear" w:color="auto" w:fill="auto"/>
            <w:noWrap/>
            <w:vAlign w:val="bottom"/>
          </w:tcPr>
          <w:p w:rsidR="00E4391F" w:rsidRPr="00776941" w:rsidRDefault="00E4391F" w:rsidP="00AC5183">
            <w:pPr>
              <w:ind w:left="-108"/>
              <w:jc w:val="center"/>
              <w:rPr>
                <w:rFonts w:ascii="Times New Roman" w:hAnsi="Times New Roman"/>
                <w:sz w:val="20"/>
                <w:szCs w:val="20"/>
                <w:highlight w:val="yellow"/>
              </w:rPr>
            </w:pPr>
            <w:r w:rsidRPr="009170B8">
              <w:rPr>
                <w:rFonts w:ascii="Times New Roman" w:hAnsi="Times New Roman"/>
                <w:b/>
                <w:bCs/>
                <w:sz w:val="20"/>
                <w:szCs w:val="20"/>
              </w:rPr>
              <w:t>GBP</w:t>
            </w:r>
          </w:p>
        </w:tc>
        <w:tc>
          <w:tcPr>
            <w:tcW w:w="1304" w:type="dxa"/>
            <w:gridSpan w:val="2"/>
            <w:tcBorders>
              <w:top w:val="single" w:sz="4" w:space="0" w:color="auto"/>
              <w:left w:val="nil"/>
              <w:bottom w:val="nil"/>
              <w:right w:val="nil"/>
            </w:tcBorders>
            <w:shd w:val="clear" w:color="auto" w:fill="auto"/>
            <w:noWrap/>
            <w:vAlign w:val="bottom"/>
          </w:tcPr>
          <w:p w:rsidR="00E4391F" w:rsidRPr="00776941" w:rsidRDefault="00E4391F" w:rsidP="00AC5183">
            <w:pPr>
              <w:jc w:val="center"/>
              <w:rPr>
                <w:rFonts w:ascii="Times New Roman" w:hAnsi="Times New Roman"/>
                <w:sz w:val="20"/>
                <w:szCs w:val="20"/>
                <w:highlight w:val="yellow"/>
              </w:rPr>
            </w:pPr>
            <w:r w:rsidRPr="009170B8">
              <w:rPr>
                <w:rFonts w:ascii="Times New Roman" w:hAnsi="Times New Roman"/>
                <w:b/>
                <w:bCs/>
                <w:sz w:val="20"/>
                <w:szCs w:val="20"/>
              </w:rPr>
              <w:t>GBP</w:t>
            </w:r>
          </w:p>
        </w:tc>
        <w:tc>
          <w:tcPr>
            <w:tcW w:w="1195" w:type="dxa"/>
            <w:gridSpan w:val="6"/>
            <w:tcBorders>
              <w:top w:val="single" w:sz="4" w:space="0" w:color="auto"/>
              <w:left w:val="nil"/>
              <w:bottom w:val="nil"/>
              <w:right w:val="nil"/>
            </w:tcBorders>
            <w:shd w:val="clear" w:color="auto" w:fill="auto"/>
            <w:noWrap/>
            <w:vAlign w:val="bottom"/>
          </w:tcPr>
          <w:p w:rsidR="00E4391F" w:rsidRPr="00776941" w:rsidRDefault="00E4391F" w:rsidP="00460791">
            <w:pPr>
              <w:jc w:val="right"/>
              <w:rPr>
                <w:rFonts w:ascii="Times New Roman" w:hAnsi="Times New Roman"/>
                <w:sz w:val="20"/>
                <w:szCs w:val="20"/>
                <w:highlight w:val="yellow"/>
              </w:rPr>
            </w:pPr>
          </w:p>
        </w:tc>
        <w:tc>
          <w:tcPr>
            <w:tcW w:w="1455" w:type="dxa"/>
            <w:gridSpan w:val="3"/>
            <w:tcBorders>
              <w:top w:val="single" w:sz="4" w:space="0" w:color="auto"/>
              <w:left w:val="nil"/>
              <w:bottom w:val="nil"/>
              <w:right w:val="nil"/>
            </w:tcBorders>
            <w:shd w:val="clear" w:color="auto" w:fill="auto"/>
            <w:noWrap/>
            <w:vAlign w:val="bottom"/>
          </w:tcPr>
          <w:p w:rsidR="00E4391F" w:rsidRPr="00776941" w:rsidRDefault="00E4391F">
            <w:pPr>
              <w:jc w:val="right"/>
              <w:rPr>
                <w:rFonts w:ascii="Times New Roman" w:hAnsi="Times New Roman"/>
                <w:b/>
                <w:bCs/>
                <w:sz w:val="20"/>
                <w:szCs w:val="20"/>
                <w:highlight w:val="yellow"/>
              </w:rPr>
            </w:pPr>
          </w:p>
        </w:tc>
      </w:tr>
      <w:tr w:rsidR="00140415" w:rsidRPr="009170B8" w:rsidTr="00E54387">
        <w:trPr>
          <w:trHeight w:val="227"/>
        </w:trPr>
        <w:tc>
          <w:tcPr>
            <w:tcW w:w="1149" w:type="dxa"/>
            <w:gridSpan w:val="5"/>
            <w:tcBorders>
              <w:top w:val="nil"/>
              <w:left w:val="nil"/>
              <w:bottom w:val="nil"/>
              <w:right w:val="nil"/>
            </w:tcBorders>
            <w:shd w:val="clear" w:color="auto" w:fill="auto"/>
            <w:noWrap/>
            <w:vAlign w:val="bottom"/>
          </w:tcPr>
          <w:p w:rsidR="008B64A3" w:rsidRPr="009170B8" w:rsidRDefault="008B64A3" w:rsidP="00ED7CA9">
            <w:pPr>
              <w:rPr>
                <w:rFonts w:ascii="Times New Roman" w:hAnsi="Times New Roman"/>
                <w:b/>
                <w:bCs/>
                <w:sz w:val="20"/>
                <w:szCs w:val="20"/>
              </w:rPr>
            </w:pPr>
            <w:r w:rsidRPr="009170B8">
              <w:rPr>
                <w:rFonts w:ascii="Times New Roman" w:hAnsi="Times New Roman"/>
                <w:b/>
                <w:bCs/>
                <w:sz w:val="20"/>
                <w:szCs w:val="20"/>
              </w:rPr>
              <w:t xml:space="preserve">Debt: </w:t>
            </w:r>
          </w:p>
        </w:tc>
        <w:tc>
          <w:tcPr>
            <w:tcW w:w="4040" w:type="dxa"/>
            <w:gridSpan w:val="13"/>
            <w:tcBorders>
              <w:top w:val="nil"/>
              <w:left w:val="nil"/>
              <w:bottom w:val="nil"/>
              <w:right w:val="nil"/>
            </w:tcBorders>
            <w:shd w:val="clear" w:color="auto" w:fill="auto"/>
            <w:noWrap/>
            <w:vAlign w:val="bottom"/>
          </w:tcPr>
          <w:p w:rsidR="008B64A3" w:rsidRPr="00776941" w:rsidRDefault="008B64A3" w:rsidP="00460791">
            <w:pPr>
              <w:jc w:val="right"/>
              <w:rPr>
                <w:rFonts w:ascii="Times New Roman" w:hAnsi="Times New Roman"/>
                <w:sz w:val="20"/>
                <w:szCs w:val="20"/>
                <w:highlight w:val="yellow"/>
              </w:rPr>
            </w:pPr>
          </w:p>
        </w:tc>
        <w:tc>
          <w:tcPr>
            <w:tcW w:w="1816" w:type="dxa"/>
            <w:gridSpan w:val="2"/>
            <w:tcBorders>
              <w:top w:val="nil"/>
              <w:left w:val="nil"/>
              <w:bottom w:val="nil"/>
              <w:right w:val="nil"/>
            </w:tcBorders>
            <w:shd w:val="clear" w:color="auto" w:fill="auto"/>
            <w:noWrap/>
            <w:vAlign w:val="bottom"/>
          </w:tcPr>
          <w:p w:rsidR="008B64A3" w:rsidRPr="00776941" w:rsidRDefault="008B64A3" w:rsidP="00226273">
            <w:pPr>
              <w:ind w:left="-108"/>
              <w:jc w:val="right"/>
              <w:rPr>
                <w:rFonts w:ascii="Times New Roman" w:hAnsi="Times New Roman"/>
                <w:sz w:val="20"/>
                <w:szCs w:val="20"/>
                <w:highlight w:val="yellow"/>
              </w:rPr>
            </w:pPr>
          </w:p>
        </w:tc>
        <w:tc>
          <w:tcPr>
            <w:tcW w:w="1304" w:type="dxa"/>
            <w:gridSpan w:val="2"/>
            <w:tcBorders>
              <w:top w:val="nil"/>
              <w:left w:val="nil"/>
              <w:bottom w:val="nil"/>
              <w:right w:val="nil"/>
            </w:tcBorders>
            <w:shd w:val="clear" w:color="auto" w:fill="auto"/>
            <w:noWrap/>
            <w:vAlign w:val="bottom"/>
          </w:tcPr>
          <w:p w:rsidR="008B64A3" w:rsidRPr="00776941" w:rsidRDefault="008B64A3" w:rsidP="00460791">
            <w:pPr>
              <w:jc w:val="right"/>
              <w:rPr>
                <w:rFonts w:ascii="Times New Roman" w:hAnsi="Times New Roman"/>
                <w:sz w:val="20"/>
                <w:szCs w:val="20"/>
                <w:highlight w:val="yellow"/>
              </w:rPr>
            </w:pPr>
          </w:p>
        </w:tc>
        <w:tc>
          <w:tcPr>
            <w:tcW w:w="1195" w:type="dxa"/>
            <w:gridSpan w:val="6"/>
            <w:tcBorders>
              <w:top w:val="nil"/>
              <w:left w:val="nil"/>
              <w:bottom w:val="nil"/>
              <w:right w:val="nil"/>
            </w:tcBorders>
            <w:shd w:val="clear" w:color="auto" w:fill="auto"/>
            <w:noWrap/>
            <w:vAlign w:val="bottom"/>
          </w:tcPr>
          <w:p w:rsidR="008B64A3" w:rsidRPr="00776941" w:rsidRDefault="008B64A3" w:rsidP="00460791">
            <w:pPr>
              <w:jc w:val="right"/>
              <w:rPr>
                <w:rFonts w:ascii="Times New Roman" w:hAnsi="Times New Roman"/>
                <w:sz w:val="20"/>
                <w:szCs w:val="20"/>
                <w:highlight w:val="yellow"/>
              </w:rPr>
            </w:pPr>
          </w:p>
        </w:tc>
        <w:tc>
          <w:tcPr>
            <w:tcW w:w="1455" w:type="dxa"/>
            <w:gridSpan w:val="3"/>
            <w:tcBorders>
              <w:top w:val="nil"/>
              <w:left w:val="nil"/>
              <w:bottom w:val="nil"/>
              <w:right w:val="nil"/>
            </w:tcBorders>
            <w:shd w:val="clear" w:color="auto" w:fill="auto"/>
            <w:noWrap/>
            <w:vAlign w:val="bottom"/>
          </w:tcPr>
          <w:p w:rsidR="008B64A3" w:rsidRPr="00776941" w:rsidRDefault="008B64A3">
            <w:pPr>
              <w:jc w:val="right"/>
              <w:rPr>
                <w:rFonts w:ascii="Times New Roman" w:hAnsi="Times New Roman"/>
                <w:b/>
                <w:bCs/>
                <w:sz w:val="20"/>
                <w:szCs w:val="20"/>
                <w:highlight w:val="yellow"/>
              </w:rPr>
            </w:pPr>
          </w:p>
        </w:tc>
      </w:tr>
      <w:tr w:rsidR="00140415" w:rsidRPr="009170B8" w:rsidTr="00A66792">
        <w:trPr>
          <w:trHeight w:val="227"/>
        </w:trPr>
        <w:tc>
          <w:tcPr>
            <w:tcW w:w="5189" w:type="dxa"/>
            <w:gridSpan w:val="18"/>
            <w:tcBorders>
              <w:top w:val="nil"/>
              <w:left w:val="nil"/>
              <w:bottom w:val="nil"/>
              <w:right w:val="nil"/>
            </w:tcBorders>
            <w:shd w:val="clear" w:color="auto" w:fill="auto"/>
            <w:noWrap/>
            <w:vAlign w:val="bottom"/>
          </w:tcPr>
          <w:p w:rsidR="008B64A3" w:rsidRPr="00776941" w:rsidRDefault="008B64A3">
            <w:pPr>
              <w:rPr>
                <w:rFonts w:ascii="Times New Roman" w:hAnsi="Times New Roman"/>
                <w:sz w:val="20"/>
                <w:szCs w:val="20"/>
                <w:highlight w:val="yellow"/>
              </w:rPr>
            </w:pPr>
            <w:r w:rsidRPr="00947EDA">
              <w:rPr>
                <w:rFonts w:ascii="Times New Roman" w:hAnsi="Times New Roman"/>
                <w:b/>
                <w:bCs/>
                <w:sz w:val="20"/>
                <w:szCs w:val="20"/>
              </w:rPr>
              <w:t xml:space="preserve">Canada - Quoted Investments </w:t>
            </w:r>
            <w:r>
              <w:rPr>
                <w:rFonts w:ascii="Times New Roman" w:hAnsi="Times New Roman"/>
                <w:b/>
                <w:bCs/>
                <w:sz w:val="20"/>
                <w:szCs w:val="20"/>
              </w:rPr>
              <w:t>1</w:t>
            </w:r>
            <w:r w:rsidR="004317C4">
              <w:rPr>
                <w:rFonts w:ascii="Times New Roman" w:hAnsi="Times New Roman"/>
                <w:b/>
                <w:bCs/>
                <w:sz w:val="20"/>
                <w:szCs w:val="20"/>
              </w:rPr>
              <w:t>.01</w:t>
            </w:r>
            <w:r w:rsidRPr="00947EDA">
              <w:rPr>
                <w:rFonts w:ascii="Times New Roman" w:hAnsi="Times New Roman"/>
                <w:b/>
                <w:bCs/>
                <w:sz w:val="20"/>
                <w:szCs w:val="20"/>
              </w:rPr>
              <w:t>% (201</w:t>
            </w:r>
            <w:r w:rsidR="004317C4">
              <w:rPr>
                <w:rFonts w:ascii="Times New Roman" w:hAnsi="Times New Roman"/>
                <w:b/>
                <w:bCs/>
                <w:sz w:val="20"/>
                <w:szCs w:val="20"/>
              </w:rPr>
              <w:t>7</w:t>
            </w:r>
            <w:r w:rsidRPr="00947EDA">
              <w:rPr>
                <w:rFonts w:ascii="Times New Roman" w:hAnsi="Times New Roman"/>
                <w:b/>
                <w:bCs/>
                <w:sz w:val="20"/>
                <w:szCs w:val="20"/>
              </w:rPr>
              <w:t xml:space="preserve">: </w:t>
            </w:r>
            <w:r>
              <w:rPr>
                <w:rFonts w:ascii="Times New Roman" w:hAnsi="Times New Roman"/>
                <w:b/>
                <w:bCs/>
                <w:sz w:val="20"/>
                <w:szCs w:val="20"/>
              </w:rPr>
              <w:t>0</w:t>
            </w:r>
            <w:r w:rsidRPr="00947EDA">
              <w:rPr>
                <w:rFonts w:ascii="Times New Roman" w:hAnsi="Times New Roman"/>
                <w:b/>
                <w:bCs/>
                <w:sz w:val="20"/>
                <w:szCs w:val="20"/>
              </w:rPr>
              <w:t>.</w:t>
            </w:r>
            <w:r>
              <w:rPr>
                <w:rFonts w:ascii="Times New Roman" w:hAnsi="Times New Roman"/>
                <w:b/>
                <w:bCs/>
                <w:sz w:val="20"/>
                <w:szCs w:val="20"/>
              </w:rPr>
              <w:t>81</w:t>
            </w:r>
            <w:r w:rsidRPr="00947EDA">
              <w:rPr>
                <w:rFonts w:ascii="Times New Roman" w:hAnsi="Times New Roman"/>
                <w:b/>
                <w:bCs/>
                <w:sz w:val="20"/>
                <w:szCs w:val="20"/>
              </w:rPr>
              <w:t>%)</w:t>
            </w:r>
          </w:p>
        </w:tc>
        <w:tc>
          <w:tcPr>
            <w:tcW w:w="1816" w:type="dxa"/>
            <w:gridSpan w:val="2"/>
            <w:tcBorders>
              <w:top w:val="nil"/>
              <w:left w:val="nil"/>
              <w:right w:val="nil"/>
            </w:tcBorders>
            <w:shd w:val="clear" w:color="auto" w:fill="auto"/>
            <w:noWrap/>
            <w:vAlign w:val="bottom"/>
          </w:tcPr>
          <w:p w:rsidR="008B64A3" w:rsidRPr="00776941" w:rsidRDefault="008B64A3" w:rsidP="00781E9B">
            <w:pPr>
              <w:ind w:left="-108"/>
              <w:jc w:val="right"/>
              <w:rPr>
                <w:rFonts w:ascii="Times New Roman" w:hAnsi="Times New Roman"/>
                <w:sz w:val="20"/>
                <w:szCs w:val="20"/>
                <w:highlight w:val="yellow"/>
              </w:rPr>
            </w:pPr>
          </w:p>
        </w:tc>
        <w:tc>
          <w:tcPr>
            <w:tcW w:w="1304" w:type="dxa"/>
            <w:gridSpan w:val="2"/>
            <w:tcBorders>
              <w:top w:val="nil"/>
              <w:left w:val="nil"/>
              <w:right w:val="nil"/>
            </w:tcBorders>
            <w:shd w:val="clear" w:color="auto" w:fill="auto"/>
            <w:noWrap/>
            <w:vAlign w:val="bottom"/>
          </w:tcPr>
          <w:p w:rsidR="008B64A3" w:rsidRPr="00776941" w:rsidRDefault="008B64A3" w:rsidP="00460791">
            <w:pPr>
              <w:jc w:val="right"/>
              <w:rPr>
                <w:rFonts w:ascii="Times New Roman" w:hAnsi="Times New Roman"/>
                <w:sz w:val="20"/>
                <w:szCs w:val="20"/>
                <w:highlight w:val="yellow"/>
              </w:rPr>
            </w:pPr>
          </w:p>
        </w:tc>
        <w:tc>
          <w:tcPr>
            <w:tcW w:w="1195" w:type="dxa"/>
            <w:gridSpan w:val="6"/>
            <w:tcBorders>
              <w:top w:val="nil"/>
              <w:left w:val="nil"/>
              <w:right w:val="nil"/>
            </w:tcBorders>
            <w:shd w:val="clear" w:color="auto" w:fill="auto"/>
            <w:noWrap/>
            <w:vAlign w:val="bottom"/>
          </w:tcPr>
          <w:p w:rsidR="008B64A3" w:rsidRPr="00776941" w:rsidRDefault="008B64A3" w:rsidP="00460791">
            <w:pPr>
              <w:jc w:val="right"/>
              <w:rPr>
                <w:rFonts w:ascii="Times New Roman" w:hAnsi="Times New Roman"/>
                <w:sz w:val="20"/>
                <w:szCs w:val="20"/>
                <w:highlight w:val="yellow"/>
              </w:rPr>
            </w:pPr>
          </w:p>
        </w:tc>
        <w:tc>
          <w:tcPr>
            <w:tcW w:w="1455" w:type="dxa"/>
            <w:gridSpan w:val="3"/>
            <w:tcBorders>
              <w:top w:val="nil"/>
              <w:left w:val="nil"/>
              <w:right w:val="nil"/>
            </w:tcBorders>
            <w:shd w:val="clear" w:color="auto" w:fill="auto"/>
            <w:noWrap/>
            <w:vAlign w:val="bottom"/>
          </w:tcPr>
          <w:p w:rsidR="008B64A3" w:rsidRPr="00776941" w:rsidRDefault="008B64A3">
            <w:pPr>
              <w:jc w:val="right"/>
              <w:rPr>
                <w:rFonts w:ascii="Times New Roman" w:hAnsi="Times New Roman"/>
                <w:bCs/>
                <w:sz w:val="20"/>
                <w:szCs w:val="20"/>
                <w:highlight w:val="yellow"/>
              </w:rPr>
            </w:pPr>
          </w:p>
        </w:tc>
      </w:tr>
      <w:tr w:rsidR="00140415" w:rsidRPr="009170B8" w:rsidTr="00E54387">
        <w:trPr>
          <w:trHeight w:val="227"/>
        </w:trPr>
        <w:tc>
          <w:tcPr>
            <w:tcW w:w="3847" w:type="dxa"/>
            <w:gridSpan w:val="16"/>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proofErr w:type="spellStart"/>
            <w:r w:rsidRPr="009170B8">
              <w:rPr>
                <w:rFonts w:ascii="Times New Roman" w:hAnsi="Times New Roman"/>
                <w:sz w:val="20"/>
                <w:szCs w:val="20"/>
              </w:rPr>
              <w:t>Tricon</w:t>
            </w:r>
            <w:proofErr w:type="spellEnd"/>
            <w:r w:rsidRPr="009170B8">
              <w:rPr>
                <w:rFonts w:ascii="Times New Roman" w:hAnsi="Times New Roman"/>
                <w:sz w:val="20"/>
                <w:szCs w:val="20"/>
              </w:rPr>
              <w:t xml:space="preserve"> Capital Group 5.</w:t>
            </w:r>
            <w:r>
              <w:rPr>
                <w:rFonts w:ascii="Times New Roman" w:hAnsi="Times New Roman"/>
                <w:sz w:val="20"/>
                <w:szCs w:val="20"/>
              </w:rPr>
              <w:t>75</w:t>
            </w:r>
            <w:r w:rsidRPr="009170B8">
              <w:rPr>
                <w:rFonts w:ascii="Times New Roman" w:hAnsi="Times New Roman"/>
                <w:sz w:val="20"/>
                <w:szCs w:val="20"/>
              </w:rPr>
              <w:t>% due 31 March 20</w:t>
            </w:r>
            <w:r>
              <w:rPr>
                <w:rFonts w:ascii="Times New Roman" w:hAnsi="Times New Roman"/>
                <w:sz w:val="20"/>
                <w:szCs w:val="20"/>
              </w:rPr>
              <w:t>22</w:t>
            </w:r>
          </w:p>
        </w:tc>
        <w:tc>
          <w:tcPr>
            <w:tcW w:w="1342" w:type="dxa"/>
            <w:gridSpan w:val="2"/>
            <w:tcBorders>
              <w:top w:val="nil"/>
              <w:left w:val="nil"/>
              <w:bottom w:val="nil"/>
              <w:right w:val="nil"/>
            </w:tcBorders>
            <w:shd w:val="clear" w:color="auto" w:fill="auto"/>
            <w:noWrap/>
            <w:vAlign w:val="bottom"/>
          </w:tcPr>
          <w:p w:rsidR="008B64A3" w:rsidRPr="00947EDA" w:rsidRDefault="008B64A3" w:rsidP="00AC5183">
            <w:pPr>
              <w:jc w:val="center"/>
              <w:rPr>
                <w:rFonts w:ascii="Times New Roman" w:hAnsi="Times New Roman"/>
                <w:sz w:val="20"/>
                <w:szCs w:val="20"/>
              </w:rPr>
            </w:pPr>
            <w:r w:rsidRPr="00947EDA">
              <w:rPr>
                <w:rFonts w:ascii="Times New Roman" w:hAnsi="Times New Roman"/>
                <w:sz w:val="20"/>
                <w:szCs w:val="20"/>
              </w:rPr>
              <w:t>1,500,000</w:t>
            </w:r>
          </w:p>
        </w:tc>
        <w:tc>
          <w:tcPr>
            <w:tcW w:w="1816" w:type="dxa"/>
            <w:gridSpan w:val="2"/>
            <w:tcBorders>
              <w:top w:val="nil"/>
              <w:left w:val="nil"/>
              <w:right w:val="nil"/>
            </w:tcBorders>
            <w:shd w:val="clear" w:color="auto" w:fill="auto"/>
            <w:noWrap/>
            <w:vAlign w:val="bottom"/>
          </w:tcPr>
          <w:p w:rsidR="008B64A3" w:rsidRPr="00947EDA" w:rsidRDefault="008B64A3">
            <w:pPr>
              <w:jc w:val="right"/>
              <w:rPr>
                <w:rFonts w:ascii="Times New Roman" w:hAnsi="Times New Roman"/>
                <w:sz w:val="20"/>
                <w:szCs w:val="20"/>
              </w:rPr>
            </w:pPr>
            <w:r>
              <w:rPr>
                <w:rFonts w:ascii="Times New Roman" w:hAnsi="Times New Roman"/>
                <w:sz w:val="20"/>
                <w:szCs w:val="20"/>
              </w:rPr>
              <w:t>1,221</w:t>
            </w:r>
            <w:r w:rsidRPr="00947EDA">
              <w:rPr>
                <w:rFonts w:ascii="Times New Roman" w:hAnsi="Times New Roman"/>
                <w:sz w:val="20"/>
                <w:szCs w:val="20"/>
              </w:rPr>
              <w:t>,</w:t>
            </w:r>
            <w:r>
              <w:rPr>
                <w:rFonts w:ascii="Times New Roman" w:hAnsi="Times New Roman"/>
                <w:sz w:val="20"/>
                <w:szCs w:val="20"/>
              </w:rPr>
              <w:t>200</w:t>
            </w:r>
          </w:p>
        </w:tc>
        <w:tc>
          <w:tcPr>
            <w:tcW w:w="1304" w:type="dxa"/>
            <w:gridSpan w:val="2"/>
            <w:tcBorders>
              <w:top w:val="nil"/>
              <w:left w:val="nil"/>
              <w:right w:val="nil"/>
            </w:tcBorders>
            <w:shd w:val="clear" w:color="auto" w:fill="auto"/>
            <w:noWrap/>
            <w:vAlign w:val="bottom"/>
          </w:tcPr>
          <w:p w:rsidR="008B64A3" w:rsidRPr="00947EDA" w:rsidRDefault="008B64A3">
            <w:pPr>
              <w:jc w:val="right"/>
              <w:rPr>
                <w:rFonts w:ascii="Times New Roman" w:hAnsi="Times New Roman"/>
                <w:sz w:val="20"/>
                <w:szCs w:val="20"/>
              </w:rPr>
            </w:pPr>
            <w:r>
              <w:rPr>
                <w:rFonts w:ascii="Times New Roman" w:hAnsi="Times New Roman"/>
                <w:sz w:val="20"/>
                <w:szCs w:val="20"/>
              </w:rPr>
              <w:t>1,</w:t>
            </w:r>
            <w:r w:rsidR="0074128C">
              <w:rPr>
                <w:rFonts w:ascii="Times New Roman" w:hAnsi="Times New Roman"/>
                <w:sz w:val="20"/>
                <w:szCs w:val="20"/>
              </w:rPr>
              <w:t>154</w:t>
            </w:r>
            <w:r>
              <w:rPr>
                <w:rFonts w:ascii="Times New Roman" w:hAnsi="Times New Roman"/>
                <w:sz w:val="20"/>
                <w:szCs w:val="20"/>
              </w:rPr>
              <w:t>,</w:t>
            </w:r>
            <w:r w:rsidR="0074128C">
              <w:rPr>
                <w:rFonts w:ascii="Times New Roman" w:hAnsi="Times New Roman"/>
                <w:sz w:val="20"/>
                <w:szCs w:val="20"/>
              </w:rPr>
              <w:t>8</w:t>
            </w:r>
            <w:r w:rsidR="004317C4">
              <w:rPr>
                <w:rFonts w:ascii="Times New Roman" w:hAnsi="Times New Roman"/>
                <w:sz w:val="20"/>
                <w:szCs w:val="20"/>
              </w:rPr>
              <w:t>09</w:t>
            </w:r>
          </w:p>
        </w:tc>
        <w:tc>
          <w:tcPr>
            <w:tcW w:w="1195" w:type="dxa"/>
            <w:gridSpan w:val="6"/>
            <w:tcBorders>
              <w:top w:val="nil"/>
              <w:left w:val="nil"/>
              <w:right w:val="nil"/>
            </w:tcBorders>
            <w:shd w:val="clear" w:color="auto" w:fill="auto"/>
            <w:noWrap/>
            <w:vAlign w:val="bottom"/>
          </w:tcPr>
          <w:p w:rsidR="008B64A3" w:rsidRPr="00947EDA" w:rsidRDefault="0074128C">
            <w:pPr>
              <w:jc w:val="right"/>
              <w:rPr>
                <w:rFonts w:ascii="Times New Roman" w:hAnsi="Times New Roman"/>
                <w:sz w:val="20"/>
                <w:szCs w:val="20"/>
              </w:rPr>
            </w:pPr>
            <w:r>
              <w:rPr>
                <w:rFonts w:ascii="Times New Roman" w:hAnsi="Times New Roman"/>
                <w:sz w:val="20"/>
                <w:szCs w:val="20"/>
              </w:rPr>
              <w:t>1.13</w:t>
            </w:r>
            <w:r w:rsidR="008B64A3" w:rsidRPr="00947EDA">
              <w:rPr>
                <w:rFonts w:ascii="Times New Roman" w:hAnsi="Times New Roman"/>
                <w:sz w:val="20"/>
                <w:szCs w:val="20"/>
              </w:rPr>
              <w:t>%</w:t>
            </w:r>
          </w:p>
        </w:tc>
        <w:tc>
          <w:tcPr>
            <w:tcW w:w="1455" w:type="dxa"/>
            <w:gridSpan w:val="3"/>
            <w:tcBorders>
              <w:top w:val="nil"/>
              <w:left w:val="nil"/>
              <w:right w:val="nil"/>
            </w:tcBorders>
            <w:shd w:val="clear" w:color="auto" w:fill="auto"/>
            <w:noWrap/>
            <w:vAlign w:val="bottom"/>
          </w:tcPr>
          <w:p w:rsidR="008B64A3" w:rsidRPr="00947EDA" w:rsidRDefault="0074128C">
            <w:pPr>
              <w:jc w:val="right"/>
              <w:rPr>
                <w:rFonts w:ascii="Times New Roman" w:hAnsi="Times New Roman"/>
                <w:bCs/>
                <w:sz w:val="20"/>
                <w:szCs w:val="20"/>
              </w:rPr>
            </w:pPr>
            <w:r>
              <w:rPr>
                <w:rFonts w:ascii="Times New Roman" w:hAnsi="Times New Roman"/>
                <w:bCs/>
                <w:sz w:val="20"/>
                <w:szCs w:val="20"/>
              </w:rPr>
              <w:t>1.01</w:t>
            </w:r>
            <w:r w:rsidR="008B64A3" w:rsidRPr="00947EDA">
              <w:rPr>
                <w:rFonts w:ascii="Times New Roman" w:hAnsi="Times New Roman"/>
                <w:bCs/>
                <w:sz w:val="20"/>
                <w:szCs w:val="20"/>
              </w:rPr>
              <w:t>%</w:t>
            </w:r>
          </w:p>
        </w:tc>
      </w:tr>
      <w:tr w:rsidR="00140415" w:rsidRPr="009170B8" w:rsidTr="00E54387">
        <w:trPr>
          <w:trHeight w:val="227"/>
        </w:trPr>
        <w:tc>
          <w:tcPr>
            <w:tcW w:w="3847" w:type="dxa"/>
            <w:gridSpan w:val="16"/>
            <w:tcBorders>
              <w:top w:val="nil"/>
              <w:left w:val="nil"/>
              <w:bottom w:val="nil"/>
              <w:right w:val="nil"/>
            </w:tcBorders>
            <w:shd w:val="clear" w:color="auto" w:fill="auto"/>
            <w:noWrap/>
            <w:vAlign w:val="bottom"/>
          </w:tcPr>
          <w:p w:rsidR="008B64A3" w:rsidRPr="009170B8" w:rsidRDefault="008B64A3" w:rsidP="00460791">
            <w:pPr>
              <w:rPr>
                <w:rFonts w:ascii="Times New Roman" w:hAnsi="Times New Roman"/>
                <w:sz w:val="20"/>
                <w:szCs w:val="20"/>
              </w:rPr>
            </w:pPr>
          </w:p>
        </w:tc>
        <w:tc>
          <w:tcPr>
            <w:tcW w:w="1342" w:type="dxa"/>
            <w:gridSpan w:val="2"/>
            <w:tcBorders>
              <w:top w:val="nil"/>
              <w:left w:val="nil"/>
              <w:bottom w:val="nil"/>
              <w:right w:val="nil"/>
            </w:tcBorders>
            <w:shd w:val="clear" w:color="auto" w:fill="auto"/>
            <w:noWrap/>
            <w:vAlign w:val="bottom"/>
          </w:tcPr>
          <w:p w:rsidR="008B64A3" w:rsidRPr="00947EDA" w:rsidRDefault="008B64A3" w:rsidP="00460791">
            <w:pPr>
              <w:jc w:val="right"/>
              <w:rPr>
                <w:rFonts w:ascii="Times New Roman" w:hAnsi="Times New Roman"/>
                <w:sz w:val="20"/>
                <w:szCs w:val="20"/>
              </w:rPr>
            </w:pPr>
          </w:p>
        </w:tc>
        <w:tc>
          <w:tcPr>
            <w:tcW w:w="1816" w:type="dxa"/>
            <w:gridSpan w:val="2"/>
            <w:tcBorders>
              <w:top w:val="nil"/>
              <w:left w:val="nil"/>
              <w:right w:val="nil"/>
            </w:tcBorders>
            <w:shd w:val="clear" w:color="auto" w:fill="auto"/>
            <w:noWrap/>
            <w:vAlign w:val="bottom"/>
          </w:tcPr>
          <w:p w:rsidR="008B64A3" w:rsidRPr="00947EDA" w:rsidRDefault="008B64A3" w:rsidP="00AC5183">
            <w:pPr>
              <w:jc w:val="right"/>
              <w:rPr>
                <w:rFonts w:ascii="Times New Roman" w:hAnsi="Times New Roman"/>
                <w:sz w:val="20"/>
                <w:szCs w:val="20"/>
              </w:rPr>
            </w:pPr>
          </w:p>
        </w:tc>
        <w:tc>
          <w:tcPr>
            <w:tcW w:w="1304" w:type="dxa"/>
            <w:gridSpan w:val="2"/>
            <w:tcBorders>
              <w:top w:val="nil"/>
              <w:left w:val="nil"/>
              <w:right w:val="nil"/>
            </w:tcBorders>
            <w:shd w:val="clear" w:color="auto" w:fill="auto"/>
            <w:noWrap/>
            <w:vAlign w:val="bottom"/>
          </w:tcPr>
          <w:p w:rsidR="008B64A3" w:rsidRPr="00947EDA" w:rsidRDefault="008B64A3" w:rsidP="00460791">
            <w:pPr>
              <w:jc w:val="right"/>
              <w:rPr>
                <w:rFonts w:ascii="Times New Roman" w:hAnsi="Times New Roman"/>
                <w:sz w:val="20"/>
                <w:szCs w:val="20"/>
              </w:rPr>
            </w:pPr>
          </w:p>
        </w:tc>
        <w:tc>
          <w:tcPr>
            <w:tcW w:w="1195" w:type="dxa"/>
            <w:gridSpan w:val="6"/>
            <w:tcBorders>
              <w:top w:val="nil"/>
              <w:left w:val="nil"/>
              <w:right w:val="nil"/>
            </w:tcBorders>
            <w:shd w:val="clear" w:color="auto" w:fill="auto"/>
            <w:noWrap/>
            <w:vAlign w:val="bottom"/>
          </w:tcPr>
          <w:p w:rsidR="008B64A3" w:rsidRPr="00947EDA" w:rsidRDefault="008B64A3" w:rsidP="00460791">
            <w:pPr>
              <w:jc w:val="right"/>
              <w:rPr>
                <w:rFonts w:ascii="Times New Roman" w:hAnsi="Times New Roman"/>
                <w:sz w:val="20"/>
                <w:szCs w:val="20"/>
              </w:rPr>
            </w:pPr>
          </w:p>
        </w:tc>
        <w:tc>
          <w:tcPr>
            <w:tcW w:w="1455" w:type="dxa"/>
            <w:gridSpan w:val="3"/>
            <w:tcBorders>
              <w:top w:val="nil"/>
              <w:left w:val="nil"/>
              <w:right w:val="nil"/>
            </w:tcBorders>
            <w:shd w:val="clear" w:color="auto" w:fill="auto"/>
            <w:noWrap/>
            <w:vAlign w:val="bottom"/>
          </w:tcPr>
          <w:p w:rsidR="008B64A3" w:rsidRPr="00947EDA" w:rsidRDefault="008B64A3">
            <w:pPr>
              <w:jc w:val="right"/>
              <w:rPr>
                <w:rFonts w:ascii="Times New Roman" w:hAnsi="Times New Roman"/>
                <w:bCs/>
                <w:sz w:val="20"/>
                <w:szCs w:val="20"/>
              </w:rPr>
            </w:pPr>
          </w:p>
        </w:tc>
      </w:tr>
      <w:tr w:rsidR="00140415" w:rsidRPr="009170B8" w:rsidTr="00E54387">
        <w:trPr>
          <w:trHeight w:val="227"/>
        </w:trPr>
        <w:tc>
          <w:tcPr>
            <w:tcW w:w="3847" w:type="dxa"/>
            <w:gridSpan w:val="16"/>
            <w:tcBorders>
              <w:top w:val="nil"/>
              <w:left w:val="nil"/>
              <w:bottom w:val="nil"/>
              <w:right w:val="nil"/>
            </w:tcBorders>
            <w:shd w:val="clear" w:color="auto" w:fill="auto"/>
            <w:noWrap/>
            <w:vAlign w:val="bottom"/>
          </w:tcPr>
          <w:p w:rsidR="0074128C" w:rsidRPr="009170B8" w:rsidRDefault="0074128C">
            <w:pPr>
              <w:rPr>
                <w:rFonts w:ascii="Times New Roman" w:hAnsi="Times New Roman"/>
                <w:b/>
                <w:bCs/>
                <w:sz w:val="20"/>
                <w:szCs w:val="20"/>
              </w:rPr>
            </w:pPr>
            <w:r w:rsidRPr="009170B8">
              <w:rPr>
                <w:rFonts w:ascii="Times New Roman" w:hAnsi="Times New Roman"/>
                <w:b/>
                <w:bCs/>
                <w:sz w:val="20"/>
                <w:szCs w:val="20"/>
              </w:rPr>
              <w:t>Total debt:</w:t>
            </w:r>
          </w:p>
        </w:tc>
        <w:tc>
          <w:tcPr>
            <w:tcW w:w="1342" w:type="dxa"/>
            <w:gridSpan w:val="2"/>
            <w:tcBorders>
              <w:top w:val="nil"/>
              <w:left w:val="nil"/>
              <w:bottom w:val="nil"/>
              <w:right w:val="nil"/>
            </w:tcBorders>
            <w:shd w:val="clear" w:color="auto" w:fill="auto"/>
            <w:noWrap/>
            <w:vAlign w:val="bottom"/>
          </w:tcPr>
          <w:p w:rsidR="0074128C" w:rsidRPr="00776941" w:rsidRDefault="0074128C">
            <w:pPr>
              <w:jc w:val="right"/>
              <w:rPr>
                <w:rFonts w:ascii="Times New Roman" w:hAnsi="Times New Roman"/>
                <w:b/>
                <w:bCs/>
                <w:sz w:val="20"/>
                <w:szCs w:val="20"/>
                <w:highlight w:val="yellow"/>
              </w:rPr>
            </w:pPr>
          </w:p>
        </w:tc>
        <w:tc>
          <w:tcPr>
            <w:tcW w:w="1816" w:type="dxa"/>
            <w:gridSpan w:val="2"/>
            <w:tcBorders>
              <w:top w:val="single" w:sz="4" w:space="0" w:color="auto"/>
              <w:left w:val="nil"/>
              <w:bottom w:val="single" w:sz="4" w:space="0" w:color="auto"/>
              <w:right w:val="nil"/>
            </w:tcBorders>
            <w:shd w:val="clear" w:color="auto" w:fill="auto"/>
            <w:noWrap/>
            <w:vAlign w:val="bottom"/>
          </w:tcPr>
          <w:p w:rsidR="0074128C" w:rsidRPr="0074128C" w:rsidRDefault="0074128C" w:rsidP="00AC5183">
            <w:pPr>
              <w:jc w:val="right"/>
              <w:rPr>
                <w:rFonts w:ascii="Times New Roman" w:hAnsi="Times New Roman"/>
                <w:b/>
                <w:bCs/>
                <w:sz w:val="20"/>
                <w:szCs w:val="20"/>
              </w:rPr>
            </w:pPr>
            <w:r w:rsidRPr="0074128C">
              <w:rPr>
                <w:rFonts w:ascii="Times New Roman" w:hAnsi="Times New Roman"/>
                <w:b/>
                <w:bCs/>
                <w:sz w:val="20"/>
                <w:szCs w:val="20"/>
              </w:rPr>
              <w:t>1,221,200</w:t>
            </w:r>
          </w:p>
        </w:tc>
        <w:tc>
          <w:tcPr>
            <w:tcW w:w="1304" w:type="dxa"/>
            <w:gridSpan w:val="2"/>
            <w:tcBorders>
              <w:top w:val="single" w:sz="4" w:space="0" w:color="auto"/>
              <w:left w:val="nil"/>
              <w:bottom w:val="single" w:sz="4" w:space="0" w:color="auto"/>
              <w:right w:val="nil"/>
            </w:tcBorders>
            <w:shd w:val="clear" w:color="auto" w:fill="auto"/>
            <w:noWrap/>
            <w:vAlign w:val="bottom"/>
          </w:tcPr>
          <w:p w:rsidR="0074128C" w:rsidRPr="0074128C" w:rsidRDefault="0074128C">
            <w:pPr>
              <w:jc w:val="right"/>
              <w:rPr>
                <w:rFonts w:ascii="Times New Roman" w:hAnsi="Times New Roman"/>
                <w:b/>
                <w:bCs/>
                <w:sz w:val="20"/>
                <w:szCs w:val="20"/>
              </w:rPr>
            </w:pPr>
            <w:r w:rsidRPr="00AC5183">
              <w:rPr>
                <w:rFonts w:ascii="Times New Roman" w:hAnsi="Times New Roman"/>
                <w:b/>
                <w:sz w:val="20"/>
                <w:szCs w:val="20"/>
              </w:rPr>
              <w:t>1,154,8</w:t>
            </w:r>
            <w:r w:rsidR="004317C4">
              <w:rPr>
                <w:rFonts w:ascii="Times New Roman" w:hAnsi="Times New Roman"/>
                <w:b/>
                <w:sz w:val="20"/>
                <w:szCs w:val="20"/>
              </w:rPr>
              <w:t>09</w:t>
            </w:r>
          </w:p>
        </w:tc>
        <w:tc>
          <w:tcPr>
            <w:tcW w:w="1195" w:type="dxa"/>
            <w:gridSpan w:val="6"/>
            <w:tcBorders>
              <w:top w:val="single" w:sz="4" w:space="0" w:color="auto"/>
              <w:left w:val="nil"/>
              <w:bottom w:val="single" w:sz="4" w:space="0" w:color="auto"/>
              <w:right w:val="nil"/>
            </w:tcBorders>
            <w:shd w:val="clear" w:color="auto" w:fill="auto"/>
            <w:noWrap/>
            <w:vAlign w:val="bottom"/>
          </w:tcPr>
          <w:p w:rsidR="0074128C" w:rsidRPr="0074128C" w:rsidRDefault="0074128C">
            <w:pPr>
              <w:jc w:val="right"/>
              <w:rPr>
                <w:rFonts w:ascii="Times New Roman" w:hAnsi="Times New Roman"/>
                <w:b/>
                <w:bCs/>
                <w:sz w:val="20"/>
                <w:szCs w:val="20"/>
              </w:rPr>
            </w:pPr>
            <w:r w:rsidRPr="00AC5183">
              <w:rPr>
                <w:rFonts w:ascii="Times New Roman" w:hAnsi="Times New Roman"/>
                <w:b/>
                <w:sz w:val="20"/>
                <w:szCs w:val="20"/>
              </w:rPr>
              <w:t>1.13%</w:t>
            </w:r>
          </w:p>
        </w:tc>
        <w:tc>
          <w:tcPr>
            <w:tcW w:w="1455" w:type="dxa"/>
            <w:gridSpan w:val="3"/>
            <w:tcBorders>
              <w:top w:val="single" w:sz="4" w:space="0" w:color="auto"/>
              <w:left w:val="nil"/>
              <w:bottom w:val="single" w:sz="4" w:space="0" w:color="auto"/>
              <w:right w:val="nil"/>
            </w:tcBorders>
            <w:shd w:val="clear" w:color="auto" w:fill="auto"/>
            <w:noWrap/>
            <w:vAlign w:val="bottom"/>
          </w:tcPr>
          <w:p w:rsidR="0074128C" w:rsidRPr="0074128C" w:rsidRDefault="0074128C">
            <w:pPr>
              <w:jc w:val="right"/>
              <w:rPr>
                <w:rFonts w:ascii="Times New Roman" w:hAnsi="Times New Roman"/>
                <w:b/>
                <w:bCs/>
                <w:sz w:val="20"/>
                <w:szCs w:val="20"/>
              </w:rPr>
            </w:pPr>
            <w:r w:rsidRPr="00AC5183">
              <w:rPr>
                <w:rFonts w:ascii="Times New Roman" w:hAnsi="Times New Roman"/>
                <w:b/>
                <w:bCs/>
                <w:sz w:val="20"/>
                <w:szCs w:val="20"/>
              </w:rPr>
              <w:t>1.01%</w:t>
            </w:r>
          </w:p>
        </w:tc>
      </w:tr>
      <w:tr w:rsidR="00140415" w:rsidRPr="009170B8" w:rsidTr="00E54387">
        <w:trPr>
          <w:trHeight w:val="227"/>
        </w:trPr>
        <w:tc>
          <w:tcPr>
            <w:tcW w:w="3847" w:type="dxa"/>
            <w:gridSpan w:val="16"/>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p>
        </w:tc>
        <w:tc>
          <w:tcPr>
            <w:tcW w:w="1342" w:type="dxa"/>
            <w:gridSpan w:val="2"/>
            <w:tcBorders>
              <w:top w:val="nil"/>
              <w:left w:val="nil"/>
              <w:bottom w:val="nil"/>
              <w:right w:val="nil"/>
            </w:tcBorders>
            <w:shd w:val="clear" w:color="auto" w:fill="auto"/>
            <w:noWrap/>
            <w:vAlign w:val="bottom"/>
          </w:tcPr>
          <w:p w:rsidR="008B64A3" w:rsidRPr="00776941" w:rsidRDefault="008B64A3">
            <w:pPr>
              <w:jc w:val="right"/>
              <w:rPr>
                <w:rFonts w:ascii="Times New Roman" w:hAnsi="Times New Roman"/>
                <w:sz w:val="20"/>
                <w:szCs w:val="20"/>
                <w:highlight w:val="yellow"/>
              </w:rPr>
            </w:pPr>
          </w:p>
        </w:tc>
        <w:tc>
          <w:tcPr>
            <w:tcW w:w="1816" w:type="dxa"/>
            <w:gridSpan w:val="2"/>
            <w:tcBorders>
              <w:top w:val="single" w:sz="4" w:space="0" w:color="auto"/>
              <w:left w:val="nil"/>
              <w:bottom w:val="nil"/>
              <w:right w:val="nil"/>
            </w:tcBorders>
            <w:shd w:val="clear" w:color="auto" w:fill="auto"/>
            <w:noWrap/>
            <w:vAlign w:val="bottom"/>
          </w:tcPr>
          <w:p w:rsidR="008B64A3" w:rsidRPr="00776941" w:rsidRDefault="008B64A3" w:rsidP="00AC5183">
            <w:pPr>
              <w:jc w:val="right"/>
              <w:rPr>
                <w:rFonts w:ascii="Times New Roman" w:hAnsi="Times New Roman"/>
                <w:sz w:val="20"/>
                <w:szCs w:val="20"/>
                <w:highlight w:val="yellow"/>
              </w:rPr>
            </w:pPr>
          </w:p>
        </w:tc>
        <w:tc>
          <w:tcPr>
            <w:tcW w:w="1304" w:type="dxa"/>
            <w:gridSpan w:val="2"/>
            <w:tcBorders>
              <w:top w:val="single" w:sz="4" w:space="0" w:color="auto"/>
              <w:left w:val="nil"/>
              <w:bottom w:val="nil"/>
              <w:right w:val="nil"/>
            </w:tcBorders>
            <w:shd w:val="clear" w:color="auto" w:fill="auto"/>
            <w:noWrap/>
            <w:vAlign w:val="bottom"/>
          </w:tcPr>
          <w:p w:rsidR="008B64A3" w:rsidRPr="00776941" w:rsidRDefault="008B64A3" w:rsidP="00D2592E">
            <w:pPr>
              <w:jc w:val="right"/>
              <w:rPr>
                <w:rFonts w:ascii="Times New Roman" w:hAnsi="Times New Roman"/>
                <w:sz w:val="20"/>
                <w:szCs w:val="20"/>
                <w:highlight w:val="yellow"/>
              </w:rPr>
            </w:pPr>
          </w:p>
        </w:tc>
        <w:tc>
          <w:tcPr>
            <w:tcW w:w="1195" w:type="dxa"/>
            <w:gridSpan w:val="6"/>
            <w:tcBorders>
              <w:top w:val="single" w:sz="4" w:space="0" w:color="auto"/>
              <w:left w:val="nil"/>
              <w:bottom w:val="nil"/>
              <w:right w:val="nil"/>
            </w:tcBorders>
            <w:shd w:val="clear" w:color="auto" w:fill="auto"/>
            <w:noWrap/>
            <w:vAlign w:val="bottom"/>
          </w:tcPr>
          <w:p w:rsidR="008B64A3" w:rsidRPr="00776941" w:rsidRDefault="008B64A3" w:rsidP="00D2592E">
            <w:pPr>
              <w:jc w:val="right"/>
              <w:rPr>
                <w:rFonts w:ascii="Times New Roman" w:hAnsi="Times New Roman"/>
                <w:sz w:val="20"/>
                <w:szCs w:val="20"/>
                <w:highlight w:val="yellow"/>
              </w:rPr>
            </w:pPr>
          </w:p>
        </w:tc>
        <w:tc>
          <w:tcPr>
            <w:tcW w:w="1455" w:type="dxa"/>
            <w:gridSpan w:val="3"/>
            <w:tcBorders>
              <w:top w:val="single" w:sz="4" w:space="0" w:color="auto"/>
              <w:left w:val="nil"/>
              <w:bottom w:val="nil"/>
              <w:right w:val="nil"/>
            </w:tcBorders>
            <w:shd w:val="clear" w:color="auto" w:fill="auto"/>
            <w:noWrap/>
            <w:vAlign w:val="bottom"/>
          </w:tcPr>
          <w:p w:rsidR="008B64A3" w:rsidRPr="00776941" w:rsidRDefault="008B64A3">
            <w:pPr>
              <w:jc w:val="right"/>
              <w:rPr>
                <w:rFonts w:ascii="Times New Roman" w:hAnsi="Times New Roman"/>
                <w:b/>
                <w:bCs/>
                <w:sz w:val="20"/>
                <w:szCs w:val="20"/>
                <w:highlight w:val="yellow"/>
              </w:rPr>
            </w:pPr>
          </w:p>
        </w:tc>
      </w:tr>
      <w:tr w:rsidR="00140415" w:rsidRPr="00947EDA" w:rsidTr="00E54387">
        <w:trPr>
          <w:trHeight w:val="227"/>
        </w:trPr>
        <w:tc>
          <w:tcPr>
            <w:tcW w:w="3847" w:type="dxa"/>
            <w:gridSpan w:val="16"/>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p>
        </w:tc>
        <w:tc>
          <w:tcPr>
            <w:tcW w:w="1342" w:type="dxa"/>
            <w:gridSpan w:val="2"/>
            <w:tcBorders>
              <w:top w:val="nil"/>
              <w:left w:val="nil"/>
              <w:bottom w:val="nil"/>
              <w:right w:val="nil"/>
            </w:tcBorders>
            <w:shd w:val="clear" w:color="auto" w:fill="auto"/>
            <w:noWrap/>
            <w:vAlign w:val="bottom"/>
          </w:tcPr>
          <w:p w:rsidR="008B64A3" w:rsidRPr="00776941" w:rsidRDefault="008B64A3">
            <w:pPr>
              <w:rPr>
                <w:rFonts w:ascii="Times New Roman" w:hAnsi="Times New Roman"/>
                <w:sz w:val="20"/>
                <w:szCs w:val="20"/>
                <w:highlight w:val="yellow"/>
              </w:rPr>
            </w:pPr>
          </w:p>
        </w:tc>
        <w:tc>
          <w:tcPr>
            <w:tcW w:w="1816" w:type="dxa"/>
            <w:gridSpan w:val="2"/>
            <w:tcBorders>
              <w:top w:val="nil"/>
              <w:left w:val="nil"/>
              <w:bottom w:val="single" w:sz="4" w:space="0" w:color="auto"/>
              <w:right w:val="nil"/>
            </w:tcBorders>
            <w:shd w:val="clear" w:color="auto" w:fill="auto"/>
            <w:noWrap/>
            <w:vAlign w:val="bottom"/>
          </w:tcPr>
          <w:p w:rsidR="008B64A3" w:rsidRPr="00776941" w:rsidRDefault="008B64A3" w:rsidP="00AC5183">
            <w:pPr>
              <w:jc w:val="center"/>
              <w:rPr>
                <w:rFonts w:ascii="Times New Roman" w:hAnsi="Times New Roman"/>
                <w:sz w:val="20"/>
                <w:szCs w:val="20"/>
                <w:highlight w:val="yellow"/>
              </w:rPr>
            </w:pPr>
          </w:p>
        </w:tc>
        <w:tc>
          <w:tcPr>
            <w:tcW w:w="1304" w:type="dxa"/>
            <w:gridSpan w:val="2"/>
            <w:tcBorders>
              <w:top w:val="nil"/>
              <w:left w:val="nil"/>
              <w:bottom w:val="single" w:sz="4" w:space="0" w:color="auto"/>
              <w:right w:val="nil"/>
            </w:tcBorders>
            <w:shd w:val="clear" w:color="auto" w:fill="auto"/>
            <w:noWrap/>
            <w:vAlign w:val="bottom"/>
          </w:tcPr>
          <w:p w:rsidR="008B64A3" w:rsidRPr="00776941" w:rsidRDefault="008B64A3" w:rsidP="00D2592E">
            <w:pPr>
              <w:jc w:val="right"/>
              <w:rPr>
                <w:rFonts w:ascii="Times New Roman" w:hAnsi="Times New Roman"/>
                <w:sz w:val="20"/>
                <w:szCs w:val="20"/>
                <w:highlight w:val="yellow"/>
              </w:rPr>
            </w:pPr>
          </w:p>
        </w:tc>
        <w:tc>
          <w:tcPr>
            <w:tcW w:w="1195" w:type="dxa"/>
            <w:gridSpan w:val="6"/>
            <w:tcBorders>
              <w:top w:val="nil"/>
              <w:left w:val="nil"/>
              <w:bottom w:val="single" w:sz="4" w:space="0" w:color="auto"/>
              <w:right w:val="nil"/>
            </w:tcBorders>
            <w:shd w:val="clear" w:color="auto" w:fill="auto"/>
            <w:noWrap/>
            <w:vAlign w:val="bottom"/>
          </w:tcPr>
          <w:p w:rsidR="008B64A3" w:rsidRPr="00776941" w:rsidRDefault="008B64A3" w:rsidP="00D2592E">
            <w:pPr>
              <w:jc w:val="right"/>
              <w:rPr>
                <w:rFonts w:ascii="Times New Roman" w:hAnsi="Times New Roman"/>
                <w:sz w:val="20"/>
                <w:szCs w:val="20"/>
                <w:highlight w:val="yellow"/>
              </w:rPr>
            </w:pPr>
          </w:p>
        </w:tc>
        <w:tc>
          <w:tcPr>
            <w:tcW w:w="1455" w:type="dxa"/>
            <w:gridSpan w:val="3"/>
            <w:tcBorders>
              <w:top w:val="nil"/>
              <w:left w:val="nil"/>
              <w:bottom w:val="single" w:sz="4" w:space="0" w:color="auto"/>
              <w:right w:val="nil"/>
            </w:tcBorders>
            <w:shd w:val="clear" w:color="auto" w:fill="auto"/>
            <w:noWrap/>
            <w:vAlign w:val="bottom"/>
          </w:tcPr>
          <w:p w:rsidR="008B64A3" w:rsidRPr="00947EDA" w:rsidRDefault="008B64A3">
            <w:pPr>
              <w:jc w:val="right"/>
              <w:rPr>
                <w:rFonts w:ascii="Times New Roman" w:hAnsi="Times New Roman"/>
                <w:b/>
                <w:bCs/>
                <w:sz w:val="20"/>
                <w:szCs w:val="20"/>
              </w:rPr>
            </w:pPr>
            <w:r w:rsidRPr="00947EDA">
              <w:rPr>
                <w:rFonts w:ascii="Times New Roman" w:hAnsi="Times New Roman"/>
                <w:b/>
                <w:bCs/>
                <w:sz w:val="20"/>
                <w:szCs w:val="20"/>
              </w:rPr>
              <w:t> </w:t>
            </w:r>
          </w:p>
        </w:tc>
      </w:tr>
      <w:tr w:rsidR="00140415" w:rsidRPr="009170B8" w:rsidTr="00E54387">
        <w:trPr>
          <w:trHeight w:val="227"/>
        </w:trPr>
        <w:tc>
          <w:tcPr>
            <w:tcW w:w="3847" w:type="dxa"/>
            <w:gridSpan w:val="16"/>
            <w:tcBorders>
              <w:top w:val="nil"/>
              <w:left w:val="nil"/>
              <w:right w:val="nil"/>
            </w:tcBorders>
            <w:shd w:val="clear" w:color="auto" w:fill="auto"/>
            <w:noWrap/>
            <w:vAlign w:val="bottom"/>
          </w:tcPr>
          <w:p w:rsidR="008B64A3" w:rsidRPr="009170B8" w:rsidRDefault="008B64A3">
            <w:pPr>
              <w:rPr>
                <w:rFonts w:ascii="Times New Roman" w:hAnsi="Times New Roman"/>
                <w:b/>
                <w:bCs/>
                <w:sz w:val="20"/>
                <w:szCs w:val="20"/>
              </w:rPr>
            </w:pPr>
            <w:r>
              <w:rPr>
                <w:rFonts w:ascii="Times New Roman" w:hAnsi="Times New Roman"/>
                <w:b/>
                <w:bCs/>
                <w:sz w:val="20"/>
                <w:szCs w:val="20"/>
              </w:rPr>
              <w:t>Total investments (2018</w:t>
            </w:r>
            <w:r w:rsidRPr="00947EDA">
              <w:rPr>
                <w:rFonts w:ascii="Times New Roman" w:hAnsi="Times New Roman"/>
                <w:b/>
                <w:bCs/>
                <w:sz w:val="20"/>
                <w:szCs w:val="20"/>
              </w:rPr>
              <w:t>)</w:t>
            </w:r>
          </w:p>
        </w:tc>
        <w:tc>
          <w:tcPr>
            <w:tcW w:w="1342" w:type="dxa"/>
            <w:gridSpan w:val="2"/>
            <w:tcBorders>
              <w:top w:val="nil"/>
              <w:left w:val="nil"/>
              <w:right w:val="nil"/>
            </w:tcBorders>
            <w:shd w:val="clear" w:color="auto" w:fill="auto"/>
            <w:noWrap/>
            <w:vAlign w:val="bottom"/>
          </w:tcPr>
          <w:p w:rsidR="008B64A3" w:rsidRPr="00776941" w:rsidRDefault="008B64A3">
            <w:pPr>
              <w:rPr>
                <w:rFonts w:ascii="Times New Roman" w:hAnsi="Times New Roman"/>
                <w:sz w:val="20"/>
                <w:szCs w:val="20"/>
                <w:highlight w:val="yellow"/>
              </w:rPr>
            </w:pPr>
          </w:p>
        </w:tc>
        <w:tc>
          <w:tcPr>
            <w:tcW w:w="1816" w:type="dxa"/>
            <w:gridSpan w:val="2"/>
            <w:tcBorders>
              <w:top w:val="single" w:sz="4" w:space="0" w:color="auto"/>
              <w:left w:val="nil"/>
              <w:bottom w:val="single" w:sz="4" w:space="0" w:color="auto"/>
              <w:right w:val="nil"/>
            </w:tcBorders>
            <w:shd w:val="clear" w:color="auto" w:fill="auto"/>
            <w:noWrap/>
            <w:vAlign w:val="bottom"/>
          </w:tcPr>
          <w:p w:rsidR="008B64A3" w:rsidRPr="00947EDA" w:rsidRDefault="008B64A3">
            <w:pPr>
              <w:jc w:val="right"/>
              <w:rPr>
                <w:rFonts w:ascii="Times New Roman" w:hAnsi="Times New Roman"/>
                <w:b/>
                <w:sz w:val="20"/>
                <w:szCs w:val="20"/>
              </w:rPr>
            </w:pPr>
            <w:r w:rsidRPr="00BA2D91">
              <w:rPr>
                <w:rFonts w:ascii="Times New Roman" w:hAnsi="Times New Roman"/>
                <w:b/>
                <w:sz w:val="20"/>
                <w:szCs w:val="20"/>
              </w:rPr>
              <w:t>1</w:t>
            </w:r>
            <w:r w:rsidR="0074128C">
              <w:rPr>
                <w:rFonts w:ascii="Times New Roman" w:hAnsi="Times New Roman"/>
                <w:b/>
                <w:sz w:val="20"/>
                <w:szCs w:val="20"/>
              </w:rPr>
              <w:t>23</w:t>
            </w:r>
            <w:r w:rsidRPr="00BA2D91">
              <w:rPr>
                <w:rFonts w:ascii="Times New Roman" w:hAnsi="Times New Roman"/>
                <w:b/>
                <w:sz w:val="20"/>
                <w:szCs w:val="20"/>
              </w:rPr>
              <w:t>,</w:t>
            </w:r>
            <w:r w:rsidR="00140415">
              <w:rPr>
                <w:rFonts w:ascii="Times New Roman" w:hAnsi="Times New Roman"/>
                <w:b/>
                <w:sz w:val="20"/>
                <w:szCs w:val="20"/>
              </w:rPr>
              <w:t>266</w:t>
            </w:r>
            <w:r w:rsidRPr="00BA2D91">
              <w:rPr>
                <w:rFonts w:ascii="Times New Roman" w:hAnsi="Times New Roman"/>
                <w:b/>
                <w:sz w:val="20"/>
                <w:szCs w:val="20"/>
              </w:rPr>
              <w:t>,</w:t>
            </w:r>
            <w:r w:rsidR="00140415">
              <w:rPr>
                <w:rFonts w:ascii="Times New Roman" w:hAnsi="Times New Roman"/>
                <w:b/>
                <w:sz w:val="20"/>
                <w:szCs w:val="20"/>
              </w:rPr>
              <w:t>634</w:t>
            </w:r>
          </w:p>
        </w:tc>
        <w:tc>
          <w:tcPr>
            <w:tcW w:w="1304" w:type="dxa"/>
            <w:gridSpan w:val="2"/>
            <w:tcBorders>
              <w:top w:val="single" w:sz="4" w:space="0" w:color="auto"/>
              <w:left w:val="nil"/>
              <w:bottom w:val="single" w:sz="4" w:space="0" w:color="auto"/>
              <w:right w:val="nil"/>
            </w:tcBorders>
            <w:shd w:val="clear" w:color="auto" w:fill="auto"/>
            <w:noWrap/>
            <w:vAlign w:val="bottom"/>
          </w:tcPr>
          <w:p w:rsidR="008B64A3" w:rsidRPr="00947EDA" w:rsidRDefault="0074128C">
            <w:pPr>
              <w:jc w:val="right"/>
              <w:rPr>
                <w:rFonts w:ascii="Times New Roman" w:hAnsi="Times New Roman"/>
                <w:b/>
                <w:sz w:val="20"/>
                <w:szCs w:val="20"/>
              </w:rPr>
            </w:pPr>
            <w:r>
              <w:rPr>
                <w:rFonts w:ascii="Times New Roman" w:hAnsi="Times New Roman"/>
                <w:b/>
                <w:sz w:val="20"/>
                <w:szCs w:val="20"/>
              </w:rPr>
              <w:t>114,095,281</w:t>
            </w:r>
          </w:p>
        </w:tc>
        <w:tc>
          <w:tcPr>
            <w:tcW w:w="1195" w:type="dxa"/>
            <w:gridSpan w:val="6"/>
            <w:tcBorders>
              <w:top w:val="single" w:sz="4" w:space="0" w:color="auto"/>
              <w:left w:val="nil"/>
              <w:bottom w:val="single" w:sz="4" w:space="0" w:color="auto"/>
              <w:right w:val="nil"/>
            </w:tcBorders>
            <w:shd w:val="clear" w:color="auto" w:fill="auto"/>
            <w:noWrap/>
            <w:vAlign w:val="bottom"/>
          </w:tcPr>
          <w:p w:rsidR="008B64A3" w:rsidRPr="00947EDA" w:rsidRDefault="0074128C">
            <w:pPr>
              <w:jc w:val="right"/>
              <w:rPr>
                <w:rFonts w:ascii="Times New Roman" w:hAnsi="Times New Roman"/>
                <w:b/>
                <w:sz w:val="20"/>
                <w:szCs w:val="20"/>
              </w:rPr>
            </w:pPr>
            <w:r>
              <w:rPr>
                <w:rFonts w:ascii="Times New Roman" w:hAnsi="Times New Roman"/>
                <w:b/>
                <w:sz w:val="20"/>
                <w:szCs w:val="20"/>
              </w:rPr>
              <w:t>111</w:t>
            </w:r>
            <w:r w:rsidR="008B64A3">
              <w:rPr>
                <w:rFonts w:ascii="Times New Roman" w:hAnsi="Times New Roman"/>
                <w:b/>
                <w:sz w:val="20"/>
                <w:szCs w:val="20"/>
              </w:rPr>
              <w:t>.</w:t>
            </w:r>
            <w:r>
              <w:rPr>
                <w:rFonts w:ascii="Times New Roman" w:hAnsi="Times New Roman"/>
                <w:b/>
                <w:sz w:val="20"/>
                <w:szCs w:val="20"/>
              </w:rPr>
              <w:t>6</w:t>
            </w:r>
            <w:r w:rsidR="00885FEF">
              <w:rPr>
                <w:rFonts w:ascii="Times New Roman" w:hAnsi="Times New Roman"/>
                <w:b/>
                <w:sz w:val="20"/>
                <w:szCs w:val="20"/>
              </w:rPr>
              <w:t>7</w:t>
            </w:r>
            <w:r w:rsidR="008B64A3" w:rsidRPr="00947EDA">
              <w:rPr>
                <w:rFonts w:ascii="Times New Roman" w:hAnsi="Times New Roman"/>
                <w:b/>
                <w:sz w:val="20"/>
                <w:szCs w:val="20"/>
              </w:rPr>
              <w:t>%</w:t>
            </w:r>
          </w:p>
        </w:tc>
        <w:tc>
          <w:tcPr>
            <w:tcW w:w="1455" w:type="dxa"/>
            <w:gridSpan w:val="3"/>
            <w:tcBorders>
              <w:top w:val="single" w:sz="4" w:space="0" w:color="auto"/>
              <w:left w:val="nil"/>
              <w:bottom w:val="single" w:sz="4" w:space="0" w:color="auto"/>
              <w:right w:val="nil"/>
            </w:tcBorders>
            <w:shd w:val="clear" w:color="auto" w:fill="auto"/>
            <w:noWrap/>
            <w:vAlign w:val="bottom"/>
          </w:tcPr>
          <w:p w:rsidR="008B64A3" w:rsidRPr="00947EDA" w:rsidRDefault="008B64A3">
            <w:pPr>
              <w:jc w:val="right"/>
              <w:rPr>
                <w:rFonts w:ascii="Times New Roman" w:hAnsi="Times New Roman"/>
                <w:b/>
                <w:sz w:val="20"/>
                <w:szCs w:val="20"/>
              </w:rPr>
            </w:pPr>
            <w:r w:rsidRPr="00947EDA">
              <w:rPr>
                <w:rFonts w:ascii="Times New Roman" w:hAnsi="Times New Roman"/>
                <w:b/>
                <w:sz w:val="20"/>
                <w:szCs w:val="20"/>
              </w:rPr>
              <w:t>100.0</w:t>
            </w:r>
            <w:r>
              <w:rPr>
                <w:rFonts w:ascii="Times New Roman" w:hAnsi="Times New Roman"/>
                <w:b/>
                <w:sz w:val="20"/>
                <w:szCs w:val="20"/>
              </w:rPr>
              <w:t>0</w:t>
            </w:r>
            <w:r w:rsidRPr="00947EDA">
              <w:rPr>
                <w:rFonts w:ascii="Times New Roman" w:hAnsi="Times New Roman"/>
                <w:b/>
                <w:sz w:val="20"/>
                <w:szCs w:val="20"/>
              </w:rPr>
              <w:t>%</w:t>
            </w:r>
          </w:p>
        </w:tc>
      </w:tr>
      <w:tr w:rsidR="00140415" w:rsidRPr="009170B8" w:rsidTr="00E54387">
        <w:trPr>
          <w:trHeight w:val="227"/>
        </w:trPr>
        <w:tc>
          <w:tcPr>
            <w:tcW w:w="3847" w:type="dxa"/>
            <w:gridSpan w:val="16"/>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p>
        </w:tc>
        <w:tc>
          <w:tcPr>
            <w:tcW w:w="1342" w:type="dxa"/>
            <w:gridSpan w:val="2"/>
            <w:tcBorders>
              <w:top w:val="nil"/>
              <w:left w:val="nil"/>
              <w:bottom w:val="nil"/>
              <w:right w:val="nil"/>
            </w:tcBorders>
            <w:shd w:val="clear" w:color="auto" w:fill="auto"/>
            <w:noWrap/>
            <w:vAlign w:val="bottom"/>
          </w:tcPr>
          <w:p w:rsidR="008B64A3" w:rsidRPr="009170B8" w:rsidRDefault="008B64A3" w:rsidP="00225F99">
            <w:pPr>
              <w:jc w:val="right"/>
              <w:rPr>
                <w:rFonts w:ascii="Times New Roman" w:hAnsi="Times New Roman"/>
                <w:sz w:val="20"/>
                <w:szCs w:val="20"/>
              </w:rPr>
            </w:pPr>
          </w:p>
        </w:tc>
        <w:tc>
          <w:tcPr>
            <w:tcW w:w="1816" w:type="dxa"/>
            <w:gridSpan w:val="2"/>
            <w:tcBorders>
              <w:top w:val="single" w:sz="4" w:space="0" w:color="auto"/>
              <w:left w:val="nil"/>
              <w:right w:val="nil"/>
            </w:tcBorders>
            <w:shd w:val="clear" w:color="auto" w:fill="auto"/>
            <w:noWrap/>
            <w:vAlign w:val="bottom"/>
          </w:tcPr>
          <w:p w:rsidR="008B64A3" w:rsidRPr="009170B8" w:rsidRDefault="008B64A3" w:rsidP="00AC5183">
            <w:pPr>
              <w:jc w:val="right"/>
              <w:rPr>
                <w:rFonts w:ascii="Times New Roman" w:hAnsi="Times New Roman"/>
                <w:sz w:val="20"/>
                <w:szCs w:val="20"/>
              </w:rPr>
            </w:pPr>
          </w:p>
        </w:tc>
        <w:tc>
          <w:tcPr>
            <w:tcW w:w="1304" w:type="dxa"/>
            <w:gridSpan w:val="2"/>
            <w:tcBorders>
              <w:top w:val="single" w:sz="4" w:space="0" w:color="auto"/>
              <w:left w:val="nil"/>
              <w:right w:val="nil"/>
            </w:tcBorders>
            <w:shd w:val="clear" w:color="auto" w:fill="auto"/>
            <w:noWrap/>
            <w:vAlign w:val="bottom"/>
          </w:tcPr>
          <w:p w:rsidR="008B64A3" w:rsidRPr="009170B8" w:rsidRDefault="008B64A3" w:rsidP="00225F99">
            <w:pPr>
              <w:jc w:val="right"/>
              <w:rPr>
                <w:rFonts w:ascii="Times New Roman" w:hAnsi="Times New Roman"/>
                <w:sz w:val="20"/>
                <w:szCs w:val="20"/>
              </w:rPr>
            </w:pPr>
          </w:p>
        </w:tc>
        <w:tc>
          <w:tcPr>
            <w:tcW w:w="1195" w:type="dxa"/>
            <w:gridSpan w:val="6"/>
            <w:tcBorders>
              <w:top w:val="single" w:sz="4" w:space="0" w:color="auto"/>
              <w:left w:val="nil"/>
              <w:right w:val="nil"/>
            </w:tcBorders>
            <w:shd w:val="clear" w:color="auto" w:fill="auto"/>
            <w:noWrap/>
            <w:vAlign w:val="bottom"/>
          </w:tcPr>
          <w:p w:rsidR="008B64A3" w:rsidRPr="009170B8" w:rsidRDefault="008B64A3" w:rsidP="00225F99">
            <w:pPr>
              <w:jc w:val="right"/>
              <w:rPr>
                <w:rFonts w:ascii="Times New Roman" w:hAnsi="Times New Roman"/>
                <w:sz w:val="20"/>
                <w:szCs w:val="20"/>
              </w:rPr>
            </w:pPr>
          </w:p>
        </w:tc>
        <w:tc>
          <w:tcPr>
            <w:tcW w:w="1455" w:type="dxa"/>
            <w:gridSpan w:val="3"/>
            <w:tcBorders>
              <w:top w:val="single" w:sz="4" w:space="0" w:color="auto"/>
              <w:left w:val="nil"/>
              <w:right w:val="nil"/>
            </w:tcBorders>
            <w:shd w:val="clear" w:color="auto" w:fill="auto"/>
            <w:noWrap/>
            <w:vAlign w:val="bottom"/>
          </w:tcPr>
          <w:p w:rsidR="008B64A3" w:rsidRPr="009170B8" w:rsidRDefault="008B64A3">
            <w:pPr>
              <w:jc w:val="right"/>
              <w:rPr>
                <w:rFonts w:ascii="Times New Roman" w:hAnsi="Times New Roman"/>
                <w:bCs/>
                <w:sz w:val="20"/>
                <w:szCs w:val="20"/>
              </w:rPr>
            </w:pPr>
          </w:p>
        </w:tc>
      </w:tr>
      <w:tr w:rsidR="00140415" w:rsidRPr="009170B8" w:rsidTr="00E54387">
        <w:trPr>
          <w:trHeight w:val="227"/>
        </w:trPr>
        <w:tc>
          <w:tcPr>
            <w:tcW w:w="3847" w:type="dxa"/>
            <w:gridSpan w:val="16"/>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p>
        </w:tc>
        <w:tc>
          <w:tcPr>
            <w:tcW w:w="1342" w:type="dxa"/>
            <w:gridSpan w:val="2"/>
            <w:tcBorders>
              <w:top w:val="nil"/>
              <w:left w:val="nil"/>
              <w:bottom w:val="nil"/>
              <w:right w:val="nil"/>
            </w:tcBorders>
            <w:shd w:val="clear" w:color="auto" w:fill="auto"/>
            <w:noWrap/>
            <w:vAlign w:val="bottom"/>
          </w:tcPr>
          <w:p w:rsidR="008B64A3" w:rsidRPr="009170B8" w:rsidRDefault="008B64A3" w:rsidP="00225F99">
            <w:pPr>
              <w:jc w:val="right"/>
              <w:rPr>
                <w:rFonts w:ascii="Times New Roman" w:hAnsi="Times New Roman"/>
                <w:sz w:val="20"/>
                <w:szCs w:val="20"/>
              </w:rPr>
            </w:pPr>
          </w:p>
        </w:tc>
        <w:tc>
          <w:tcPr>
            <w:tcW w:w="1816" w:type="dxa"/>
            <w:gridSpan w:val="2"/>
            <w:tcBorders>
              <w:left w:val="nil"/>
              <w:bottom w:val="single" w:sz="4" w:space="0" w:color="auto"/>
              <w:right w:val="nil"/>
            </w:tcBorders>
            <w:shd w:val="clear" w:color="auto" w:fill="auto"/>
            <w:noWrap/>
            <w:vAlign w:val="bottom"/>
          </w:tcPr>
          <w:p w:rsidR="008B64A3" w:rsidRPr="009170B8" w:rsidRDefault="008B64A3" w:rsidP="00AC5183">
            <w:pPr>
              <w:jc w:val="right"/>
              <w:rPr>
                <w:rFonts w:ascii="Times New Roman" w:hAnsi="Times New Roman"/>
                <w:sz w:val="20"/>
                <w:szCs w:val="20"/>
              </w:rPr>
            </w:pPr>
          </w:p>
        </w:tc>
        <w:tc>
          <w:tcPr>
            <w:tcW w:w="1304" w:type="dxa"/>
            <w:gridSpan w:val="2"/>
            <w:tcBorders>
              <w:left w:val="nil"/>
              <w:bottom w:val="single" w:sz="4" w:space="0" w:color="auto"/>
              <w:right w:val="nil"/>
            </w:tcBorders>
            <w:shd w:val="clear" w:color="auto" w:fill="auto"/>
            <w:noWrap/>
            <w:vAlign w:val="bottom"/>
          </w:tcPr>
          <w:p w:rsidR="008B64A3" w:rsidRPr="009170B8" w:rsidRDefault="008B64A3" w:rsidP="00225F99">
            <w:pPr>
              <w:jc w:val="right"/>
              <w:rPr>
                <w:rFonts w:ascii="Times New Roman" w:hAnsi="Times New Roman"/>
                <w:sz w:val="20"/>
                <w:szCs w:val="20"/>
              </w:rPr>
            </w:pPr>
          </w:p>
        </w:tc>
        <w:tc>
          <w:tcPr>
            <w:tcW w:w="1195" w:type="dxa"/>
            <w:gridSpan w:val="6"/>
            <w:tcBorders>
              <w:left w:val="nil"/>
              <w:bottom w:val="single" w:sz="4" w:space="0" w:color="auto"/>
              <w:right w:val="nil"/>
            </w:tcBorders>
            <w:shd w:val="clear" w:color="auto" w:fill="auto"/>
            <w:noWrap/>
            <w:vAlign w:val="bottom"/>
          </w:tcPr>
          <w:p w:rsidR="008B64A3" w:rsidRPr="009170B8" w:rsidRDefault="008B64A3" w:rsidP="00225F99">
            <w:pPr>
              <w:jc w:val="right"/>
              <w:rPr>
                <w:rFonts w:ascii="Times New Roman" w:hAnsi="Times New Roman"/>
                <w:sz w:val="20"/>
                <w:szCs w:val="20"/>
              </w:rPr>
            </w:pPr>
          </w:p>
        </w:tc>
        <w:tc>
          <w:tcPr>
            <w:tcW w:w="1455" w:type="dxa"/>
            <w:gridSpan w:val="3"/>
            <w:tcBorders>
              <w:left w:val="nil"/>
              <w:bottom w:val="single" w:sz="4" w:space="0" w:color="auto"/>
              <w:right w:val="nil"/>
            </w:tcBorders>
            <w:shd w:val="clear" w:color="auto" w:fill="auto"/>
            <w:noWrap/>
            <w:vAlign w:val="bottom"/>
          </w:tcPr>
          <w:p w:rsidR="008B64A3" w:rsidRPr="009170B8" w:rsidRDefault="008B64A3">
            <w:pPr>
              <w:jc w:val="right"/>
              <w:rPr>
                <w:rFonts w:ascii="Times New Roman" w:hAnsi="Times New Roman"/>
                <w:bCs/>
                <w:sz w:val="20"/>
                <w:szCs w:val="20"/>
              </w:rPr>
            </w:pPr>
          </w:p>
        </w:tc>
      </w:tr>
      <w:tr w:rsidR="00140415" w:rsidRPr="009170B8" w:rsidTr="00E54387">
        <w:trPr>
          <w:trHeight w:val="227"/>
        </w:trPr>
        <w:tc>
          <w:tcPr>
            <w:tcW w:w="3847" w:type="dxa"/>
            <w:gridSpan w:val="16"/>
            <w:tcBorders>
              <w:top w:val="nil"/>
              <w:left w:val="nil"/>
              <w:bottom w:val="nil"/>
              <w:right w:val="nil"/>
            </w:tcBorders>
            <w:shd w:val="clear" w:color="auto" w:fill="auto"/>
            <w:noWrap/>
            <w:vAlign w:val="bottom"/>
          </w:tcPr>
          <w:p w:rsidR="008B64A3" w:rsidRPr="009170B8" w:rsidRDefault="008B64A3">
            <w:pPr>
              <w:rPr>
                <w:rFonts w:ascii="Times New Roman" w:hAnsi="Times New Roman"/>
                <w:sz w:val="20"/>
                <w:szCs w:val="20"/>
              </w:rPr>
            </w:pPr>
            <w:r>
              <w:rPr>
                <w:rFonts w:ascii="Times New Roman" w:hAnsi="Times New Roman"/>
                <w:b/>
                <w:bCs/>
                <w:sz w:val="20"/>
                <w:szCs w:val="20"/>
              </w:rPr>
              <w:t>Total investments (2017</w:t>
            </w:r>
            <w:r w:rsidRPr="00947EDA">
              <w:rPr>
                <w:rFonts w:ascii="Times New Roman" w:hAnsi="Times New Roman"/>
                <w:b/>
                <w:bCs/>
                <w:sz w:val="20"/>
                <w:szCs w:val="20"/>
              </w:rPr>
              <w:t>)</w:t>
            </w:r>
          </w:p>
        </w:tc>
        <w:tc>
          <w:tcPr>
            <w:tcW w:w="1342" w:type="dxa"/>
            <w:gridSpan w:val="2"/>
            <w:tcBorders>
              <w:top w:val="nil"/>
              <w:left w:val="nil"/>
              <w:bottom w:val="nil"/>
              <w:right w:val="nil"/>
            </w:tcBorders>
            <w:shd w:val="clear" w:color="auto" w:fill="auto"/>
            <w:noWrap/>
            <w:vAlign w:val="bottom"/>
          </w:tcPr>
          <w:p w:rsidR="008B64A3" w:rsidRPr="009170B8" w:rsidRDefault="008B64A3" w:rsidP="00225F99">
            <w:pPr>
              <w:jc w:val="right"/>
              <w:rPr>
                <w:rFonts w:ascii="Times New Roman" w:hAnsi="Times New Roman"/>
                <w:sz w:val="20"/>
                <w:szCs w:val="20"/>
              </w:rPr>
            </w:pPr>
          </w:p>
        </w:tc>
        <w:tc>
          <w:tcPr>
            <w:tcW w:w="1816" w:type="dxa"/>
            <w:gridSpan w:val="2"/>
            <w:tcBorders>
              <w:top w:val="single" w:sz="4" w:space="0" w:color="auto"/>
              <w:left w:val="nil"/>
              <w:bottom w:val="single" w:sz="4" w:space="0" w:color="auto"/>
              <w:right w:val="nil"/>
            </w:tcBorders>
            <w:shd w:val="clear" w:color="auto" w:fill="auto"/>
            <w:noWrap/>
            <w:vAlign w:val="bottom"/>
          </w:tcPr>
          <w:p w:rsidR="008B64A3" w:rsidRPr="00776941" w:rsidRDefault="004317C4" w:rsidP="00AC5183">
            <w:pPr>
              <w:jc w:val="right"/>
              <w:rPr>
                <w:rFonts w:ascii="Times New Roman" w:hAnsi="Times New Roman"/>
                <w:b/>
                <w:sz w:val="20"/>
                <w:szCs w:val="20"/>
              </w:rPr>
            </w:pPr>
            <w:r>
              <w:rPr>
                <w:rFonts w:ascii="Times New Roman" w:hAnsi="Times New Roman"/>
                <w:b/>
                <w:sz w:val="20"/>
                <w:szCs w:val="20"/>
              </w:rPr>
              <w:t>135,470,403</w:t>
            </w:r>
          </w:p>
        </w:tc>
        <w:tc>
          <w:tcPr>
            <w:tcW w:w="1304" w:type="dxa"/>
            <w:gridSpan w:val="2"/>
            <w:tcBorders>
              <w:top w:val="single" w:sz="4" w:space="0" w:color="auto"/>
              <w:left w:val="nil"/>
              <w:bottom w:val="single" w:sz="4" w:space="0" w:color="auto"/>
              <w:right w:val="nil"/>
            </w:tcBorders>
            <w:shd w:val="clear" w:color="auto" w:fill="auto"/>
            <w:noWrap/>
            <w:vAlign w:val="bottom"/>
          </w:tcPr>
          <w:p w:rsidR="008B64A3" w:rsidRPr="00776941" w:rsidRDefault="008B64A3">
            <w:pPr>
              <w:jc w:val="right"/>
              <w:rPr>
                <w:rFonts w:ascii="Times New Roman" w:hAnsi="Times New Roman"/>
                <w:b/>
                <w:sz w:val="20"/>
                <w:szCs w:val="20"/>
              </w:rPr>
            </w:pPr>
            <w:r>
              <w:rPr>
                <w:rFonts w:ascii="Times New Roman" w:hAnsi="Times New Roman"/>
                <w:b/>
                <w:sz w:val="20"/>
                <w:szCs w:val="20"/>
              </w:rPr>
              <w:t>1</w:t>
            </w:r>
            <w:r w:rsidR="004317C4">
              <w:rPr>
                <w:rFonts w:ascii="Times New Roman" w:hAnsi="Times New Roman"/>
                <w:b/>
                <w:sz w:val="20"/>
                <w:szCs w:val="20"/>
              </w:rPr>
              <w:t>48</w:t>
            </w:r>
            <w:r>
              <w:rPr>
                <w:rFonts w:ascii="Times New Roman" w:hAnsi="Times New Roman"/>
                <w:b/>
                <w:sz w:val="20"/>
                <w:szCs w:val="20"/>
              </w:rPr>
              <w:t>,</w:t>
            </w:r>
            <w:r w:rsidR="004317C4">
              <w:rPr>
                <w:rFonts w:ascii="Times New Roman" w:hAnsi="Times New Roman"/>
                <w:b/>
                <w:sz w:val="20"/>
                <w:szCs w:val="20"/>
              </w:rPr>
              <w:t>464</w:t>
            </w:r>
            <w:r>
              <w:rPr>
                <w:rFonts w:ascii="Times New Roman" w:hAnsi="Times New Roman"/>
                <w:b/>
                <w:sz w:val="20"/>
                <w:szCs w:val="20"/>
              </w:rPr>
              <w:t>,</w:t>
            </w:r>
            <w:r w:rsidR="004317C4">
              <w:rPr>
                <w:rFonts w:ascii="Times New Roman" w:hAnsi="Times New Roman"/>
                <w:b/>
                <w:sz w:val="20"/>
                <w:szCs w:val="20"/>
              </w:rPr>
              <w:t>909</w:t>
            </w:r>
          </w:p>
        </w:tc>
        <w:tc>
          <w:tcPr>
            <w:tcW w:w="1195" w:type="dxa"/>
            <w:gridSpan w:val="6"/>
            <w:tcBorders>
              <w:top w:val="single" w:sz="4" w:space="0" w:color="auto"/>
              <w:left w:val="nil"/>
              <w:bottom w:val="single" w:sz="4" w:space="0" w:color="auto"/>
              <w:right w:val="nil"/>
            </w:tcBorders>
            <w:shd w:val="clear" w:color="auto" w:fill="auto"/>
            <w:noWrap/>
            <w:vAlign w:val="bottom"/>
          </w:tcPr>
          <w:p w:rsidR="008B64A3" w:rsidRPr="00776941" w:rsidRDefault="008B64A3">
            <w:pPr>
              <w:jc w:val="right"/>
              <w:rPr>
                <w:rFonts w:ascii="Times New Roman" w:hAnsi="Times New Roman"/>
                <w:b/>
                <w:sz w:val="20"/>
                <w:szCs w:val="20"/>
              </w:rPr>
            </w:pPr>
            <w:r>
              <w:rPr>
                <w:rFonts w:ascii="Times New Roman" w:hAnsi="Times New Roman"/>
                <w:b/>
                <w:sz w:val="20"/>
                <w:szCs w:val="20"/>
              </w:rPr>
              <w:t>1</w:t>
            </w:r>
            <w:r w:rsidR="004317C4">
              <w:rPr>
                <w:rFonts w:ascii="Times New Roman" w:hAnsi="Times New Roman"/>
                <w:b/>
                <w:sz w:val="20"/>
                <w:szCs w:val="20"/>
              </w:rPr>
              <w:t>21</w:t>
            </w:r>
            <w:r>
              <w:rPr>
                <w:rFonts w:ascii="Times New Roman" w:hAnsi="Times New Roman"/>
                <w:b/>
                <w:sz w:val="20"/>
                <w:szCs w:val="20"/>
              </w:rPr>
              <w:t>.</w:t>
            </w:r>
            <w:r w:rsidR="004317C4">
              <w:rPr>
                <w:rFonts w:ascii="Times New Roman" w:hAnsi="Times New Roman"/>
                <w:b/>
                <w:sz w:val="20"/>
                <w:szCs w:val="20"/>
              </w:rPr>
              <w:t>46</w:t>
            </w:r>
            <w:r w:rsidRPr="00947EDA">
              <w:rPr>
                <w:rFonts w:ascii="Times New Roman" w:hAnsi="Times New Roman"/>
                <w:b/>
                <w:sz w:val="20"/>
                <w:szCs w:val="20"/>
              </w:rPr>
              <w:t>%</w:t>
            </w:r>
          </w:p>
        </w:tc>
        <w:tc>
          <w:tcPr>
            <w:tcW w:w="1455" w:type="dxa"/>
            <w:gridSpan w:val="3"/>
            <w:tcBorders>
              <w:top w:val="single" w:sz="4" w:space="0" w:color="auto"/>
              <w:left w:val="nil"/>
              <w:bottom w:val="single" w:sz="4" w:space="0" w:color="auto"/>
              <w:right w:val="nil"/>
            </w:tcBorders>
            <w:shd w:val="clear" w:color="auto" w:fill="auto"/>
            <w:noWrap/>
            <w:vAlign w:val="bottom"/>
          </w:tcPr>
          <w:p w:rsidR="008B64A3" w:rsidRPr="00776941" w:rsidRDefault="008B64A3">
            <w:pPr>
              <w:jc w:val="right"/>
              <w:rPr>
                <w:rFonts w:ascii="Times New Roman" w:hAnsi="Times New Roman"/>
                <w:b/>
                <w:sz w:val="20"/>
                <w:szCs w:val="20"/>
              </w:rPr>
            </w:pPr>
            <w:r w:rsidRPr="00947EDA">
              <w:rPr>
                <w:rFonts w:ascii="Times New Roman" w:hAnsi="Times New Roman"/>
                <w:b/>
                <w:sz w:val="20"/>
                <w:szCs w:val="20"/>
              </w:rPr>
              <w:t>100.0</w:t>
            </w:r>
            <w:r>
              <w:rPr>
                <w:rFonts w:ascii="Times New Roman" w:hAnsi="Times New Roman"/>
                <w:b/>
                <w:sz w:val="20"/>
                <w:szCs w:val="20"/>
              </w:rPr>
              <w:t>0</w:t>
            </w:r>
            <w:r w:rsidRPr="00947EDA">
              <w:rPr>
                <w:rFonts w:ascii="Times New Roman" w:hAnsi="Times New Roman"/>
                <w:b/>
                <w:sz w:val="20"/>
                <w:szCs w:val="20"/>
              </w:rPr>
              <w:t>%</w:t>
            </w:r>
          </w:p>
        </w:tc>
      </w:tr>
      <w:bookmarkEnd w:id="63"/>
      <w:bookmarkEnd w:id="64"/>
    </w:tbl>
    <w:p w:rsidR="00C01B88" w:rsidRDefault="00C01B88"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693A74" w:rsidRDefault="00693A74"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693A74" w:rsidRDefault="00693A74"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693A74" w:rsidRDefault="00693A74"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693A74" w:rsidRDefault="00693A74"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7E6005" w:rsidRDefault="007E600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E11D87" w:rsidRDefault="00E11D87"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2D7851" w:rsidRDefault="002D7851"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2D7851" w:rsidRDefault="002D7851"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4317C4" w:rsidRDefault="004317C4"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4317C4" w:rsidRDefault="004317C4"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4317C4" w:rsidRDefault="004317C4"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2D7851" w:rsidRDefault="002D7851"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BA22D4" w:rsidRDefault="00BA22D4"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D11480" w:rsidRDefault="00D11480"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140415" w:rsidRDefault="00140415"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2D7851" w:rsidRDefault="002D7851" w:rsidP="0072796B">
      <w:pPr>
        <w:autoSpaceDE w:val="0"/>
        <w:autoSpaceDN w:val="0"/>
        <w:adjustRightInd w:val="0"/>
        <w:spacing w:line="241" w:lineRule="atLeast"/>
        <w:jc w:val="center"/>
        <w:outlineLvl w:val="0"/>
        <w:rPr>
          <w:rFonts w:ascii="Times" w:hAnsi="Times" w:cs="Times"/>
          <w:b/>
          <w:bCs/>
          <w:color w:val="000000"/>
          <w:sz w:val="23"/>
          <w:szCs w:val="23"/>
          <w:lang w:eastAsia="en-GB"/>
        </w:rPr>
      </w:pPr>
    </w:p>
    <w:p w:rsidR="00693A74" w:rsidRDefault="00693A74" w:rsidP="00A86E4F">
      <w:pPr>
        <w:autoSpaceDE w:val="0"/>
        <w:autoSpaceDN w:val="0"/>
        <w:adjustRightInd w:val="0"/>
        <w:spacing w:line="241" w:lineRule="atLeast"/>
        <w:outlineLvl w:val="0"/>
        <w:rPr>
          <w:rFonts w:ascii="Times" w:hAnsi="Times" w:cs="Times"/>
          <w:b/>
          <w:bCs/>
          <w:color w:val="000000"/>
          <w:sz w:val="23"/>
          <w:szCs w:val="23"/>
          <w:lang w:eastAsia="en-GB"/>
        </w:rPr>
      </w:pPr>
    </w:p>
    <w:p w:rsidR="0072796B" w:rsidRDefault="0072796B" w:rsidP="0072796B">
      <w:pPr>
        <w:autoSpaceDE w:val="0"/>
        <w:autoSpaceDN w:val="0"/>
        <w:adjustRightInd w:val="0"/>
        <w:spacing w:line="241" w:lineRule="atLeast"/>
        <w:jc w:val="center"/>
        <w:outlineLvl w:val="0"/>
        <w:rPr>
          <w:rFonts w:ascii="Times" w:hAnsi="Times" w:cs="Times"/>
          <w:b/>
          <w:bCs/>
          <w:color w:val="000000"/>
          <w:sz w:val="23"/>
          <w:szCs w:val="23"/>
          <w:lang w:eastAsia="en-GB"/>
        </w:rPr>
      </w:pPr>
      <w:r>
        <w:rPr>
          <w:rFonts w:ascii="Times" w:hAnsi="Times" w:cs="Times"/>
          <w:b/>
          <w:bCs/>
          <w:color w:val="000000"/>
          <w:sz w:val="23"/>
          <w:szCs w:val="23"/>
          <w:lang w:eastAsia="en-GB"/>
        </w:rPr>
        <w:t>ALTERNATIVE INVESTMENT FUND MANAGERS DIRECTIVE</w:t>
      </w:r>
      <w:r w:rsidR="00AA7AB2">
        <w:rPr>
          <w:rFonts w:ascii="Times" w:hAnsi="Times" w:cs="Times"/>
          <w:b/>
          <w:bCs/>
          <w:color w:val="000000"/>
          <w:sz w:val="23"/>
          <w:szCs w:val="23"/>
          <w:lang w:eastAsia="en-GB"/>
        </w:rPr>
        <w:t xml:space="preserve"> (UNAUDITED)</w:t>
      </w:r>
    </w:p>
    <w:p w:rsidR="0072796B" w:rsidRDefault="0072796B" w:rsidP="0072796B">
      <w:pPr>
        <w:pBdr>
          <w:top w:val="single" w:sz="6" w:space="0" w:color="auto"/>
        </w:pBdr>
        <w:tabs>
          <w:tab w:val="right" w:pos="8640"/>
        </w:tabs>
        <w:rPr>
          <w:rFonts w:ascii="Times New Roman" w:hAnsi="Times New Roman"/>
        </w:rPr>
      </w:pPr>
    </w:p>
    <w:p w:rsidR="0072796B" w:rsidRDefault="00C41DAE" w:rsidP="000D00A0">
      <w:pPr>
        <w:autoSpaceDE w:val="0"/>
        <w:autoSpaceDN w:val="0"/>
        <w:adjustRightInd w:val="0"/>
        <w:spacing w:line="241" w:lineRule="atLeast"/>
        <w:jc w:val="both"/>
        <w:rPr>
          <w:rFonts w:ascii="Times New Roman" w:hAnsi="Times New Roman"/>
          <w:sz w:val="20"/>
        </w:rPr>
      </w:pPr>
      <w:r w:rsidRPr="00C41DAE">
        <w:rPr>
          <w:rFonts w:ascii="Times New Roman" w:hAnsi="Times New Roman"/>
          <w:sz w:val="20"/>
        </w:rPr>
        <w:t>In accordance with the Alternative Investment Fund Managers</w:t>
      </w:r>
      <w:r>
        <w:rPr>
          <w:rFonts w:ascii="Times New Roman" w:hAnsi="Times New Roman"/>
          <w:sz w:val="20"/>
        </w:rPr>
        <w:t xml:space="preserve"> </w:t>
      </w:r>
      <w:r w:rsidRPr="00C41DAE">
        <w:rPr>
          <w:rFonts w:ascii="Times New Roman" w:hAnsi="Times New Roman"/>
          <w:sz w:val="20"/>
        </w:rPr>
        <w:t>Directive (the ‘</w:t>
      </w:r>
      <w:r w:rsidR="00110ADF">
        <w:rPr>
          <w:rFonts w:ascii="Times New Roman" w:hAnsi="Times New Roman"/>
          <w:sz w:val="20"/>
        </w:rPr>
        <w:t>AIFMD</w:t>
      </w:r>
      <w:r w:rsidR="00110ADF" w:rsidRPr="00C41DAE">
        <w:rPr>
          <w:rFonts w:ascii="Times New Roman" w:hAnsi="Times New Roman"/>
          <w:sz w:val="20"/>
        </w:rPr>
        <w:t>’</w:t>
      </w:r>
      <w:r w:rsidRPr="00C41DAE">
        <w:rPr>
          <w:rFonts w:ascii="Times New Roman" w:hAnsi="Times New Roman"/>
          <w:sz w:val="20"/>
        </w:rPr>
        <w:t xml:space="preserve">), </w:t>
      </w:r>
      <w:r w:rsidR="00916D00">
        <w:rPr>
          <w:rFonts w:ascii="Times New Roman" w:hAnsi="Times New Roman"/>
          <w:sz w:val="20"/>
        </w:rPr>
        <w:t>Middlefield Limited</w:t>
      </w:r>
      <w:r w:rsidRPr="00C41DAE">
        <w:rPr>
          <w:rFonts w:ascii="Times New Roman" w:hAnsi="Times New Roman"/>
          <w:sz w:val="20"/>
        </w:rPr>
        <w:t xml:space="preserve"> in its capacity as Alternative</w:t>
      </w:r>
      <w:r>
        <w:rPr>
          <w:rFonts w:ascii="Times New Roman" w:hAnsi="Times New Roman"/>
          <w:sz w:val="20"/>
        </w:rPr>
        <w:t xml:space="preserve"> </w:t>
      </w:r>
      <w:r w:rsidRPr="00C41DAE">
        <w:rPr>
          <w:rFonts w:ascii="Times New Roman" w:hAnsi="Times New Roman"/>
          <w:sz w:val="20"/>
        </w:rPr>
        <w:t>Investment Fund Manager (‘AIFM’) is required to disclose</w:t>
      </w:r>
      <w:r>
        <w:rPr>
          <w:rFonts w:ascii="Times New Roman" w:hAnsi="Times New Roman"/>
          <w:sz w:val="20"/>
        </w:rPr>
        <w:t xml:space="preserve"> </w:t>
      </w:r>
      <w:r w:rsidRPr="00C41DAE">
        <w:rPr>
          <w:rFonts w:ascii="Times New Roman" w:hAnsi="Times New Roman"/>
          <w:sz w:val="20"/>
        </w:rPr>
        <w:t>specific information in relation to the following aspects of the</w:t>
      </w:r>
      <w:r>
        <w:rPr>
          <w:rFonts w:ascii="Times New Roman" w:hAnsi="Times New Roman"/>
          <w:sz w:val="20"/>
        </w:rPr>
        <w:t xml:space="preserve"> </w:t>
      </w:r>
      <w:r w:rsidRPr="00C41DAE">
        <w:rPr>
          <w:rFonts w:ascii="Times New Roman" w:hAnsi="Times New Roman"/>
          <w:sz w:val="20"/>
        </w:rPr>
        <w:t>Company’s management:</w:t>
      </w:r>
    </w:p>
    <w:p w:rsidR="00C41DAE" w:rsidRPr="009766C2" w:rsidRDefault="00C41DAE" w:rsidP="00C41DAE">
      <w:pPr>
        <w:autoSpaceDE w:val="0"/>
        <w:autoSpaceDN w:val="0"/>
        <w:adjustRightInd w:val="0"/>
        <w:spacing w:line="241" w:lineRule="atLeast"/>
        <w:jc w:val="both"/>
        <w:rPr>
          <w:rFonts w:ascii="Times New Roman" w:hAnsi="Times New Roman"/>
          <w:b/>
          <w:bCs/>
          <w:sz w:val="20"/>
        </w:rPr>
      </w:pPr>
    </w:p>
    <w:p w:rsidR="0072796B" w:rsidRDefault="0072796B" w:rsidP="0072796B">
      <w:pPr>
        <w:autoSpaceDE w:val="0"/>
        <w:autoSpaceDN w:val="0"/>
        <w:adjustRightInd w:val="0"/>
        <w:spacing w:line="241" w:lineRule="atLeast"/>
        <w:jc w:val="both"/>
        <w:rPr>
          <w:rFonts w:ascii="Times New Roman" w:hAnsi="Times New Roman"/>
          <w:b/>
          <w:bCs/>
          <w:sz w:val="20"/>
        </w:rPr>
      </w:pPr>
      <w:r w:rsidRPr="009766C2">
        <w:rPr>
          <w:rFonts w:ascii="Times New Roman" w:hAnsi="Times New Roman"/>
          <w:b/>
          <w:bCs/>
          <w:sz w:val="20"/>
        </w:rPr>
        <w:t>Leverage and borrowing</w:t>
      </w:r>
    </w:p>
    <w:p w:rsidR="00C41DAE" w:rsidRDefault="00C41DAE" w:rsidP="00C41DAE">
      <w:pPr>
        <w:autoSpaceDE w:val="0"/>
        <w:autoSpaceDN w:val="0"/>
        <w:adjustRightInd w:val="0"/>
        <w:spacing w:line="241" w:lineRule="atLeast"/>
        <w:jc w:val="both"/>
        <w:rPr>
          <w:rFonts w:ascii="Times New Roman" w:hAnsi="Times New Roman"/>
          <w:bCs/>
          <w:sz w:val="20"/>
        </w:rPr>
      </w:pPr>
      <w:r w:rsidRPr="00C41DAE">
        <w:rPr>
          <w:rFonts w:ascii="Times New Roman" w:hAnsi="Times New Roman"/>
          <w:bCs/>
          <w:sz w:val="20"/>
        </w:rPr>
        <w:t xml:space="preserve">Leverage is defined as </w:t>
      </w:r>
      <w:r>
        <w:rPr>
          <w:rFonts w:ascii="Times New Roman" w:hAnsi="Times New Roman"/>
          <w:bCs/>
          <w:sz w:val="20"/>
        </w:rPr>
        <w:t xml:space="preserve">any method by which the Company </w:t>
      </w:r>
      <w:r w:rsidRPr="00C41DAE">
        <w:rPr>
          <w:rFonts w:ascii="Times New Roman" w:hAnsi="Times New Roman"/>
          <w:bCs/>
          <w:sz w:val="20"/>
        </w:rPr>
        <w:t xml:space="preserve">increases its exposure </w:t>
      </w:r>
      <w:r>
        <w:rPr>
          <w:rFonts w:ascii="Times New Roman" w:hAnsi="Times New Roman"/>
          <w:bCs/>
          <w:sz w:val="20"/>
        </w:rPr>
        <w:t xml:space="preserve">through borrowing or the use of </w:t>
      </w:r>
      <w:r w:rsidRPr="00C41DAE">
        <w:rPr>
          <w:rFonts w:ascii="Times New Roman" w:hAnsi="Times New Roman"/>
          <w:bCs/>
          <w:sz w:val="20"/>
        </w:rPr>
        <w:t>derivatives. ‘Exposure’ is defin</w:t>
      </w:r>
      <w:r>
        <w:rPr>
          <w:rFonts w:ascii="Times New Roman" w:hAnsi="Times New Roman"/>
          <w:bCs/>
          <w:sz w:val="20"/>
        </w:rPr>
        <w:t xml:space="preserve">ed in two ways – ‘gross method’ </w:t>
      </w:r>
      <w:r w:rsidRPr="00C41DAE">
        <w:rPr>
          <w:rFonts w:ascii="Times New Roman" w:hAnsi="Times New Roman"/>
          <w:bCs/>
          <w:sz w:val="20"/>
        </w:rPr>
        <w:t>and ‘commitment met</w:t>
      </w:r>
      <w:r>
        <w:rPr>
          <w:rFonts w:ascii="Times New Roman" w:hAnsi="Times New Roman"/>
          <w:bCs/>
          <w:sz w:val="20"/>
        </w:rPr>
        <w:t xml:space="preserve">hod’ – and the Company must not </w:t>
      </w:r>
      <w:r w:rsidRPr="00C41DAE">
        <w:rPr>
          <w:rFonts w:ascii="Times New Roman" w:hAnsi="Times New Roman"/>
          <w:bCs/>
          <w:sz w:val="20"/>
        </w:rPr>
        <w:t xml:space="preserve">exceed maximum exposures under </w:t>
      </w:r>
      <w:r>
        <w:rPr>
          <w:rFonts w:ascii="Times New Roman" w:hAnsi="Times New Roman"/>
          <w:bCs/>
          <w:sz w:val="20"/>
        </w:rPr>
        <w:t xml:space="preserve">both methods. ‘Gross </w:t>
      </w:r>
      <w:r w:rsidRPr="00C41DAE">
        <w:rPr>
          <w:rFonts w:ascii="Times New Roman" w:hAnsi="Times New Roman"/>
          <w:bCs/>
          <w:sz w:val="20"/>
        </w:rPr>
        <w:t>method’ exposure is calculated</w:t>
      </w:r>
      <w:r>
        <w:rPr>
          <w:rFonts w:ascii="Times New Roman" w:hAnsi="Times New Roman"/>
          <w:bCs/>
          <w:sz w:val="20"/>
        </w:rPr>
        <w:t xml:space="preserve"> as the sum of all positions of </w:t>
      </w:r>
      <w:r w:rsidRPr="00C41DAE">
        <w:rPr>
          <w:rFonts w:ascii="Times New Roman" w:hAnsi="Times New Roman"/>
          <w:bCs/>
          <w:sz w:val="20"/>
        </w:rPr>
        <w:t>the Company (both positive and n</w:t>
      </w:r>
      <w:r>
        <w:rPr>
          <w:rFonts w:ascii="Times New Roman" w:hAnsi="Times New Roman"/>
          <w:bCs/>
          <w:sz w:val="20"/>
        </w:rPr>
        <w:t xml:space="preserve">egative), that is, all eligible </w:t>
      </w:r>
      <w:r w:rsidRPr="00C41DAE">
        <w:rPr>
          <w:rFonts w:ascii="Times New Roman" w:hAnsi="Times New Roman"/>
          <w:bCs/>
          <w:sz w:val="20"/>
        </w:rPr>
        <w:t>assets, liabilities and derivatives,</w:t>
      </w:r>
      <w:r>
        <w:rPr>
          <w:rFonts w:ascii="Times New Roman" w:hAnsi="Times New Roman"/>
          <w:bCs/>
          <w:sz w:val="20"/>
        </w:rPr>
        <w:t xml:space="preserve"> including derivatives held for </w:t>
      </w:r>
      <w:r w:rsidRPr="00C41DAE">
        <w:rPr>
          <w:rFonts w:ascii="Times New Roman" w:hAnsi="Times New Roman"/>
          <w:bCs/>
          <w:sz w:val="20"/>
        </w:rPr>
        <w:t>risk reduction purposes. ‘Commitment meth</w:t>
      </w:r>
      <w:r>
        <w:rPr>
          <w:rFonts w:ascii="Times New Roman" w:hAnsi="Times New Roman"/>
          <w:bCs/>
          <w:sz w:val="20"/>
        </w:rPr>
        <w:t xml:space="preserve">od’ exposure is </w:t>
      </w:r>
      <w:r w:rsidRPr="00C41DAE">
        <w:rPr>
          <w:rFonts w:ascii="Times New Roman" w:hAnsi="Times New Roman"/>
          <w:bCs/>
          <w:sz w:val="20"/>
        </w:rPr>
        <w:t xml:space="preserve">also calculated as the sum </w:t>
      </w:r>
      <w:r>
        <w:rPr>
          <w:rFonts w:ascii="Times New Roman" w:hAnsi="Times New Roman"/>
          <w:bCs/>
          <w:sz w:val="20"/>
        </w:rPr>
        <w:t xml:space="preserve">of all positions of the Company </w:t>
      </w:r>
      <w:r w:rsidRPr="00C41DAE">
        <w:rPr>
          <w:rFonts w:ascii="Times New Roman" w:hAnsi="Times New Roman"/>
          <w:bCs/>
          <w:sz w:val="20"/>
        </w:rPr>
        <w:t>(both positive and negative), b</w:t>
      </w:r>
      <w:r>
        <w:rPr>
          <w:rFonts w:ascii="Times New Roman" w:hAnsi="Times New Roman"/>
          <w:bCs/>
          <w:sz w:val="20"/>
        </w:rPr>
        <w:t xml:space="preserve">ut after netting off derivative </w:t>
      </w:r>
      <w:r w:rsidRPr="00C41DAE">
        <w:rPr>
          <w:rFonts w:ascii="Times New Roman" w:hAnsi="Times New Roman"/>
          <w:bCs/>
          <w:sz w:val="20"/>
        </w:rPr>
        <w:t>and security positions</w:t>
      </w:r>
      <w:r>
        <w:rPr>
          <w:rFonts w:ascii="Times New Roman" w:hAnsi="Times New Roman"/>
          <w:bCs/>
          <w:sz w:val="20"/>
        </w:rPr>
        <w:t xml:space="preserve"> as specified by the Directive. </w:t>
      </w:r>
    </w:p>
    <w:p w:rsidR="00C41DAE" w:rsidRDefault="00C41DAE" w:rsidP="00C41DAE">
      <w:pPr>
        <w:autoSpaceDE w:val="0"/>
        <w:autoSpaceDN w:val="0"/>
        <w:adjustRightInd w:val="0"/>
        <w:spacing w:line="241" w:lineRule="atLeast"/>
        <w:jc w:val="both"/>
        <w:rPr>
          <w:rFonts w:ascii="Times New Roman" w:hAnsi="Times New Roman"/>
          <w:bCs/>
          <w:sz w:val="20"/>
        </w:rPr>
      </w:pPr>
    </w:p>
    <w:p w:rsidR="00C41DAE" w:rsidRPr="00C41DAE" w:rsidRDefault="00864E72" w:rsidP="00C41DAE">
      <w:pPr>
        <w:autoSpaceDE w:val="0"/>
        <w:autoSpaceDN w:val="0"/>
        <w:adjustRightInd w:val="0"/>
        <w:spacing w:line="241" w:lineRule="atLeast"/>
        <w:jc w:val="both"/>
        <w:rPr>
          <w:rFonts w:ascii="Times New Roman" w:hAnsi="Times New Roman"/>
          <w:bCs/>
          <w:sz w:val="20"/>
        </w:rPr>
      </w:pPr>
      <w:r>
        <w:rPr>
          <w:rFonts w:ascii="Times New Roman" w:hAnsi="Times New Roman"/>
          <w:bCs/>
          <w:sz w:val="20"/>
        </w:rPr>
        <w:t xml:space="preserve">For the </w:t>
      </w:r>
      <w:r w:rsidR="00C41DAE" w:rsidRPr="00C41DAE">
        <w:rPr>
          <w:rFonts w:ascii="Times New Roman" w:hAnsi="Times New Roman"/>
          <w:bCs/>
          <w:sz w:val="20"/>
        </w:rPr>
        <w:t>Gross method, the following has been excluded:</w:t>
      </w:r>
    </w:p>
    <w:p w:rsidR="00C41DAE" w:rsidRPr="00C41DAE" w:rsidRDefault="00C41DAE" w:rsidP="00C41DAE">
      <w:pPr>
        <w:autoSpaceDE w:val="0"/>
        <w:autoSpaceDN w:val="0"/>
        <w:adjustRightInd w:val="0"/>
        <w:spacing w:line="241" w:lineRule="atLeast"/>
        <w:rPr>
          <w:rFonts w:ascii="Times New Roman" w:hAnsi="Times New Roman"/>
          <w:bCs/>
          <w:sz w:val="20"/>
        </w:rPr>
      </w:pPr>
      <w:r w:rsidRPr="00C41DAE">
        <w:rPr>
          <w:rFonts w:ascii="Times New Roman" w:hAnsi="Times New Roman"/>
          <w:bCs/>
          <w:sz w:val="20"/>
        </w:rPr>
        <w:t>• the value of any cash</w:t>
      </w:r>
      <w:r>
        <w:rPr>
          <w:rFonts w:ascii="Times New Roman" w:hAnsi="Times New Roman"/>
          <w:bCs/>
          <w:sz w:val="20"/>
        </w:rPr>
        <w:t xml:space="preserve"> and cash equivalents which are </w:t>
      </w:r>
      <w:r w:rsidRPr="00C41DAE">
        <w:rPr>
          <w:rFonts w:ascii="Times New Roman" w:hAnsi="Times New Roman"/>
          <w:bCs/>
          <w:sz w:val="20"/>
        </w:rPr>
        <w:t>highly liquid investmen</w:t>
      </w:r>
      <w:r>
        <w:rPr>
          <w:rFonts w:ascii="Times New Roman" w:hAnsi="Times New Roman"/>
          <w:bCs/>
          <w:sz w:val="20"/>
        </w:rPr>
        <w:t xml:space="preserve">ts held in the base currency of the AIF that are </w:t>
      </w:r>
      <w:r w:rsidRPr="00C41DAE">
        <w:rPr>
          <w:rFonts w:ascii="Times New Roman" w:hAnsi="Times New Roman"/>
          <w:bCs/>
          <w:sz w:val="20"/>
        </w:rPr>
        <w:t>readily c</w:t>
      </w:r>
      <w:r>
        <w:rPr>
          <w:rFonts w:ascii="Times New Roman" w:hAnsi="Times New Roman"/>
          <w:bCs/>
          <w:sz w:val="20"/>
        </w:rPr>
        <w:t xml:space="preserve">onvertible to a known amount of </w:t>
      </w:r>
      <w:r w:rsidRPr="00C41DAE">
        <w:rPr>
          <w:rFonts w:ascii="Times New Roman" w:hAnsi="Times New Roman"/>
          <w:bCs/>
          <w:sz w:val="20"/>
        </w:rPr>
        <w:t>cash, subject to an insignificant risk of changes in value;</w:t>
      </w:r>
    </w:p>
    <w:p w:rsidR="00C41DAE" w:rsidRPr="00C41DAE" w:rsidRDefault="00C41DAE" w:rsidP="00C41DAE">
      <w:pPr>
        <w:autoSpaceDE w:val="0"/>
        <w:autoSpaceDN w:val="0"/>
        <w:adjustRightInd w:val="0"/>
        <w:spacing w:line="241" w:lineRule="atLeast"/>
        <w:jc w:val="both"/>
        <w:rPr>
          <w:rFonts w:ascii="Times New Roman" w:hAnsi="Times New Roman"/>
          <w:bCs/>
          <w:sz w:val="20"/>
        </w:rPr>
      </w:pPr>
      <w:r w:rsidRPr="00C41DAE">
        <w:rPr>
          <w:rFonts w:ascii="Times New Roman" w:hAnsi="Times New Roman"/>
          <w:bCs/>
          <w:sz w:val="20"/>
        </w:rPr>
        <w:t>• cash borrowings that remai</w:t>
      </w:r>
      <w:r>
        <w:rPr>
          <w:rFonts w:ascii="Times New Roman" w:hAnsi="Times New Roman"/>
          <w:bCs/>
          <w:sz w:val="20"/>
        </w:rPr>
        <w:t xml:space="preserve">n in cash or cash equivalent </w:t>
      </w:r>
      <w:r w:rsidRPr="00C41DAE">
        <w:rPr>
          <w:rFonts w:ascii="Times New Roman" w:hAnsi="Times New Roman"/>
          <w:bCs/>
          <w:sz w:val="20"/>
        </w:rPr>
        <w:t>as defined above and wh</w:t>
      </w:r>
      <w:r>
        <w:rPr>
          <w:rFonts w:ascii="Times New Roman" w:hAnsi="Times New Roman"/>
          <w:bCs/>
          <w:sz w:val="20"/>
        </w:rPr>
        <w:t xml:space="preserve">ere the amounts of that payable </w:t>
      </w:r>
      <w:r w:rsidRPr="00C41DAE">
        <w:rPr>
          <w:rFonts w:ascii="Times New Roman" w:hAnsi="Times New Roman"/>
          <w:bCs/>
          <w:sz w:val="20"/>
        </w:rPr>
        <w:t>are known</w:t>
      </w:r>
      <w:r>
        <w:rPr>
          <w:rFonts w:ascii="Times New Roman" w:hAnsi="Times New Roman"/>
          <w:bCs/>
          <w:sz w:val="20"/>
        </w:rPr>
        <w:t xml:space="preserve">. </w:t>
      </w:r>
      <w:r w:rsidRPr="00C41DAE">
        <w:rPr>
          <w:rFonts w:ascii="Times New Roman" w:hAnsi="Times New Roman"/>
          <w:bCs/>
          <w:sz w:val="20"/>
        </w:rPr>
        <w:t>The total amount of leverag</w:t>
      </w:r>
      <w:r>
        <w:rPr>
          <w:rFonts w:ascii="Times New Roman" w:hAnsi="Times New Roman"/>
          <w:bCs/>
          <w:sz w:val="20"/>
        </w:rPr>
        <w:t>e calculated as at 31 December 201</w:t>
      </w:r>
      <w:r w:rsidR="00885FEF">
        <w:rPr>
          <w:rFonts w:ascii="Times New Roman" w:hAnsi="Times New Roman"/>
          <w:bCs/>
          <w:sz w:val="20"/>
        </w:rPr>
        <w:t>8</w:t>
      </w:r>
      <w:r>
        <w:rPr>
          <w:rFonts w:ascii="Times New Roman" w:hAnsi="Times New Roman"/>
          <w:bCs/>
          <w:sz w:val="20"/>
        </w:rPr>
        <w:t xml:space="preserve"> </w:t>
      </w:r>
      <w:r w:rsidRPr="00C41DAE">
        <w:rPr>
          <w:rFonts w:ascii="Times New Roman" w:hAnsi="Times New Roman"/>
          <w:bCs/>
          <w:sz w:val="20"/>
        </w:rPr>
        <w:t>is as follows:</w:t>
      </w:r>
    </w:p>
    <w:p w:rsidR="00C41DAE" w:rsidRDefault="00C41DAE" w:rsidP="00C41DAE">
      <w:pPr>
        <w:autoSpaceDE w:val="0"/>
        <w:autoSpaceDN w:val="0"/>
        <w:adjustRightInd w:val="0"/>
        <w:spacing w:line="241" w:lineRule="atLeast"/>
        <w:jc w:val="both"/>
        <w:rPr>
          <w:rFonts w:ascii="Times New Roman" w:hAnsi="Times New Roman"/>
          <w:bCs/>
          <w:sz w:val="20"/>
        </w:rPr>
      </w:pPr>
    </w:p>
    <w:p w:rsidR="00C41DAE" w:rsidRPr="00A41DF0" w:rsidRDefault="00C41DAE" w:rsidP="00C41DAE">
      <w:pPr>
        <w:autoSpaceDE w:val="0"/>
        <w:autoSpaceDN w:val="0"/>
        <w:adjustRightInd w:val="0"/>
        <w:spacing w:line="241" w:lineRule="atLeast"/>
        <w:jc w:val="both"/>
        <w:rPr>
          <w:rFonts w:ascii="Times New Roman" w:hAnsi="Times New Roman"/>
          <w:bCs/>
          <w:sz w:val="20"/>
        </w:rPr>
      </w:pPr>
      <w:r w:rsidRPr="00C41DAE">
        <w:rPr>
          <w:rFonts w:ascii="Times New Roman" w:hAnsi="Times New Roman"/>
          <w:bCs/>
          <w:sz w:val="20"/>
        </w:rPr>
        <w:t xml:space="preserve">Gross </w:t>
      </w:r>
      <w:r w:rsidRPr="00A41DF0">
        <w:rPr>
          <w:rFonts w:ascii="Times New Roman" w:hAnsi="Times New Roman"/>
          <w:bCs/>
          <w:sz w:val="20"/>
        </w:rPr>
        <w:t>method</w:t>
      </w:r>
      <w:r w:rsidR="001B1F99">
        <w:rPr>
          <w:rFonts w:ascii="Times New Roman" w:hAnsi="Times New Roman"/>
          <w:bCs/>
          <w:sz w:val="20"/>
        </w:rPr>
        <w:t>:</w:t>
      </w:r>
      <w:r w:rsidRPr="00A41DF0">
        <w:rPr>
          <w:rFonts w:ascii="Times New Roman" w:hAnsi="Times New Roman"/>
          <w:bCs/>
          <w:sz w:val="20"/>
        </w:rPr>
        <w:t xml:space="preserve"> </w:t>
      </w:r>
      <w:r w:rsidR="0074128C">
        <w:rPr>
          <w:rFonts w:ascii="Times New Roman" w:hAnsi="Times New Roman"/>
          <w:bCs/>
          <w:sz w:val="20"/>
        </w:rPr>
        <w:t>131.3</w:t>
      </w:r>
      <w:r w:rsidR="00CA5A90">
        <w:rPr>
          <w:rFonts w:ascii="Times New Roman" w:hAnsi="Times New Roman"/>
          <w:bCs/>
          <w:sz w:val="20"/>
        </w:rPr>
        <w:t>%</w:t>
      </w:r>
      <w:r w:rsidR="00225DD1">
        <w:rPr>
          <w:rFonts w:ascii="Times New Roman" w:hAnsi="Times New Roman"/>
          <w:bCs/>
          <w:sz w:val="20"/>
        </w:rPr>
        <w:t xml:space="preserve"> </w:t>
      </w:r>
      <w:r w:rsidR="00225DD1" w:rsidRPr="00B46F2F">
        <w:rPr>
          <w:rFonts w:ascii="Times New Roman" w:hAnsi="Times New Roman"/>
          <w:sz w:val="20"/>
          <w:szCs w:val="20"/>
        </w:rPr>
        <w:t>(31 December 201</w:t>
      </w:r>
      <w:r w:rsidR="00C84D94">
        <w:rPr>
          <w:rFonts w:ascii="Times New Roman" w:hAnsi="Times New Roman"/>
          <w:sz w:val="20"/>
          <w:szCs w:val="20"/>
        </w:rPr>
        <w:t>7</w:t>
      </w:r>
      <w:r w:rsidR="00225DD1" w:rsidRPr="00B46F2F">
        <w:rPr>
          <w:rFonts w:ascii="Times New Roman" w:hAnsi="Times New Roman"/>
          <w:sz w:val="20"/>
          <w:szCs w:val="20"/>
        </w:rPr>
        <w:t xml:space="preserve">: </w:t>
      </w:r>
      <w:r w:rsidR="00C84D94">
        <w:rPr>
          <w:rFonts w:ascii="Times New Roman" w:hAnsi="Times New Roman"/>
          <w:bCs/>
          <w:sz w:val="20"/>
        </w:rPr>
        <w:t>150.8%</w:t>
      </w:r>
      <w:r w:rsidR="00225DD1" w:rsidRPr="006A7A08">
        <w:rPr>
          <w:rFonts w:ascii="Times New Roman" w:hAnsi="Times New Roman"/>
          <w:sz w:val="20"/>
          <w:szCs w:val="20"/>
        </w:rPr>
        <w:t>)</w:t>
      </w:r>
    </w:p>
    <w:p w:rsidR="0072796B" w:rsidRDefault="00C41DAE" w:rsidP="00C41DAE">
      <w:pPr>
        <w:autoSpaceDE w:val="0"/>
        <w:autoSpaceDN w:val="0"/>
        <w:adjustRightInd w:val="0"/>
        <w:spacing w:line="241" w:lineRule="atLeast"/>
        <w:jc w:val="both"/>
        <w:rPr>
          <w:rFonts w:ascii="Times New Roman" w:hAnsi="Times New Roman"/>
          <w:bCs/>
          <w:sz w:val="20"/>
        </w:rPr>
      </w:pPr>
      <w:r w:rsidRPr="00A41DF0">
        <w:rPr>
          <w:rFonts w:ascii="Times New Roman" w:hAnsi="Times New Roman"/>
          <w:bCs/>
          <w:sz w:val="20"/>
        </w:rPr>
        <w:t>Commitment method</w:t>
      </w:r>
      <w:r w:rsidR="001B1F99">
        <w:rPr>
          <w:rFonts w:ascii="Times New Roman" w:hAnsi="Times New Roman"/>
          <w:bCs/>
          <w:sz w:val="20"/>
        </w:rPr>
        <w:t>:</w:t>
      </w:r>
      <w:r w:rsidRPr="00A41DF0">
        <w:rPr>
          <w:rFonts w:ascii="Times New Roman" w:hAnsi="Times New Roman"/>
          <w:bCs/>
          <w:sz w:val="20"/>
        </w:rPr>
        <w:t xml:space="preserve"> </w:t>
      </w:r>
      <w:r w:rsidR="00CA5A90">
        <w:rPr>
          <w:rFonts w:ascii="Times New Roman" w:hAnsi="Times New Roman"/>
          <w:bCs/>
          <w:sz w:val="20"/>
        </w:rPr>
        <w:t>1</w:t>
      </w:r>
      <w:r w:rsidR="0074128C">
        <w:rPr>
          <w:rFonts w:ascii="Times New Roman" w:hAnsi="Times New Roman"/>
          <w:bCs/>
          <w:sz w:val="20"/>
        </w:rPr>
        <w:t>31</w:t>
      </w:r>
      <w:r w:rsidR="002D7247">
        <w:rPr>
          <w:rFonts w:ascii="Times New Roman" w:hAnsi="Times New Roman"/>
          <w:bCs/>
          <w:sz w:val="20"/>
        </w:rPr>
        <w:t>.</w:t>
      </w:r>
      <w:r w:rsidR="0074128C">
        <w:rPr>
          <w:rFonts w:ascii="Times New Roman" w:hAnsi="Times New Roman"/>
          <w:bCs/>
          <w:sz w:val="20"/>
        </w:rPr>
        <w:t>3</w:t>
      </w:r>
      <w:r w:rsidR="00CA5A90">
        <w:rPr>
          <w:rFonts w:ascii="Times New Roman" w:hAnsi="Times New Roman"/>
          <w:bCs/>
          <w:sz w:val="20"/>
        </w:rPr>
        <w:t>%</w:t>
      </w:r>
      <w:r w:rsidR="00225DD1">
        <w:rPr>
          <w:rFonts w:ascii="Times New Roman" w:hAnsi="Times New Roman"/>
          <w:bCs/>
          <w:sz w:val="20"/>
        </w:rPr>
        <w:t xml:space="preserve"> </w:t>
      </w:r>
      <w:r w:rsidR="00225DD1" w:rsidRPr="00B46F2F">
        <w:rPr>
          <w:rFonts w:ascii="Times New Roman" w:hAnsi="Times New Roman"/>
          <w:sz w:val="20"/>
          <w:szCs w:val="20"/>
        </w:rPr>
        <w:t>(31 December 201</w:t>
      </w:r>
      <w:r w:rsidR="00C84D94">
        <w:rPr>
          <w:rFonts w:ascii="Times New Roman" w:hAnsi="Times New Roman"/>
          <w:sz w:val="20"/>
          <w:szCs w:val="20"/>
        </w:rPr>
        <w:t>7</w:t>
      </w:r>
      <w:r w:rsidR="00225DD1" w:rsidRPr="00B46F2F">
        <w:rPr>
          <w:rFonts w:ascii="Times New Roman" w:hAnsi="Times New Roman"/>
          <w:sz w:val="20"/>
          <w:szCs w:val="20"/>
        </w:rPr>
        <w:t xml:space="preserve">: </w:t>
      </w:r>
      <w:r w:rsidR="00C84D94">
        <w:rPr>
          <w:rFonts w:ascii="Times New Roman" w:hAnsi="Times New Roman"/>
          <w:bCs/>
          <w:sz w:val="20"/>
        </w:rPr>
        <w:t>150.8%</w:t>
      </w:r>
      <w:r w:rsidR="00225DD1" w:rsidRPr="006A7A08">
        <w:rPr>
          <w:rFonts w:ascii="Times New Roman" w:hAnsi="Times New Roman"/>
          <w:sz w:val="20"/>
          <w:szCs w:val="20"/>
        </w:rPr>
        <w:t>)</w:t>
      </w:r>
    </w:p>
    <w:p w:rsidR="0072796B" w:rsidRPr="009766C2" w:rsidRDefault="0072796B" w:rsidP="0072796B">
      <w:pPr>
        <w:autoSpaceDE w:val="0"/>
        <w:autoSpaceDN w:val="0"/>
        <w:adjustRightInd w:val="0"/>
        <w:spacing w:line="241" w:lineRule="atLeast"/>
        <w:jc w:val="both"/>
        <w:rPr>
          <w:rFonts w:ascii="Times New Roman" w:hAnsi="Times New Roman"/>
          <w:b/>
          <w:sz w:val="20"/>
        </w:rPr>
      </w:pPr>
    </w:p>
    <w:p w:rsidR="0072796B" w:rsidRDefault="0072796B" w:rsidP="0072796B">
      <w:pPr>
        <w:autoSpaceDE w:val="0"/>
        <w:autoSpaceDN w:val="0"/>
        <w:adjustRightInd w:val="0"/>
        <w:spacing w:line="241" w:lineRule="atLeast"/>
        <w:jc w:val="both"/>
        <w:rPr>
          <w:rFonts w:ascii="Times New Roman" w:hAnsi="Times New Roman"/>
          <w:b/>
          <w:bCs/>
          <w:sz w:val="20"/>
        </w:rPr>
      </w:pPr>
      <w:r w:rsidRPr="009766C2">
        <w:rPr>
          <w:rFonts w:ascii="Times New Roman" w:hAnsi="Times New Roman"/>
          <w:b/>
          <w:bCs/>
          <w:sz w:val="20"/>
        </w:rPr>
        <w:t>Liquidity</w:t>
      </w:r>
    </w:p>
    <w:p w:rsidR="0072796B" w:rsidRDefault="00C41DAE" w:rsidP="00C41DAE">
      <w:pPr>
        <w:autoSpaceDE w:val="0"/>
        <w:autoSpaceDN w:val="0"/>
        <w:adjustRightInd w:val="0"/>
        <w:spacing w:line="241" w:lineRule="atLeast"/>
        <w:jc w:val="both"/>
        <w:rPr>
          <w:rFonts w:ascii="Times New Roman" w:hAnsi="Times New Roman"/>
          <w:bCs/>
          <w:sz w:val="20"/>
        </w:rPr>
      </w:pPr>
      <w:r w:rsidRPr="00C41DAE">
        <w:rPr>
          <w:rFonts w:ascii="Times New Roman" w:hAnsi="Times New Roman"/>
          <w:bCs/>
          <w:sz w:val="20"/>
        </w:rPr>
        <w:t>The Investment Manager’s po</w:t>
      </w:r>
      <w:r>
        <w:rPr>
          <w:rFonts w:ascii="Times New Roman" w:hAnsi="Times New Roman"/>
          <w:bCs/>
          <w:sz w:val="20"/>
        </w:rPr>
        <w:t xml:space="preserve">licy is that the Company should </w:t>
      </w:r>
      <w:r w:rsidRPr="00C41DAE">
        <w:rPr>
          <w:rFonts w:ascii="Times New Roman" w:hAnsi="Times New Roman"/>
          <w:bCs/>
          <w:sz w:val="20"/>
        </w:rPr>
        <w:t>normally be close to fully invested (i.e. with liq</w:t>
      </w:r>
      <w:r>
        <w:rPr>
          <w:rFonts w:ascii="Times New Roman" w:hAnsi="Times New Roman"/>
          <w:bCs/>
          <w:sz w:val="20"/>
        </w:rPr>
        <w:t xml:space="preserve">uidity of 5% </w:t>
      </w:r>
      <w:r w:rsidRPr="00C41DAE">
        <w:rPr>
          <w:rFonts w:ascii="Times New Roman" w:hAnsi="Times New Roman"/>
          <w:bCs/>
          <w:sz w:val="20"/>
        </w:rPr>
        <w:t>or less) but this is subject to t</w:t>
      </w:r>
      <w:r>
        <w:rPr>
          <w:rFonts w:ascii="Times New Roman" w:hAnsi="Times New Roman"/>
          <w:bCs/>
          <w:sz w:val="20"/>
        </w:rPr>
        <w:t xml:space="preserve">he need to retain liquidity for </w:t>
      </w:r>
      <w:r w:rsidRPr="00C41DAE">
        <w:rPr>
          <w:rFonts w:ascii="Times New Roman" w:hAnsi="Times New Roman"/>
          <w:bCs/>
          <w:sz w:val="20"/>
        </w:rPr>
        <w:t>the purpose of effecting the</w:t>
      </w:r>
      <w:r>
        <w:rPr>
          <w:rFonts w:ascii="Times New Roman" w:hAnsi="Times New Roman"/>
          <w:bCs/>
          <w:sz w:val="20"/>
        </w:rPr>
        <w:t xml:space="preserve"> cancellation of Units, and the efficient </w:t>
      </w:r>
      <w:r w:rsidRPr="00C41DAE">
        <w:rPr>
          <w:rFonts w:ascii="Times New Roman" w:hAnsi="Times New Roman"/>
          <w:bCs/>
          <w:sz w:val="20"/>
        </w:rPr>
        <w:t>management of the</w:t>
      </w:r>
      <w:r>
        <w:rPr>
          <w:rFonts w:ascii="Times New Roman" w:hAnsi="Times New Roman"/>
          <w:bCs/>
          <w:sz w:val="20"/>
        </w:rPr>
        <w:t xml:space="preserve"> Company in accordance with its </w:t>
      </w:r>
      <w:r w:rsidRPr="00C41DAE">
        <w:rPr>
          <w:rFonts w:ascii="Times New Roman" w:hAnsi="Times New Roman"/>
          <w:bCs/>
          <w:sz w:val="20"/>
        </w:rPr>
        <w:t>objectives. There may therefore be occasions when there wil</w:t>
      </w:r>
      <w:r>
        <w:rPr>
          <w:rFonts w:ascii="Times New Roman" w:hAnsi="Times New Roman"/>
          <w:bCs/>
          <w:sz w:val="20"/>
        </w:rPr>
        <w:t xml:space="preserve">l </w:t>
      </w:r>
      <w:r w:rsidRPr="00C41DAE">
        <w:rPr>
          <w:rFonts w:ascii="Times New Roman" w:hAnsi="Times New Roman"/>
          <w:bCs/>
          <w:sz w:val="20"/>
        </w:rPr>
        <w:t>be higher levels of liquidity, for</w:t>
      </w:r>
      <w:r>
        <w:rPr>
          <w:rFonts w:ascii="Times New Roman" w:hAnsi="Times New Roman"/>
          <w:bCs/>
          <w:sz w:val="20"/>
        </w:rPr>
        <w:t xml:space="preserve"> example following the issue of </w:t>
      </w:r>
      <w:r w:rsidRPr="00C41DAE">
        <w:rPr>
          <w:rFonts w:ascii="Times New Roman" w:hAnsi="Times New Roman"/>
          <w:bCs/>
          <w:sz w:val="20"/>
        </w:rPr>
        <w:t>shares or the realisation of in</w:t>
      </w:r>
      <w:r>
        <w:rPr>
          <w:rFonts w:ascii="Times New Roman" w:hAnsi="Times New Roman"/>
          <w:bCs/>
          <w:sz w:val="20"/>
        </w:rPr>
        <w:t xml:space="preserve">vestments. This policy has been </w:t>
      </w:r>
      <w:r w:rsidRPr="00C41DAE">
        <w:rPr>
          <w:rFonts w:ascii="Times New Roman" w:hAnsi="Times New Roman"/>
          <w:bCs/>
          <w:sz w:val="20"/>
        </w:rPr>
        <w:t>applied consistently throug</w:t>
      </w:r>
      <w:r>
        <w:rPr>
          <w:rFonts w:ascii="Times New Roman" w:hAnsi="Times New Roman"/>
          <w:bCs/>
          <w:sz w:val="20"/>
        </w:rPr>
        <w:t xml:space="preserve">hout the review period and as a </w:t>
      </w:r>
      <w:r w:rsidRPr="00C41DAE">
        <w:rPr>
          <w:rFonts w:ascii="Times New Roman" w:hAnsi="Times New Roman"/>
          <w:bCs/>
          <w:sz w:val="20"/>
        </w:rPr>
        <w:t>result the Investment Man</w:t>
      </w:r>
      <w:r>
        <w:rPr>
          <w:rFonts w:ascii="Times New Roman" w:hAnsi="Times New Roman"/>
          <w:bCs/>
          <w:sz w:val="20"/>
        </w:rPr>
        <w:t xml:space="preserve">ager has not introduced any new </w:t>
      </w:r>
      <w:r w:rsidRPr="00C41DAE">
        <w:rPr>
          <w:rFonts w:ascii="Times New Roman" w:hAnsi="Times New Roman"/>
          <w:bCs/>
          <w:sz w:val="20"/>
        </w:rPr>
        <w:t>arrangements for managing the Company’s liquidity.</w:t>
      </w:r>
    </w:p>
    <w:p w:rsidR="0072796B" w:rsidRDefault="0072796B" w:rsidP="0072796B">
      <w:pPr>
        <w:autoSpaceDE w:val="0"/>
        <w:autoSpaceDN w:val="0"/>
        <w:adjustRightInd w:val="0"/>
        <w:spacing w:line="241" w:lineRule="atLeast"/>
        <w:jc w:val="both"/>
        <w:rPr>
          <w:rFonts w:ascii="Times" w:hAnsi="Times" w:cs="Times"/>
          <w:b/>
          <w:bCs/>
          <w:color w:val="000000"/>
          <w:sz w:val="20"/>
          <w:lang w:eastAsia="en-GB"/>
        </w:rPr>
      </w:pPr>
    </w:p>
    <w:p w:rsidR="0072796B" w:rsidRDefault="0072796B" w:rsidP="0072796B">
      <w:pPr>
        <w:autoSpaceDE w:val="0"/>
        <w:autoSpaceDN w:val="0"/>
        <w:adjustRightInd w:val="0"/>
        <w:spacing w:line="241" w:lineRule="atLeast"/>
        <w:jc w:val="both"/>
        <w:rPr>
          <w:rFonts w:ascii="Times New Roman" w:hAnsi="Times New Roman"/>
          <w:b/>
          <w:bCs/>
          <w:sz w:val="20"/>
        </w:rPr>
      </w:pPr>
      <w:r>
        <w:rPr>
          <w:rFonts w:ascii="Times New Roman" w:hAnsi="Times New Roman"/>
          <w:b/>
          <w:bCs/>
          <w:sz w:val="20"/>
        </w:rPr>
        <w:t>Risk management policy note</w:t>
      </w:r>
    </w:p>
    <w:p w:rsidR="0072796B" w:rsidRPr="00C41DAE" w:rsidRDefault="00C41DAE" w:rsidP="00C41DAE">
      <w:pPr>
        <w:autoSpaceDE w:val="0"/>
        <w:autoSpaceDN w:val="0"/>
        <w:adjustRightInd w:val="0"/>
        <w:spacing w:line="241" w:lineRule="atLeast"/>
        <w:jc w:val="both"/>
        <w:rPr>
          <w:rFonts w:ascii="Times New Roman" w:hAnsi="Times New Roman"/>
          <w:bCs/>
          <w:sz w:val="20"/>
        </w:rPr>
      </w:pPr>
      <w:r>
        <w:rPr>
          <w:rFonts w:ascii="Times New Roman" w:hAnsi="Times New Roman"/>
          <w:bCs/>
          <w:sz w:val="20"/>
        </w:rPr>
        <w:t xml:space="preserve">Please refer to Note 16, </w:t>
      </w:r>
      <w:r w:rsidR="00CF78A5">
        <w:rPr>
          <w:rFonts w:ascii="Times New Roman" w:hAnsi="Times New Roman"/>
          <w:bCs/>
          <w:sz w:val="20"/>
        </w:rPr>
        <w:t>F</w:t>
      </w:r>
      <w:r w:rsidR="00556416">
        <w:rPr>
          <w:rFonts w:ascii="Times New Roman" w:hAnsi="Times New Roman"/>
          <w:bCs/>
          <w:sz w:val="20"/>
        </w:rPr>
        <w:t>inancial instruments</w:t>
      </w:r>
      <w:r>
        <w:rPr>
          <w:rFonts w:ascii="Times New Roman" w:hAnsi="Times New Roman"/>
          <w:bCs/>
          <w:sz w:val="20"/>
        </w:rPr>
        <w:t xml:space="preserve">, in </w:t>
      </w:r>
      <w:r w:rsidRPr="00C41DAE">
        <w:rPr>
          <w:rFonts w:ascii="Times New Roman" w:hAnsi="Times New Roman"/>
          <w:bCs/>
          <w:sz w:val="20"/>
        </w:rPr>
        <w:t xml:space="preserve">the Notes to the </w:t>
      </w:r>
      <w:r w:rsidR="00864E72">
        <w:rPr>
          <w:rFonts w:ascii="Times New Roman" w:hAnsi="Times New Roman"/>
          <w:bCs/>
          <w:sz w:val="20"/>
        </w:rPr>
        <w:t xml:space="preserve">financial statements on pages </w:t>
      </w:r>
      <w:r w:rsidR="007E6005">
        <w:rPr>
          <w:rFonts w:ascii="Times New Roman" w:hAnsi="Times New Roman"/>
          <w:bCs/>
          <w:sz w:val="20"/>
        </w:rPr>
        <w:t>4</w:t>
      </w:r>
      <w:r w:rsidR="00A66792">
        <w:rPr>
          <w:rFonts w:ascii="Times New Roman" w:hAnsi="Times New Roman"/>
          <w:bCs/>
          <w:sz w:val="20"/>
        </w:rPr>
        <w:t>6</w:t>
      </w:r>
      <w:r w:rsidR="00916D00">
        <w:rPr>
          <w:rFonts w:ascii="Times New Roman" w:hAnsi="Times New Roman"/>
          <w:bCs/>
          <w:sz w:val="20"/>
        </w:rPr>
        <w:t xml:space="preserve"> to </w:t>
      </w:r>
      <w:r w:rsidR="00000F1B">
        <w:rPr>
          <w:rFonts w:ascii="Times New Roman" w:hAnsi="Times New Roman"/>
          <w:bCs/>
          <w:sz w:val="20"/>
        </w:rPr>
        <w:t>5</w:t>
      </w:r>
      <w:r w:rsidR="00A66792">
        <w:rPr>
          <w:rFonts w:ascii="Times New Roman" w:hAnsi="Times New Roman"/>
          <w:bCs/>
          <w:sz w:val="20"/>
        </w:rPr>
        <w:t>1</w:t>
      </w:r>
      <w:r w:rsidR="00556416">
        <w:rPr>
          <w:rFonts w:ascii="Times New Roman" w:hAnsi="Times New Roman"/>
          <w:bCs/>
          <w:sz w:val="20"/>
        </w:rPr>
        <w:t xml:space="preserve"> for risk management policies</w:t>
      </w:r>
      <w:r>
        <w:rPr>
          <w:rFonts w:ascii="Times New Roman" w:hAnsi="Times New Roman"/>
          <w:bCs/>
          <w:sz w:val="20"/>
        </w:rPr>
        <w:t xml:space="preserve">, </w:t>
      </w:r>
      <w:r w:rsidRPr="00C41DAE">
        <w:rPr>
          <w:rFonts w:ascii="Times New Roman" w:hAnsi="Times New Roman"/>
          <w:bCs/>
          <w:sz w:val="20"/>
        </w:rPr>
        <w:t>where the current risk profile of th</w:t>
      </w:r>
      <w:r>
        <w:rPr>
          <w:rFonts w:ascii="Times New Roman" w:hAnsi="Times New Roman"/>
          <w:bCs/>
          <w:sz w:val="20"/>
        </w:rPr>
        <w:t xml:space="preserve">e Company and the risk </w:t>
      </w:r>
      <w:r w:rsidRPr="00C41DAE">
        <w:rPr>
          <w:rFonts w:ascii="Times New Roman" w:hAnsi="Times New Roman"/>
          <w:bCs/>
          <w:sz w:val="20"/>
        </w:rPr>
        <w:t>management systems emp</w:t>
      </w:r>
      <w:r>
        <w:rPr>
          <w:rFonts w:ascii="Times New Roman" w:hAnsi="Times New Roman"/>
          <w:bCs/>
          <w:sz w:val="20"/>
        </w:rPr>
        <w:t xml:space="preserve">loyed by the Investment Manager </w:t>
      </w:r>
      <w:r w:rsidRPr="00C41DAE">
        <w:rPr>
          <w:rFonts w:ascii="Times New Roman" w:hAnsi="Times New Roman"/>
          <w:bCs/>
          <w:sz w:val="20"/>
        </w:rPr>
        <w:t>to manage those risks, are set out.</w:t>
      </w:r>
    </w:p>
    <w:p w:rsidR="0072796B" w:rsidRDefault="0072796B" w:rsidP="00CA297B">
      <w:pPr>
        <w:rPr>
          <w:rFonts w:ascii="Times New Roman" w:hAnsi="Times New Roman"/>
          <w:b/>
          <w:sz w:val="20"/>
          <w:szCs w:val="20"/>
        </w:rPr>
      </w:pPr>
    </w:p>
    <w:p w:rsidR="00C41DAE" w:rsidRPr="00C41DAE" w:rsidRDefault="00C41DAE" w:rsidP="00C41DAE">
      <w:pPr>
        <w:rPr>
          <w:rFonts w:ascii="Times New Roman" w:hAnsi="Times New Roman"/>
          <w:b/>
          <w:sz w:val="20"/>
          <w:szCs w:val="20"/>
        </w:rPr>
      </w:pPr>
      <w:r w:rsidRPr="00C41DAE">
        <w:rPr>
          <w:rFonts w:ascii="Times New Roman" w:hAnsi="Times New Roman"/>
          <w:b/>
          <w:sz w:val="20"/>
          <w:szCs w:val="20"/>
        </w:rPr>
        <w:t>Remuneration</w:t>
      </w:r>
    </w:p>
    <w:p w:rsidR="0072796B" w:rsidRPr="00C41DAE" w:rsidRDefault="00916D00" w:rsidP="00C41DAE">
      <w:pPr>
        <w:jc w:val="both"/>
        <w:rPr>
          <w:rFonts w:ascii="Times New Roman" w:hAnsi="Times New Roman"/>
          <w:sz w:val="20"/>
          <w:szCs w:val="20"/>
        </w:rPr>
      </w:pPr>
      <w:bookmarkStart w:id="69" w:name="OLE_LINK28"/>
      <w:bookmarkStart w:id="70" w:name="OLE_LINK29"/>
      <w:r w:rsidRPr="006209E6">
        <w:rPr>
          <w:rFonts w:ascii="Times New Roman" w:hAnsi="Times New Roman"/>
          <w:sz w:val="20"/>
          <w:szCs w:val="20"/>
        </w:rPr>
        <w:t xml:space="preserve">The total remuneration paid </w:t>
      </w:r>
      <w:r w:rsidR="00110ADF" w:rsidRPr="006209E6">
        <w:rPr>
          <w:rFonts w:ascii="Times New Roman" w:hAnsi="Times New Roman"/>
          <w:sz w:val="20"/>
          <w:szCs w:val="20"/>
        </w:rPr>
        <w:t xml:space="preserve">for </w:t>
      </w:r>
      <w:r w:rsidRPr="006209E6">
        <w:rPr>
          <w:rFonts w:ascii="Times New Roman" w:hAnsi="Times New Roman"/>
          <w:sz w:val="20"/>
          <w:szCs w:val="20"/>
        </w:rPr>
        <w:t xml:space="preserve">the management of the </w:t>
      </w:r>
      <w:r w:rsidR="0085547E" w:rsidRPr="006209E6">
        <w:rPr>
          <w:rFonts w:ascii="Times New Roman" w:hAnsi="Times New Roman"/>
          <w:sz w:val="20"/>
          <w:szCs w:val="20"/>
        </w:rPr>
        <w:t>AIFM</w:t>
      </w:r>
      <w:r w:rsidRPr="006209E6">
        <w:rPr>
          <w:rFonts w:ascii="Times New Roman" w:hAnsi="Times New Roman"/>
          <w:sz w:val="20"/>
          <w:szCs w:val="20"/>
        </w:rPr>
        <w:t xml:space="preserve"> amounted to </w:t>
      </w:r>
      <w:r w:rsidRPr="00E54387">
        <w:rPr>
          <w:rFonts w:ascii="Times New Roman" w:hAnsi="Times New Roman"/>
          <w:sz w:val="20"/>
          <w:szCs w:val="20"/>
        </w:rPr>
        <w:t xml:space="preserve">approximately </w:t>
      </w:r>
      <w:r w:rsidR="008A279D" w:rsidRPr="00F9062B">
        <w:rPr>
          <w:rFonts w:ascii="Times New Roman" w:hAnsi="Times New Roman"/>
          <w:sz w:val="20"/>
          <w:szCs w:val="20"/>
        </w:rPr>
        <w:t>£</w:t>
      </w:r>
      <w:r w:rsidR="00556416" w:rsidRPr="00F9062B">
        <w:rPr>
          <w:rFonts w:ascii="Times New Roman" w:hAnsi="Times New Roman"/>
          <w:sz w:val="20"/>
          <w:szCs w:val="20"/>
        </w:rPr>
        <w:t>9</w:t>
      </w:r>
      <w:r w:rsidR="00E54387">
        <w:rPr>
          <w:rFonts w:ascii="Times New Roman" w:hAnsi="Times New Roman"/>
          <w:sz w:val="20"/>
          <w:szCs w:val="20"/>
        </w:rPr>
        <w:t>8</w:t>
      </w:r>
      <w:r w:rsidR="00556416" w:rsidRPr="00F9062B">
        <w:rPr>
          <w:rFonts w:ascii="Times New Roman" w:hAnsi="Times New Roman"/>
          <w:sz w:val="20"/>
          <w:szCs w:val="20"/>
        </w:rPr>
        <w:t>,000</w:t>
      </w:r>
      <w:r w:rsidR="00586117">
        <w:rPr>
          <w:rFonts w:ascii="Times New Roman" w:hAnsi="Times New Roman"/>
          <w:sz w:val="20"/>
          <w:szCs w:val="20"/>
        </w:rPr>
        <w:t xml:space="preserve"> </w:t>
      </w:r>
      <w:r w:rsidRPr="00A00219">
        <w:rPr>
          <w:rFonts w:ascii="Times New Roman" w:hAnsi="Times New Roman"/>
          <w:sz w:val="20"/>
          <w:szCs w:val="20"/>
        </w:rPr>
        <w:t>for</w:t>
      </w:r>
      <w:r w:rsidR="002B587E" w:rsidRPr="00A00219">
        <w:rPr>
          <w:rFonts w:ascii="Times New Roman" w:hAnsi="Times New Roman"/>
          <w:sz w:val="20"/>
          <w:szCs w:val="20"/>
        </w:rPr>
        <w:t xml:space="preserve"> the year ended 31 December 201</w:t>
      </w:r>
      <w:r w:rsidR="0074128C">
        <w:rPr>
          <w:rFonts w:ascii="Times New Roman" w:hAnsi="Times New Roman"/>
          <w:sz w:val="20"/>
          <w:szCs w:val="20"/>
        </w:rPr>
        <w:t>8</w:t>
      </w:r>
      <w:r w:rsidR="00C41DAE" w:rsidRPr="00787009">
        <w:rPr>
          <w:rFonts w:ascii="Times New Roman" w:hAnsi="Times New Roman"/>
          <w:sz w:val="20"/>
          <w:szCs w:val="20"/>
        </w:rPr>
        <w:t>.</w:t>
      </w:r>
      <w:r w:rsidRPr="00787009">
        <w:rPr>
          <w:rFonts w:ascii="Times New Roman" w:hAnsi="Times New Roman"/>
          <w:sz w:val="20"/>
          <w:szCs w:val="20"/>
        </w:rPr>
        <w:t xml:space="preserve"> This amount was paid to a total of five beneficiaries including senior management and other staff.</w:t>
      </w:r>
    </w:p>
    <w:bookmarkEnd w:id="69"/>
    <w:bookmarkEnd w:id="70"/>
    <w:p w:rsidR="0072796B" w:rsidRDefault="0072796B"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E6005" w:rsidRDefault="007E6005"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E11D87" w:rsidRDefault="00E11D87" w:rsidP="00CA297B">
      <w:pPr>
        <w:rPr>
          <w:rFonts w:ascii="Times New Roman" w:hAnsi="Times New Roman"/>
          <w:b/>
          <w:sz w:val="20"/>
          <w:szCs w:val="20"/>
        </w:rPr>
      </w:pPr>
    </w:p>
    <w:p w:rsidR="00E11D87" w:rsidRDefault="00E11D87"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72796B" w:rsidRDefault="0072796B" w:rsidP="00CA297B">
      <w:pPr>
        <w:rPr>
          <w:rFonts w:ascii="Times New Roman" w:hAnsi="Times New Roman"/>
          <w:b/>
          <w:sz w:val="20"/>
          <w:szCs w:val="20"/>
        </w:rPr>
      </w:pPr>
    </w:p>
    <w:p w:rsidR="0068366F" w:rsidRPr="00C87A19" w:rsidRDefault="0068366F" w:rsidP="0068366F">
      <w:pPr>
        <w:pStyle w:val="Heading2"/>
        <w:rPr>
          <w:rFonts w:ascii="Times New Roman" w:hAnsi="Times New Roman"/>
          <w:sz w:val="20"/>
          <w:szCs w:val="20"/>
        </w:rPr>
      </w:pPr>
      <w:r w:rsidRPr="00C87A19">
        <w:rPr>
          <w:rFonts w:ascii="Times New Roman" w:hAnsi="Times New Roman"/>
          <w:sz w:val="20"/>
          <w:szCs w:val="20"/>
        </w:rPr>
        <w:t xml:space="preserve">INDEPENDENT AUDITOR’S REPORT TO THE MEMBERS OF MIDDLEFIELD CANADIAN </w:t>
      </w:r>
      <w:r w:rsidR="000871D0">
        <w:rPr>
          <w:rFonts w:ascii="Times New Roman" w:hAnsi="Times New Roman"/>
          <w:sz w:val="20"/>
          <w:szCs w:val="20"/>
        </w:rPr>
        <w:t xml:space="preserve"> </w:t>
      </w:r>
      <w:r w:rsidRPr="00C87A19">
        <w:rPr>
          <w:rFonts w:ascii="Times New Roman" w:hAnsi="Times New Roman"/>
          <w:sz w:val="20"/>
          <w:szCs w:val="20"/>
        </w:rPr>
        <w:t>INCOME PCC (THE ‘‘COMPANY’’)</w:t>
      </w:r>
    </w:p>
    <w:p w:rsidR="0068366F" w:rsidRPr="00C87A19" w:rsidRDefault="0068366F" w:rsidP="0068366F">
      <w:pPr>
        <w:pStyle w:val="Heading2"/>
        <w:rPr>
          <w:rFonts w:ascii="Times New Roman" w:hAnsi="Times New Roman"/>
          <w:sz w:val="20"/>
          <w:szCs w:val="20"/>
        </w:rPr>
      </w:pPr>
    </w:p>
    <w:p w:rsidR="0068366F" w:rsidRPr="00C87A19" w:rsidRDefault="0068366F" w:rsidP="0068366F">
      <w:pPr>
        <w:pStyle w:val="Heading2"/>
        <w:rPr>
          <w:rFonts w:ascii="Times New Roman" w:hAnsi="Times New Roman"/>
          <w:noProof/>
          <w:sz w:val="20"/>
          <w:szCs w:val="20"/>
        </w:rPr>
      </w:pPr>
      <w:r w:rsidRPr="00C87A19">
        <w:rPr>
          <w:rFonts w:ascii="Times New Roman" w:hAnsi="Times New Roman"/>
          <w:sz w:val="20"/>
          <w:szCs w:val="20"/>
        </w:rPr>
        <w:t>Report on the audit of the financial statements</w:t>
      </w:r>
    </w:p>
    <w:p w:rsidR="0068366F" w:rsidRPr="00C87A19" w:rsidRDefault="0068366F" w:rsidP="0068366F">
      <w:pPr>
        <w:keepNext/>
        <w:rPr>
          <w:rFonts w:ascii="Times New Roman" w:hAnsi="Times New Roman"/>
          <w:b/>
          <w:sz w:val="20"/>
          <w:szCs w:val="20"/>
        </w:rPr>
      </w:pPr>
    </w:p>
    <w:p w:rsidR="0068366F" w:rsidRPr="00C87A19" w:rsidRDefault="0068366F" w:rsidP="0068366F">
      <w:pPr>
        <w:pStyle w:val="Heading2"/>
        <w:rPr>
          <w:rFonts w:ascii="Times New Roman" w:hAnsi="Times New Roman"/>
          <w:sz w:val="20"/>
          <w:szCs w:val="20"/>
        </w:rPr>
      </w:pPr>
      <w:r w:rsidRPr="00C87A19">
        <w:rPr>
          <w:rFonts w:ascii="Times New Roman" w:hAnsi="Times New Roman"/>
          <w:sz w:val="20"/>
          <w:szCs w:val="20"/>
        </w:rPr>
        <w:t>Opinion</w:t>
      </w:r>
    </w:p>
    <w:p w:rsidR="0068366F" w:rsidRPr="00C87A19" w:rsidRDefault="0068366F" w:rsidP="0068366F">
      <w:pPr>
        <w:rPr>
          <w:rFonts w:ascii="Times New Roman" w:hAnsi="Times New Roman"/>
          <w:sz w:val="20"/>
          <w:szCs w:val="20"/>
        </w:rPr>
      </w:pPr>
      <w:r w:rsidRPr="00C87A19">
        <w:rPr>
          <w:rFonts w:ascii="Times New Roman" w:hAnsi="Times New Roman"/>
          <w:sz w:val="20"/>
          <w:szCs w:val="20"/>
        </w:rPr>
        <w:t>In our opinion the financial statements</w:t>
      </w:r>
      <w:r w:rsidR="00AA6147">
        <w:rPr>
          <w:rFonts w:ascii="Times New Roman" w:hAnsi="Times New Roman"/>
          <w:sz w:val="20"/>
          <w:szCs w:val="20"/>
        </w:rPr>
        <w:t xml:space="preserve"> </w:t>
      </w:r>
      <w:r w:rsidR="00AA6147" w:rsidRPr="00E54387">
        <w:rPr>
          <w:rFonts w:ascii="Times New Roman" w:hAnsi="Times New Roman"/>
          <w:sz w:val="20"/>
          <w:szCs w:val="20"/>
        </w:rPr>
        <w:t>of Middlefield Canadian Income PCC (the ‘Company’):</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 xml:space="preserve">give a true and fair view of the state of the Company’s affairs as at 31 December 2018; </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have been properly prepared in accordance with International Financial Reporting Standards (IFRSs) as adopted by the European Union; and</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have been properly prepared in accordance the Companies (Jersey) Law 1991.</w:t>
      </w:r>
    </w:p>
    <w:p w:rsidR="0068366F" w:rsidRPr="00C87A19" w:rsidRDefault="0068366F" w:rsidP="00E54387">
      <w:pPr>
        <w:pStyle w:val="ListParagraph"/>
        <w:ind w:left="788"/>
        <w:rPr>
          <w:rFonts w:ascii="Times New Roman" w:hAnsi="Times New Roman"/>
          <w:sz w:val="20"/>
          <w:szCs w:val="20"/>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We have audited the financial statements which comprise:</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the Statement of Financial Position</w:t>
      </w:r>
      <w:r w:rsidR="000302D8">
        <w:rPr>
          <w:rFonts w:ascii="Times New Roman" w:hAnsi="Times New Roman"/>
          <w:sz w:val="20"/>
          <w:szCs w:val="20"/>
        </w:rPr>
        <w:t xml:space="preserve"> of the Company</w:t>
      </w:r>
      <w:r w:rsidRPr="00E54387">
        <w:rPr>
          <w:rFonts w:ascii="Times New Roman" w:hAnsi="Times New Roman"/>
          <w:sz w:val="20"/>
          <w:szCs w:val="20"/>
        </w:rPr>
        <w:t>; and</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the related notes 1 to 3.</w:t>
      </w:r>
    </w:p>
    <w:p w:rsidR="00AA6147" w:rsidRDefault="00AA6147" w:rsidP="00AA6147">
      <w:pPr>
        <w:rPr>
          <w:rFonts w:asciiTheme="minorHAnsi" w:hAnsiTheme="minorHAnsi"/>
          <w:sz w:val="18"/>
          <w:szCs w:val="18"/>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The financial reporting framework that has been applied in their preparation is applicable law and IFRSs as adopted by the European Union.</w:t>
      </w:r>
    </w:p>
    <w:p w:rsidR="00AA6147" w:rsidRDefault="00AA6147" w:rsidP="00AA6147">
      <w:pPr>
        <w:pStyle w:val="Heading2"/>
        <w:keepNext w:val="0"/>
        <w:rPr>
          <w:rFonts w:asciiTheme="minorHAnsi" w:hAnsiTheme="minorHAnsi"/>
          <w:b w:val="0"/>
          <w:sz w:val="18"/>
          <w:szCs w:val="18"/>
        </w:rPr>
      </w:pPr>
    </w:p>
    <w:p w:rsidR="00AA6147" w:rsidRPr="00E54387" w:rsidRDefault="00AA6147" w:rsidP="00AA6147">
      <w:pPr>
        <w:pStyle w:val="Heading2"/>
        <w:rPr>
          <w:rFonts w:ascii="Times New Roman" w:hAnsi="Times New Roman"/>
          <w:sz w:val="20"/>
          <w:szCs w:val="20"/>
        </w:rPr>
      </w:pPr>
      <w:r w:rsidRPr="00E54387">
        <w:rPr>
          <w:rFonts w:ascii="Times New Roman" w:hAnsi="Times New Roman"/>
          <w:sz w:val="20"/>
          <w:szCs w:val="20"/>
        </w:rPr>
        <w:t>Basis for opinion</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We conducted our audit in accordance with International Standards on Auditing (UK) (ISAs (UK)) and applicable law. Our responsibilities under those standards are further described in the auditor's responsibilities for the audit of the financial statements section of our report.</w:t>
      </w:r>
    </w:p>
    <w:p w:rsidR="00AA6147" w:rsidRPr="00E54387" w:rsidRDefault="00AA6147" w:rsidP="00AA6147">
      <w:pPr>
        <w:rPr>
          <w:rFonts w:ascii="Times New Roman" w:hAnsi="Times New Roman"/>
          <w:sz w:val="20"/>
          <w:szCs w:val="20"/>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We are independent of the Company in accordance with the ethical requirements that are relevant to our audit of the financial statements in the UK, including the Financial Reporting Council’s (the ‘FRC’s’) Ethical Standard, and we have fulfilled our other ethical responsibilities in accordance with these requirements. We believe that the audit evidence we have obtained is sufficient and appropriate to provide a basis for our opinion.</w:t>
      </w:r>
    </w:p>
    <w:p w:rsidR="00AA6147" w:rsidRDefault="00AA6147" w:rsidP="00AA6147">
      <w:pPr>
        <w:pStyle w:val="Heading2"/>
        <w:keepNext w:val="0"/>
        <w:rPr>
          <w:rFonts w:asciiTheme="minorHAnsi" w:hAnsiTheme="minorHAnsi"/>
          <w:sz w:val="18"/>
          <w:szCs w:val="18"/>
        </w:rPr>
      </w:pPr>
    </w:p>
    <w:p w:rsidR="00AA6147" w:rsidRPr="00E54387" w:rsidRDefault="00AA6147" w:rsidP="00AA6147">
      <w:pPr>
        <w:pStyle w:val="Heading2"/>
        <w:rPr>
          <w:rFonts w:ascii="Times New Roman" w:hAnsi="Times New Roman"/>
          <w:sz w:val="20"/>
          <w:szCs w:val="20"/>
        </w:rPr>
      </w:pPr>
      <w:r w:rsidRPr="00E54387">
        <w:rPr>
          <w:rFonts w:ascii="Times New Roman" w:hAnsi="Times New Roman"/>
          <w:sz w:val="20"/>
          <w:szCs w:val="20"/>
        </w:rPr>
        <w:t>Conclusions relating to going concern</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We are required by ISAs (UK) to report in respect of the following matters where:</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the directors’ use of the going concern basis of accounting in preparation of the financial statements is not appropriate; or</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the directors have not disclosed in the financial statements any identified material uncertainties that may cast significant doubt about the Company’s ability to continue to adopt the going concern basis of accounting for a period of at least twelve months from the date when the financial statements are authorised for issue.</w:t>
      </w:r>
    </w:p>
    <w:p w:rsidR="00AA6147" w:rsidRPr="00E54387" w:rsidRDefault="00AA6147" w:rsidP="00E54387">
      <w:pPr>
        <w:pStyle w:val="ListParagraph"/>
        <w:ind w:left="788"/>
        <w:rPr>
          <w:rFonts w:ascii="Times New Roman" w:hAnsi="Times New Roman"/>
          <w:sz w:val="20"/>
          <w:szCs w:val="20"/>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We have nothing to report in respect of these matters.</w:t>
      </w:r>
    </w:p>
    <w:p w:rsidR="00AA6147" w:rsidRDefault="00AA6147" w:rsidP="00AA6147">
      <w:pPr>
        <w:pStyle w:val="Heading2"/>
        <w:keepNext w:val="0"/>
        <w:rPr>
          <w:rFonts w:asciiTheme="minorHAnsi" w:hAnsiTheme="minorHAnsi"/>
          <w:sz w:val="18"/>
          <w:szCs w:val="18"/>
        </w:rPr>
      </w:pPr>
    </w:p>
    <w:p w:rsidR="00AA6147" w:rsidRPr="00E54387" w:rsidRDefault="00AA6147" w:rsidP="00AA6147">
      <w:pPr>
        <w:pStyle w:val="Heading2"/>
        <w:rPr>
          <w:rFonts w:ascii="Times New Roman" w:hAnsi="Times New Roman"/>
          <w:sz w:val="20"/>
          <w:szCs w:val="20"/>
        </w:rPr>
      </w:pPr>
      <w:r w:rsidRPr="00E54387">
        <w:rPr>
          <w:rFonts w:ascii="Times New Roman" w:hAnsi="Times New Roman"/>
          <w:sz w:val="20"/>
          <w:szCs w:val="20"/>
        </w:rPr>
        <w:t>Other information</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The directors are responsible for the other information. The other information comprises the information included in the annual report, other than the financial statements and our auditor’s report thereon. Our opinion on the financial statements does not cover the other information and we do not express any form of assurance conclusion thereon.</w:t>
      </w:r>
    </w:p>
    <w:p w:rsidR="00AA6147" w:rsidRPr="00E54387" w:rsidRDefault="00AA6147" w:rsidP="00AA6147">
      <w:pPr>
        <w:rPr>
          <w:rFonts w:ascii="Times New Roman" w:hAnsi="Times New Roman"/>
          <w:sz w:val="20"/>
          <w:szCs w:val="20"/>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w:t>
      </w:r>
    </w:p>
    <w:p w:rsidR="00AA6147" w:rsidRPr="00E54387" w:rsidRDefault="00AA6147" w:rsidP="00AA6147">
      <w:pPr>
        <w:rPr>
          <w:rFonts w:ascii="Times New Roman" w:hAnsi="Times New Roman"/>
          <w:sz w:val="20"/>
          <w:szCs w:val="20"/>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We have nothing to report in respect of these matters.</w:t>
      </w:r>
    </w:p>
    <w:p w:rsidR="00AA6147" w:rsidRDefault="00AA6147" w:rsidP="00AA6147">
      <w:pPr>
        <w:pStyle w:val="Heading2"/>
        <w:keepNext w:val="0"/>
        <w:rPr>
          <w:rFonts w:asciiTheme="minorHAnsi" w:hAnsiTheme="minorHAnsi"/>
          <w:sz w:val="18"/>
          <w:szCs w:val="18"/>
        </w:rPr>
      </w:pPr>
    </w:p>
    <w:p w:rsidR="00AA6147" w:rsidRDefault="00AA6147" w:rsidP="00E54387"/>
    <w:p w:rsidR="00AA6147" w:rsidRDefault="00AA6147" w:rsidP="00E54387"/>
    <w:p w:rsidR="00AA6147" w:rsidRDefault="00AA6147" w:rsidP="00E54387"/>
    <w:p w:rsidR="00AA6147" w:rsidRDefault="00AA6147" w:rsidP="00E54387"/>
    <w:p w:rsidR="00B335A3" w:rsidRDefault="00B335A3" w:rsidP="00E54387"/>
    <w:p w:rsidR="00B335A3" w:rsidRDefault="00B335A3" w:rsidP="00E54387"/>
    <w:p w:rsidR="00B335A3" w:rsidRDefault="00B335A3" w:rsidP="00E54387"/>
    <w:p w:rsidR="00AA6147" w:rsidRPr="00E54387" w:rsidRDefault="00AA6147" w:rsidP="00E54387"/>
    <w:p w:rsidR="00AA6147" w:rsidRPr="00E54387" w:rsidRDefault="00AA6147" w:rsidP="00AA6147">
      <w:pPr>
        <w:pStyle w:val="Heading2"/>
        <w:rPr>
          <w:rFonts w:ascii="Times New Roman" w:hAnsi="Times New Roman"/>
          <w:sz w:val="20"/>
          <w:szCs w:val="20"/>
        </w:rPr>
      </w:pPr>
      <w:r w:rsidRPr="00E54387">
        <w:rPr>
          <w:rFonts w:ascii="Times New Roman" w:hAnsi="Times New Roman"/>
          <w:sz w:val="20"/>
          <w:szCs w:val="20"/>
        </w:rPr>
        <w:t>Responsibilities of directors</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 xml:space="preserve">As explained more fully in the </w:t>
      </w:r>
      <w:r w:rsidR="000302D8">
        <w:rPr>
          <w:rFonts w:ascii="Times New Roman" w:hAnsi="Times New Roman"/>
          <w:sz w:val="20"/>
          <w:szCs w:val="20"/>
        </w:rPr>
        <w:t>S</w:t>
      </w:r>
      <w:r w:rsidRPr="00E54387">
        <w:rPr>
          <w:rFonts w:ascii="Times New Roman" w:hAnsi="Times New Roman"/>
          <w:sz w:val="20"/>
          <w:szCs w:val="20"/>
        </w:rPr>
        <w:t xml:space="preserve">tatement of </w:t>
      </w:r>
      <w:r w:rsidR="000302D8">
        <w:rPr>
          <w:rFonts w:ascii="Times New Roman" w:hAnsi="Times New Roman"/>
          <w:sz w:val="20"/>
          <w:szCs w:val="20"/>
        </w:rPr>
        <w:t>D</w:t>
      </w:r>
      <w:r w:rsidRPr="00E54387">
        <w:rPr>
          <w:rFonts w:ascii="Times New Roman" w:hAnsi="Times New Roman"/>
          <w:sz w:val="20"/>
          <w:szCs w:val="20"/>
        </w:rPr>
        <w:t xml:space="preserve">irectors’ </w:t>
      </w:r>
      <w:r w:rsidR="00140415">
        <w:rPr>
          <w:rFonts w:ascii="Times New Roman" w:hAnsi="Times New Roman"/>
          <w:sz w:val="20"/>
          <w:szCs w:val="20"/>
        </w:rPr>
        <w:t>R</w:t>
      </w:r>
      <w:r w:rsidRPr="00E54387">
        <w:rPr>
          <w:rFonts w:ascii="Times New Roman" w:hAnsi="Times New Roman"/>
          <w:sz w:val="20"/>
          <w:szCs w:val="20"/>
        </w:rPr>
        <w:t>esponsibilities,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w:t>
      </w:r>
    </w:p>
    <w:p w:rsidR="00AA6147" w:rsidRPr="00E54387" w:rsidRDefault="00AA6147" w:rsidP="00AA6147">
      <w:pPr>
        <w:rPr>
          <w:rFonts w:ascii="Times New Roman" w:hAnsi="Times New Roman"/>
          <w:sz w:val="20"/>
          <w:szCs w:val="20"/>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In preparing the financial statements, the directors are responsible for assessing the Company’s ability to continue as a going concern, disclosing, as applicable, matters related to going concern and using the going concern basis of accounting unless the directors either intend to liquidate the Company or to cease operations, or have no realistic alternative but to do so.</w:t>
      </w:r>
    </w:p>
    <w:p w:rsidR="00AA6147" w:rsidRPr="00E54387" w:rsidRDefault="00AA6147" w:rsidP="00AA6147">
      <w:pPr>
        <w:rPr>
          <w:rFonts w:ascii="Times New Roman" w:hAnsi="Times New Roman"/>
          <w:sz w:val="20"/>
          <w:szCs w:val="20"/>
        </w:rPr>
      </w:pPr>
    </w:p>
    <w:p w:rsidR="00AA6147" w:rsidRPr="00E54387" w:rsidRDefault="00AA6147" w:rsidP="00E54387">
      <w:pPr>
        <w:rPr>
          <w:rFonts w:ascii="Times New Roman" w:hAnsi="Times New Roman"/>
          <w:sz w:val="20"/>
          <w:szCs w:val="20"/>
        </w:rPr>
      </w:pPr>
      <w:r w:rsidRPr="00E54387">
        <w:rPr>
          <w:rFonts w:ascii="Times New Roman" w:hAnsi="Times New Roman"/>
          <w:sz w:val="20"/>
          <w:szCs w:val="20"/>
        </w:rPr>
        <w:t>Auditor’s responsibilities for the audit of the financial statements</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rsidR="00AA6147" w:rsidRDefault="00AA6147" w:rsidP="00AA6147">
      <w:pPr>
        <w:rPr>
          <w:rFonts w:asciiTheme="majorHAnsi" w:hAnsiTheme="majorHAnsi" w:cs="Arial"/>
          <w:sz w:val="18"/>
          <w:szCs w:val="18"/>
          <w:lang w:eastAsia="en-GB"/>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A further description of our responsibilities for the audit of the financial statements is located on the FRC’s website at:</w:t>
      </w:r>
      <w:r>
        <w:rPr>
          <w:rFonts w:ascii="Verdana" w:hAnsi="Verdana" w:cs="Arial"/>
          <w:sz w:val="18"/>
          <w:szCs w:val="18"/>
        </w:rPr>
        <w:t xml:space="preserve"> </w:t>
      </w:r>
      <w:hyperlink r:id="rId23" w:history="1">
        <w:r>
          <w:rPr>
            <w:rStyle w:val="Hyperlink"/>
            <w:rFonts w:ascii="Verdana" w:hAnsi="Verdana" w:cs="Arial"/>
            <w:sz w:val="18"/>
            <w:szCs w:val="18"/>
          </w:rPr>
          <w:t>www.frc.org.uk/auditorsresponsibilities</w:t>
        </w:r>
      </w:hyperlink>
      <w:r>
        <w:rPr>
          <w:rFonts w:ascii="Verdana" w:hAnsi="Verdana" w:cs="Arial"/>
          <w:sz w:val="18"/>
          <w:szCs w:val="18"/>
        </w:rPr>
        <w:t xml:space="preserve">. </w:t>
      </w:r>
      <w:r w:rsidRPr="00E54387">
        <w:rPr>
          <w:rFonts w:ascii="Times New Roman" w:hAnsi="Times New Roman"/>
          <w:sz w:val="20"/>
          <w:szCs w:val="20"/>
        </w:rPr>
        <w:t>This description forms part of our auditor’s report.</w:t>
      </w:r>
    </w:p>
    <w:p w:rsidR="00AA6147" w:rsidRDefault="00AA6147" w:rsidP="00AA6147">
      <w:pPr>
        <w:rPr>
          <w:rFonts w:asciiTheme="majorHAnsi" w:hAnsiTheme="majorHAnsi" w:cs="Arial"/>
          <w:sz w:val="18"/>
          <w:szCs w:val="18"/>
          <w:lang w:eastAsia="en-GB"/>
        </w:rPr>
      </w:pPr>
    </w:p>
    <w:p w:rsidR="00AA6147" w:rsidRPr="00E54387" w:rsidRDefault="00AA6147" w:rsidP="00AA6147">
      <w:pPr>
        <w:pStyle w:val="Heading2"/>
        <w:rPr>
          <w:rFonts w:ascii="Times New Roman" w:hAnsi="Times New Roman"/>
          <w:sz w:val="20"/>
          <w:szCs w:val="20"/>
        </w:rPr>
      </w:pPr>
      <w:r w:rsidRPr="00E54387">
        <w:rPr>
          <w:rFonts w:ascii="Times New Roman" w:hAnsi="Times New Roman"/>
          <w:sz w:val="20"/>
          <w:szCs w:val="20"/>
        </w:rPr>
        <w:t>Report on other legal and regulatory requirements</w:t>
      </w:r>
    </w:p>
    <w:p w:rsidR="00AA6147" w:rsidRPr="00E54387" w:rsidRDefault="00AA6147" w:rsidP="00E54387">
      <w:pPr>
        <w:pStyle w:val="Heading2"/>
        <w:rPr>
          <w:rFonts w:ascii="Times New Roman" w:hAnsi="Times New Roman"/>
          <w:b w:val="0"/>
          <w:sz w:val="20"/>
          <w:szCs w:val="20"/>
        </w:rPr>
      </w:pPr>
    </w:p>
    <w:p w:rsidR="00AA6147" w:rsidRPr="00E54387" w:rsidRDefault="00AA6147" w:rsidP="00AA6147">
      <w:pPr>
        <w:pStyle w:val="Heading2"/>
        <w:rPr>
          <w:rFonts w:ascii="Times New Roman" w:hAnsi="Times New Roman"/>
          <w:sz w:val="20"/>
          <w:szCs w:val="20"/>
        </w:rPr>
      </w:pPr>
      <w:r w:rsidRPr="00E54387">
        <w:rPr>
          <w:rFonts w:ascii="Times New Roman" w:hAnsi="Times New Roman"/>
          <w:sz w:val="20"/>
          <w:szCs w:val="20"/>
        </w:rPr>
        <w:t>Matters on which we are required to report by exception</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Under the Companies (Jersey) Law 1991 we are required to report in respect of the following matters if, in our opinion:</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proper accounting records have not been kept by the Company, or proper returns adequate for our audit have not been received from branches not visited by us; or</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the financial statements are not in agreement with the accounting records and returns; or</w:t>
      </w:r>
    </w:p>
    <w:p w:rsidR="00AA6147" w:rsidRPr="00E54387" w:rsidRDefault="00AA6147" w:rsidP="00E54387">
      <w:pPr>
        <w:pStyle w:val="ListParagraph"/>
        <w:numPr>
          <w:ilvl w:val="0"/>
          <w:numId w:val="50"/>
        </w:numPr>
        <w:rPr>
          <w:rFonts w:ascii="Times New Roman" w:hAnsi="Times New Roman"/>
          <w:sz w:val="20"/>
          <w:szCs w:val="20"/>
        </w:rPr>
      </w:pPr>
      <w:r w:rsidRPr="00E54387">
        <w:rPr>
          <w:rFonts w:ascii="Times New Roman" w:hAnsi="Times New Roman"/>
          <w:sz w:val="20"/>
          <w:szCs w:val="20"/>
        </w:rPr>
        <w:t>we have not received all the information and explanations we require for our audit.</w:t>
      </w:r>
    </w:p>
    <w:p w:rsidR="00AA6147" w:rsidRDefault="00AA6147" w:rsidP="00AA6147">
      <w:pPr>
        <w:rPr>
          <w:rFonts w:asciiTheme="minorHAnsi" w:hAnsiTheme="minorHAnsi"/>
          <w:sz w:val="18"/>
          <w:szCs w:val="18"/>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We have nothing to report in respect of these matters.</w:t>
      </w:r>
    </w:p>
    <w:p w:rsidR="00AA6147" w:rsidRDefault="00AA6147" w:rsidP="00AA6147">
      <w:pPr>
        <w:rPr>
          <w:rFonts w:asciiTheme="minorHAnsi" w:hAnsiTheme="minorHAnsi"/>
          <w:sz w:val="18"/>
          <w:szCs w:val="18"/>
        </w:rPr>
      </w:pPr>
    </w:p>
    <w:p w:rsidR="00AA6147" w:rsidRPr="00E54387" w:rsidRDefault="00AA6147" w:rsidP="00AA6147">
      <w:pPr>
        <w:pStyle w:val="Heading2"/>
        <w:rPr>
          <w:rFonts w:ascii="Times New Roman" w:hAnsi="Times New Roman"/>
          <w:sz w:val="20"/>
          <w:szCs w:val="20"/>
        </w:rPr>
      </w:pPr>
      <w:r w:rsidRPr="00E54387">
        <w:rPr>
          <w:rFonts w:ascii="Times New Roman" w:hAnsi="Times New Roman"/>
          <w:sz w:val="20"/>
          <w:szCs w:val="20"/>
        </w:rPr>
        <w:t xml:space="preserve">Use of our report </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This report is made solely to the Company’s members, as a body, in accordance with Article 113A of the Companies (Jersey) Law 1991.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rsidR="00AA6147" w:rsidRDefault="00AA6147" w:rsidP="00AA6147">
      <w:pPr>
        <w:rPr>
          <w:rFonts w:ascii="Times New Roman" w:hAnsi="Times New Roman"/>
          <w:sz w:val="24"/>
        </w:rPr>
      </w:pPr>
    </w:p>
    <w:p w:rsidR="00AA6147" w:rsidRDefault="00AA6147" w:rsidP="00AA6147">
      <w:pPr>
        <w:rPr>
          <w:rFonts w:asciiTheme="minorHAnsi" w:hAnsiTheme="minorHAnsi"/>
          <w:sz w:val="18"/>
          <w:szCs w:val="18"/>
        </w:rPr>
      </w:pPr>
    </w:p>
    <w:p w:rsidR="00AA6147" w:rsidRDefault="00AA6147" w:rsidP="00AA6147">
      <w:pPr>
        <w:rPr>
          <w:rFonts w:asciiTheme="minorHAnsi" w:hAnsiTheme="minorHAnsi"/>
          <w:sz w:val="18"/>
          <w:szCs w:val="18"/>
        </w:rPr>
      </w:pPr>
    </w:p>
    <w:p w:rsidR="00AA6147" w:rsidRDefault="00AA6147" w:rsidP="00AA6147">
      <w:pPr>
        <w:rPr>
          <w:rFonts w:asciiTheme="minorHAnsi" w:hAnsiTheme="minorHAnsi"/>
          <w:sz w:val="18"/>
          <w:szCs w:val="18"/>
        </w:rPr>
      </w:pPr>
    </w:p>
    <w:p w:rsidR="00AA6147" w:rsidRDefault="00AA6147" w:rsidP="00AA6147">
      <w:pPr>
        <w:rPr>
          <w:rFonts w:asciiTheme="minorHAnsi" w:hAnsiTheme="minorHAnsi"/>
          <w:sz w:val="18"/>
          <w:szCs w:val="18"/>
        </w:rPr>
      </w:pPr>
    </w:p>
    <w:p w:rsidR="00AA6147" w:rsidRDefault="00AA6147" w:rsidP="00AA6147">
      <w:pPr>
        <w:rPr>
          <w:rFonts w:asciiTheme="minorHAnsi" w:hAnsiTheme="minorHAnsi"/>
          <w:sz w:val="18"/>
          <w:szCs w:val="18"/>
        </w:rPr>
      </w:pPr>
    </w:p>
    <w:p w:rsidR="00AA6147" w:rsidRDefault="00AA6147" w:rsidP="00AA6147">
      <w:pPr>
        <w:rPr>
          <w:rFonts w:asciiTheme="minorHAnsi" w:hAnsiTheme="minorHAnsi"/>
          <w:sz w:val="18"/>
          <w:szCs w:val="18"/>
        </w:rPr>
      </w:pP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 xml:space="preserve">Nicola Sarah Paul FCA </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For and on behalf of Deloitte LLP</w:t>
      </w:r>
    </w:p>
    <w:p w:rsidR="00AA6147" w:rsidRPr="00E54387" w:rsidRDefault="00AA6147" w:rsidP="00AA6147">
      <w:pPr>
        <w:rPr>
          <w:rFonts w:ascii="Times New Roman" w:hAnsi="Times New Roman"/>
          <w:sz w:val="20"/>
          <w:szCs w:val="20"/>
        </w:rPr>
      </w:pPr>
      <w:r w:rsidRPr="00E54387">
        <w:rPr>
          <w:rFonts w:ascii="Times New Roman" w:hAnsi="Times New Roman"/>
          <w:sz w:val="20"/>
          <w:szCs w:val="20"/>
        </w:rPr>
        <w:t>Jersey, Channel Islands</w:t>
      </w:r>
      <w:bookmarkStart w:id="71" w:name="_GoBack"/>
      <w:bookmarkEnd w:id="71"/>
    </w:p>
    <w:p w:rsidR="00AA6147" w:rsidRPr="00E54387" w:rsidRDefault="00BA2B3B" w:rsidP="00E54387">
      <w:pPr>
        <w:rPr>
          <w:rFonts w:ascii="Times New Roman" w:hAnsi="Times New Roman"/>
          <w:i/>
          <w:sz w:val="20"/>
          <w:szCs w:val="20"/>
        </w:rPr>
      </w:pPr>
      <w:r>
        <w:rPr>
          <w:rFonts w:ascii="Times New Roman" w:hAnsi="Times New Roman"/>
          <w:sz w:val="20"/>
          <w:szCs w:val="20"/>
        </w:rPr>
        <w:t>11</w:t>
      </w:r>
      <w:r w:rsidR="00AA6147">
        <w:rPr>
          <w:rFonts w:ascii="Times New Roman" w:hAnsi="Times New Roman"/>
          <w:sz w:val="20"/>
          <w:szCs w:val="20"/>
        </w:rPr>
        <w:t xml:space="preserve"> </w:t>
      </w:r>
      <w:r w:rsidR="00AA6147" w:rsidRPr="00E54387">
        <w:rPr>
          <w:rFonts w:ascii="Times New Roman" w:hAnsi="Times New Roman"/>
          <w:sz w:val="20"/>
          <w:szCs w:val="20"/>
        </w:rPr>
        <w:t>April 2019</w:t>
      </w:r>
    </w:p>
    <w:p w:rsidR="0072796B" w:rsidRPr="00BA75C4" w:rsidRDefault="0072796B" w:rsidP="00BA75C4">
      <w:pPr>
        <w:tabs>
          <w:tab w:val="num" w:pos="0"/>
        </w:tabs>
        <w:jc w:val="both"/>
        <w:rPr>
          <w:rFonts w:ascii="Times New Roman" w:hAnsi="Times New Roman"/>
          <w:sz w:val="20"/>
        </w:rPr>
      </w:pPr>
    </w:p>
    <w:p w:rsidR="0072796B" w:rsidRPr="00074F84" w:rsidRDefault="0072796B">
      <w:pPr>
        <w:rPr>
          <w:rFonts w:ascii="Times New Roman" w:hAnsi="Times New Roman"/>
        </w:rPr>
      </w:pPr>
    </w:p>
    <w:p w:rsidR="00CA297B" w:rsidRDefault="00CA297B">
      <w:pPr>
        <w:rPr>
          <w:rFonts w:ascii="Times New Roman" w:hAnsi="Times New Roman"/>
          <w:b/>
          <w:bCs/>
        </w:rPr>
      </w:pPr>
    </w:p>
    <w:p w:rsidR="007E6005" w:rsidRDefault="007E6005">
      <w:pPr>
        <w:rPr>
          <w:rFonts w:ascii="Times New Roman" w:hAnsi="Times New Roman"/>
          <w:b/>
          <w:bCs/>
        </w:rPr>
      </w:pPr>
    </w:p>
    <w:p w:rsidR="007E6005" w:rsidRDefault="007E6005">
      <w:pPr>
        <w:rPr>
          <w:rFonts w:ascii="Times New Roman" w:hAnsi="Times New Roman"/>
          <w:b/>
          <w:bCs/>
        </w:rPr>
      </w:pPr>
    </w:p>
    <w:p w:rsidR="007E6005" w:rsidRDefault="007E6005">
      <w:pPr>
        <w:rPr>
          <w:rFonts w:ascii="Times New Roman" w:hAnsi="Times New Roman"/>
          <w:b/>
          <w:bCs/>
        </w:rPr>
      </w:pPr>
    </w:p>
    <w:p w:rsidR="007E6005" w:rsidRDefault="007E6005">
      <w:pPr>
        <w:rPr>
          <w:rFonts w:ascii="Times New Roman" w:hAnsi="Times New Roman"/>
          <w:b/>
          <w:bCs/>
        </w:rPr>
      </w:pPr>
    </w:p>
    <w:p w:rsidR="00AA6147" w:rsidRDefault="00AA6147">
      <w:pPr>
        <w:rPr>
          <w:rFonts w:ascii="Times New Roman" w:hAnsi="Times New Roman"/>
          <w:b/>
          <w:bCs/>
        </w:rPr>
      </w:pPr>
    </w:p>
    <w:p w:rsidR="00AA6147" w:rsidRDefault="00AA6147">
      <w:pPr>
        <w:rPr>
          <w:rFonts w:ascii="Times New Roman" w:hAnsi="Times New Roman"/>
          <w:b/>
          <w:bCs/>
        </w:rPr>
      </w:pPr>
    </w:p>
    <w:p w:rsidR="00AA6147" w:rsidRDefault="00AA6147">
      <w:pPr>
        <w:rPr>
          <w:rFonts w:ascii="Times New Roman" w:hAnsi="Times New Roman"/>
          <w:b/>
          <w:bCs/>
        </w:rPr>
      </w:pPr>
    </w:p>
    <w:p w:rsidR="00AA6147" w:rsidRDefault="00AA6147">
      <w:pPr>
        <w:rPr>
          <w:rFonts w:ascii="Times New Roman" w:hAnsi="Times New Roman"/>
          <w:b/>
          <w:bCs/>
        </w:rPr>
      </w:pPr>
    </w:p>
    <w:p w:rsidR="00F01D4B" w:rsidRPr="00074F84" w:rsidRDefault="00F84C0C" w:rsidP="00F01D4B">
      <w:pPr>
        <w:pStyle w:val="Heading2"/>
        <w:tabs>
          <w:tab w:val="right" w:pos="8222"/>
        </w:tabs>
        <w:rPr>
          <w:rFonts w:ascii="Times New Roman" w:hAnsi="Times New Roman"/>
        </w:rPr>
      </w:pPr>
      <w:r w:rsidRPr="00074F84">
        <w:rPr>
          <w:rFonts w:ascii="Times New Roman" w:hAnsi="Times New Roman"/>
        </w:rPr>
        <w:t>Statement of Financial Position</w:t>
      </w:r>
      <w:r w:rsidR="00F01D4B" w:rsidRPr="00074F84">
        <w:rPr>
          <w:rFonts w:ascii="Times New Roman" w:hAnsi="Times New Roman"/>
        </w:rPr>
        <w:t xml:space="preserve"> of the</w:t>
      </w:r>
      <w:r w:rsidR="00FB0254" w:rsidRPr="00074F84">
        <w:rPr>
          <w:rFonts w:ascii="Times New Roman" w:hAnsi="Times New Roman"/>
        </w:rPr>
        <w:t xml:space="preserve"> </w:t>
      </w:r>
      <w:r w:rsidR="00F01D4B" w:rsidRPr="00074F84">
        <w:rPr>
          <w:rFonts w:ascii="Times New Roman" w:hAnsi="Times New Roman"/>
        </w:rPr>
        <w:t>Company</w:t>
      </w:r>
    </w:p>
    <w:p w:rsidR="00F01D4B" w:rsidRPr="009170B8" w:rsidRDefault="00F01D4B" w:rsidP="00F01D4B">
      <w:pPr>
        <w:pStyle w:val="Heading3"/>
        <w:rPr>
          <w:rFonts w:ascii="Times New Roman" w:hAnsi="Times New Roman"/>
          <w:sz w:val="22"/>
        </w:rPr>
      </w:pPr>
      <w:r w:rsidRPr="00074F84">
        <w:rPr>
          <w:rFonts w:ascii="Times New Roman" w:hAnsi="Times New Roman"/>
          <w:sz w:val="22"/>
        </w:rPr>
        <w:t xml:space="preserve">As at 31 December </w:t>
      </w:r>
      <w:r w:rsidR="00756CF5" w:rsidRPr="00074F84">
        <w:rPr>
          <w:rFonts w:ascii="Times New Roman" w:hAnsi="Times New Roman"/>
          <w:sz w:val="22"/>
        </w:rPr>
        <w:t>201</w:t>
      </w:r>
      <w:r w:rsidR="00C84D94">
        <w:rPr>
          <w:rFonts w:ascii="Times New Roman" w:hAnsi="Times New Roman"/>
          <w:sz w:val="22"/>
        </w:rPr>
        <w:t>8</w:t>
      </w:r>
    </w:p>
    <w:p w:rsidR="00F01D4B" w:rsidRPr="009170B8" w:rsidRDefault="00F01D4B" w:rsidP="00F01D4B">
      <w:pPr>
        <w:jc w:val="right"/>
        <w:rPr>
          <w:rFonts w:ascii="Times New Roman" w:hAnsi="Times New Roman"/>
          <w:b/>
          <w:bCs/>
          <w:sz w:val="20"/>
        </w:rPr>
      </w:pPr>
    </w:p>
    <w:p w:rsidR="00F01D4B" w:rsidRPr="009170B8" w:rsidRDefault="00F01D4B" w:rsidP="00F01D4B">
      <w:pPr>
        <w:rPr>
          <w:rFonts w:ascii="Times New Roman" w:hAnsi="Times New Roman"/>
        </w:rPr>
      </w:pPr>
    </w:p>
    <w:tbl>
      <w:tblPr>
        <w:tblW w:w="0" w:type="auto"/>
        <w:tblInd w:w="675" w:type="dxa"/>
        <w:tblLayout w:type="fixed"/>
        <w:tblLook w:val="0000" w:firstRow="0" w:lastRow="0" w:firstColumn="0" w:lastColumn="0" w:noHBand="0" w:noVBand="0"/>
      </w:tblPr>
      <w:tblGrid>
        <w:gridCol w:w="5103"/>
        <w:gridCol w:w="709"/>
        <w:gridCol w:w="1503"/>
        <w:gridCol w:w="236"/>
        <w:gridCol w:w="1503"/>
      </w:tblGrid>
      <w:tr w:rsidR="00F01D4B" w:rsidRPr="009170B8" w:rsidTr="00460791">
        <w:trPr>
          <w:cantSplit/>
        </w:trPr>
        <w:tc>
          <w:tcPr>
            <w:tcW w:w="5103" w:type="dxa"/>
            <w:vAlign w:val="bottom"/>
          </w:tcPr>
          <w:p w:rsidR="00F01D4B" w:rsidRPr="009170B8" w:rsidRDefault="00F01D4B" w:rsidP="00F01D4B">
            <w:pPr>
              <w:rPr>
                <w:rFonts w:ascii="Times New Roman" w:hAnsi="Times New Roman"/>
                <w:sz w:val="20"/>
                <w:szCs w:val="20"/>
              </w:rPr>
            </w:pPr>
          </w:p>
        </w:tc>
        <w:tc>
          <w:tcPr>
            <w:tcW w:w="709" w:type="dxa"/>
            <w:vAlign w:val="bottom"/>
          </w:tcPr>
          <w:p w:rsidR="00F01D4B" w:rsidRPr="009170B8" w:rsidRDefault="00F01D4B" w:rsidP="00F01D4B">
            <w:pPr>
              <w:pStyle w:val="Heading7"/>
              <w:ind w:right="329"/>
              <w:jc w:val="center"/>
              <w:rPr>
                <w:rFonts w:ascii="Times New Roman" w:hAnsi="Times New Roman"/>
                <w:sz w:val="20"/>
                <w:szCs w:val="20"/>
              </w:rPr>
            </w:pPr>
          </w:p>
          <w:p w:rsidR="00F01D4B" w:rsidRPr="009170B8" w:rsidRDefault="00F01D4B" w:rsidP="00F01D4B">
            <w:pPr>
              <w:ind w:right="-108"/>
              <w:jc w:val="center"/>
              <w:rPr>
                <w:rFonts w:ascii="Times New Roman" w:hAnsi="Times New Roman"/>
                <w:sz w:val="20"/>
                <w:szCs w:val="20"/>
              </w:rPr>
            </w:pPr>
            <w:r w:rsidRPr="009170B8">
              <w:rPr>
                <w:rFonts w:ascii="Times New Roman" w:hAnsi="Times New Roman"/>
                <w:sz w:val="20"/>
                <w:szCs w:val="20"/>
              </w:rPr>
              <w:t>Notes</w:t>
            </w:r>
          </w:p>
        </w:tc>
        <w:tc>
          <w:tcPr>
            <w:tcW w:w="1503" w:type="dxa"/>
            <w:vAlign w:val="bottom"/>
          </w:tcPr>
          <w:p w:rsidR="00F01D4B" w:rsidRPr="009170B8" w:rsidRDefault="00F01D4B" w:rsidP="00F01D4B">
            <w:pPr>
              <w:pStyle w:val="Heading7"/>
              <w:rPr>
                <w:rFonts w:ascii="Times New Roman" w:hAnsi="Times New Roman"/>
                <w:sz w:val="20"/>
                <w:szCs w:val="20"/>
              </w:rPr>
            </w:pPr>
          </w:p>
          <w:p w:rsidR="00F01D4B" w:rsidRPr="009170B8" w:rsidRDefault="00F01D4B">
            <w:pPr>
              <w:jc w:val="right"/>
              <w:rPr>
                <w:rFonts w:ascii="Times New Roman" w:hAnsi="Times New Roman"/>
                <w:b/>
                <w:bCs/>
                <w:sz w:val="20"/>
                <w:szCs w:val="20"/>
              </w:rPr>
            </w:pPr>
            <w:r w:rsidRPr="009170B8">
              <w:rPr>
                <w:rFonts w:ascii="Times New Roman" w:hAnsi="Times New Roman"/>
                <w:sz w:val="20"/>
                <w:szCs w:val="20"/>
              </w:rPr>
              <w:tab/>
            </w:r>
            <w:r w:rsidR="009A5D33" w:rsidRPr="009170B8">
              <w:rPr>
                <w:rFonts w:ascii="Times New Roman" w:hAnsi="Times New Roman"/>
                <w:b/>
                <w:bCs/>
                <w:sz w:val="20"/>
                <w:szCs w:val="20"/>
              </w:rPr>
              <w:t>201</w:t>
            </w:r>
            <w:r w:rsidR="004317C4">
              <w:rPr>
                <w:rFonts w:ascii="Times New Roman" w:hAnsi="Times New Roman"/>
                <w:b/>
                <w:bCs/>
                <w:sz w:val="20"/>
                <w:szCs w:val="20"/>
              </w:rPr>
              <w:t>8</w:t>
            </w:r>
          </w:p>
        </w:tc>
        <w:tc>
          <w:tcPr>
            <w:tcW w:w="236" w:type="dxa"/>
            <w:vAlign w:val="bottom"/>
          </w:tcPr>
          <w:p w:rsidR="00F01D4B" w:rsidRPr="009170B8" w:rsidRDefault="00F01D4B" w:rsidP="00F01D4B">
            <w:pPr>
              <w:pStyle w:val="Heading7"/>
              <w:rPr>
                <w:rFonts w:ascii="Times New Roman" w:hAnsi="Times New Roman"/>
                <w:sz w:val="20"/>
                <w:szCs w:val="20"/>
              </w:rPr>
            </w:pPr>
          </w:p>
        </w:tc>
        <w:tc>
          <w:tcPr>
            <w:tcW w:w="1503" w:type="dxa"/>
            <w:vAlign w:val="bottom"/>
          </w:tcPr>
          <w:p w:rsidR="00F01D4B" w:rsidRPr="009170B8" w:rsidRDefault="00F01D4B" w:rsidP="00F01D4B">
            <w:pPr>
              <w:pStyle w:val="Heading7"/>
              <w:rPr>
                <w:rFonts w:ascii="Times New Roman" w:hAnsi="Times New Roman"/>
                <w:sz w:val="20"/>
                <w:szCs w:val="20"/>
              </w:rPr>
            </w:pPr>
          </w:p>
          <w:p w:rsidR="00F01D4B" w:rsidRPr="009170B8" w:rsidRDefault="00F01D4B">
            <w:pPr>
              <w:jc w:val="right"/>
              <w:rPr>
                <w:rFonts w:ascii="Times New Roman" w:hAnsi="Times New Roman"/>
                <w:b/>
                <w:bCs/>
                <w:sz w:val="20"/>
                <w:szCs w:val="20"/>
              </w:rPr>
            </w:pPr>
            <w:r w:rsidRPr="009170B8">
              <w:rPr>
                <w:rFonts w:ascii="Times New Roman" w:hAnsi="Times New Roman"/>
                <w:sz w:val="20"/>
                <w:szCs w:val="20"/>
              </w:rPr>
              <w:tab/>
            </w:r>
            <w:r w:rsidR="009A5D33" w:rsidRPr="009170B8">
              <w:rPr>
                <w:rFonts w:ascii="Times New Roman" w:hAnsi="Times New Roman"/>
                <w:b/>
                <w:bCs/>
                <w:sz w:val="20"/>
                <w:szCs w:val="20"/>
              </w:rPr>
              <w:t>201</w:t>
            </w:r>
            <w:r w:rsidR="004317C4">
              <w:rPr>
                <w:rFonts w:ascii="Times New Roman" w:hAnsi="Times New Roman"/>
                <w:b/>
                <w:bCs/>
                <w:sz w:val="20"/>
                <w:szCs w:val="20"/>
              </w:rPr>
              <w:t>7</w:t>
            </w:r>
          </w:p>
        </w:tc>
      </w:tr>
      <w:tr w:rsidR="00F01D4B" w:rsidRPr="009170B8" w:rsidTr="00460791">
        <w:trPr>
          <w:cantSplit/>
        </w:trPr>
        <w:tc>
          <w:tcPr>
            <w:tcW w:w="5103" w:type="dxa"/>
            <w:vAlign w:val="bottom"/>
          </w:tcPr>
          <w:p w:rsidR="00F01D4B" w:rsidRPr="009170B8" w:rsidRDefault="00F01D4B" w:rsidP="00F01D4B">
            <w:pPr>
              <w:rPr>
                <w:rFonts w:ascii="Times New Roman" w:hAnsi="Times New Roman"/>
                <w:sz w:val="20"/>
                <w:szCs w:val="20"/>
              </w:rPr>
            </w:pPr>
          </w:p>
        </w:tc>
        <w:tc>
          <w:tcPr>
            <w:tcW w:w="709" w:type="dxa"/>
            <w:vAlign w:val="bottom"/>
          </w:tcPr>
          <w:p w:rsidR="00F01D4B" w:rsidRPr="009170B8" w:rsidRDefault="00F01D4B" w:rsidP="00F01D4B">
            <w:pPr>
              <w:ind w:right="329"/>
              <w:jc w:val="center"/>
              <w:rPr>
                <w:rFonts w:ascii="Times New Roman" w:hAnsi="Times New Roman"/>
                <w:sz w:val="20"/>
                <w:szCs w:val="20"/>
              </w:rPr>
            </w:pPr>
          </w:p>
        </w:tc>
        <w:tc>
          <w:tcPr>
            <w:tcW w:w="1503" w:type="dxa"/>
            <w:vAlign w:val="bottom"/>
          </w:tcPr>
          <w:p w:rsidR="00F01D4B" w:rsidRPr="009170B8" w:rsidRDefault="00F01D4B" w:rsidP="00F01D4B">
            <w:pPr>
              <w:jc w:val="right"/>
              <w:rPr>
                <w:rFonts w:ascii="Times New Roman" w:hAnsi="Times New Roman"/>
                <w:b/>
                <w:bCs/>
                <w:sz w:val="20"/>
                <w:szCs w:val="20"/>
              </w:rPr>
            </w:pPr>
            <w:r w:rsidRPr="009170B8">
              <w:rPr>
                <w:rFonts w:ascii="Times New Roman" w:hAnsi="Times New Roman"/>
                <w:b/>
                <w:bCs/>
                <w:sz w:val="20"/>
                <w:szCs w:val="20"/>
              </w:rPr>
              <w:t>GBP</w:t>
            </w:r>
          </w:p>
        </w:tc>
        <w:tc>
          <w:tcPr>
            <w:tcW w:w="236" w:type="dxa"/>
            <w:vAlign w:val="bottom"/>
          </w:tcPr>
          <w:p w:rsidR="00F01D4B" w:rsidRPr="009170B8" w:rsidRDefault="00F01D4B" w:rsidP="00F01D4B">
            <w:pPr>
              <w:jc w:val="right"/>
              <w:rPr>
                <w:rFonts w:ascii="Times New Roman" w:hAnsi="Times New Roman"/>
                <w:b/>
                <w:bCs/>
                <w:sz w:val="20"/>
                <w:szCs w:val="20"/>
              </w:rPr>
            </w:pPr>
          </w:p>
        </w:tc>
        <w:tc>
          <w:tcPr>
            <w:tcW w:w="1503" w:type="dxa"/>
            <w:vAlign w:val="bottom"/>
          </w:tcPr>
          <w:p w:rsidR="00F01D4B" w:rsidRPr="009170B8" w:rsidRDefault="00F01D4B" w:rsidP="00F01D4B">
            <w:pPr>
              <w:jc w:val="right"/>
              <w:rPr>
                <w:rFonts w:ascii="Times New Roman" w:hAnsi="Times New Roman"/>
                <w:b/>
                <w:bCs/>
                <w:sz w:val="20"/>
                <w:szCs w:val="20"/>
              </w:rPr>
            </w:pPr>
            <w:r w:rsidRPr="009170B8">
              <w:rPr>
                <w:rFonts w:ascii="Times New Roman" w:hAnsi="Times New Roman"/>
                <w:b/>
                <w:bCs/>
                <w:sz w:val="20"/>
                <w:szCs w:val="20"/>
              </w:rPr>
              <w:t>GBP</w:t>
            </w: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b w:val="0"/>
                <w:bCs w:val="0"/>
                <w:szCs w:val="20"/>
              </w:rPr>
            </w:pPr>
            <w:r w:rsidRPr="009170B8">
              <w:rPr>
                <w:rFonts w:ascii="Times New Roman" w:hAnsi="Times New Roman"/>
                <w:szCs w:val="20"/>
              </w:rPr>
              <w:t>Current assets</w:t>
            </w:r>
          </w:p>
        </w:tc>
        <w:tc>
          <w:tcPr>
            <w:tcW w:w="709" w:type="dxa"/>
            <w:vAlign w:val="bottom"/>
          </w:tcPr>
          <w:p w:rsidR="00F01D4B" w:rsidRPr="009170B8" w:rsidRDefault="00F01D4B" w:rsidP="00F01D4B">
            <w:pPr>
              <w:ind w:right="329"/>
              <w:jc w:val="center"/>
              <w:rPr>
                <w:rFonts w:ascii="Times New Roman" w:hAnsi="Times New Roman"/>
                <w:sz w:val="20"/>
                <w:szCs w:val="20"/>
              </w:rPr>
            </w:pPr>
          </w:p>
        </w:tc>
        <w:tc>
          <w:tcPr>
            <w:tcW w:w="1503" w:type="dxa"/>
            <w:vAlign w:val="bottom"/>
          </w:tcPr>
          <w:p w:rsidR="00F01D4B" w:rsidRPr="009170B8" w:rsidRDefault="00F01D4B" w:rsidP="00F01D4B">
            <w:pPr>
              <w:jc w:val="right"/>
              <w:rPr>
                <w:rFonts w:ascii="Times New Roman" w:hAnsi="Times New Roman"/>
                <w:sz w:val="20"/>
                <w:szCs w:val="20"/>
              </w:rPr>
            </w:pPr>
          </w:p>
        </w:tc>
        <w:tc>
          <w:tcPr>
            <w:tcW w:w="236" w:type="dxa"/>
            <w:vAlign w:val="bottom"/>
          </w:tcPr>
          <w:p w:rsidR="00F01D4B" w:rsidRPr="009170B8" w:rsidRDefault="00F01D4B" w:rsidP="00F01D4B">
            <w:pPr>
              <w:jc w:val="right"/>
              <w:rPr>
                <w:rFonts w:ascii="Times New Roman" w:hAnsi="Times New Roman"/>
                <w:sz w:val="20"/>
                <w:szCs w:val="20"/>
              </w:rPr>
            </w:pPr>
          </w:p>
        </w:tc>
        <w:tc>
          <w:tcPr>
            <w:tcW w:w="1503" w:type="dxa"/>
            <w:vAlign w:val="bottom"/>
          </w:tcPr>
          <w:p w:rsidR="00F01D4B" w:rsidRPr="009170B8" w:rsidRDefault="00F01D4B" w:rsidP="00F01D4B">
            <w:pPr>
              <w:jc w:val="right"/>
              <w:rPr>
                <w:rFonts w:ascii="Times New Roman" w:hAnsi="Times New Roman"/>
                <w:sz w:val="20"/>
                <w:szCs w:val="20"/>
              </w:rPr>
            </w:pP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b w:val="0"/>
                <w:bCs w:val="0"/>
                <w:szCs w:val="20"/>
              </w:rPr>
            </w:pPr>
            <w:r w:rsidRPr="009170B8">
              <w:rPr>
                <w:rFonts w:ascii="Times New Roman" w:hAnsi="Times New Roman"/>
                <w:b w:val="0"/>
                <w:bCs w:val="0"/>
                <w:szCs w:val="20"/>
              </w:rPr>
              <w:t>Other receivables</w:t>
            </w:r>
          </w:p>
        </w:tc>
        <w:tc>
          <w:tcPr>
            <w:tcW w:w="709" w:type="dxa"/>
            <w:vAlign w:val="bottom"/>
          </w:tcPr>
          <w:p w:rsidR="00F01D4B" w:rsidRPr="009170B8" w:rsidRDefault="00F01D4B" w:rsidP="00F01D4B">
            <w:pPr>
              <w:ind w:right="-108"/>
              <w:jc w:val="center"/>
              <w:rPr>
                <w:rFonts w:ascii="Times New Roman" w:hAnsi="Times New Roman"/>
                <w:sz w:val="20"/>
                <w:szCs w:val="20"/>
              </w:rPr>
            </w:pPr>
          </w:p>
          <w:p w:rsidR="00F01D4B" w:rsidRPr="009170B8" w:rsidRDefault="00F01D4B" w:rsidP="00F01D4B">
            <w:pPr>
              <w:ind w:right="-108"/>
              <w:jc w:val="center"/>
              <w:rPr>
                <w:rFonts w:ascii="Times New Roman" w:hAnsi="Times New Roman"/>
                <w:sz w:val="20"/>
                <w:szCs w:val="20"/>
              </w:rPr>
            </w:pPr>
          </w:p>
        </w:tc>
        <w:tc>
          <w:tcPr>
            <w:tcW w:w="1503" w:type="dxa"/>
            <w:vAlign w:val="bottom"/>
          </w:tcPr>
          <w:p w:rsidR="00F01D4B" w:rsidRPr="009170B8" w:rsidRDefault="00F01D4B" w:rsidP="00F01D4B">
            <w:pPr>
              <w:tabs>
                <w:tab w:val="decimal" w:pos="1287"/>
                <w:tab w:val="decimal" w:pos="1332"/>
              </w:tabs>
              <w:rPr>
                <w:rFonts w:ascii="Times New Roman" w:hAnsi="Times New Roman"/>
                <w:sz w:val="20"/>
                <w:szCs w:val="20"/>
              </w:rPr>
            </w:pPr>
          </w:p>
          <w:p w:rsidR="00F01D4B" w:rsidRPr="009170B8" w:rsidRDefault="00F01D4B" w:rsidP="00F01D4B">
            <w:pPr>
              <w:tabs>
                <w:tab w:val="decimal" w:pos="1310"/>
              </w:tabs>
              <w:rPr>
                <w:rFonts w:ascii="Times New Roman" w:hAnsi="Times New Roman"/>
                <w:sz w:val="20"/>
                <w:szCs w:val="20"/>
              </w:rPr>
            </w:pPr>
            <w:r w:rsidRPr="009170B8">
              <w:rPr>
                <w:rFonts w:ascii="Times New Roman" w:hAnsi="Times New Roman"/>
                <w:sz w:val="20"/>
                <w:szCs w:val="20"/>
              </w:rPr>
              <w:t>2</w:t>
            </w:r>
          </w:p>
        </w:tc>
        <w:tc>
          <w:tcPr>
            <w:tcW w:w="236" w:type="dxa"/>
            <w:vAlign w:val="bottom"/>
          </w:tcPr>
          <w:p w:rsidR="00F01D4B" w:rsidRPr="009170B8" w:rsidRDefault="00F01D4B" w:rsidP="00F01D4B">
            <w:pPr>
              <w:jc w:val="right"/>
              <w:rPr>
                <w:rFonts w:ascii="Times New Roman" w:hAnsi="Times New Roman"/>
                <w:sz w:val="20"/>
                <w:szCs w:val="20"/>
              </w:rPr>
            </w:pPr>
          </w:p>
        </w:tc>
        <w:tc>
          <w:tcPr>
            <w:tcW w:w="1503" w:type="dxa"/>
            <w:vAlign w:val="bottom"/>
          </w:tcPr>
          <w:p w:rsidR="00F01D4B" w:rsidRPr="009170B8" w:rsidRDefault="00F01D4B" w:rsidP="00F01D4B">
            <w:pPr>
              <w:tabs>
                <w:tab w:val="decimal" w:pos="1272"/>
              </w:tabs>
              <w:ind w:right="15"/>
              <w:rPr>
                <w:rFonts w:ascii="Times New Roman" w:hAnsi="Times New Roman"/>
                <w:sz w:val="20"/>
                <w:szCs w:val="20"/>
              </w:rPr>
            </w:pPr>
          </w:p>
          <w:p w:rsidR="00F01D4B" w:rsidRPr="009170B8" w:rsidRDefault="00F01D4B" w:rsidP="00F01D4B">
            <w:pPr>
              <w:tabs>
                <w:tab w:val="decimal" w:pos="1272"/>
              </w:tabs>
              <w:ind w:right="15"/>
              <w:rPr>
                <w:rFonts w:ascii="Times New Roman" w:hAnsi="Times New Roman"/>
                <w:sz w:val="20"/>
                <w:szCs w:val="20"/>
              </w:rPr>
            </w:pPr>
            <w:r w:rsidRPr="009170B8">
              <w:rPr>
                <w:rFonts w:ascii="Times New Roman" w:hAnsi="Times New Roman"/>
                <w:sz w:val="20"/>
                <w:szCs w:val="20"/>
              </w:rPr>
              <w:t>2</w:t>
            </w: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szCs w:val="20"/>
              </w:rPr>
            </w:pPr>
          </w:p>
        </w:tc>
        <w:tc>
          <w:tcPr>
            <w:tcW w:w="709" w:type="dxa"/>
            <w:vAlign w:val="bottom"/>
          </w:tcPr>
          <w:p w:rsidR="00F01D4B" w:rsidRPr="009170B8" w:rsidRDefault="00F01D4B" w:rsidP="00F01D4B">
            <w:pPr>
              <w:ind w:right="-108"/>
              <w:jc w:val="center"/>
              <w:rPr>
                <w:rFonts w:ascii="Times New Roman" w:hAnsi="Times New Roman"/>
                <w:sz w:val="20"/>
                <w:szCs w:val="20"/>
              </w:rPr>
            </w:pPr>
          </w:p>
        </w:tc>
        <w:tc>
          <w:tcPr>
            <w:tcW w:w="1503" w:type="dxa"/>
            <w:tcBorders>
              <w:bottom w:val="single" w:sz="4" w:space="0" w:color="auto"/>
            </w:tcBorders>
            <w:vAlign w:val="bottom"/>
          </w:tcPr>
          <w:p w:rsidR="00F01D4B" w:rsidRPr="009170B8" w:rsidRDefault="00F01D4B" w:rsidP="00F01D4B">
            <w:pPr>
              <w:tabs>
                <w:tab w:val="decimal" w:pos="1287"/>
              </w:tabs>
              <w:rPr>
                <w:rFonts w:ascii="Times New Roman" w:hAnsi="Times New Roman"/>
                <w:sz w:val="20"/>
                <w:szCs w:val="20"/>
              </w:rPr>
            </w:pPr>
          </w:p>
        </w:tc>
        <w:tc>
          <w:tcPr>
            <w:tcW w:w="236" w:type="dxa"/>
            <w:vAlign w:val="bottom"/>
          </w:tcPr>
          <w:p w:rsidR="00F01D4B" w:rsidRPr="009170B8" w:rsidRDefault="00F01D4B" w:rsidP="00F01D4B">
            <w:pPr>
              <w:jc w:val="right"/>
              <w:rPr>
                <w:rFonts w:ascii="Times New Roman" w:hAnsi="Times New Roman"/>
                <w:sz w:val="20"/>
                <w:szCs w:val="20"/>
              </w:rPr>
            </w:pPr>
          </w:p>
        </w:tc>
        <w:tc>
          <w:tcPr>
            <w:tcW w:w="1503" w:type="dxa"/>
            <w:tcBorders>
              <w:bottom w:val="single" w:sz="4" w:space="0" w:color="auto"/>
            </w:tcBorders>
            <w:vAlign w:val="bottom"/>
          </w:tcPr>
          <w:p w:rsidR="00F01D4B" w:rsidRPr="009170B8" w:rsidRDefault="00F01D4B" w:rsidP="00F01D4B">
            <w:pPr>
              <w:tabs>
                <w:tab w:val="decimal" w:pos="1272"/>
              </w:tabs>
              <w:ind w:right="15"/>
              <w:rPr>
                <w:rFonts w:ascii="Times New Roman" w:hAnsi="Times New Roman"/>
                <w:sz w:val="20"/>
                <w:szCs w:val="20"/>
              </w:rPr>
            </w:pP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szCs w:val="20"/>
              </w:rPr>
            </w:pPr>
            <w:r w:rsidRPr="009170B8">
              <w:rPr>
                <w:rFonts w:ascii="Times New Roman" w:hAnsi="Times New Roman"/>
                <w:szCs w:val="20"/>
              </w:rPr>
              <w:t xml:space="preserve">Net assets </w:t>
            </w:r>
          </w:p>
        </w:tc>
        <w:tc>
          <w:tcPr>
            <w:tcW w:w="709" w:type="dxa"/>
            <w:vAlign w:val="bottom"/>
          </w:tcPr>
          <w:p w:rsidR="00F01D4B" w:rsidRPr="009170B8" w:rsidRDefault="00F01D4B" w:rsidP="00F01D4B">
            <w:pPr>
              <w:ind w:right="-108"/>
              <w:jc w:val="center"/>
              <w:rPr>
                <w:rFonts w:ascii="Times New Roman" w:hAnsi="Times New Roman"/>
                <w:sz w:val="20"/>
                <w:szCs w:val="20"/>
              </w:rPr>
            </w:pPr>
          </w:p>
        </w:tc>
        <w:tc>
          <w:tcPr>
            <w:tcW w:w="1503" w:type="dxa"/>
            <w:tcBorders>
              <w:bottom w:val="double" w:sz="4" w:space="0" w:color="auto"/>
            </w:tcBorders>
            <w:vAlign w:val="bottom"/>
          </w:tcPr>
          <w:p w:rsidR="00F01D4B" w:rsidRPr="009170B8" w:rsidRDefault="00F01D4B" w:rsidP="00F01D4B">
            <w:pPr>
              <w:tabs>
                <w:tab w:val="decimal" w:pos="1287"/>
              </w:tabs>
              <w:rPr>
                <w:rFonts w:ascii="Times New Roman" w:hAnsi="Times New Roman"/>
                <w:b/>
                <w:sz w:val="20"/>
                <w:szCs w:val="20"/>
              </w:rPr>
            </w:pPr>
            <w:r w:rsidRPr="009170B8">
              <w:rPr>
                <w:rFonts w:ascii="Times New Roman" w:hAnsi="Times New Roman"/>
                <w:b/>
                <w:sz w:val="20"/>
                <w:szCs w:val="20"/>
              </w:rPr>
              <w:t>2</w:t>
            </w:r>
          </w:p>
        </w:tc>
        <w:tc>
          <w:tcPr>
            <w:tcW w:w="236" w:type="dxa"/>
            <w:vAlign w:val="bottom"/>
          </w:tcPr>
          <w:p w:rsidR="00F01D4B" w:rsidRPr="009170B8" w:rsidRDefault="00F01D4B" w:rsidP="00F01D4B">
            <w:pPr>
              <w:jc w:val="right"/>
              <w:rPr>
                <w:rFonts w:ascii="Times New Roman" w:hAnsi="Times New Roman"/>
                <w:b/>
                <w:sz w:val="20"/>
                <w:szCs w:val="20"/>
              </w:rPr>
            </w:pPr>
          </w:p>
        </w:tc>
        <w:tc>
          <w:tcPr>
            <w:tcW w:w="1503" w:type="dxa"/>
            <w:tcBorders>
              <w:bottom w:val="double" w:sz="4" w:space="0" w:color="auto"/>
            </w:tcBorders>
            <w:vAlign w:val="bottom"/>
          </w:tcPr>
          <w:p w:rsidR="00F01D4B" w:rsidRPr="009170B8" w:rsidRDefault="00F01D4B" w:rsidP="00F01D4B">
            <w:pPr>
              <w:tabs>
                <w:tab w:val="decimal" w:pos="1272"/>
              </w:tabs>
              <w:ind w:right="15"/>
              <w:rPr>
                <w:rFonts w:ascii="Times New Roman" w:hAnsi="Times New Roman"/>
                <w:b/>
                <w:sz w:val="20"/>
                <w:szCs w:val="20"/>
              </w:rPr>
            </w:pPr>
            <w:r w:rsidRPr="009170B8">
              <w:rPr>
                <w:rFonts w:ascii="Times New Roman" w:hAnsi="Times New Roman"/>
                <w:b/>
                <w:sz w:val="20"/>
                <w:szCs w:val="20"/>
              </w:rPr>
              <w:t>2</w:t>
            </w: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szCs w:val="20"/>
              </w:rPr>
            </w:pPr>
          </w:p>
        </w:tc>
        <w:tc>
          <w:tcPr>
            <w:tcW w:w="709" w:type="dxa"/>
            <w:vAlign w:val="bottom"/>
          </w:tcPr>
          <w:p w:rsidR="00F01D4B" w:rsidRPr="009170B8" w:rsidRDefault="00F01D4B" w:rsidP="00F01D4B">
            <w:pPr>
              <w:ind w:right="-108"/>
              <w:jc w:val="center"/>
              <w:rPr>
                <w:rFonts w:ascii="Times New Roman" w:hAnsi="Times New Roman"/>
                <w:sz w:val="20"/>
                <w:szCs w:val="20"/>
              </w:rPr>
            </w:pPr>
          </w:p>
        </w:tc>
        <w:tc>
          <w:tcPr>
            <w:tcW w:w="1503" w:type="dxa"/>
            <w:tcBorders>
              <w:top w:val="double" w:sz="4" w:space="0" w:color="auto"/>
            </w:tcBorders>
            <w:vAlign w:val="bottom"/>
          </w:tcPr>
          <w:p w:rsidR="00F01D4B" w:rsidRPr="009170B8" w:rsidRDefault="00F01D4B" w:rsidP="00F01D4B">
            <w:pPr>
              <w:tabs>
                <w:tab w:val="decimal" w:pos="1287"/>
              </w:tabs>
              <w:rPr>
                <w:rFonts w:ascii="Times New Roman" w:hAnsi="Times New Roman"/>
                <w:sz w:val="20"/>
                <w:szCs w:val="20"/>
              </w:rPr>
            </w:pPr>
          </w:p>
        </w:tc>
        <w:tc>
          <w:tcPr>
            <w:tcW w:w="236" w:type="dxa"/>
            <w:vAlign w:val="bottom"/>
          </w:tcPr>
          <w:p w:rsidR="00F01D4B" w:rsidRPr="009170B8" w:rsidRDefault="00F01D4B" w:rsidP="00F01D4B">
            <w:pPr>
              <w:jc w:val="right"/>
              <w:rPr>
                <w:rFonts w:ascii="Times New Roman" w:hAnsi="Times New Roman"/>
                <w:sz w:val="20"/>
                <w:szCs w:val="20"/>
              </w:rPr>
            </w:pPr>
          </w:p>
        </w:tc>
        <w:tc>
          <w:tcPr>
            <w:tcW w:w="1503" w:type="dxa"/>
            <w:tcBorders>
              <w:top w:val="double" w:sz="4" w:space="0" w:color="auto"/>
            </w:tcBorders>
            <w:vAlign w:val="bottom"/>
          </w:tcPr>
          <w:p w:rsidR="00F01D4B" w:rsidRPr="009170B8" w:rsidRDefault="00F01D4B" w:rsidP="00F01D4B">
            <w:pPr>
              <w:tabs>
                <w:tab w:val="decimal" w:pos="1272"/>
              </w:tabs>
              <w:ind w:right="15"/>
              <w:rPr>
                <w:rFonts w:ascii="Times New Roman" w:hAnsi="Times New Roman"/>
                <w:sz w:val="20"/>
                <w:szCs w:val="20"/>
              </w:rPr>
            </w:pP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szCs w:val="20"/>
              </w:rPr>
            </w:pPr>
            <w:r w:rsidRPr="009170B8">
              <w:rPr>
                <w:rFonts w:ascii="Times New Roman" w:hAnsi="Times New Roman"/>
                <w:szCs w:val="20"/>
              </w:rPr>
              <w:t>Equity attributable to equity holders</w:t>
            </w:r>
          </w:p>
        </w:tc>
        <w:tc>
          <w:tcPr>
            <w:tcW w:w="709" w:type="dxa"/>
            <w:vAlign w:val="bottom"/>
          </w:tcPr>
          <w:p w:rsidR="00F01D4B" w:rsidRPr="009170B8" w:rsidRDefault="00F01D4B" w:rsidP="00F01D4B">
            <w:pPr>
              <w:ind w:right="-108"/>
              <w:jc w:val="center"/>
              <w:rPr>
                <w:rFonts w:ascii="Times New Roman" w:hAnsi="Times New Roman"/>
                <w:sz w:val="20"/>
                <w:szCs w:val="20"/>
              </w:rPr>
            </w:pPr>
          </w:p>
        </w:tc>
        <w:tc>
          <w:tcPr>
            <w:tcW w:w="1503" w:type="dxa"/>
            <w:vAlign w:val="bottom"/>
          </w:tcPr>
          <w:p w:rsidR="00F01D4B" w:rsidRPr="009170B8" w:rsidRDefault="00F01D4B" w:rsidP="00F01D4B">
            <w:pPr>
              <w:tabs>
                <w:tab w:val="decimal" w:pos="1287"/>
              </w:tabs>
              <w:rPr>
                <w:rFonts w:ascii="Times New Roman" w:hAnsi="Times New Roman"/>
                <w:sz w:val="20"/>
                <w:szCs w:val="20"/>
              </w:rPr>
            </w:pPr>
          </w:p>
        </w:tc>
        <w:tc>
          <w:tcPr>
            <w:tcW w:w="236" w:type="dxa"/>
            <w:vAlign w:val="bottom"/>
          </w:tcPr>
          <w:p w:rsidR="00F01D4B" w:rsidRPr="009170B8" w:rsidRDefault="00F01D4B" w:rsidP="00F01D4B">
            <w:pPr>
              <w:jc w:val="right"/>
              <w:rPr>
                <w:rFonts w:ascii="Times New Roman" w:hAnsi="Times New Roman"/>
                <w:sz w:val="20"/>
                <w:szCs w:val="20"/>
              </w:rPr>
            </w:pPr>
          </w:p>
        </w:tc>
        <w:tc>
          <w:tcPr>
            <w:tcW w:w="1503" w:type="dxa"/>
            <w:vAlign w:val="bottom"/>
          </w:tcPr>
          <w:p w:rsidR="00F01D4B" w:rsidRPr="009170B8" w:rsidRDefault="00F01D4B" w:rsidP="00F01D4B">
            <w:pPr>
              <w:tabs>
                <w:tab w:val="decimal" w:pos="1272"/>
              </w:tabs>
              <w:ind w:right="15"/>
              <w:rPr>
                <w:rFonts w:ascii="Times New Roman" w:hAnsi="Times New Roman"/>
                <w:sz w:val="20"/>
                <w:szCs w:val="20"/>
              </w:rPr>
            </w:pP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b w:val="0"/>
                <w:szCs w:val="20"/>
              </w:rPr>
            </w:pPr>
            <w:r w:rsidRPr="009170B8">
              <w:rPr>
                <w:rFonts w:ascii="Times New Roman" w:hAnsi="Times New Roman"/>
                <w:b w:val="0"/>
                <w:szCs w:val="20"/>
              </w:rPr>
              <w:t>Stated capital</w:t>
            </w:r>
          </w:p>
        </w:tc>
        <w:tc>
          <w:tcPr>
            <w:tcW w:w="709" w:type="dxa"/>
            <w:vAlign w:val="bottom"/>
          </w:tcPr>
          <w:p w:rsidR="00F01D4B" w:rsidRPr="009170B8" w:rsidRDefault="00D74A23" w:rsidP="00F01D4B">
            <w:pPr>
              <w:ind w:right="-108"/>
              <w:jc w:val="center"/>
              <w:rPr>
                <w:rFonts w:ascii="Times New Roman" w:hAnsi="Times New Roman"/>
                <w:sz w:val="20"/>
                <w:szCs w:val="20"/>
              </w:rPr>
            </w:pPr>
            <w:r w:rsidRPr="009170B8">
              <w:rPr>
                <w:rFonts w:ascii="Times New Roman" w:hAnsi="Times New Roman"/>
                <w:sz w:val="20"/>
                <w:szCs w:val="20"/>
              </w:rPr>
              <w:t>2</w:t>
            </w:r>
          </w:p>
        </w:tc>
        <w:tc>
          <w:tcPr>
            <w:tcW w:w="1503" w:type="dxa"/>
            <w:vAlign w:val="bottom"/>
          </w:tcPr>
          <w:p w:rsidR="00F01D4B" w:rsidRPr="009170B8" w:rsidRDefault="00F01D4B" w:rsidP="00F01D4B">
            <w:pPr>
              <w:tabs>
                <w:tab w:val="decimal" w:pos="1287"/>
              </w:tabs>
              <w:rPr>
                <w:rFonts w:ascii="Times New Roman" w:hAnsi="Times New Roman"/>
                <w:sz w:val="20"/>
                <w:szCs w:val="20"/>
              </w:rPr>
            </w:pPr>
            <w:r w:rsidRPr="009170B8">
              <w:rPr>
                <w:rFonts w:ascii="Times New Roman" w:hAnsi="Times New Roman"/>
                <w:sz w:val="20"/>
                <w:szCs w:val="20"/>
              </w:rPr>
              <w:t>2</w:t>
            </w:r>
          </w:p>
        </w:tc>
        <w:tc>
          <w:tcPr>
            <w:tcW w:w="236" w:type="dxa"/>
            <w:vAlign w:val="bottom"/>
          </w:tcPr>
          <w:p w:rsidR="00F01D4B" w:rsidRPr="009170B8" w:rsidRDefault="00F01D4B" w:rsidP="00F01D4B">
            <w:pPr>
              <w:jc w:val="right"/>
              <w:rPr>
                <w:rFonts w:ascii="Times New Roman" w:hAnsi="Times New Roman"/>
                <w:sz w:val="20"/>
                <w:szCs w:val="20"/>
              </w:rPr>
            </w:pPr>
          </w:p>
        </w:tc>
        <w:tc>
          <w:tcPr>
            <w:tcW w:w="1503" w:type="dxa"/>
            <w:vAlign w:val="bottom"/>
          </w:tcPr>
          <w:p w:rsidR="00F01D4B" w:rsidRPr="009170B8" w:rsidRDefault="00F01D4B" w:rsidP="00F01D4B">
            <w:pPr>
              <w:tabs>
                <w:tab w:val="decimal" w:pos="1272"/>
              </w:tabs>
              <w:ind w:right="15"/>
              <w:rPr>
                <w:rFonts w:ascii="Times New Roman" w:hAnsi="Times New Roman"/>
                <w:sz w:val="20"/>
                <w:szCs w:val="20"/>
              </w:rPr>
            </w:pPr>
            <w:r w:rsidRPr="009170B8">
              <w:rPr>
                <w:rFonts w:ascii="Times New Roman" w:hAnsi="Times New Roman"/>
                <w:sz w:val="20"/>
                <w:szCs w:val="20"/>
              </w:rPr>
              <w:t>2</w:t>
            </w: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b w:val="0"/>
                <w:szCs w:val="20"/>
              </w:rPr>
            </w:pPr>
          </w:p>
        </w:tc>
        <w:tc>
          <w:tcPr>
            <w:tcW w:w="709" w:type="dxa"/>
            <w:vAlign w:val="bottom"/>
          </w:tcPr>
          <w:p w:rsidR="00F01D4B" w:rsidRPr="009170B8" w:rsidRDefault="00F01D4B" w:rsidP="00F01D4B">
            <w:pPr>
              <w:ind w:right="-108"/>
              <w:jc w:val="center"/>
              <w:rPr>
                <w:rFonts w:ascii="Times New Roman" w:hAnsi="Times New Roman"/>
                <w:sz w:val="20"/>
                <w:szCs w:val="20"/>
              </w:rPr>
            </w:pPr>
          </w:p>
        </w:tc>
        <w:tc>
          <w:tcPr>
            <w:tcW w:w="1503" w:type="dxa"/>
            <w:tcBorders>
              <w:bottom w:val="single" w:sz="4" w:space="0" w:color="auto"/>
            </w:tcBorders>
            <w:vAlign w:val="bottom"/>
          </w:tcPr>
          <w:p w:rsidR="00F01D4B" w:rsidRPr="009170B8" w:rsidRDefault="00F01D4B" w:rsidP="00F01D4B">
            <w:pPr>
              <w:tabs>
                <w:tab w:val="decimal" w:pos="1287"/>
              </w:tabs>
              <w:rPr>
                <w:rFonts w:ascii="Times New Roman" w:hAnsi="Times New Roman"/>
                <w:sz w:val="20"/>
                <w:szCs w:val="20"/>
              </w:rPr>
            </w:pPr>
          </w:p>
        </w:tc>
        <w:tc>
          <w:tcPr>
            <w:tcW w:w="236" w:type="dxa"/>
            <w:vAlign w:val="bottom"/>
          </w:tcPr>
          <w:p w:rsidR="00F01D4B" w:rsidRPr="009170B8" w:rsidRDefault="00F01D4B" w:rsidP="00F01D4B">
            <w:pPr>
              <w:jc w:val="right"/>
              <w:rPr>
                <w:rFonts w:ascii="Times New Roman" w:hAnsi="Times New Roman"/>
                <w:sz w:val="20"/>
                <w:szCs w:val="20"/>
              </w:rPr>
            </w:pPr>
          </w:p>
        </w:tc>
        <w:tc>
          <w:tcPr>
            <w:tcW w:w="1503" w:type="dxa"/>
            <w:tcBorders>
              <w:bottom w:val="single" w:sz="4" w:space="0" w:color="auto"/>
            </w:tcBorders>
            <w:vAlign w:val="bottom"/>
          </w:tcPr>
          <w:p w:rsidR="00F01D4B" w:rsidRPr="009170B8" w:rsidRDefault="00F01D4B" w:rsidP="00F01D4B">
            <w:pPr>
              <w:tabs>
                <w:tab w:val="decimal" w:pos="1272"/>
              </w:tabs>
              <w:ind w:right="15"/>
              <w:rPr>
                <w:rFonts w:ascii="Times New Roman" w:hAnsi="Times New Roman"/>
                <w:sz w:val="20"/>
                <w:szCs w:val="20"/>
              </w:rPr>
            </w:pP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szCs w:val="20"/>
              </w:rPr>
            </w:pPr>
            <w:r w:rsidRPr="009170B8">
              <w:rPr>
                <w:rFonts w:ascii="Times New Roman" w:hAnsi="Times New Roman"/>
                <w:szCs w:val="20"/>
              </w:rPr>
              <w:t>Total Shareholders’ equity</w:t>
            </w:r>
          </w:p>
        </w:tc>
        <w:tc>
          <w:tcPr>
            <w:tcW w:w="709" w:type="dxa"/>
            <w:vAlign w:val="bottom"/>
          </w:tcPr>
          <w:p w:rsidR="00F01D4B" w:rsidRPr="009170B8" w:rsidRDefault="00F01D4B" w:rsidP="00F01D4B">
            <w:pPr>
              <w:ind w:right="-108"/>
              <w:jc w:val="center"/>
              <w:rPr>
                <w:rFonts w:ascii="Times New Roman" w:hAnsi="Times New Roman"/>
                <w:sz w:val="20"/>
                <w:szCs w:val="20"/>
              </w:rPr>
            </w:pPr>
          </w:p>
        </w:tc>
        <w:tc>
          <w:tcPr>
            <w:tcW w:w="1503" w:type="dxa"/>
            <w:tcBorders>
              <w:top w:val="single" w:sz="4" w:space="0" w:color="auto"/>
              <w:bottom w:val="double" w:sz="4" w:space="0" w:color="auto"/>
            </w:tcBorders>
            <w:vAlign w:val="bottom"/>
          </w:tcPr>
          <w:p w:rsidR="00F01D4B" w:rsidRPr="009170B8" w:rsidRDefault="00F01D4B" w:rsidP="00F01D4B">
            <w:pPr>
              <w:tabs>
                <w:tab w:val="decimal" w:pos="1287"/>
              </w:tabs>
              <w:rPr>
                <w:rFonts w:ascii="Times New Roman" w:hAnsi="Times New Roman"/>
                <w:b/>
                <w:sz w:val="20"/>
                <w:szCs w:val="20"/>
              </w:rPr>
            </w:pPr>
            <w:r w:rsidRPr="009170B8">
              <w:rPr>
                <w:rFonts w:ascii="Times New Roman" w:hAnsi="Times New Roman"/>
                <w:b/>
                <w:sz w:val="20"/>
                <w:szCs w:val="20"/>
              </w:rPr>
              <w:t>2</w:t>
            </w:r>
          </w:p>
        </w:tc>
        <w:tc>
          <w:tcPr>
            <w:tcW w:w="236" w:type="dxa"/>
            <w:vAlign w:val="bottom"/>
          </w:tcPr>
          <w:p w:rsidR="00F01D4B" w:rsidRPr="009170B8" w:rsidRDefault="00F01D4B" w:rsidP="00F01D4B">
            <w:pPr>
              <w:jc w:val="right"/>
              <w:rPr>
                <w:rFonts w:ascii="Times New Roman" w:hAnsi="Times New Roman"/>
                <w:b/>
                <w:sz w:val="20"/>
                <w:szCs w:val="20"/>
              </w:rPr>
            </w:pPr>
          </w:p>
        </w:tc>
        <w:tc>
          <w:tcPr>
            <w:tcW w:w="1503" w:type="dxa"/>
            <w:tcBorders>
              <w:top w:val="single" w:sz="4" w:space="0" w:color="auto"/>
              <w:bottom w:val="double" w:sz="4" w:space="0" w:color="auto"/>
            </w:tcBorders>
            <w:vAlign w:val="bottom"/>
          </w:tcPr>
          <w:p w:rsidR="00F01D4B" w:rsidRPr="009170B8" w:rsidRDefault="00F01D4B" w:rsidP="00F01D4B">
            <w:pPr>
              <w:tabs>
                <w:tab w:val="decimal" w:pos="1272"/>
              </w:tabs>
              <w:ind w:right="15"/>
              <w:rPr>
                <w:rFonts w:ascii="Times New Roman" w:hAnsi="Times New Roman"/>
                <w:b/>
                <w:sz w:val="20"/>
                <w:szCs w:val="20"/>
              </w:rPr>
            </w:pPr>
            <w:r w:rsidRPr="009170B8">
              <w:rPr>
                <w:rFonts w:ascii="Times New Roman" w:hAnsi="Times New Roman"/>
                <w:b/>
                <w:sz w:val="20"/>
                <w:szCs w:val="20"/>
              </w:rPr>
              <w:t>2</w:t>
            </w:r>
          </w:p>
        </w:tc>
      </w:tr>
      <w:tr w:rsidR="00F01D4B" w:rsidRPr="009170B8" w:rsidTr="00460791">
        <w:trPr>
          <w:cantSplit/>
        </w:trPr>
        <w:tc>
          <w:tcPr>
            <w:tcW w:w="5103" w:type="dxa"/>
            <w:vAlign w:val="bottom"/>
          </w:tcPr>
          <w:p w:rsidR="00F01D4B" w:rsidRPr="009170B8" w:rsidRDefault="00F01D4B" w:rsidP="00F01D4B">
            <w:pPr>
              <w:pStyle w:val="Heading3"/>
              <w:tabs>
                <w:tab w:val="clear" w:pos="3402"/>
                <w:tab w:val="clear" w:pos="8222"/>
              </w:tabs>
              <w:rPr>
                <w:rFonts w:ascii="Times New Roman" w:hAnsi="Times New Roman"/>
                <w:szCs w:val="20"/>
              </w:rPr>
            </w:pPr>
          </w:p>
        </w:tc>
        <w:tc>
          <w:tcPr>
            <w:tcW w:w="709" w:type="dxa"/>
            <w:vAlign w:val="bottom"/>
          </w:tcPr>
          <w:p w:rsidR="00F01D4B" w:rsidRPr="009170B8" w:rsidRDefault="00F01D4B" w:rsidP="00F01D4B">
            <w:pPr>
              <w:ind w:right="-108"/>
              <w:jc w:val="center"/>
              <w:rPr>
                <w:rFonts w:ascii="Times New Roman" w:hAnsi="Times New Roman"/>
                <w:sz w:val="20"/>
                <w:szCs w:val="20"/>
              </w:rPr>
            </w:pPr>
          </w:p>
        </w:tc>
        <w:tc>
          <w:tcPr>
            <w:tcW w:w="1503" w:type="dxa"/>
            <w:tcBorders>
              <w:top w:val="double" w:sz="4" w:space="0" w:color="auto"/>
            </w:tcBorders>
            <w:vAlign w:val="bottom"/>
          </w:tcPr>
          <w:p w:rsidR="00F01D4B" w:rsidRPr="009170B8" w:rsidRDefault="00F01D4B" w:rsidP="00F01D4B">
            <w:pPr>
              <w:tabs>
                <w:tab w:val="decimal" w:pos="1287"/>
              </w:tabs>
              <w:rPr>
                <w:rFonts w:ascii="Times New Roman" w:hAnsi="Times New Roman"/>
                <w:b/>
                <w:sz w:val="20"/>
                <w:szCs w:val="20"/>
              </w:rPr>
            </w:pPr>
          </w:p>
        </w:tc>
        <w:tc>
          <w:tcPr>
            <w:tcW w:w="236" w:type="dxa"/>
            <w:vAlign w:val="bottom"/>
          </w:tcPr>
          <w:p w:rsidR="00F01D4B" w:rsidRPr="009170B8" w:rsidRDefault="00F01D4B" w:rsidP="00F01D4B">
            <w:pPr>
              <w:jc w:val="right"/>
              <w:rPr>
                <w:rFonts w:ascii="Times New Roman" w:hAnsi="Times New Roman"/>
                <w:sz w:val="20"/>
                <w:szCs w:val="20"/>
              </w:rPr>
            </w:pPr>
          </w:p>
        </w:tc>
        <w:tc>
          <w:tcPr>
            <w:tcW w:w="1503" w:type="dxa"/>
            <w:tcBorders>
              <w:top w:val="double" w:sz="4" w:space="0" w:color="auto"/>
            </w:tcBorders>
            <w:vAlign w:val="bottom"/>
          </w:tcPr>
          <w:p w:rsidR="00F01D4B" w:rsidRPr="009170B8" w:rsidRDefault="00F01D4B" w:rsidP="00F01D4B">
            <w:pPr>
              <w:tabs>
                <w:tab w:val="decimal" w:pos="1272"/>
              </w:tabs>
              <w:ind w:right="15"/>
              <w:rPr>
                <w:rFonts w:ascii="Times New Roman" w:hAnsi="Times New Roman"/>
                <w:sz w:val="20"/>
                <w:szCs w:val="20"/>
              </w:rPr>
            </w:pPr>
          </w:p>
        </w:tc>
      </w:tr>
    </w:tbl>
    <w:p w:rsidR="00F01D4B" w:rsidRPr="009170B8" w:rsidRDefault="00F01D4B" w:rsidP="00F01D4B">
      <w:pPr>
        <w:jc w:val="both"/>
        <w:rPr>
          <w:rFonts w:ascii="Times New Roman" w:hAnsi="Times New Roman"/>
          <w:sz w:val="20"/>
          <w:szCs w:val="20"/>
        </w:rPr>
      </w:pPr>
    </w:p>
    <w:p w:rsidR="00F01D4B" w:rsidRPr="009170B8" w:rsidRDefault="00F01D4B" w:rsidP="00F01D4B">
      <w:pPr>
        <w:jc w:val="both"/>
        <w:rPr>
          <w:rFonts w:ascii="Times New Roman" w:hAnsi="Times New Roman"/>
          <w:sz w:val="20"/>
          <w:szCs w:val="20"/>
        </w:rPr>
      </w:pPr>
      <w:r w:rsidRPr="001F5EE5">
        <w:rPr>
          <w:rFonts w:ascii="Times New Roman" w:hAnsi="Times New Roman"/>
          <w:sz w:val="20"/>
          <w:szCs w:val="20"/>
        </w:rPr>
        <w:t>The financial statements and notes on page</w:t>
      </w:r>
      <w:r w:rsidR="00DF4F5A">
        <w:rPr>
          <w:rFonts w:ascii="Times New Roman" w:hAnsi="Times New Roman"/>
          <w:sz w:val="20"/>
          <w:szCs w:val="20"/>
        </w:rPr>
        <w:t>s</w:t>
      </w:r>
      <w:r w:rsidRPr="001F5EE5">
        <w:rPr>
          <w:rFonts w:ascii="Times New Roman" w:hAnsi="Times New Roman"/>
          <w:sz w:val="20"/>
          <w:szCs w:val="20"/>
        </w:rPr>
        <w:t xml:space="preserve"> </w:t>
      </w:r>
      <w:r w:rsidR="00ED2E2D">
        <w:rPr>
          <w:rFonts w:ascii="Times New Roman" w:hAnsi="Times New Roman"/>
          <w:sz w:val="20"/>
          <w:szCs w:val="20"/>
        </w:rPr>
        <w:t>5</w:t>
      </w:r>
      <w:r w:rsidR="00DF4F5A">
        <w:rPr>
          <w:rFonts w:ascii="Times New Roman" w:hAnsi="Times New Roman"/>
          <w:sz w:val="20"/>
          <w:szCs w:val="20"/>
        </w:rPr>
        <w:t>8 and 59</w:t>
      </w:r>
      <w:r w:rsidR="00F76E7D" w:rsidRPr="001F5EE5">
        <w:rPr>
          <w:rFonts w:ascii="Times New Roman" w:hAnsi="Times New Roman"/>
          <w:sz w:val="20"/>
          <w:szCs w:val="20"/>
        </w:rPr>
        <w:t xml:space="preserve"> were approved by the d</w:t>
      </w:r>
      <w:r w:rsidRPr="001F5EE5">
        <w:rPr>
          <w:rFonts w:ascii="Times New Roman" w:hAnsi="Times New Roman"/>
          <w:sz w:val="20"/>
          <w:szCs w:val="20"/>
        </w:rPr>
        <w:t>irectors on</w:t>
      </w:r>
      <w:r w:rsidR="00C7167F" w:rsidRPr="001F5EE5">
        <w:rPr>
          <w:rFonts w:ascii="Times New Roman" w:hAnsi="Times New Roman"/>
          <w:sz w:val="20"/>
          <w:szCs w:val="20"/>
        </w:rPr>
        <w:t xml:space="preserve"> </w:t>
      </w:r>
      <w:r w:rsidR="00AF1F94">
        <w:rPr>
          <w:rFonts w:ascii="Times New Roman" w:hAnsi="Times New Roman"/>
          <w:sz w:val="20"/>
          <w:szCs w:val="20"/>
        </w:rPr>
        <w:t>1</w:t>
      </w:r>
      <w:r w:rsidR="00C84D94">
        <w:rPr>
          <w:rFonts w:ascii="Times New Roman" w:hAnsi="Times New Roman"/>
          <w:sz w:val="20"/>
          <w:szCs w:val="20"/>
        </w:rPr>
        <w:t>1</w:t>
      </w:r>
      <w:r w:rsidR="00FB65ED">
        <w:rPr>
          <w:rFonts w:ascii="Times New Roman" w:hAnsi="Times New Roman"/>
          <w:sz w:val="20"/>
          <w:szCs w:val="20"/>
        </w:rPr>
        <w:t xml:space="preserve"> April 201</w:t>
      </w:r>
      <w:r w:rsidR="00C84D94">
        <w:rPr>
          <w:rFonts w:ascii="Times New Roman" w:hAnsi="Times New Roman"/>
          <w:sz w:val="20"/>
          <w:szCs w:val="20"/>
        </w:rPr>
        <w:t>9</w:t>
      </w:r>
      <w:r w:rsidR="00FC448E" w:rsidRPr="001F5EE5">
        <w:rPr>
          <w:rFonts w:ascii="Times New Roman" w:hAnsi="Times New Roman"/>
          <w:sz w:val="20"/>
          <w:szCs w:val="20"/>
        </w:rPr>
        <w:t xml:space="preserve"> </w:t>
      </w:r>
      <w:r w:rsidRPr="001F5EE5">
        <w:rPr>
          <w:rFonts w:ascii="Times New Roman" w:hAnsi="Times New Roman"/>
          <w:sz w:val="20"/>
          <w:szCs w:val="20"/>
        </w:rPr>
        <w:t>and signed on behalf of the Board by:</w:t>
      </w:r>
    </w:p>
    <w:p w:rsidR="00F01D4B" w:rsidRPr="009170B8" w:rsidRDefault="00F01D4B" w:rsidP="00F01D4B">
      <w:pPr>
        <w:jc w:val="both"/>
        <w:rPr>
          <w:rFonts w:ascii="Times New Roman" w:hAnsi="Times New Roman"/>
          <w:sz w:val="20"/>
          <w:szCs w:val="20"/>
        </w:rPr>
      </w:pPr>
    </w:p>
    <w:p w:rsidR="00F01D4B" w:rsidRPr="009170B8" w:rsidRDefault="00F01D4B" w:rsidP="00F01D4B">
      <w:pPr>
        <w:jc w:val="both"/>
        <w:rPr>
          <w:rFonts w:ascii="Times New Roman" w:hAnsi="Times New Roman"/>
          <w:sz w:val="20"/>
          <w:szCs w:val="20"/>
        </w:rPr>
      </w:pPr>
    </w:p>
    <w:p w:rsidR="00F01D4B" w:rsidRPr="009170B8" w:rsidRDefault="00F01D4B" w:rsidP="00F01D4B">
      <w:pPr>
        <w:tabs>
          <w:tab w:val="left" w:pos="6237"/>
        </w:tabs>
        <w:jc w:val="both"/>
        <w:rPr>
          <w:rFonts w:ascii="Times New Roman" w:hAnsi="Times New Roman"/>
          <w:sz w:val="20"/>
          <w:szCs w:val="20"/>
        </w:rPr>
      </w:pPr>
    </w:p>
    <w:p w:rsidR="007471B0" w:rsidRPr="00D060EE" w:rsidRDefault="00A36A46" w:rsidP="00F01D4B">
      <w:pPr>
        <w:tabs>
          <w:tab w:val="left" w:pos="6237"/>
        </w:tabs>
        <w:jc w:val="both"/>
        <w:rPr>
          <w:rFonts w:ascii="Times New Roman" w:hAnsi="Times New Roman"/>
          <w:iCs/>
          <w:sz w:val="20"/>
          <w:szCs w:val="20"/>
        </w:rPr>
      </w:pPr>
      <w:bookmarkStart w:id="72" w:name="OLE_LINK24"/>
      <w:bookmarkStart w:id="73" w:name="OLE_LINK25"/>
      <w:r>
        <w:rPr>
          <w:rFonts w:ascii="Times New Roman" w:hAnsi="Times New Roman"/>
          <w:iCs/>
          <w:sz w:val="20"/>
          <w:szCs w:val="20"/>
        </w:rPr>
        <w:t>Thomas Grose</w:t>
      </w:r>
      <w:r w:rsidR="00340F70">
        <w:rPr>
          <w:rFonts w:ascii="Times New Roman" w:hAnsi="Times New Roman"/>
          <w:iCs/>
          <w:sz w:val="20"/>
          <w:szCs w:val="20"/>
        </w:rPr>
        <w:tab/>
      </w:r>
      <w:bookmarkEnd w:id="72"/>
      <w:bookmarkEnd w:id="73"/>
      <w:r>
        <w:rPr>
          <w:rFonts w:ascii="Times New Roman" w:hAnsi="Times New Roman"/>
          <w:iCs/>
          <w:sz w:val="20"/>
          <w:szCs w:val="20"/>
        </w:rPr>
        <w:t>Nicholas Villiers</w:t>
      </w:r>
    </w:p>
    <w:p w:rsidR="00F01D4B" w:rsidRPr="009170B8" w:rsidRDefault="00F01D4B" w:rsidP="00F01D4B">
      <w:pPr>
        <w:tabs>
          <w:tab w:val="left" w:pos="6237"/>
        </w:tabs>
        <w:jc w:val="both"/>
        <w:rPr>
          <w:rFonts w:ascii="Times New Roman" w:hAnsi="Times New Roman"/>
          <w:b/>
          <w:iCs/>
          <w:sz w:val="20"/>
          <w:szCs w:val="20"/>
        </w:rPr>
      </w:pPr>
      <w:r w:rsidRPr="009170B8">
        <w:rPr>
          <w:rFonts w:ascii="Times New Roman" w:hAnsi="Times New Roman"/>
          <w:b/>
          <w:iCs/>
          <w:sz w:val="20"/>
          <w:szCs w:val="20"/>
        </w:rPr>
        <w:t>Director</w:t>
      </w:r>
      <w:r w:rsidRPr="009170B8">
        <w:rPr>
          <w:rFonts w:ascii="Times New Roman" w:hAnsi="Times New Roman"/>
          <w:b/>
          <w:iCs/>
          <w:sz w:val="20"/>
          <w:szCs w:val="20"/>
        </w:rPr>
        <w:tab/>
      </w:r>
      <w:proofErr w:type="spellStart"/>
      <w:r w:rsidRPr="009170B8">
        <w:rPr>
          <w:rFonts w:ascii="Times New Roman" w:hAnsi="Times New Roman"/>
          <w:b/>
          <w:iCs/>
          <w:sz w:val="20"/>
          <w:szCs w:val="20"/>
        </w:rPr>
        <w:t>Director</w:t>
      </w:r>
      <w:proofErr w:type="spellEnd"/>
    </w:p>
    <w:p w:rsidR="00F01D4B" w:rsidRPr="009170B8" w:rsidRDefault="00F01D4B" w:rsidP="00F01D4B">
      <w:pPr>
        <w:tabs>
          <w:tab w:val="left" w:pos="6237"/>
        </w:tabs>
        <w:jc w:val="both"/>
        <w:rPr>
          <w:rFonts w:ascii="Times New Roman" w:hAnsi="Times New Roman"/>
          <w:i/>
          <w:iCs/>
          <w:sz w:val="20"/>
          <w:szCs w:val="20"/>
        </w:rPr>
      </w:pPr>
    </w:p>
    <w:p w:rsidR="002A02AE" w:rsidRPr="009170B8" w:rsidRDefault="002A02AE">
      <w:pPr>
        <w:rPr>
          <w:rFonts w:ascii="Times New Roman" w:hAnsi="Times New Roman"/>
          <w:b/>
          <w:sz w:val="20"/>
          <w:szCs w:val="20"/>
        </w:rPr>
      </w:pPr>
      <w:r w:rsidRPr="009170B8">
        <w:rPr>
          <w:rFonts w:ascii="Times New Roman" w:hAnsi="Times New Roman"/>
          <w:b/>
          <w:sz w:val="20"/>
          <w:szCs w:val="20"/>
        </w:rPr>
        <w:br w:type="page"/>
      </w:r>
    </w:p>
    <w:p w:rsidR="000871D0" w:rsidRDefault="002A02AE" w:rsidP="00F01D4B">
      <w:pPr>
        <w:tabs>
          <w:tab w:val="left" w:pos="6237"/>
        </w:tabs>
        <w:jc w:val="both"/>
        <w:rPr>
          <w:rFonts w:ascii="Times New Roman" w:hAnsi="Times New Roman"/>
          <w:b/>
          <w:szCs w:val="22"/>
        </w:rPr>
      </w:pPr>
      <w:r w:rsidRPr="009170B8">
        <w:rPr>
          <w:rFonts w:ascii="Times New Roman" w:hAnsi="Times New Roman"/>
          <w:b/>
          <w:szCs w:val="22"/>
        </w:rPr>
        <w:t xml:space="preserve">Notes to the Financial </w:t>
      </w:r>
      <w:r w:rsidRPr="00074F84">
        <w:rPr>
          <w:rFonts w:ascii="Times New Roman" w:hAnsi="Times New Roman"/>
          <w:b/>
          <w:szCs w:val="22"/>
        </w:rPr>
        <w:t>Statements</w:t>
      </w:r>
      <w:r w:rsidR="00F84C0C" w:rsidRPr="00074F84">
        <w:rPr>
          <w:rFonts w:ascii="Times New Roman" w:hAnsi="Times New Roman"/>
          <w:b/>
          <w:szCs w:val="22"/>
        </w:rPr>
        <w:t xml:space="preserve"> of the Company</w:t>
      </w:r>
      <w:r w:rsidR="0075060A">
        <w:rPr>
          <w:rFonts w:ascii="Times New Roman" w:hAnsi="Times New Roman"/>
          <w:b/>
          <w:szCs w:val="22"/>
        </w:rPr>
        <w:t xml:space="preserve"> </w:t>
      </w:r>
    </w:p>
    <w:p w:rsidR="002A02AE" w:rsidRPr="00074F84" w:rsidRDefault="002A02AE" w:rsidP="00F01D4B">
      <w:pPr>
        <w:tabs>
          <w:tab w:val="left" w:pos="6237"/>
        </w:tabs>
        <w:jc w:val="both"/>
        <w:rPr>
          <w:rFonts w:ascii="Times New Roman" w:hAnsi="Times New Roman"/>
          <w:b/>
          <w:szCs w:val="22"/>
        </w:rPr>
      </w:pPr>
      <w:r w:rsidRPr="00074F84">
        <w:rPr>
          <w:rFonts w:ascii="Times New Roman" w:hAnsi="Times New Roman"/>
          <w:b/>
          <w:szCs w:val="22"/>
        </w:rPr>
        <w:t xml:space="preserve">For the year ended 31 December </w:t>
      </w:r>
      <w:r w:rsidR="00756CF5" w:rsidRPr="00074F84">
        <w:rPr>
          <w:rFonts w:ascii="Times New Roman" w:hAnsi="Times New Roman"/>
          <w:b/>
          <w:szCs w:val="22"/>
        </w:rPr>
        <w:t>201</w:t>
      </w:r>
      <w:r w:rsidR="00C84D94">
        <w:rPr>
          <w:rFonts w:ascii="Times New Roman" w:hAnsi="Times New Roman"/>
          <w:b/>
          <w:szCs w:val="22"/>
        </w:rPr>
        <w:t>8</w:t>
      </w:r>
    </w:p>
    <w:p w:rsidR="002A02AE" w:rsidRPr="00074F84" w:rsidRDefault="002A02AE" w:rsidP="00F01D4B">
      <w:pPr>
        <w:tabs>
          <w:tab w:val="left" w:pos="6237"/>
        </w:tabs>
        <w:jc w:val="both"/>
        <w:rPr>
          <w:rFonts w:ascii="Times New Roman" w:hAnsi="Times New Roman"/>
          <w:sz w:val="20"/>
          <w:szCs w:val="20"/>
        </w:rPr>
      </w:pPr>
    </w:p>
    <w:p w:rsidR="00B65242" w:rsidRPr="00074F84" w:rsidRDefault="002A02AE" w:rsidP="002A02AE">
      <w:pPr>
        <w:ind w:left="284" w:hanging="284"/>
        <w:rPr>
          <w:rFonts w:ascii="Times New Roman" w:hAnsi="Times New Roman"/>
          <w:b/>
          <w:bCs/>
          <w:sz w:val="20"/>
        </w:rPr>
      </w:pPr>
      <w:r w:rsidRPr="00074F84">
        <w:rPr>
          <w:rFonts w:ascii="Times New Roman" w:hAnsi="Times New Roman"/>
          <w:b/>
          <w:bCs/>
          <w:sz w:val="20"/>
        </w:rPr>
        <w:t>1.</w:t>
      </w:r>
      <w:r w:rsidRPr="00074F84">
        <w:rPr>
          <w:rFonts w:ascii="Times New Roman" w:hAnsi="Times New Roman"/>
          <w:b/>
          <w:bCs/>
          <w:sz w:val="20"/>
        </w:rPr>
        <w:tab/>
      </w:r>
      <w:r w:rsidR="00B65242" w:rsidRPr="00074F84">
        <w:rPr>
          <w:rFonts w:ascii="Times New Roman" w:hAnsi="Times New Roman"/>
          <w:b/>
          <w:bCs/>
          <w:sz w:val="20"/>
        </w:rPr>
        <w:t>Basis of accounting</w:t>
      </w:r>
    </w:p>
    <w:p w:rsidR="00B65242" w:rsidRPr="00074F84" w:rsidRDefault="00B65242" w:rsidP="00F565C6">
      <w:pPr>
        <w:ind w:left="284" w:hanging="284"/>
        <w:jc w:val="both"/>
        <w:rPr>
          <w:rFonts w:ascii="Times New Roman" w:hAnsi="Times New Roman"/>
          <w:bCs/>
          <w:sz w:val="20"/>
        </w:rPr>
      </w:pPr>
      <w:r w:rsidRPr="00074F84">
        <w:rPr>
          <w:rFonts w:ascii="Times New Roman" w:hAnsi="Times New Roman"/>
          <w:b/>
          <w:bCs/>
          <w:sz w:val="20"/>
        </w:rPr>
        <w:tab/>
      </w:r>
      <w:r w:rsidRPr="00074F84">
        <w:rPr>
          <w:rFonts w:ascii="Times New Roman" w:hAnsi="Times New Roman"/>
          <w:bCs/>
          <w:sz w:val="20"/>
        </w:rPr>
        <w:t>The separate financial statements of the Company have been prepared showing results of the Company only. They have been prepared in accordance with International Financial Reporting Standards (“</w:t>
      </w:r>
      <w:r w:rsidR="00F84C0C" w:rsidRPr="00074F84">
        <w:rPr>
          <w:rFonts w:ascii="Times New Roman" w:hAnsi="Times New Roman"/>
          <w:bCs/>
          <w:sz w:val="20"/>
        </w:rPr>
        <w:t>IFRS</w:t>
      </w:r>
      <w:r w:rsidRPr="00074F84">
        <w:rPr>
          <w:rFonts w:ascii="Times New Roman" w:hAnsi="Times New Roman"/>
          <w:bCs/>
          <w:sz w:val="20"/>
        </w:rPr>
        <w:t xml:space="preserve">”) as adopted by the European Union in accordance with the accounting policies set out in </w:t>
      </w:r>
      <w:r w:rsidR="00FA1564">
        <w:rPr>
          <w:rFonts w:ascii="Times New Roman" w:hAnsi="Times New Roman"/>
          <w:bCs/>
          <w:sz w:val="20"/>
        </w:rPr>
        <w:t>N</w:t>
      </w:r>
      <w:r w:rsidRPr="00074F84">
        <w:rPr>
          <w:rFonts w:ascii="Times New Roman" w:hAnsi="Times New Roman"/>
          <w:bCs/>
          <w:sz w:val="20"/>
        </w:rPr>
        <w:t>ote</w:t>
      </w:r>
      <w:r w:rsidR="00246AC9" w:rsidRPr="00074F84">
        <w:rPr>
          <w:rFonts w:ascii="Times New Roman" w:hAnsi="Times New Roman"/>
          <w:bCs/>
          <w:sz w:val="20"/>
        </w:rPr>
        <w:t xml:space="preserve"> </w:t>
      </w:r>
      <w:r w:rsidRPr="00074F84">
        <w:rPr>
          <w:rFonts w:ascii="Times New Roman" w:hAnsi="Times New Roman"/>
          <w:bCs/>
          <w:sz w:val="20"/>
        </w:rPr>
        <w:t>2 to the financial statements of the Fund.</w:t>
      </w:r>
    </w:p>
    <w:p w:rsidR="00B65242" w:rsidRPr="00074F84" w:rsidRDefault="00B65242" w:rsidP="00F565C6">
      <w:pPr>
        <w:ind w:left="284" w:hanging="284"/>
        <w:jc w:val="both"/>
        <w:rPr>
          <w:rFonts w:ascii="Times New Roman" w:hAnsi="Times New Roman"/>
          <w:bCs/>
          <w:sz w:val="20"/>
        </w:rPr>
      </w:pPr>
    </w:p>
    <w:p w:rsidR="00B65242" w:rsidRPr="00074F84" w:rsidRDefault="00B65242" w:rsidP="00F565C6">
      <w:pPr>
        <w:ind w:left="284" w:hanging="284"/>
        <w:jc w:val="both"/>
        <w:rPr>
          <w:rFonts w:ascii="Times New Roman" w:hAnsi="Times New Roman"/>
          <w:bCs/>
          <w:sz w:val="20"/>
        </w:rPr>
      </w:pPr>
      <w:r w:rsidRPr="00074F84">
        <w:rPr>
          <w:rFonts w:ascii="Times New Roman" w:hAnsi="Times New Roman"/>
          <w:bCs/>
          <w:sz w:val="20"/>
        </w:rPr>
        <w:tab/>
        <w:t>A separate Statement of Comprehensive Income, Statement of Changes in Equity and Cash</w:t>
      </w:r>
      <w:r w:rsidR="00A314E6" w:rsidRPr="00074F84">
        <w:rPr>
          <w:rFonts w:ascii="Times New Roman" w:hAnsi="Times New Roman"/>
          <w:bCs/>
          <w:sz w:val="20"/>
        </w:rPr>
        <w:t xml:space="preserve"> F</w:t>
      </w:r>
      <w:r w:rsidRPr="00074F84">
        <w:rPr>
          <w:rFonts w:ascii="Times New Roman" w:hAnsi="Times New Roman"/>
          <w:bCs/>
          <w:sz w:val="20"/>
        </w:rPr>
        <w:t>low Statement have not been prepared as there have been no results or cash flows for the Company for this year or the preceding year.</w:t>
      </w:r>
    </w:p>
    <w:p w:rsidR="00121523" w:rsidRPr="00074F84" w:rsidRDefault="00121523" w:rsidP="00F565C6">
      <w:pPr>
        <w:ind w:left="284" w:hanging="284"/>
        <w:jc w:val="both"/>
        <w:rPr>
          <w:rFonts w:ascii="Times New Roman" w:hAnsi="Times New Roman"/>
          <w:bCs/>
          <w:sz w:val="20"/>
        </w:rPr>
      </w:pPr>
    </w:p>
    <w:p w:rsidR="00121523" w:rsidRPr="00074F84" w:rsidRDefault="00121523" w:rsidP="00F565C6">
      <w:pPr>
        <w:ind w:left="284" w:hanging="1"/>
        <w:jc w:val="both"/>
        <w:rPr>
          <w:rFonts w:ascii="Times New Roman" w:hAnsi="Times New Roman"/>
          <w:bCs/>
          <w:sz w:val="20"/>
        </w:rPr>
      </w:pPr>
      <w:r w:rsidRPr="00074F84">
        <w:rPr>
          <w:rFonts w:ascii="Times New Roman" w:hAnsi="Times New Roman"/>
          <w:bCs/>
          <w:sz w:val="20"/>
        </w:rPr>
        <w:t xml:space="preserve">There are no standards and interpretations in issue but not effective that the directors </w:t>
      </w:r>
      <w:r w:rsidR="00906E95">
        <w:rPr>
          <w:rFonts w:ascii="Times New Roman" w:hAnsi="Times New Roman"/>
          <w:bCs/>
          <w:sz w:val="20"/>
        </w:rPr>
        <w:t>believe</w:t>
      </w:r>
      <w:r w:rsidR="00906E95" w:rsidRPr="00074F84">
        <w:rPr>
          <w:rFonts w:ascii="Times New Roman" w:hAnsi="Times New Roman"/>
          <w:bCs/>
          <w:sz w:val="20"/>
        </w:rPr>
        <w:t xml:space="preserve"> </w:t>
      </w:r>
      <w:r w:rsidR="00906E95">
        <w:rPr>
          <w:rFonts w:ascii="Times New Roman" w:hAnsi="Times New Roman"/>
          <w:bCs/>
          <w:sz w:val="20"/>
        </w:rPr>
        <w:t xml:space="preserve">would or might </w:t>
      </w:r>
      <w:r w:rsidRPr="00074F84">
        <w:rPr>
          <w:rFonts w:ascii="Times New Roman" w:hAnsi="Times New Roman"/>
          <w:bCs/>
          <w:sz w:val="20"/>
        </w:rPr>
        <w:t>have a material impact on t</w:t>
      </w:r>
      <w:r w:rsidR="00E061FD" w:rsidRPr="00074F84">
        <w:rPr>
          <w:rFonts w:ascii="Times New Roman" w:hAnsi="Times New Roman"/>
          <w:bCs/>
          <w:sz w:val="20"/>
        </w:rPr>
        <w:t>he financial statements of the C</w:t>
      </w:r>
      <w:r w:rsidRPr="00074F84">
        <w:rPr>
          <w:rFonts w:ascii="Times New Roman" w:hAnsi="Times New Roman"/>
          <w:bCs/>
          <w:sz w:val="20"/>
        </w:rPr>
        <w:t>ompany.</w:t>
      </w:r>
    </w:p>
    <w:p w:rsidR="00121523" w:rsidRPr="00074F84" w:rsidRDefault="00121523" w:rsidP="00121523">
      <w:pPr>
        <w:ind w:left="284" w:hanging="284"/>
        <w:rPr>
          <w:rFonts w:ascii="Times New Roman" w:hAnsi="Times New Roman"/>
          <w:bCs/>
          <w:sz w:val="20"/>
        </w:rPr>
      </w:pPr>
    </w:p>
    <w:p w:rsidR="00121523" w:rsidRPr="00074F84" w:rsidRDefault="00121523" w:rsidP="00F565C6">
      <w:pPr>
        <w:ind w:left="568" w:hanging="284"/>
        <w:jc w:val="both"/>
        <w:rPr>
          <w:rFonts w:ascii="Times New Roman" w:hAnsi="Times New Roman"/>
          <w:bCs/>
          <w:i/>
          <w:sz w:val="20"/>
        </w:rPr>
      </w:pPr>
      <w:r w:rsidRPr="00074F84">
        <w:rPr>
          <w:rFonts w:ascii="Times New Roman" w:hAnsi="Times New Roman"/>
          <w:bCs/>
          <w:i/>
          <w:sz w:val="20"/>
        </w:rPr>
        <w:t>Judgements and estimates used by the directors</w:t>
      </w:r>
    </w:p>
    <w:p w:rsidR="00ED69AD" w:rsidRPr="00074F84" w:rsidRDefault="00ED69AD" w:rsidP="00ED69AD">
      <w:pPr>
        <w:ind w:left="284"/>
        <w:jc w:val="both"/>
        <w:rPr>
          <w:rFonts w:ascii="Times New Roman" w:hAnsi="Times New Roman"/>
          <w:bCs/>
          <w:sz w:val="20"/>
        </w:rPr>
      </w:pPr>
      <w:r w:rsidRPr="00074F84">
        <w:rPr>
          <w:rFonts w:ascii="Times New Roman" w:hAnsi="Times New Roman"/>
          <w:bCs/>
          <w:sz w:val="20"/>
        </w:rPr>
        <w:t>The preparation of financial statements in compliance with IFRS requires the directors to make judgements, estimates and assumptions that affect the application of policies and reported amount of assets and liabilities, income and expenses. The estimates and associated liabilities are based on historical experience and various other factors that are believed to be reasonable under the circumstances, the results of which form the basis of making the judgements about carrying values of assets and liabilities that are not readily apparent. For the purposes of these financial statements</w:t>
      </w:r>
      <w:r w:rsidR="00CA5A90">
        <w:rPr>
          <w:rFonts w:ascii="Times New Roman" w:hAnsi="Times New Roman"/>
          <w:bCs/>
          <w:sz w:val="20"/>
        </w:rPr>
        <w:t>,</w:t>
      </w:r>
      <w:r w:rsidRPr="00074F84">
        <w:rPr>
          <w:rFonts w:ascii="Times New Roman" w:hAnsi="Times New Roman"/>
          <w:bCs/>
          <w:sz w:val="20"/>
        </w:rPr>
        <w:t xml:space="preserve"> there were no specific areas in which judgement was exercised </w:t>
      </w:r>
      <w:r w:rsidR="0075060A">
        <w:rPr>
          <w:rFonts w:ascii="Times New Roman" w:hAnsi="Times New Roman"/>
          <w:bCs/>
          <w:sz w:val="20"/>
        </w:rPr>
        <w:t>and no</w:t>
      </w:r>
      <w:r w:rsidRPr="00074F84">
        <w:rPr>
          <w:rFonts w:ascii="Times New Roman" w:hAnsi="Times New Roman"/>
          <w:bCs/>
          <w:sz w:val="20"/>
        </w:rPr>
        <w:t xml:space="preserve"> estimation was required by the directors.</w:t>
      </w:r>
    </w:p>
    <w:p w:rsidR="00B65242" w:rsidRPr="00074F84" w:rsidRDefault="00B65242" w:rsidP="002A02AE">
      <w:pPr>
        <w:ind w:left="284" w:hanging="284"/>
        <w:rPr>
          <w:rFonts w:ascii="Times New Roman" w:hAnsi="Times New Roman"/>
          <w:b/>
          <w:bCs/>
          <w:sz w:val="20"/>
        </w:rPr>
      </w:pPr>
    </w:p>
    <w:p w:rsidR="002A02AE" w:rsidRPr="00074F84" w:rsidRDefault="00B65242" w:rsidP="002A02AE">
      <w:pPr>
        <w:ind w:left="284" w:hanging="284"/>
        <w:rPr>
          <w:rFonts w:ascii="Times New Roman" w:hAnsi="Times New Roman"/>
          <w:b/>
          <w:bCs/>
          <w:sz w:val="20"/>
        </w:rPr>
      </w:pPr>
      <w:r w:rsidRPr="00074F84">
        <w:rPr>
          <w:rFonts w:ascii="Times New Roman" w:hAnsi="Times New Roman"/>
          <w:b/>
          <w:bCs/>
          <w:sz w:val="20"/>
        </w:rPr>
        <w:t>2.</w:t>
      </w:r>
      <w:r w:rsidRPr="00074F84">
        <w:rPr>
          <w:rFonts w:ascii="Times New Roman" w:hAnsi="Times New Roman"/>
          <w:b/>
          <w:bCs/>
          <w:sz w:val="20"/>
        </w:rPr>
        <w:tab/>
      </w:r>
      <w:r w:rsidR="00CC1A21" w:rsidRPr="00074F84">
        <w:rPr>
          <w:rFonts w:ascii="Times New Roman" w:hAnsi="Times New Roman"/>
          <w:b/>
          <w:bCs/>
          <w:sz w:val="20"/>
        </w:rPr>
        <w:t xml:space="preserve">The Company’s </w:t>
      </w:r>
      <w:r w:rsidR="002A02AE" w:rsidRPr="00074F84">
        <w:rPr>
          <w:rFonts w:ascii="Times New Roman" w:hAnsi="Times New Roman"/>
          <w:b/>
          <w:bCs/>
          <w:sz w:val="20"/>
        </w:rPr>
        <w:t>stated capital</w:t>
      </w:r>
    </w:p>
    <w:p w:rsidR="002A02AE" w:rsidRPr="00074F84" w:rsidRDefault="002A02AE" w:rsidP="002A02AE">
      <w:pPr>
        <w:pStyle w:val="BodyText"/>
        <w:tabs>
          <w:tab w:val="clear" w:pos="3402"/>
          <w:tab w:val="clear" w:pos="8222"/>
        </w:tabs>
        <w:ind w:left="284"/>
        <w:rPr>
          <w:rFonts w:ascii="Times New Roman" w:hAnsi="Times New Roman"/>
        </w:rPr>
      </w:pPr>
      <w:r w:rsidRPr="00074F84">
        <w:rPr>
          <w:rFonts w:ascii="Times New Roman" w:hAnsi="Times New Roman"/>
        </w:rPr>
        <w:t>The authorised share capital of</w:t>
      </w:r>
      <w:r w:rsidR="00D41059" w:rsidRPr="00074F84">
        <w:rPr>
          <w:rFonts w:ascii="Times New Roman" w:hAnsi="Times New Roman"/>
        </w:rPr>
        <w:t xml:space="preserve"> the Company is split into two m</w:t>
      </w:r>
      <w:r w:rsidRPr="00074F84">
        <w:rPr>
          <w:rFonts w:ascii="Times New Roman" w:hAnsi="Times New Roman"/>
        </w:rPr>
        <w:t xml:space="preserve">anagement </w:t>
      </w:r>
      <w:r w:rsidR="00D41059" w:rsidRPr="00074F84">
        <w:rPr>
          <w:rFonts w:ascii="Times New Roman" w:hAnsi="Times New Roman"/>
        </w:rPr>
        <w:t>s</w:t>
      </w:r>
      <w:r w:rsidRPr="00074F84">
        <w:rPr>
          <w:rFonts w:ascii="Times New Roman" w:hAnsi="Times New Roman"/>
        </w:rPr>
        <w:t>hares of no par value.</w:t>
      </w:r>
    </w:p>
    <w:p w:rsidR="002A02AE" w:rsidRPr="00074F84" w:rsidRDefault="002A02AE" w:rsidP="002A02AE">
      <w:pPr>
        <w:pStyle w:val="BodyText"/>
        <w:tabs>
          <w:tab w:val="clear" w:pos="3402"/>
          <w:tab w:val="clear" w:pos="8222"/>
        </w:tabs>
        <w:ind w:left="284"/>
        <w:rPr>
          <w:rFonts w:ascii="Times New Roman" w:hAnsi="Times New Roman"/>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8"/>
        <w:gridCol w:w="1315"/>
        <w:gridCol w:w="1310"/>
      </w:tblGrid>
      <w:tr w:rsidR="002A02AE" w:rsidRPr="00074F84" w:rsidTr="00E3001B">
        <w:tc>
          <w:tcPr>
            <w:tcW w:w="7478" w:type="dxa"/>
          </w:tcPr>
          <w:p w:rsidR="002A02AE" w:rsidRPr="00074F84" w:rsidRDefault="002A02AE" w:rsidP="00460791">
            <w:pPr>
              <w:pStyle w:val="BodyText"/>
              <w:tabs>
                <w:tab w:val="clear" w:pos="3402"/>
                <w:tab w:val="clear" w:pos="8222"/>
              </w:tabs>
              <w:rPr>
                <w:rFonts w:ascii="Times New Roman" w:hAnsi="Times New Roman"/>
              </w:rPr>
            </w:pPr>
          </w:p>
        </w:tc>
        <w:tc>
          <w:tcPr>
            <w:tcW w:w="1315" w:type="dxa"/>
          </w:tcPr>
          <w:p w:rsidR="002A02AE" w:rsidRPr="00074F84" w:rsidRDefault="002A02AE" w:rsidP="00FB0254">
            <w:pPr>
              <w:pStyle w:val="BodyText"/>
              <w:tabs>
                <w:tab w:val="clear" w:pos="3402"/>
                <w:tab w:val="clear" w:pos="8222"/>
              </w:tabs>
              <w:jc w:val="right"/>
              <w:rPr>
                <w:rFonts w:ascii="Times New Roman" w:hAnsi="Times New Roman"/>
                <w:b/>
              </w:rPr>
            </w:pPr>
            <w:r w:rsidRPr="00074F84">
              <w:rPr>
                <w:rFonts w:ascii="Times New Roman" w:hAnsi="Times New Roman"/>
                <w:b/>
              </w:rPr>
              <w:t xml:space="preserve">No. </w:t>
            </w:r>
            <w:r w:rsidR="00FB0254" w:rsidRPr="00074F84">
              <w:rPr>
                <w:rFonts w:ascii="Times New Roman" w:hAnsi="Times New Roman"/>
                <w:b/>
              </w:rPr>
              <w:t>o</w:t>
            </w:r>
            <w:r w:rsidRPr="00074F84">
              <w:rPr>
                <w:rFonts w:ascii="Times New Roman" w:hAnsi="Times New Roman"/>
                <w:b/>
              </w:rPr>
              <w:t>f shares</w:t>
            </w:r>
          </w:p>
        </w:tc>
        <w:tc>
          <w:tcPr>
            <w:tcW w:w="1310" w:type="dxa"/>
            <w:vAlign w:val="bottom"/>
          </w:tcPr>
          <w:p w:rsidR="002A02AE" w:rsidRPr="00074F84" w:rsidRDefault="00E3001B" w:rsidP="00E3001B">
            <w:pPr>
              <w:pStyle w:val="BodyText"/>
              <w:tabs>
                <w:tab w:val="clear" w:pos="3402"/>
                <w:tab w:val="clear" w:pos="8222"/>
              </w:tabs>
              <w:jc w:val="right"/>
              <w:rPr>
                <w:rFonts w:ascii="Times New Roman" w:hAnsi="Times New Roman"/>
                <w:b/>
              </w:rPr>
            </w:pPr>
            <w:r w:rsidRPr="00074F84">
              <w:rPr>
                <w:rFonts w:ascii="Times New Roman" w:hAnsi="Times New Roman"/>
                <w:b/>
              </w:rPr>
              <w:t>GBP</w:t>
            </w:r>
          </w:p>
        </w:tc>
      </w:tr>
      <w:tr w:rsidR="002A02AE" w:rsidRPr="00074F84" w:rsidTr="00460791">
        <w:tc>
          <w:tcPr>
            <w:tcW w:w="7478" w:type="dxa"/>
          </w:tcPr>
          <w:p w:rsidR="002A02AE" w:rsidRPr="00074F84" w:rsidRDefault="002A02AE" w:rsidP="00460791">
            <w:pPr>
              <w:pStyle w:val="BodyText"/>
              <w:tabs>
                <w:tab w:val="clear" w:pos="3402"/>
                <w:tab w:val="clear" w:pos="8222"/>
              </w:tabs>
              <w:rPr>
                <w:rFonts w:ascii="Times New Roman" w:hAnsi="Times New Roman"/>
                <w:b/>
              </w:rPr>
            </w:pPr>
            <w:r w:rsidRPr="00074F84">
              <w:rPr>
                <w:rFonts w:ascii="Times New Roman" w:hAnsi="Times New Roman"/>
                <w:b/>
              </w:rPr>
              <w:t>Management shares issued</w:t>
            </w:r>
          </w:p>
        </w:tc>
        <w:tc>
          <w:tcPr>
            <w:tcW w:w="1315" w:type="dxa"/>
          </w:tcPr>
          <w:p w:rsidR="002A02AE" w:rsidRPr="00074F84" w:rsidRDefault="002A02AE" w:rsidP="00460791">
            <w:pPr>
              <w:pStyle w:val="BodyText"/>
              <w:tabs>
                <w:tab w:val="clear" w:pos="3402"/>
                <w:tab w:val="clear" w:pos="8222"/>
              </w:tabs>
              <w:rPr>
                <w:rFonts w:ascii="Times New Roman" w:hAnsi="Times New Roman"/>
              </w:rPr>
            </w:pPr>
          </w:p>
        </w:tc>
        <w:tc>
          <w:tcPr>
            <w:tcW w:w="1310" w:type="dxa"/>
          </w:tcPr>
          <w:p w:rsidR="002A02AE" w:rsidRPr="00074F84" w:rsidRDefault="002A02AE" w:rsidP="00460791">
            <w:pPr>
              <w:pStyle w:val="BodyText"/>
              <w:tabs>
                <w:tab w:val="clear" w:pos="3402"/>
                <w:tab w:val="clear" w:pos="8222"/>
              </w:tabs>
              <w:rPr>
                <w:rFonts w:ascii="Times New Roman" w:hAnsi="Times New Roman"/>
              </w:rPr>
            </w:pPr>
          </w:p>
        </w:tc>
      </w:tr>
      <w:tr w:rsidR="002A02AE" w:rsidRPr="00074F84" w:rsidTr="00460791">
        <w:tc>
          <w:tcPr>
            <w:tcW w:w="7478" w:type="dxa"/>
          </w:tcPr>
          <w:p w:rsidR="002A02AE" w:rsidRPr="00074F84" w:rsidRDefault="002A02AE">
            <w:pPr>
              <w:pStyle w:val="BodyText"/>
              <w:tabs>
                <w:tab w:val="clear" w:pos="3402"/>
                <w:tab w:val="clear" w:pos="8222"/>
              </w:tabs>
              <w:rPr>
                <w:rFonts w:ascii="Times New Roman" w:hAnsi="Times New Roman"/>
                <w:b/>
              </w:rPr>
            </w:pPr>
            <w:r w:rsidRPr="00074F84">
              <w:rPr>
                <w:rFonts w:ascii="Times New Roman" w:hAnsi="Times New Roman"/>
                <w:b/>
              </w:rPr>
              <w:t xml:space="preserve">At 31 December </w:t>
            </w:r>
            <w:r w:rsidR="00756CF5" w:rsidRPr="00074F84">
              <w:rPr>
                <w:rFonts w:ascii="Times New Roman" w:hAnsi="Times New Roman"/>
                <w:b/>
              </w:rPr>
              <w:t>201</w:t>
            </w:r>
            <w:r w:rsidR="00C84D94">
              <w:rPr>
                <w:rFonts w:ascii="Times New Roman" w:hAnsi="Times New Roman"/>
                <w:b/>
              </w:rPr>
              <w:t>8</w:t>
            </w:r>
            <w:r w:rsidR="00FB0254" w:rsidRPr="00074F84">
              <w:rPr>
                <w:rFonts w:ascii="Times New Roman" w:hAnsi="Times New Roman"/>
                <w:b/>
              </w:rPr>
              <w:t xml:space="preserve"> and </w:t>
            </w:r>
            <w:r w:rsidR="009A5D33" w:rsidRPr="00074F84">
              <w:rPr>
                <w:rFonts w:ascii="Times New Roman" w:hAnsi="Times New Roman"/>
                <w:b/>
              </w:rPr>
              <w:t>201</w:t>
            </w:r>
            <w:r w:rsidR="00C84D94">
              <w:rPr>
                <w:rFonts w:ascii="Times New Roman" w:hAnsi="Times New Roman"/>
                <w:b/>
              </w:rPr>
              <w:t>7</w:t>
            </w:r>
          </w:p>
        </w:tc>
        <w:tc>
          <w:tcPr>
            <w:tcW w:w="1315" w:type="dxa"/>
            <w:tcBorders>
              <w:top w:val="single" w:sz="4" w:space="0" w:color="auto"/>
              <w:bottom w:val="double" w:sz="4" w:space="0" w:color="auto"/>
            </w:tcBorders>
          </w:tcPr>
          <w:p w:rsidR="002A02AE" w:rsidRPr="00074F84" w:rsidRDefault="002A02AE" w:rsidP="00460791">
            <w:pPr>
              <w:pStyle w:val="BodyText"/>
              <w:tabs>
                <w:tab w:val="clear" w:pos="3402"/>
                <w:tab w:val="clear" w:pos="8222"/>
              </w:tabs>
              <w:jc w:val="right"/>
              <w:rPr>
                <w:rFonts w:ascii="Times New Roman" w:hAnsi="Times New Roman"/>
              </w:rPr>
            </w:pPr>
            <w:r w:rsidRPr="00074F84">
              <w:rPr>
                <w:rFonts w:ascii="Times New Roman" w:hAnsi="Times New Roman"/>
              </w:rPr>
              <w:t>2</w:t>
            </w:r>
          </w:p>
        </w:tc>
        <w:tc>
          <w:tcPr>
            <w:tcW w:w="1310" w:type="dxa"/>
            <w:tcBorders>
              <w:top w:val="single" w:sz="4" w:space="0" w:color="auto"/>
              <w:bottom w:val="double" w:sz="4" w:space="0" w:color="auto"/>
            </w:tcBorders>
          </w:tcPr>
          <w:p w:rsidR="002A02AE" w:rsidRPr="00074F84" w:rsidRDefault="002A02AE" w:rsidP="00460791">
            <w:pPr>
              <w:pStyle w:val="BodyText"/>
              <w:tabs>
                <w:tab w:val="clear" w:pos="3402"/>
                <w:tab w:val="clear" w:pos="8222"/>
              </w:tabs>
              <w:jc w:val="right"/>
              <w:rPr>
                <w:rFonts w:ascii="Times New Roman" w:hAnsi="Times New Roman"/>
              </w:rPr>
            </w:pPr>
            <w:r w:rsidRPr="00074F84">
              <w:rPr>
                <w:rFonts w:ascii="Times New Roman" w:hAnsi="Times New Roman"/>
              </w:rPr>
              <w:t>2</w:t>
            </w:r>
          </w:p>
        </w:tc>
      </w:tr>
    </w:tbl>
    <w:p w:rsidR="002A02AE" w:rsidRPr="00074F84" w:rsidRDefault="002A02AE" w:rsidP="00F01D4B">
      <w:pPr>
        <w:rPr>
          <w:rFonts w:ascii="Times New Roman" w:hAnsi="Times New Roman"/>
          <w:sz w:val="24"/>
        </w:rPr>
      </w:pPr>
    </w:p>
    <w:p w:rsidR="0059478E" w:rsidRPr="00074F84" w:rsidRDefault="0059478E" w:rsidP="008875AF">
      <w:pPr>
        <w:ind w:left="284" w:hanging="360"/>
        <w:rPr>
          <w:rFonts w:ascii="Times New Roman" w:hAnsi="Times New Roman"/>
        </w:rPr>
      </w:pPr>
      <w:r w:rsidRPr="00074F84">
        <w:rPr>
          <w:rFonts w:ascii="Times New Roman" w:hAnsi="Times New Roman"/>
          <w:b/>
          <w:sz w:val="20"/>
        </w:rPr>
        <w:t>3.</w:t>
      </w:r>
      <w:r w:rsidRPr="00074F84">
        <w:rPr>
          <w:rFonts w:ascii="Times New Roman" w:hAnsi="Times New Roman"/>
          <w:b/>
          <w:sz w:val="20"/>
        </w:rPr>
        <w:tab/>
        <w:t>Taxation</w:t>
      </w:r>
    </w:p>
    <w:p w:rsidR="002E3EE6" w:rsidRPr="009170B8" w:rsidRDefault="0059478E" w:rsidP="008875AF">
      <w:pPr>
        <w:ind w:left="284"/>
        <w:jc w:val="both"/>
        <w:rPr>
          <w:rFonts w:ascii="Times New Roman" w:hAnsi="Times New Roman"/>
          <w:sz w:val="20"/>
          <w:szCs w:val="20"/>
        </w:rPr>
      </w:pPr>
      <w:bookmarkStart w:id="74" w:name="OLE_LINK14"/>
      <w:bookmarkStart w:id="75" w:name="OLE_LINK15"/>
      <w:r w:rsidRPr="00074F84">
        <w:rPr>
          <w:rFonts w:ascii="Times New Roman" w:hAnsi="Times New Roman"/>
          <w:sz w:val="20"/>
          <w:szCs w:val="20"/>
        </w:rPr>
        <w:t xml:space="preserve">The Company adopted UK tax residency </w:t>
      </w:r>
      <w:r w:rsidR="00503ECC">
        <w:rPr>
          <w:rFonts w:ascii="Times New Roman" w:hAnsi="Times New Roman"/>
          <w:sz w:val="20"/>
          <w:szCs w:val="20"/>
        </w:rPr>
        <w:t>on</w:t>
      </w:r>
      <w:r w:rsidR="00503ECC" w:rsidRPr="00074F84">
        <w:rPr>
          <w:rFonts w:ascii="Times New Roman" w:hAnsi="Times New Roman"/>
          <w:sz w:val="20"/>
          <w:szCs w:val="20"/>
        </w:rPr>
        <w:t xml:space="preserve"> </w:t>
      </w:r>
      <w:r w:rsidRPr="00074F84">
        <w:rPr>
          <w:rFonts w:ascii="Times New Roman" w:hAnsi="Times New Roman"/>
          <w:sz w:val="20"/>
          <w:szCs w:val="20"/>
        </w:rPr>
        <w:t>11 October 2011. Since that date</w:t>
      </w:r>
      <w:r w:rsidR="00CA5A90">
        <w:rPr>
          <w:rFonts w:ascii="Times New Roman" w:hAnsi="Times New Roman"/>
          <w:sz w:val="20"/>
          <w:szCs w:val="20"/>
        </w:rPr>
        <w:t>,</w:t>
      </w:r>
      <w:r w:rsidRPr="00074F84">
        <w:rPr>
          <w:rFonts w:ascii="Times New Roman" w:hAnsi="Times New Roman"/>
          <w:sz w:val="20"/>
          <w:szCs w:val="20"/>
        </w:rPr>
        <w:t xml:space="preserve"> the Company has been managed in such a way as to be able to meet the conditions</w:t>
      </w:r>
      <w:r w:rsidRPr="009170B8">
        <w:rPr>
          <w:rFonts w:ascii="Times New Roman" w:hAnsi="Times New Roman"/>
          <w:sz w:val="20"/>
          <w:szCs w:val="20"/>
        </w:rPr>
        <w:t xml:space="preserve"> for approval as an investment trust under Section 1158 of the Corporation Tax Act 2010. Accordingly, no UK tax has been provided for.  On 7 December 2012</w:t>
      </w:r>
      <w:r w:rsidR="00CA5A90">
        <w:rPr>
          <w:rFonts w:ascii="Times New Roman" w:hAnsi="Times New Roman"/>
          <w:sz w:val="20"/>
          <w:szCs w:val="20"/>
        </w:rPr>
        <w:t>,</w:t>
      </w:r>
      <w:r w:rsidRPr="009170B8">
        <w:rPr>
          <w:rFonts w:ascii="Times New Roman" w:hAnsi="Times New Roman"/>
          <w:sz w:val="20"/>
          <w:szCs w:val="20"/>
        </w:rPr>
        <w:t xml:space="preserve"> the Company received approval from HM Revenue &amp; Customs to be treated as an investment trust in accordance with Section 1158 of the Corporation Tax Act 2010 and will seek to remain so approved.</w:t>
      </w:r>
      <w:bookmarkEnd w:id="74"/>
      <w:bookmarkEnd w:id="75"/>
    </w:p>
    <w:p w:rsidR="008C4453" w:rsidRPr="009170B8" w:rsidRDefault="008C4453" w:rsidP="008875AF">
      <w:pPr>
        <w:ind w:left="284"/>
        <w:jc w:val="both"/>
        <w:rPr>
          <w:rFonts w:ascii="Times New Roman" w:hAnsi="Times New Roman"/>
          <w:sz w:val="20"/>
          <w:szCs w:val="20"/>
        </w:rPr>
      </w:pPr>
    </w:p>
    <w:p w:rsidR="008C4453" w:rsidRPr="009170B8" w:rsidRDefault="008C4453" w:rsidP="008875AF">
      <w:pPr>
        <w:ind w:left="284"/>
        <w:jc w:val="both"/>
        <w:rPr>
          <w:rFonts w:ascii="Times New Roman" w:hAnsi="Times New Roman"/>
          <w:sz w:val="20"/>
          <w:szCs w:val="20"/>
        </w:rPr>
      </w:pPr>
    </w:p>
    <w:p w:rsidR="008C4453" w:rsidRDefault="008C4453"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8C4453">
      <w:pPr>
        <w:jc w:val="center"/>
        <w:rPr>
          <w:rFonts w:ascii="Times New Roman" w:hAnsi="Times New Roman"/>
          <w:sz w:val="20"/>
          <w:szCs w:val="20"/>
        </w:rPr>
      </w:pPr>
    </w:p>
    <w:p w:rsidR="004E6C8C" w:rsidRDefault="004E6C8C" w:rsidP="007E6005">
      <w:pPr>
        <w:rPr>
          <w:rFonts w:ascii="Times New Roman" w:hAnsi="Times New Roman"/>
          <w:sz w:val="20"/>
          <w:szCs w:val="20"/>
        </w:rPr>
      </w:pPr>
    </w:p>
    <w:p w:rsidR="006B2FE8" w:rsidRPr="002C68B1" w:rsidRDefault="006B2FE8" w:rsidP="006B2FE8">
      <w:pPr>
        <w:jc w:val="center"/>
        <w:rPr>
          <w:rFonts w:ascii="Arial" w:hAnsi="Arial" w:cs="Arial"/>
          <w:b/>
          <w:sz w:val="20"/>
          <w:szCs w:val="20"/>
        </w:rPr>
      </w:pPr>
      <w:r w:rsidRPr="002C68B1">
        <w:rPr>
          <w:rFonts w:ascii="Arial" w:hAnsi="Arial" w:cs="Arial"/>
          <w:b/>
          <w:sz w:val="20"/>
          <w:szCs w:val="20"/>
        </w:rPr>
        <w:t>Middlefield Canadian Income</w:t>
      </w:r>
      <w:r>
        <w:rPr>
          <w:rFonts w:ascii="Arial" w:hAnsi="Arial" w:cs="Arial"/>
          <w:b/>
          <w:sz w:val="20"/>
          <w:szCs w:val="20"/>
        </w:rPr>
        <w:t xml:space="preserve"> - GBP</w:t>
      </w:r>
      <w:r w:rsidRPr="002C68B1">
        <w:rPr>
          <w:rFonts w:ascii="Arial" w:hAnsi="Arial" w:cs="Arial"/>
          <w:b/>
          <w:sz w:val="20"/>
          <w:szCs w:val="20"/>
        </w:rPr>
        <w:t xml:space="preserve"> </w:t>
      </w:r>
      <w:r>
        <w:rPr>
          <w:rFonts w:ascii="Arial" w:hAnsi="Arial" w:cs="Arial"/>
          <w:b/>
          <w:sz w:val="20"/>
          <w:szCs w:val="20"/>
        </w:rPr>
        <w:t>PC (the "Cell</w:t>
      </w:r>
      <w:r w:rsidRPr="002C68B1">
        <w:rPr>
          <w:rFonts w:ascii="Arial" w:hAnsi="Arial" w:cs="Arial"/>
          <w:b/>
          <w:sz w:val="20"/>
          <w:szCs w:val="20"/>
        </w:rPr>
        <w:t>”)</w:t>
      </w:r>
    </w:p>
    <w:p w:rsidR="006B2FE8" w:rsidRPr="002C68B1" w:rsidRDefault="006B2FE8" w:rsidP="006B2FE8">
      <w:pPr>
        <w:jc w:val="center"/>
        <w:rPr>
          <w:rFonts w:ascii="Arial" w:hAnsi="Arial" w:cs="Arial"/>
          <w:b/>
          <w:sz w:val="20"/>
          <w:szCs w:val="20"/>
        </w:rPr>
      </w:pPr>
      <w:r w:rsidRPr="002C68B1">
        <w:rPr>
          <w:rFonts w:ascii="Arial" w:hAnsi="Arial" w:cs="Arial"/>
          <w:b/>
          <w:sz w:val="20"/>
          <w:szCs w:val="20"/>
        </w:rPr>
        <w:t>wh</w:t>
      </w:r>
      <w:r>
        <w:rPr>
          <w:rFonts w:ascii="Arial" w:hAnsi="Arial" w:cs="Arial"/>
          <w:b/>
          <w:sz w:val="20"/>
          <w:szCs w:val="20"/>
        </w:rPr>
        <w:t xml:space="preserve">ose registered office is at </w:t>
      </w:r>
      <w:r w:rsidRPr="0060471F">
        <w:rPr>
          <w:rFonts w:ascii="Arial" w:hAnsi="Arial" w:cs="Arial"/>
          <w:b/>
          <w:sz w:val="20"/>
          <w:szCs w:val="20"/>
        </w:rPr>
        <w:t>28 Esplanade, St Helier, Jersey JE2 3QA</w:t>
      </w:r>
    </w:p>
    <w:p w:rsidR="00947C43" w:rsidRDefault="00947C43" w:rsidP="006B2FE8">
      <w:pPr>
        <w:rPr>
          <w:rFonts w:ascii="Arial" w:hAnsi="Arial" w:cs="Arial"/>
          <w:b/>
          <w:sz w:val="20"/>
          <w:szCs w:val="20"/>
        </w:rPr>
      </w:pPr>
    </w:p>
    <w:p w:rsidR="005052CA" w:rsidRPr="00B9124B" w:rsidRDefault="005052CA" w:rsidP="005052CA">
      <w:pPr>
        <w:jc w:val="both"/>
        <w:rPr>
          <w:rFonts w:ascii="Arial" w:hAnsi="Arial" w:cs="Arial"/>
          <w:sz w:val="20"/>
          <w:szCs w:val="20"/>
        </w:rPr>
      </w:pPr>
      <w:r w:rsidRPr="00B9124B">
        <w:rPr>
          <w:rFonts w:ascii="Arial" w:hAnsi="Arial" w:cs="Arial"/>
          <w:sz w:val="20"/>
          <w:szCs w:val="20"/>
        </w:rPr>
        <w:t xml:space="preserve">THIS DOCUMENT IS IMPORTANT </w:t>
      </w:r>
      <w:smartTag w:uri="urn:schemas-microsoft-com:office:smarttags" w:element="stockticker">
        <w:r w:rsidRPr="00B9124B">
          <w:rPr>
            <w:rFonts w:ascii="Arial" w:hAnsi="Arial" w:cs="Arial"/>
            <w:sz w:val="20"/>
            <w:szCs w:val="20"/>
          </w:rPr>
          <w:t>AND</w:t>
        </w:r>
      </w:smartTag>
      <w:r w:rsidRPr="00B9124B">
        <w:rPr>
          <w:rFonts w:ascii="Arial" w:hAnsi="Arial" w:cs="Arial"/>
          <w:sz w:val="20"/>
          <w:szCs w:val="20"/>
        </w:rPr>
        <w:t xml:space="preserve"> REQU</w:t>
      </w:r>
      <w:r>
        <w:rPr>
          <w:rFonts w:ascii="Arial" w:hAnsi="Arial" w:cs="Arial"/>
          <w:sz w:val="20"/>
          <w:szCs w:val="20"/>
        </w:rPr>
        <w:t xml:space="preserve">IRES YOUR IMMEDIATE ATTENTION. </w:t>
      </w:r>
      <w:r w:rsidRPr="00B9124B">
        <w:rPr>
          <w:rFonts w:ascii="Arial" w:hAnsi="Arial" w:cs="Arial"/>
          <w:sz w:val="20"/>
          <w:szCs w:val="20"/>
        </w:rPr>
        <w:t xml:space="preserve">IF YOU </w:t>
      </w:r>
      <w:smartTag w:uri="urn:schemas-microsoft-com:office:smarttags" w:element="stockticker">
        <w:r w:rsidRPr="00B9124B">
          <w:rPr>
            <w:rFonts w:ascii="Arial" w:hAnsi="Arial" w:cs="Arial"/>
            <w:sz w:val="20"/>
            <w:szCs w:val="20"/>
          </w:rPr>
          <w:t>ARE</w:t>
        </w:r>
      </w:smartTag>
      <w:r w:rsidRPr="00B9124B">
        <w:rPr>
          <w:rFonts w:ascii="Arial" w:hAnsi="Arial" w:cs="Arial"/>
          <w:sz w:val="20"/>
          <w:szCs w:val="20"/>
        </w:rPr>
        <w:t xml:space="preserve"> IN ANY DOUBT AS TO WHAT ACTION TO TAKE, YOU SHOULD IMMEDIATELY CONSULT YOUR STOCKBROKER, SOLICITOR, ACCOUNTANT OR OTHER INDEPENDENT ADVISER AUTHORISED UNDER THE FINANCIAL SERVICES </w:t>
      </w:r>
      <w:smartTag w:uri="urn:schemas-microsoft-com:office:smarttags" w:element="stockticker">
        <w:r w:rsidRPr="00B9124B">
          <w:rPr>
            <w:rFonts w:ascii="Arial" w:hAnsi="Arial" w:cs="Arial"/>
            <w:sz w:val="20"/>
            <w:szCs w:val="20"/>
          </w:rPr>
          <w:t>AND</w:t>
        </w:r>
      </w:smartTag>
      <w:r w:rsidRPr="00B9124B">
        <w:rPr>
          <w:rFonts w:ascii="Arial" w:hAnsi="Arial" w:cs="Arial"/>
          <w:sz w:val="20"/>
          <w:szCs w:val="20"/>
        </w:rPr>
        <w:t xml:space="preserve"> MARKETS ACT 2000.</w:t>
      </w:r>
    </w:p>
    <w:p w:rsidR="005052CA" w:rsidRPr="00B9124B" w:rsidRDefault="005052CA" w:rsidP="005052CA">
      <w:pPr>
        <w:jc w:val="both"/>
        <w:rPr>
          <w:rFonts w:ascii="Arial" w:hAnsi="Arial" w:cs="Arial"/>
          <w:sz w:val="20"/>
          <w:szCs w:val="20"/>
        </w:rPr>
      </w:pPr>
    </w:p>
    <w:p w:rsidR="005052CA" w:rsidRPr="00B9124B" w:rsidRDefault="005052CA" w:rsidP="005052CA">
      <w:pPr>
        <w:jc w:val="both"/>
        <w:rPr>
          <w:rFonts w:ascii="Arial" w:hAnsi="Arial" w:cs="Arial"/>
          <w:sz w:val="20"/>
          <w:szCs w:val="20"/>
        </w:rPr>
      </w:pPr>
      <w:r w:rsidRPr="00B9124B">
        <w:rPr>
          <w:rFonts w:ascii="Arial" w:hAnsi="Arial" w:cs="Arial"/>
          <w:sz w:val="20"/>
          <w:szCs w:val="20"/>
        </w:rPr>
        <w:t xml:space="preserve">If you have sold or transferred all of your shares you should pass this document, together with the accompanying form of proxy, to the person through whom the sale or transfer was made for transmission to the purchaser or transferee. </w:t>
      </w:r>
      <w:r>
        <w:rPr>
          <w:rFonts w:ascii="Arial" w:hAnsi="Arial" w:cs="Arial"/>
          <w:sz w:val="20"/>
          <w:szCs w:val="20"/>
        </w:rPr>
        <w:t xml:space="preserve"> If you have sold any part of your holding of shares, please contact your stockbroker, bank or other agent through whom the sale or transfer was effected immediately.</w:t>
      </w:r>
    </w:p>
    <w:p w:rsidR="005052CA" w:rsidRPr="00B9124B" w:rsidRDefault="005052CA" w:rsidP="005052CA">
      <w:pPr>
        <w:jc w:val="both"/>
        <w:rPr>
          <w:rFonts w:ascii="Arial" w:hAnsi="Arial" w:cs="Arial"/>
          <w:sz w:val="20"/>
          <w:szCs w:val="20"/>
        </w:rPr>
      </w:pPr>
    </w:p>
    <w:p w:rsidR="005052CA" w:rsidRPr="00B9124B" w:rsidRDefault="005052CA" w:rsidP="005052CA">
      <w:pPr>
        <w:rPr>
          <w:rFonts w:ascii="Arial" w:hAnsi="Arial" w:cs="Arial"/>
          <w:b/>
          <w:sz w:val="20"/>
          <w:szCs w:val="20"/>
        </w:rPr>
      </w:pPr>
      <w:r w:rsidRPr="00B9124B">
        <w:rPr>
          <w:rFonts w:ascii="Arial" w:hAnsi="Arial" w:cs="Arial"/>
          <w:b/>
          <w:sz w:val="20"/>
          <w:szCs w:val="20"/>
        </w:rPr>
        <w:t xml:space="preserve">Notice of </w:t>
      </w:r>
      <w:r>
        <w:rPr>
          <w:rFonts w:ascii="Arial" w:hAnsi="Arial" w:cs="Arial"/>
          <w:b/>
          <w:sz w:val="20"/>
          <w:szCs w:val="20"/>
        </w:rPr>
        <w:t xml:space="preserve">Cell </w:t>
      </w:r>
      <w:r w:rsidRPr="00B9124B">
        <w:rPr>
          <w:rFonts w:ascii="Arial" w:hAnsi="Arial" w:cs="Arial"/>
          <w:b/>
          <w:sz w:val="20"/>
          <w:szCs w:val="20"/>
        </w:rPr>
        <w:t xml:space="preserve">Annual General Meeting </w:t>
      </w:r>
    </w:p>
    <w:p w:rsidR="005052CA" w:rsidRDefault="005052CA" w:rsidP="005052CA">
      <w:pPr>
        <w:jc w:val="both"/>
        <w:rPr>
          <w:rFonts w:ascii="Arial" w:hAnsi="Arial" w:cs="Arial"/>
          <w:sz w:val="20"/>
          <w:szCs w:val="20"/>
        </w:rPr>
      </w:pPr>
      <w:r w:rsidRPr="00B9124B">
        <w:rPr>
          <w:rFonts w:ascii="Arial" w:hAnsi="Arial" w:cs="Arial"/>
          <w:sz w:val="20"/>
          <w:szCs w:val="20"/>
        </w:rPr>
        <w:t xml:space="preserve">Notice is hereby given that the </w:t>
      </w:r>
      <w:r>
        <w:rPr>
          <w:rFonts w:ascii="Arial" w:hAnsi="Arial" w:cs="Arial"/>
          <w:sz w:val="20"/>
          <w:szCs w:val="20"/>
        </w:rPr>
        <w:t xml:space="preserve">Cell </w:t>
      </w:r>
      <w:r w:rsidRPr="00B9124B">
        <w:rPr>
          <w:rFonts w:ascii="Arial" w:hAnsi="Arial" w:cs="Arial"/>
          <w:sz w:val="20"/>
          <w:szCs w:val="20"/>
        </w:rPr>
        <w:t xml:space="preserve">Annual General Meeting will be held at </w:t>
      </w:r>
      <w:r w:rsidR="006A6718" w:rsidRPr="00A47DA5">
        <w:rPr>
          <w:rFonts w:ascii="Arial" w:hAnsi="Arial" w:cs="Arial"/>
          <w:sz w:val="20"/>
          <w:szCs w:val="20"/>
        </w:rPr>
        <w:t>Green Room 3, The Cumberland Hotel, Great Cumberland Place, Marble Arch, London, W1H 7DL</w:t>
      </w:r>
      <w:r>
        <w:rPr>
          <w:rFonts w:ascii="Arial" w:hAnsi="Arial" w:cs="Arial"/>
          <w:sz w:val="20"/>
        </w:rPr>
        <w:t xml:space="preserve"> </w:t>
      </w:r>
      <w:r>
        <w:rPr>
          <w:rFonts w:ascii="Arial" w:hAnsi="Arial" w:cs="Arial"/>
          <w:sz w:val="20"/>
          <w:szCs w:val="20"/>
        </w:rPr>
        <w:t>on Thursday, 20</w:t>
      </w:r>
      <w:r w:rsidRPr="00B8547D">
        <w:rPr>
          <w:rFonts w:ascii="Arial" w:hAnsi="Arial" w:cs="Arial"/>
          <w:sz w:val="20"/>
          <w:szCs w:val="20"/>
        </w:rPr>
        <w:t xml:space="preserve"> June, 201</w:t>
      </w:r>
      <w:r>
        <w:rPr>
          <w:rFonts w:ascii="Arial" w:hAnsi="Arial" w:cs="Arial"/>
          <w:sz w:val="20"/>
          <w:szCs w:val="20"/>
        </w:rPr>
        <w:t>9</w:t>
      </w:r>
      <w:r>
        <w:rPr>
          <w:rFonts w:ascii="Arial" w:hAnsi="Arial" w:cs="Arial"/>
          <w:b/>
          <w:sz w:val="20"/>
          <w:szCs w:val="20"/>
        </w:rPr>
        <w:t xml:space="preserve"> </w:t>
      </w:r>
      <w:r w:rsidRPr="00B9124B">
        <w:rPr>
          <w:rFonts w:ascii="Arial" w:hAnsi="Arial" w:cs="Arial"/>
          <w:sz w:val="20"/>
          <w:szCs w:val="20"/>
        </w:rPr>
        <w:t>at 1</w:t>
      </w:r>
      <w:r>
        <w:rPr>
          <w:rFonts w:ascii="Arial" w:hAnsi="Arial" w:cs="Arial"/>
          <w:sz w:val="20"/>
          <w:szCs w:val="20"/>
        </w:rPr>
        <w:t>2.00</w:t>
      </w:r>
      <w:r w:rsidRPr="00B9124B">
        <w:rPr>
          <w:rFonts w:ascii="Arial" w:hAnsi="Arial" w:cs="Arial"/>
          <w:sz w:val="20"/>
          <w:szCs w:val="20"/>
        </w:rPr>
        <w:t xml:space="preserve"> </w:t>
      </w:r>
      <w:r>
        <w:rPr>
          <w:rFonts w:ascii="Arial" w:hAnsi="Arial" w:cs="Arial"/>
          <w:sz w:val="20"/>
          <w:szCs w:val="20"/>
        </w:rPr>
        <w:t>p.m. for the following purposes:</w:t>
      </w:r>
    </w:p>
    <w:p w:rsidR="005052CA" w:rsidRDefault="005052CA" w:rsidP="005052CA">
      <w:pPr>
        <w:jc w:val="both"/>
        <w:rPr>
          <w:rFonts w:ascii="Arial" w:hAnsi="Arial" w:cs="Arial"/>
          <w:sz w:val="20"/>
          <w:szCs w:val="20"/>
        </w:rPr>
      </w:pPr>
    </w:p>
    <w:p w:rsidR="005052CA" w:rsidRPr="0045704E" w:rsidRDefault="005052CA" w:rsidP="005052CA">
      <w:pPr>
        <w:jc w:val="both"/>
        <w:rPr>
          <w:rFonts w:ascii="Arial" w:hAnsi="Arial" w:cs="Arial"/>
          <w:b/>
          <w:sz w:val="20"/>
          <w:szCs w:val="20"/>
        </w:rPr>
      </w:pPr>
      <w:r w:rsidRPr="0045704E">
        <w:rPr>
          <w:rFonts w:ascii="Arial" w:hAnsi="Arial" w:cs="Arial"/>
          <w:b/>
          <w:sz w:val="20"/>
          <w:szCs w:val="20"/>
        </w:rPr>
        <w:t>SPECIAL BUSINESS</w:t>
      </w:r>
    </w:p>
    <w:p w:rsidR="005052CA" w:rsidRDefault="005052CA" w:rsidP="005052CA">
      <w:pPr>
        <w:jc w:val="both"/>
        <w:rPr>
          <w:rFonts w:ascii="Arial" w:hAnsi="Arial" w:cs="Arial"/>
          <w:sz w:val="20"/>
          <w:szCs w:val="20"/>
        </w:rPr>
      </w:pPr>
      <w:r>
        <w:rPr>
          <w:rFonts w:ascii="Arial" w:hAnsi="Arial" w:cs="Arial"/>
          <w:sz w:val="20"/>
          <w:szCs w:val="20"/>
        </w:rPr>
        <w:t>To consider and, if thought fit, pass each of the following resolutions as Special Resolutions:</w:t>
      </w:r>
    </w:p>
    <w:p w:rsidR="005052CA" w:rsidRDefault="005052CA" w:rsidP="005052CA">
      <w:pPr>
        <w:jc w:val="both"/>
        <w:rPr>
          <w:rFonts w:ascii="Arial" w:hAnsi="Arial" w:cs="Arial"/>
          <w:sz w:val="20"/>
          <w:szCs w:val="20"/>
        </w:rPr>
      </w:pPr>
    </w:p>
    <w:p w:rsidR="005052CA" w:rsidRDefault="005052CA" w:rsidP="005052CA">
      <w:pPr>
        <w:pStyle w:val="ListParagraph"/>
        <w:numPr>
          <w:ilvl w:val="0"/>
          <w:numId w:val="23"/>
        </w:numPr>
        <w:jc w:val="both"/>
        <w:rPr>
          <w:rFonts w:ascii="Arial" w:hAnsi="Arial" w:cs="Arial"/>
          <w:sz w:val="20"/>
          <w:szCs w:val="20"/>
        </w:rPr>
      </w:pPr>
      <w:r w:rsidRPr="00360214">
        <w:rPr>
          <w:rFonts w:ascii="Arial" w:hAnsi="Arial" w:cs="Arial"/>
          <w:b/>
          <w:sz w:val="20"/>
          <w:szCs w:val="20"/>
        </w:rPr>
        <w:t>THAT</w:t>
      </w:r>
      <w:r>
        <w:rPr>
          <w:rFonts w:ascii="Arial" w:hAnsi="Arial" w:cs="Arial"/>
          <w:sz w:val="20"/>
          <w:szCs w:val="20"/>
        </w:rPr>
        <w:t xml:space="preserve"> in accordance with Article 2.25 of the Cell’s Articles of Association (the “</w:t>
      </w:r>
      <w:r w:rsidRPr="000B19AB">
        <w:rPr>
          <w:rFonts w:ascii="Arial" w:hAnsi="Arial" w:cs="Arial"/>
          <w:b/>
          <w:sz w:val="20"/>
          <w:szCs w:val="20"/>
        </w:rPr>
        <w:t>Articles</w:t>
      </w:r>
      <w:r>
        <w:rPr>
          <w:rFonts w:ascii="Arial" w:hAnsi="Arial" w:cs="Arial"/>
          <w:sz w:val="20"/>
          <w:szCs w:val="20"/>
        </w:rPr>
        <w:t>”) dated 16 May 2013, the Directors be authorised to issue and allot redeemable participating preference shares (“</w:t>
      </w:r>
      <w:r w:rsidRPr="000B19AB">
        <w:rPr>
          <w:rFonts w:ascii="Arial" w:hAnsi="Arial" w:cs="Arial"/>
          <w:b/>
          <w:sz w:val="20"/>
          <w:szCs w:val="20"/>
        </w:rPr>
        <w:t>Shares</w:t>
      </w:r>
      <w:r>
        <w:rPr>
          <w:rFonts w:ascii="Arial" w:hAnsi="Arial" w:cs="Arial"/>
          <w:sz w:val="20"/>
          <w:szCs w:val="20"/>
        </w:rPr>
        <w:t>”) and to sell Shares out of treasury, in each case for cash, pursuant to Article 2.22 of the Articles up to an amount representing 10 per cent of the issued share capital of the Cell as at the date of the Cell Annual General Meeting, as if Article 2.25 did not apply to the allotment or sale out of treasury, provided that such shares shall be allotted or sold for cash at a price which is not less than the net asset value per Share at the time of the issue or sale. This authority shall expire on the earlier of 30 September, 2020 or the conclusion of the next annual general meeting of the Cell, save that the Directors shall be entitled to make offers or agreements before the expiry of such power which would or might require equity securities to be allotted or sold out of treasury after such expiry pursuant to any such offer or agreement as if the power conferred hereby had not expired;</w:t>
      </w:r>
    </w:p>
    <w:p w:rsidR="005052CA" w:rsidRDefault="005052CA" w:rsidP="005052CA">
      <w:pPr>
        <w:pStyle w:val="ListParagraph"/>
        <w:jc w:val="both"/>
        <w:rPr>
          <w:rFonts w:ascii="Arial" w:hAnsi="Arial" w:cs="Arial"/>
          <w:sz w:val="20"/>
          <w:szCs w:val="20"/>
        </w:rPr>
      </w:pPr>
    </w:p>
    <w:p w:rsidR="005052CA" w:rsidRDefault="005052CA" w:rsidP="005052CA">
      <w:pPr>
        <w:pStyle w:val="ListParagraph"/>
        <w:numPr>
          <w:ilvl w:val="0"/>
          <w:numId w:val="23"/>
        </w:numPr>
        <w:jc w:val="both"/>
        <w:rPr>
          <w:rFonts w:ascii="Arial" w:hAnsi="Arial" w:cs="Arial"/>
          <w:sz w:val="20"/>
          <w:szCs w:val="20"/>
        </w:rPr>
      </w:pPr>
      <w:r w:rsidRPr="00360214">
        <w:rPr>
          <w:rFonts w:ascii="Arial" w:hAnsi="Arial" w:cs="Arial"/>
          <w:b/>
          <w:sz w:val="20"/>
          <w:szCs w:val="20"/>
        </w:rPr>
        <w:t>THAT</w:t>
      </w:r>
      <w:r>
        <w:rPr>
          <w:rFonts w:ascii="Arial" w:hAnsi="Arial" w:cs="Arial"/>
          <w:sz w:val="20"/>
          <w:szCs w:val="20"/>
        </w:rPr>
        <w:t xml:space="preserve"> the Directors of the Company be generally and unconditionally authorised:</w:t>
      </w:r>
    </w:p>
    <w:p w:rsidR="005052CA" w:rsidRPr="00E212BC" w:rsidRDefault="005052CA" w:rsidP="005052CA">
      <w:pPr>
        <w:pStyle w:val="ListParagraph"/>
        <w:rPr>
          <w:rFonts w:ascii="Arial" w:hAnsi="Arial" w:cs="Arial"/>
          <w:sz w:val="20"/>
          <w:szCs w:val="20"/>
        </w:rPr>
      </w:pPr>
    </w:p>
    <w:p w:rsidR="005052CA" w:rsidRDefault="005052CA" w:rsidP="005052CA">
      <w:pPr>
        <w:pStyle w:val="ListParagraph"/>
        <w:numPr>
          <w:ilvl w:val="0"/>
          <w:numId w:val="24"/>
        </w:numPr>
        <w:ind w:left="1040"/>
        <w:jc w:val="both"/>
        <w:rPr>
          <w:rFonts w:ascii="Arial" w:hAnsi="Arial" w:cs="Arial"/>
          <w:sz w:val="20"/>
          <w:szCs w:val="20"/>
        </w:rPr>
      </w:pPr>
      <w:r>
        <w:rPr>
          <w:rFonts w:ascii="Arial" w:hAnsi="Arial" w:cs="Arial"/>
          <w:sz w:val="20"/>
          <w:szCs w:val="20"/>
        </w:rPr>
        <w:t>pursuant to Article 57 of the Companies (Jersey) Law (the “Law”) to make market purchases of Shares, provided that:</w:t>
      </w:r>
    </w:p>
    <w:p w:rsidR="005052CA" w:rsidRDefault="005052CA" w:rsidP="005052CA">
      <w:pPr>
        <w:jc w:val="both"/>
        <w:rPr>
          <w:rFonts w:ascii="Arial" w:hAnsi="Arial" w:cs="Arial"/>
          <w:sz w:val="20"/>
          <w:szCs w:val="20"/>
        </w:rPr>
      </w:pPr>
    </w:p>
    <w:p w:rsidR="005052CA" w:rsidRDefault="005052CA" w:rsidP="005052CA">
      <w:pPr>
        <w:pStyle w:val="ListParagraph"/>
        <w:numPr>
          <w:ilvl w:val="0"/>
          <w:numId w:val="25"/>
        </w:numPr>
        <w:jc w:val="both"/>
        <w:rPr>
          <w:rFonts w:ascii="Arial" w:hAnsi="Arial" w:cs="Arial"/>
          <w:sz w:val="20"/>
          <w:szCs w:val="20"/>
        </w:rPr>
      </w:pPr>
      <w:r>
        <w:rPr>
          <w:rFonts w:ascii="Arial" w:hAnsi="Arial" w:cs="Arial"/>
          <w:sz w:val="20"/>
          <w:szCs w:val="20"/>
        </w:rPr>
        <w:t>The maximum number of Shares authorised to be purchased shall be up to an aggregate of 15,962,438 or such number as shall represent 14.99 per cent of the issued share capital of the Cell as at the date of the Cell Annual General Meeting, whichever is less (in each case excluding Shares held in treasury);</w:t>
      </w:r>
    </w:p>
    <w:p w:rsidR="005052CA" w:rsidRPr="00C77B40" w:rsidRDefault="005052CA" w:rsidP="005052CA">
      <w:pPr>
        <w:pStyle w:val="ListParagraph"/>
        <w:ind w:left="1741"/>
        <w:jc w:val="both"/>
        <w:rPr>
          <w:rFonts w:ascii="Arial" w:hAnsi="Arial" w:cs="Arial"/>
          <w:sz w:val="20"/>
          <w:szCs w:val="20"/>
        </w:rPr>
      </w:pPr>
    </w:p>
    <w:p w:rsidR="005052CA" w:rsidRDefault="005052CA" w:rsidP="005052CA">
      <w:pPr>
        <w:pStyle w:val="ListParagraph"/>
        <w:numPr>
          <w:ilvl w:val="0"/>
          <w:numId w:val="25"/>
        </w:numPr>
        <w:jc w:val="both"/>
        <w:rPr>
          <w:rFonts w:ascii="Arial" w:hAnsi="Arial" w:cs="Arial"/>
          <w:sz w:val="20"/>
          <w:szCs w:val="20"/>
        </w:rPr>
      </w:pPr>
      <w:r>
        <w:rPr>
          <w:rFonts w:ascii="Arial" w:hAnsi="Arial" w:cs="Arial"/>
          <w:sz w:val="20"/>
          <w:szCs w:val="20"/>
        </w:rPr>
        <w:t>The minimum price, exclusive of any expenses which may be paid for a Share is £0.01; and</w:t>
      </w:r>
    </w:p>
    <w:p w:rsidR="005052CA" w:rsidRPr="00E212BC" w:rsidRDefault="005052CA" w:rsidP="005052CA">
      <w:pPr>
        <w:pStyle w:val="ListParagraph"/>
        <w:rPr>
          <w:rFonts w:ascii="Arial" w:hAnsi="Arial" w:cs="Arial"/>
          <w:sz w:val="20"/>
          <w:szCs w:val="20"/>
        </w:rPr>
      </w:pPr>
    </w:p>
    <w:p w:rsidR="005052CA" w:rsidRDefault="005052CA" w:rsidP="005052CA">
      <w:pPr>
        <w:pStyle w:val="ListParagraph"/>
        <w:numPr>
          <w:ilvl w:val="0"/>
          <w:numId w:val="25"/>
        </w:numPr>
        <w:jc w:val="both"/>
        <w:rPr>
          <w:rFonts w:ascii="Arial" w:hAnsi="Arial" w:cs="Arial"/>
          <w:sz w:val="20"/>
          <w:szCs w:val="20"/>
        </w:rPr>
      </w:pPr>
      <w:r>
        <w:rPr>
          <w:rFonts w:ascii="Arial" w:hAnsi="Arial" w:cs="Arial"/>
          <w:sz w:val="20"/>
          <w:szCs w:val="20"/>
        </w:rPr>
        <w:t>The maximum price,</w:t>
      </w:r>
      <w:r w:rsidRPr="00B00598">
        <w:rPr>
          <w:rFonts w:ascii="Arial" w:hAnsi="Arial" w:cs="Arial"/>
          <w:sz w:val="20"/>
          <w:szCs w:val="20"/>
        </w:rPr>
        <w:t xml:space="preserve"> </w:t>
      </w:r>
      <w:r>
        <w:rPr>
          <w:rFonts w:ascii="Arial" w:hAnsi="Arial" w:cs="Arial"/>
          <w:sz w:val="20"/>
          <w:szCs w:val="20"/>
        </w:rPr>
        <w:t>exclusive of any expenses, which may be paid for a Share shall be the higher of;</w:t>
      </w:r>
    </w:p>
    <w:p w:rsidR="005052CA" w:rsidRPr="00B00598" w:rsidRDefault="005052CA" w:rsidP="005052CA">
      <w:pPr>
        <w:pStyle w:val="ListParagraph"/>
        <w:rPr>
          <w:rFonts w:ascii="Arial" w:hAnsi="Arial" w:cs="Arial"/>
          <w:sz w:val="20"/>
          <w:szCs w:val="20"/>
        </w:rPr>
      </w:pPr>
    </w:p>
    <w:p w:rsidR="005052CA" w:rsidRDefault="005052CA" w:rsidP="005052CA">
      <w:pPr>
        <w:ind w:left="1740"/>
        <w:jc w:val="both"/>
        <w:rPr>
          <w:rFonts w:ascii="Arial" w:hAnsi="Arial" w:cs="Arial"/>
          <w:sz w:val="20"/>
          <w:szCs w:val="20"/>
        </w:rPr>
      </w:pPr>
      <w:r>
        <w:rPr>
          <w:rFonts w:ascii="Arial" w:hAnsi="Arial" w:cs="Arial"/>
          <w:sz w:val="20"/>
          <w:szCs w:val="20"/>
        </w:rPr>
        <w:t>An amount equal to 105 per cent of the average middle market quotation for Shares (as taken from the Daily Official List of London Stock Exchange plc) for the five business days immediately preceding the day on which such Shares are contracted to be purchased; and the higher of (</w:t>
      </w:r>
      <w:proofErr w:type="spellStart"/>
      <w:r>
        <w:rPr>
          <w:rFonts w:ascii="Arial" w:hAnsi="Arial" w:cs="Arial"/>
          <w:sz w:val="20"/>
          <w:szCs w:val="20"/>
        </w:rPr>
        <w:t>i</w:t>
      </w:r>
      <w:proofErr w:type="spellEnd"/>
      <w:r>
        <w:rPr>
          <w:rFonts w:ascii="Arial" w:hAnsi="Arial" w:cs="Arial"/>
          <w:sz w:val="20"/>
          <w:szCs w:val="20"/>
        </w:rPr>
        <w:t>) the price of the last independent trade and (ii) the highest current independent bid on the London Stock Exchange at the time the purchase is carried out, provided that the Company shall not be authorised to acquire Shares at a price above the prevailing net asset value per Share on the date of purchase; and</w:t>
      </w:r>
    </w:p>
    <w:p w:rsidR="005052CA" w:rsidRDefault="005052CA" w:rsidP="005052CA">
      <w:pPr>
        <w:ind w:left="1644"/>
        <w:jc w:val="both"/>
        <w:rPr>
          <w:rFonts w:ascii="Arial" w:hAnsi="Arial" w:cs="Arial"/>
          <w:sz w:val="20"/>
          <w:szCs w:val="20"/>
        </w:rPr>
      </w:pPr>
    </w:p>
    <w:p w:rsidR="005052CA" w:rsidRDefault="005052CA" w:rsidP="005052CA">
      <w:pPr>
        <w:pStyle w:val="ListParagraph"/>
        <w:numPr>
          <w:ilvl w:val="0"/>
          <w:numId w:val="24"/>
        </w:numPr>
        <w:ind w:left="1040"/>
        <w:jc w:val="both"/>
        <w:rPr>
          <w:rFonts w:ascii="Arial" w:hAnsi="Arial" w:cs="Arial"/>
          <w:sz w:val="20"/>
          <w:szCs w:val="20"/>
        </w:rPr>
      </w:pPr>
      <w:r>
        <w:rPr>
          <w:rFonts w:ascii="Arial" w:hAnsi="Arial" w:cs="Arial"/>
          <w:sz w:val="20"/>
          <w:szCs w:val="20"/>
        </w:rPr>
        <w:t>The authority hereby conferred shall expire on the earlier of 30 September 2020 or the conclusion of the next annual general meeting of the Cell, save that the Directors shall be entitled to make offers or agreements before the expiry of such power which would or might require the market purchase of Shares after such expiry pursuant to any such offer or agreement as if the power conferred hereby had not expired; and</w:t>
      </w:r>
    </w:p>
    <w:p w:rsidR="005052CA" w:rsidRDefault="005052CA" w:rsidP="005052CA">
      <w:pPr>
        <w:pStyle w:val="ListParagraph"/>
        <w:numPr>
          <w:ilvl w:val="0"/>
          <w:numId w:val="24"/>
        </w:numPr>
        <w:ind w:left="1040"/>
        <w:jc w:val="both"/>
        <w:rPr>
          <w:rFonts w:ascii="Arial" w:hAnsi="Arial" w:cs="Arial"/>
          <w:sz w:val="20"/>
          <w:szCs w:val="20"/>
        </w:rPr>
      </w:pPr>
      <w:r>
        <w:rPr>
          <w:rFonts w:ascii="Arial" w:hAnsi="Arial" w:cs="Arial"/>
          <w:sz w:val="20"/>
          <w:szCs w:val="20"/>
        </w:rPr>
        <w:t>Pursuant to Article 58A of the Law to, if the Directors determine in their absolute discretion that it be appropriate or desirable, hold as treasury shares and Shares purchased pursuant to the authority conferred in paragraph (a) of this resolution.</w:t>
      </w:r>
    </w:p>
    <w:p w:rsidR="00947C43" w:rsidRDefault="00947C43" w:rsidP="00B74D7C">
      <w:pPr>
        <w:jc w:val="both"/>
        <w:rPr>
          <w:rFonts w:ascii="Times New Roman" w:hAnsi="Times New Roman"/>
          <w:strike/>
          <w:sz w:val="18"/>
          <w:szCs w:val="18"/>
        </w:rPr>
      </w:pPr>
    </w:p>
    <w:p w:rsidR="005052CA" w:rsidRDefault="005052CA" w:rsidP="005052CA">
      <w:pPr>
        <w:pStyle w:val="ListParagraph"/>
        <w:numPr>
          <w:ilvl w:val="0"/>
          <w:numId w:val="23"/>
        </w:numPr>
        <w:jc w:val="both"/>
        <w:rPr>
          <w:rFonts w:ascii="Arial" w:hAnsi="Arial" w:cs="Arial"/>
          <w:sz w:val="20"/>
          <w:szCs w:val="20"/>
        </w:rPr>
      </w:pPr>
      <w:r w:rsidRPr="00360214">
        <w:rPr>
          <w:rFonts w:ascii="Arial" w:hAnsi="Arial" w:cs="Arial"/>
          <w:b/>
          <w:sz w:val="20"/>
          <w:szCs w:val="20"/>
        </w:rPr>
        <w:t>THAT</w:t>
      </w:r>
      <w:r>
        <w:rPr>
          <w:rFonts w:ascii="Arial" w:hAnsi="Arial" w:cs="Arial"/>
          <w:sz w:val="20"/>
          <w:szCs w:val="20"/>
        </w:rPr>
        <w:t xml:space="preserve"> the new Cell Articles of Association published on the Cell’s website and tabled at the meeting be adopted as the Cell’s Articles of Association in substitution for the Cell’s existing Articles of Association with effect from the date of this Annual General Meeting.</w:t>
      </w:r>
    </w:p>
    <w:p w:rsidR="005052CA" w:rsidRPr="00B9124B" w:rsidRDefault="005052CA" w:rsidP="005052CA">
      <w:pPr>
        <w:jc w:val="both"/>
        <w:rPr>
          <w:rFonts w:ascii="Arial" w:hAnsi="Arial" w:cs="Arial"/>
          <w:sz w:val="20"/>
          <w:szCs w:val="20"/>
        </w:rPr>
      </w:pPr>
    </w:p>
    <w:p w:rsidR="005052CA" w:rsidRPr="00B9124B" w:rsidRDefault="005052CA" w:rsidP="005052CA">
      <w:pPr>
        <w:jc w:val="both"/>
        <w:rPr>
          <w:rFonts w:ascii="Arial" w:hAnsi="Arial" w:cs="Arial"/>
          <w:b/>
          <w:sz w:val="20"/>
          <w:szCs w:val="20"/>
        </w:rPr>
      </w:pPr>
      <w:r w:rsidRPr="00B9124B">
        <w:rPr>
          <w:rFonts w:ascii="Arial" w:hAnsi="Arial" w:cs="Arial"/>
          <w:b/>
          <w:sz w:val="20"/>
          <w:szCs w:val="20"/>
        </w:rPr>
        <w:t>ORDINARY BUSINESS</w:t>
      </w:r>
    </w:p>
    <w:p w:rsidR="005052CA" w:rsidRPr="00B9124B" w:rsidRDefault="005052CA" w:rsidP="005052CA">
      <w:pPr>
        <w:jc w:val="both"/>
        <w:rPr>
          <w:rFonts w:ascii="Arial" w:hAnsi="Arial" w:cs="Arial"/>
          <w:sz w:val="20"/>
          <w:szCs w:val="20"/>
        </w:rPr>
      </w:pPr>
    </w:p>
    <w:p w:rsidR="005052CA" w:rsidRPr="001F5E84" w:rsidRDefault="005052CA" w:rsidP="005052CA">
      <w:pPr>
        <w:jc w:val="both"/>
        <w:rPr>
          <w:rFonts w:ascii="Arial" w:hAnsi="Arial" w:cs="Arial"/>
          <w:sz w:val="20"/>
          <w:szCs w:val="20"/>
        </w:rPr>
      </w:pPr>
      <w:r w:rsidRPr="001F5E84">
        <w:rPr>
          <w:rFonts w:ascii="Arial" w:hAnsi="Arial" w:cs="Arial"/>
          <w:sz w:val="20"/>
          <w:szCs w:val="20"/>
        </w:rPr>
        <w:t>To consider and, if thought fit, pass each of the following resolutions as Ordinary Resolutions:</w:t>
      </w:r>
    </w:p>
    <w:p w:rsidR="005052CA" w:rsidRPr="00B9124B" w:rsidRDefault="005052CA" w:rsidP="005052CA">
      <w:pPr>
        <w:jc w:val="both"/>
        <w:rPr>
          <w:rFonts w:ascii="Arial" w:hAnsi="Arial" w:cs="Arial"/>
          <w:sz w:val="20"/>
          <w:szCs w:val="20"/>
        </w:rPr>
      </w:pPr>
    </w:p>
    <w:p w:rsidR="005052CA" w:rsidRPr="0077075B" w:rsidRDefault="005052CA" w:rsidP="005052CA">
      <w:pPr>
        <w:numPr>
          <w:ilvl w:val="0"/>
          <w:numId w:val="5"/>
        </w:numPr>
        <w:tabs>
          <w:tab w:val="clear" w:pos="720"/>
          <w:tab w:val="num" w:pos="786"/>
        </w:tabs>
        <w:spacing w:line="360" w:lineRule="auto"/>
        <w:ind w:left="714" w:hanging="357"/>
        <w:jc w:val="both"/>
        <w:rPr>
          <w:rFonts w:ascii="Arial" w:hAnsi="Arial" w:cs="Arial"/>
          <w:sz w:val="20"/>
          <w:szCs w:val="20"/>
        </w:rPr>
      </w:pPr>
      <w:r w:rsidRPr="00E7124B">
        <w:rPr>
          <w:rFonts w:ascii="Arial" w:hAnsi="Arial" w:cs="Arial"/>
          <w:sz w:val="20"/>
          <w:szCs w:val="20"/>
        </w:rPr>
        <w:t>T</w:t>
      </w:r>
      <w:r w:rsidRPr="0077075B">
        <w:rPr>
          <w:rFonts w:ascii="Arial" w:hAnsi="Arial" w:cs="Arial"/>
          <w:sz w:val="20"/>
          <w:szCs w:val="20"/>
        </w:rPr>
        <w:t>o receive and adopt the Directors’ Report, Auditor’s Report and Financial Statements for the year ended 31 December 2018.</w:t>
      </w:r>
    </w:p>
    <w:p w:rsidR="005052CA" w:rsidRPr="0077075B" w:rsidRDefault="005052CA" w:rsidP="005052CA">
      <w:pPr>
        <w:numPr>
          <w:ilvl w:val="0"/>
          <w:numId w:val="5"/>
        </w:numPr>
        <w:tabs>
          <w:tab w:val="clear" w:pos="720"/>
          <w:tab w:val="num" w:pos="786"/>
        </w:tabs>
        <w:spacing w:line="360" w:lineRule="auto"/>
        <w:ind w:left="714" w:hanging="357"/>
        <w:jc w:val="both"/>
        <w:rPr>
          <w:rFonts w:ascii="Arial" w:hAnsi="Arial" w:cs="Arial"/>
          <w:sz w:val="20"/>
          <w:szCs w:val="20"/>
        </w:rPr>
      </w:pPr>
      <w:r w:rsidRPr="0077075B">
        <w:rPr>
          <w:rFonts w:ascii="Arial" w:hAnsi="Arial" w:cs="Arial"/>
          <w:sz w:val="20"/>
          <w:szCs w:val="20"/>
        </w:rPr>
        <w:t xml:space="preserve">To re-appoint Deloitte LLP as Auditor of the Cell. </w:t>
      </w:r>
    </w:p>
    <w:p w:rsidR="005052CA" w:rsidRPr="0077075B" w:rsidRDefault="005052CA" w:rsidP="005052CA">
      <w:pPr>
        <w:numPr>
          <w:ilvl w:val="0"/>
          <w:numId w:val="5"/>
        </w:numPr>
        <w:tabs>
          <w:tab w:val="clear" w:pos="720"/>
          <w:tab w:val="num" w:pos="786"/>
        </w:tabs>
        <w:spacing w:line="360" w:lineRule="auto"/>
        <w:ind w:left="714" w:hanging="357"/>
        <w:jc w:val="both"/>
        <w:rPr>
          <w:rFonts w:ascii="Arial" w:hAnsi="Arial" w:cs="Arial"/>
          <w:sz w:val="20"/>
          <w:szCs w:val="20"/>
        </w:rPr>
      </w:pPr>
      <w:r w:rsidRPr="0077075B">
        <w:rPr>
          <w:rFonts w:ascii="Arial" w:hAnsi="Arial" w:cs="Arial"/>
          <w:sz w:val="20"/>
          <w:szCs w:val="20"/>
        </w:rPr>
        <w:t>To authorise the Directors to determine the Auditor’s remuneration.</w:t>
      </w:r>
    </w:p>
    <w:p w:rsidR="005052CA" w:rsidRPr="0077075B" w:rsidRDefault="005052CA" w:rsidP="005052CA">
      <w:pPr>
        <w:numPr>
          <w:ilvl w:val="0"/>
          <w:numId w:val="4"/>
        </w:numPr>
        <w:tabs>
          <w:tab w:val="clear" w:pos="720"/>
          <w:tab w:val="num" w:pos="786"/>
        </w:tabs>
        <w:spacing w:line="360" w:lineRule="auto"/>
        <w:ind w:left="714" w:hanging="357"/>
        <w:jc w:val="both"/>
        <w:rPr>
          <w:rFonts w:ascii="Arial" w:hAnsi="Arial" w:cs="Arial"/>
          <w:sz w:val="20"/>
          <w:szCs w:val="20"/>
          <w:u w:val="double"/>
        </w:rPr>
      </w:pPr>
      <w:r w:rsidRPr="0077075B">
        <w:rPr>
          <w:rFonts w:ascii="Arial" w:hAnsi="Arial" w:cs="Arial"/>
          <w:sz w:val="20"/>
          <w:szCs w:val="20"/>
        </w:rPr>
        <w:t>To approve the Directors' remuneration as set out on page 19</w:t>
      </w:r>
      <w:r w:rsidRPr="00E7124B">
        <w:rPr>
          <w:rFonts w:ascii="Arial" w:hAnsi="Arial" w:cs="Arial"/>
          <w:sz w:val="20"/>
          <w:szCs w:val="20"/>
        </w:rPr>
        <w:t xml:space="preserve"> of the Annual Audited Financial R</w:t>
      </w:r>
      <w:r w:rsidRPr="0077075B">
        <w:rPr>
          <w:rFonts w:ascii="Arial" w:hAnsi="Arial" w:cs="Arial"/>
          <w:sz w:val="20"/>
          <w:szCs w:val="20"/>
        </w:rPr>
        <w:t xml:space="preserve">eport for the year ended 31 December 2018. </w:t>
      </w:r>
    </w:p>
    <w:p w:rsidR="005052CA" w:rsidRPr="0077075B" w:rsidRDefault="005052CA" w:rsidP="005052CA">
      <w:pPr>
        <w:numPr>
          <w:ilvl w:val="0"/>
          <w:numId w:val="4"/>
        </w:numPr>
        <w:overflowPunct w:val="0"/>
        <w:autoSpaceDE w:val="0"/>
        <w:autoSpaceDN w:val="0"/>
        <w:adjustRightInd w:val="0"/>
        <w:spacing w:line="360" w:lineRule="auto"/>
        <w:jc w:val="both"/>
        <w:textAlignment w:val="baseline"/>
        <w:rPr>
          <w:rFonts w:ascii="Arial" w:hAnsi="Arial" w:cs="Arial"/>
          <w:color w:val="0000FF"/>
          <w:sz w:val="20"/>
          <w:szCs w:val="20"/>
          <w:u w:val="double"/>
        </w:rPr>
      </w:pPr>
      <w:r w:rsidRPr="0077075B">
        <w:rPr>
          <w:rFonts w:ascii="Arial" w:hAnsi="Arial" w:cs="Arial"/>
          <w:sz w:val="20"/>
          <w:szCs w:val="20"/>
        </w:rPr>
        <w:t>To approve the dividend policy of the Company as set out on page 10</w:t>
      </w:r>
      <w:r w:rsidRPr="00E7124B">
        <w:rPr>
          <w:rFonts w:ascii="Arial" w:hAnsi="Arial" w:cs="Arial"/>
          <w:sz w:val="20"/>
          <w:szCs w:val="20"/>
        </w:rPr>
        <w:t xml:space="preserve"> of the Annual Audited Financial Report for the year e</w:t>
      </w:r>
      <w:r w:rsidRPr="0077075B">
        <w:rPr>
          <w:rFonts w:ascii="Arial" w:hAnsi="Arial" w:cs="Arial"/>
          <w:sz w:val="20"/>
          <w:szCs w:val="20"/>
        </w:rPr>
        <w:t>nded 31 December 2018.</w:t>
      </w:r>
    </w:p>
    <w:p w:rsidR="005052CA" w:rsidRPr="0077075B" w:rsidRDefault="005052CA" w:rsidP="005052CA">
      <w:pPr>
        <w:jc w:val="both"/>
        <w:rPr>
          <w:rFonts w:ascii="Arial" w:hAnsi="Arial" w:cs="Arial"/>
          <w:sz w:val="20"/>
          <w:szCs w:val="20"/>
        </w:rPr>
      </w:pPr>
    </w:p>
    <w:p w:rsidR="005052CA" w:rsidRPr="0077075B" w:rsidRDefault="005052CA" w:rsidP="005052CA">
      <w:pPr>
        <w:overflowPunct w:val="0"/>
        <w:autoSpaceDE w:val="0"/>
        <w:autoSpaceDN w:val="0"/>
        <w:adjustRightInd w:val="0"/>
        <w:jc w:val="both"/>
        <w:textAlignment w:val="baseline"/>
        <w:rPr>
          <w:rFonts w:ascii="Arial" w:hAnsi="Arial" w:cs="Arial"/>
          <w:sz w:val="20"/>
          <w:szCs w:val="20"/>
        </w:rPr>
      </w:pPr>
      <w:r w:rsidRPr="0077075B">
        <w:rPr>
          <w:rFonts w:ascii="Arial" w:hAnsi="Arial" w:cs="Arial"/>
          <w:sz w:val="20"/>
          <w:szCs w:val="20"/>
        </w:rPr>
        <w:t>By order of the Board</w:t>
      </w:r>
    </w:p>
    <w:p w:rsidR="005052CA" w:rsidRPr="0077075B" w:rsidRDefault="005052CA" w:rsidP="005052CA">
      <w:pPr>
        <w:rPr>
          <w:rFonts w:ascii="Arial" w:hAnsi="Arial" w:cs="Arial"/>
          <w:sz w:val="20"/>
          <w:szCs w:val="20"/>
        </w:rPr>
      </w:pPr>
      <w:r w:rsidRPr="0077075B">
        <w:rPr>
          <w:rFonts w:ascii="Arial" w:hAnsi="Arial" w:cs="Arial"/>
          <w:sz w:val="20"/>
          <w:szCs w:val="20"/>
        </w:rPr>
        <w:t>JTC Fund Solutions (Guernsey) Limited</w:t>
      </w:r>
    </w:p>
    <w:p w:rsidR="005052CA" w:rsidRPr="0077075B" w:rsidRDefault="005052CA" w:rsidP="005052CA">
      <w:pPr>
        <w:rPr>
          <w:rFonts w:ascii="Arial" w:hAnsi="Arial" w:cs="Arial"/>
          <w:sz w:val="20"/>
          <w:szCs w:val="20"/>
        </w:rPr>
      </w:pPr>
      <w:r w:rsidRPr="0077075B">
        <w:rPr>
          <w:rFonts w:ascii="Arial" w:hAnsi="Arial" w:cs="Arial"/>
          <w:sz w:val="20"/>
          <w:szCs w:val="20"/>
        </w:rPr>
        <w:t>as Assistant Secretary</w:t>
      </w:r>
    </w:p>
    <w:p w:rsidR="006A6718" w:rsidRDefault="0077075B" w:rsidP="00F9062B">
      <w:pPr>
        <w:jc w:val="both"/>
        <w:rPr>
          <w:rFonts w:ascii="Arial" w:hAnsi="Arial" w:cs="Arial"/>
          <w:sz w:val="20"/>
          <w:szCs w:val="20"/>
        </w:rPr>
      </w:pPr>
      <w:r w:rsidRPr="0077075B">
        <w:rPr>
          <w:rFonts w:ascii="Arial" w:hAnsi="Arial" w:cs="Arial"/>
          <w:sz w:val="20"/>
          <w:szCs w:val="20"/>
        </w:rPr>
        <w:t>11</w:t>
      </w:r>
      <w:r w:rsidR="005052CA" w:rsidRPr="0077075B">
        <w:rPr>
          <w:rFonts w:ascii="Arial" w:hAnsi="Arial" w:cs="Arial"/>
          <w:sz w:val="20"/>
          <w:szCs w:val="20"/>
        </w:rPr>
        <w:t xml:space="preserve"> April 2019</w:t>
      </w:r>
    </w:p>
    <w:p w:rsidR="006A6718" w:rsidRDefault="006A6718" w:rsidP="00F9062B">
      <w:pPr>
        <w:jc w:val="both"/>
        <w:rPr>
          <w:rFonts w:ascii="Arial" w:hAnsi="Arial" w:cs="Arial"/>
          <w:sz w:val="20"/>
          <w:szCs w:val="20"/>
        </w:rPr>
      </w:pPr>
    </w:p>
    <w:p w:rsidR="005052CA" w:rsidRDefault="006A6718" w:rsidP="00F9062B">
      <w:pPr>
        <w:jc w:val="both"/>
        <w:rPr>
          <w:rFonts w:ascii="Arial" w:hAnsi="Arial" w:cs="Arial"/>
          <w:b/>
          <w:sz w:val="20"/>
          <w:szCs w:val="20"/>
        </w:rPr>
      </w:pPr>
      <w:r w:rsidRPr="00F9062B">
        <w:rPr>
          <w:rFonts w:ascii="Arial" w:hAnsi="Arial" w:cs="Arial"/>
          <w:b/>
          <w:sz w:val="20"/>
          <w:szCs w:val="20"/>
        </w:rPr>
        <w:t>Notes:</w:t>
      </w:r>
    </w:p>
    <w:p w:rsidR="006A6718" w:rsidRDefault="006A6718" w:rsidP="006A6718">
      <w:pPr>
        <w:keepNext/>
        <w:numPr>
          <w:ilvl w:val="0"/>
          <w:numId w:val="26"/>
        </w:numPr>
        <w:ind w:left="360"/>
        <w:jc w:val="both"/>
        <w:rPr>
          <w:rFonts w:ascii="Arial" w:hAnsi="Arial" w:cs="Arial"/>
          <w:sz w:val="16"/>
          <w:szCs w:val="16"/>
        </w:rPr>
      </w:pPr>
      <w:r w:rsidRPr="0077075B">
        <w:rPr>
          <w:rFonts w:ascii="Arial" w:hAnsi="Arial" w:cs="Arial"/>
          <w:sz w:val="16"/>
          <w:szCs w:val="16"/>
        </w:rPr>
        <w:t>A holder of redeemable participating preference shares of no par value in the capital of the Cell (“Shares”) entitled to attend and vote at the Meeting is entitled to appoint one or more proxies to attend and vote instead of him. A proxy need not be a holder of Shares. For the convenience of Shareholders who may be unable to attend the Meeting, a form of proxy accompanies this document. To be valid, the form of proxy should be completed in accordance with the instructions printed on it and sent, so as to reach Link Asset Services</w:t>
      </w:r>
      <w:r>
        <w:rPr>
          <w:rFonts w:ascii="Arial" w:hAnsi="Arial" w:cs="Arial"/>
          <w:sz w:val="16"/>
          <w:szCs w:val="16"/>
        </w:rPr>
        <w:t xml:space="preserve"> Limited</w:t>
      </w:r>
      <w:r w:rsidRPr="0077075B">
        <w:rPr>
          <w:rFonts w:ascii="Arial" w:hAnsi="Arial" w:cs="Arial"/>
          <w:sz w:val="16"/>
          <w:szCs w:val="16"/>
        </w:rPr>
        <w:t>, PXS, The Registry, 34 Beckenham Road, Beckenham, Kent BR3 4TU by no later than 48 hours</w:t>
      </w:r>
      <w:r w:rsidRPr="005052CA">
        <w:rPr>
          <w:rFonts w:ascii="Arial" w:hAnsi="Arial" w:cs="Arial"/>
          <w:sz w:val="16"/>
          <w:szCs w:val="16"/>
        </w:rPr>
        <w:t xml:space="preserve"> before the time fixed for the Meeting. The fact that holders of Shares may have completed forms of proxy will not prevent them from attending and voting in person at the Meeting should they subsequently decide to do so.</w:t>
      </w:r>
    </w:p>
    <w:p w:rsidR="006A6718" w:rsidRPr="005052CA" w:rsidRDefault="006A6718" w:rsidP="006A6718">
      <w:pPr>
        <w:keepNext/>
        <w:numPr>
          <w:ilvl w:val="0"/>
          <w:numId w:val="26"/>
        </w:numPr>
        <w:ind w:left="360"/>
        <w:jc w:val="both"/>
        <w:rPr>
          <w:rFonts w:ascii="Arial" w:hAnsi="Arial" w:cs="Arial"/>
          <w:sz w:val="16"/>
          <w:szCs w:val="16"/>
        </w:rPr>
      </w:pPr>
      <w:r w:rsidRPr="00E7124B">
        <w:rPr>
          <w:rFonts w:ascii="Arial" w:hAnsi="Arial" w:cs="Arial"/>
          <w:sz w:val="16"/>
          <w:szCs w:val="16"/>
        </w:rPr>
        <w:t xml:space="preserve">The quorum for the Meeting is at least two Shareholders present in person or by proxy or by attorney.  The majority required for the passing of the Cell ordinary resolutions is a simple majority (or more) and for the Cell special resolutions is two </w:t>
      </w:r>
      <w:r w:rsidRPr="005052CA">
        <w:rPr>
          <w:rFonts w:ascii="Arial" w:hAnsi="Arial" w:cs="Arial"/>
          <w:sz w:val="16"/>
          <w:szCs w:val="16"/>
        </w:rPr>
        <w:t>thirds (or more) of the total number of votes cast for and against the resolution.</w:t>
      </w:r>
    </w:p>
    <w:p w:rsidR="006A6718" w:rsidRPr="00E322C8" w:rsidRDefault="006A6718" w:rsidP="006A6718">
      <w:pPr>
        <w:keepNext/>
        <w:numPr>
          <w:ilvl w:val="0"/>
          <w:numId w:val="26"/>
        </w:numPr>
        <w:ind w:left="360"/>
        <w:jc w:val="both"/>
        <w:rPr>
          <w:rFonts w:ascii="Arial" w:hAnsi="Arial" w:cs="Arial"/>
          <w:sz w:val="16"/>
          <w:szCs w:val="16"/>
        </w:rPr>
      </w:pPr>
      <w:r w:rsidRPr="00E322C8">
        <w:rPr>
          <w:rFonts w:ascii="Arial" w:hAnsi="Arial" w:cs="Arial"/>
          <w:sz w:val="16"/>
          <w:szCs w:val="16"/>
        </w:rPr>
        <w:t>If, within half an hour from the appointed time for the Meeting, a quorum is not present, then the Meeting will be adjourned to the same day at the same time and address in the next week or if that date is a public holiday in the UK to the next working day thereafter at the same time and address.  At that adjourned meeting, if a quorum is not present within half an hour from the time appointed for the holding of the meeting, those Shareholders present in person or by proxy or by attorney will form a quorum whatever their number and the number of Shares held by them.  Again, the majority required for the passing of the Cell ordinary resolutions is a simple majority (or more) and for the Cell special resolutions two thirds (or more) of the total number of votes cast for and against the resolution.</w:t>
      </w:r>
    </w:p>
    <w:p w:rsidR="006A6718" w:rsidRPr="00E322C8" w:rsidRDefault="006A6718" w:rsidP="006A6718">
      <w:pPr>
        <w:keepNext/>
        <w:numPr>
          <w:ilvl w:val="0"/>
          <w:numId w:val="26"/>
        </w:numPr>
        <w:ind w:left="360"/>
        <w:jc w:val="both"/>
        <w:rPr>
          <w:rFonts w:ascii="Arial" w:hAnsi="Arial" w:cs="Arial"/>
          <w:sz w:val="16"/>
          <w:szCs w:val="16"/>
        </w:rPr>
      </w:pPr>
      <w:r w:rsidRPr="00E322C8">
        <w:rPr>
          <w:rFonts w:ascii="Arial" w:hAnsi="Arial" w:cs="Arial"/>
          <w:sz w:val="16"/>
          <w:szCs w:val="16"/>
        </w:rPr>
        <w:t>In the event that a form of proxy is returned without an indication as to how the proxy shall vote on the resolutions, the proxy will exercise his discretion as to whether, and if so how, he votes.</w:t>
      </w:r>
    </w:p>
    <w:p w:rsidR="006A6718" w:rsidRPr="00E322C8" w:rsidRDefault="006A6718" w:rsidP="006A6718">
      <w:pPr>
        <w:keepNext/>
        <w:numPr>
          <w:ilvl w:val="0"/>
          <w:numId w:val="26"/>
        </w:numPr>
        <w:ind w:left="360"/>
        <w:jc w:val="both"/>
        <w:rPr>
          <w:rFonts w:ascii="Arial" w:hAnsi="Arial" w:cs="Arial"/>
          <w:sz w:val="16"/>
          <w:szCs w:val="16"/>
        </w:rPr>
      </w:pPr>
      <w:r w:rsidRPr="00E322C8">
        <w:rPr>
          <w:rFonts w:ascii="Arial" w:hAnsi="Arial" w:cs="Arial"/>
          <w:sz w:val="16"/>
          <w:szCs w:val="16"/>
        </w:rPr>
        <w:t>CREST members who wish to appoint a proxy or proxies through the CREST electronic proxy appointment service may do so for the Meeting and any adjournment(s) thereof by using the procedures described in the CREST Manual. CREST Personal Members or other CREST sponsored members, and those CREST members who have appointed a voting service provider(s), should refer to their CREST sponsor or voting service provider(s), who will be able to take the appropriate action on their behalf.</w:t>
      </w:r>
    </w:p>
    <w:p w:rsidR="006A6718" w:rsidRPr="006A6718" w:rsidRDefault="006A6718">
      <w:pPr>
        <w:keepNext/>
        <w:numPr>
          <w:ilvl w:val="0"/>
          <w:numId w:val="26"/>
        </w:numPr>
        <w:ind w:left="360"/>
        <w:jc w:val="both"/>
        <w:rPr>
          <w:rFonts w:ascii="Arial" w:hAnsi="Arial" w:cs="Arial"/>
          <w:sz w:val="16"/>
          <w:szCs w:val="16"/>
        </w:rPr>
      </w:pPr>
      <w:r w:rsidRPr="006A6718">
        <w:rPr>
          <w:rFonts w:ascii="Arial" w:hAnsi="Arial" w:cs="Arial"/>
          <w:sz w:val="16"/>
          <w:szCs w:val="16"/>
        </w:rPr>
        <w:t xml:space="preserve">In order for a proxy appointment or instruction made using the CREST service to be valid, the appropriate CREST message (a </w:t>
      </w:r>
      <w:r w:rsidRPr="006A6718">
        <w:rPr>
          <w:rFonts w:ascii="Arial" w:hAnsi="Arial" w:cs="Arial"/>
          <w:b/>
          <w:sz w:val="16"/>
          <w:szCs w:val="16"/>
        </w:rPr>
        <w:t>CREST Proxy Instruction</w:t>
      </w:r>
      <w:r w:rsidRPr="006A6718">
        <w:rPr>
          <w:rFonts w:ascii="Arial" w:hAnsi="Arial" w:cs="Arial"/>
          <w:sz w:val="16"/>
          <w:szCs w:val="16"/>
        </w:rPr>
        <w:t xml:space="preserve">) must be properly authenticated in accordance with </w:t>
      </w:r>
      <w:proofErr w:type="spellStart"/>
      <w:r w:rsidRPr="006A6718">
        <w:rPr>
          <w:rFonts w:ascii="Arial" w:hAnsi="Arial" w:cs="Arial"/>
          <w:sz w:val="16"/>
          <w:szCs w:val="16"/>
        </w:rPr>
        <w:t>Euroclear</w:t>
      </w:r>
      <w:proofErr w:type="spellEnd"/>
      <w:r w:rsidRPr="006A6718">
        <w:rPr>
          <w:rFonts w:ascii="Arial" w:hAnsi="Arial" w:cs="Arial"/>
          <w:sz w:val="16"/>
          <w:szCs w:val="16"/>
        </w:rPr>
        <w:t xml:space="preserve"> UK &amp; Ireland Limited’s specifications and must contain the information required for such instruction, as described in the CREST Manual (available via www.euroclear.com/CREST). The message, regardless of whether it constitutes the appointment of a proxy or is an amendment to the instruction given to a previously appointed proxy must, in order to be valid, be transmitted so as to be received by Link Asset Services Limited by the latest time(s) for receipt of proxy appointments specified in note (2) above.  For this purpose, the time of receipt will be taken to be the time (as determined by the time stamp applied to the message by the CREST Application Host) from which the issuer's agent is able to retrieve the message by enquiry to CREST in the manner prescribed by CREST.  After this time, any change of instructions to proxies appointed through CREST should be communicated to the appointee through other means.</w:t>
      </w:r>
    </w:p>
    <w:p w:rsidR="006A6718" w:rsidRPr="00F9062B" w:rsidRDefault="006A6718" w:rsidP="00F9062B">
      <w:pPr>
        <w:jc w:val="both"/>
        <w:rPr>
          <w:rFonts w:ascii="Arial" w:hAnsi="Arial" w:cs="Arial"/>
          <w:sz w:val="16"/>
          <w:szCs w:val="16"/>
        </w:rPr>
      </w:pPr>
    </w:p>
    <w:p w:rsidR="006A6718" w:rsidRPr="00E322C8" w:rsidRDefault="006A6718" w:rsidP="006A6718">
      <w:pPr>
        <w:keepNext/>
        <w:numPr>
          <w:ilvl w:val="0"/>
          <w:numId w:val="26"/>
        </w:numPr>
        <w:ind w:left="360"/>
        <w:jc w:val="both"/>
        <w:rPr>
          <w:rFonts w:ascii="Arial" w:hAnsi="Arial" w:cs="Arial"/>
          <w:sz w:val="16"/>
          <w:szCs w:val="16"/>
        </w:rPr>
      </w:pPr>
      <w:r w:rsidRPr="00E322C8">
        <w:rPr>
          <w:rFonts w:ascii="Arial" w:hAnsi="Arial" w:cs="Arial"/>
          <w:sz w:val="16"/>
          <w:szCs w:val="16"/>
        </w:rPr>
        <w:t xml:space="preserve">CREST members and, where applicable, their CREST sponsors or voting service providers should note that </w:t>
      </w:r>
      <w:proofErr w:type="spellStart"/>
      <w:r w:rsidRPr="00E322C8">
        <w:rPr>
          <w:rFonts w:ascii="Arial" w:hAnsi="Arial" w:cs="Arial"/>
          <w:sz w:val="16"/>
          <w:szCs w:val="16"/>
        </w:rPr>
        <w:t>Euroclear</w:t>
      </w:r>
      <w:proofErr w:type="spellEnd"/>
      <w:r w:rsidRPr="00E322C8">
        <w:rPr>
          <w:rFonts w:ascii="Arial" w:hAnsi="Arial" w:cs="Arial"/>
          <w:sz w:val="16"/>
          <w:szCs w:val="16"/>
        </w:rPr>
        <w:t xml:space="preserve"> UK &amp; Ireland Limited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w:t>
      </w:r>
    </w:p>
    <w:p w:rsidR="006A6718" w:rsidRPr="00E322C8" w:rsidRDefault="006A6718" w:rsidP="006A6718">
      <w:pPr>
        <w:keepNext/>
        <w:numPr>
          <w:ilvl w:val="0"/>
          <w:numId w:val="26"/>
        </w:numPr>
        <w:ind w:left="360"/>
        <w:jc w:val="both"/>
        <w:rPr>
          <w:rFonts w:ascii="Arial" w:hAnsi="Arial" w:cs="Arial"/>
          <w:sz w:val="16"/>
          <w:szCs w:val="16"/>
        </w:rPr>
      </w:pPr>
      <w:r w:rsidRPr="00E322C8">
        <w:rPr>
          <w:rFonts w:ascii="Arial" w:hAnsi="Arial" w:cs="Arial"/>
          <w:sz w:val="16"/>
          <w:szCs w:val="16"/>
        </w:rPr>
        <w:t>The Cell may treat as invalid a CREST Proxy Instruction in the circumstances set out in Article 34 of the Companies (Uncertificated Securities) (Jersey) Order 1999.</w:t>
      </w:r>
    </w:p>
    <w:p w:rsidR="006A6718" w:rsidRDefault="006A6718" w:rsidP="006A6718">
      <w:pPr>
        <w:keepNext/>
        <w:numPr>
          <w:ilvl w:val="0"/>
          <w:numId w:val="26"/>
        </w:numPr>
        <w:ind w:left="360"/>
        <w:jc w:val="both"/>
        <w:rPr>
          <w:rFonts w:ascii="Arial" w:hAnsi="Arial" w:cs="Arial"/>
          <w:sz w:val="16"/>
          <w:szCs w:val="16"/>
        </w:rPr>
      </w:pPr>
      <w:r w:rsidRPr="00E322C8">
        <w:rPr>
          <w:rFonts w:ascii="Arial" w:hAnsi="Arial" w:cs="Arial"/>
          <w:sz w:val="16"/>
          <w:szCs w:val="16"/>
        </w:rPr>
        <w:t xml:space="preserve">The Cell, pursuant to regulation 40 of the (Companies Uncertificated Securities) (Jersey) Order 1999 (as amended), specifies that only holders of Shares registered in the register of members of the Cell on the close of </w:t>
      </w:r>
      <w:r w:rsidRPr="00F820C2">
        <w:rPr>
          <w:rFonts w:ascii="Arial" w:hAnsi="Arial" w:cs="Arial"/>
          <w:sz w:val="16"/>
          <w:szCs w:val="16"/>
        </w:rPr>
        <w:t>business on 18 June 2019 shall</w:t>
      </w:r>
      <w:r w:rsidRPr="00E322C8">
        <w:rPr>
          <w:rFonts w:ascii="Arial" w:hAnsi="Arial" w:cs="Arial"/>
          <w:sz w:val="16"/>
          <w:szCs w:val="16"/>
        </w:rPr>
        <w:t xml:space="preserve"> be entitled to attend or vote at the Meeting in respect of the number of Shares registered in their name at that time or in the event that the Meeting is adjourned, in the register of members at the close of business two days before the date of the adjourned Meeting. Changes to entries on the register of members after such time or, in the event that the Meeting is adjourned, to entries in the register of members after the close of business two days before the date of the adjourned Meeting, shall be disregarded in determining the rights of any person to attend or vote at the Meeting.</w:t>
      </w:r>
    </w:p>
    <w:p w:rsidR="005052CA" w:rsidRPr="00E322C8" w:rsidRDefault="005052CA" w:rsidP="005052CA">
      <w:pPr>
        <w:keepNext/>
        <w:numPr>
          <w:ilvl w:val="0"/>
          <w:numId w:val="26"/>
        </w:numPr>
        <w:ind w:left="360"/>
        <w:jc w:val="both"/>
        <w:rPr>
          <w:rFonts w:ascii="Arial" w:hAnsi="Arial" w:cs="Arial"/>
          <w:sz w:val="16"/>
          <w:szCs w:val="16"/>
        </w:rPr>
      </w:pPr>
      <w:r>
        <w:rPr>
          <w:rFonts w:ascii="Arial" w:hAnsi="Arial" w:cs="Arial"/>
          <w:sz w:val="16"/>
          <w:szCs w:val="18"/>
        </w:rPr>
        <w:t xml:space="preserve">A copy of the Cell Articles of Association, as proposed to be amended, together with a comparison showing all changes to the existing Cell Articles of Association, have been uploaded to the Cell’s website </w:t>
      </w:r>
      <w:hyperlink r:id="rId24" w:history="1">
        <w:r w:rsidRPr="007E701D">
          <w:rPr>
            <w:rStyle w:val="Hyperlink"/>
            <w:rFonts w:ascii="Arial" w:hAnsi="Arial" w:cs="Arial"/>
            <w:sz w:val="16"/>
            <w:szCs w:val="18"/>
          </w:rPr>
          <w:t>http://www.middlefield.co.uk/mcit.htm</w:t>
        </w:r>
      </w:hyperlink>
      <w:r>
        <w:rPr>
          <w:rFonts w:ascii="Arial" w:hAnsi="Arial" w:cs="Arial"/>
          <w:sz w:val="16"/>
          <w:szCs w:val="18"/>
        </w:rPr>
        <w:t xml:space="preserve"> and will be available for inspection at the Cell Annual General Meeting.  Electronic copies can also be requested from the Assistant Secretary by e-mail to </w:t>
      </w:r>
      <w:hyperlink r:id="rId25" w:history="1">
        <w:r w:rsidRPr="00D566D8">
          <w:rPr>
            <w:rStyle w:val="Hyperlink"/>
            <w:rFonts w:ascii="Arial" w:hAnsi="Arial" w:cs="Arial"/>
            <w:sz w:val="16"/>
            <w:szCs w:val="18"/>
          </w:rPr>
          <w:t>fundservicesgsy@jtcgroup.com</w:t>
        </w:r>
      </w:hyperlink>
      <w:r>
        <w:rPr>
          <w:rFonts w:ascii="Arial" w:hAnsi="Arial" w:cs="Arial"/>
          <w:sz w:val="16"/>
          <w:szCs w:val="18"/>
        </w:rPr>
        <w:t>.  They will also be available for inspection (</w:t>
      </w:r>
      <w:proofErr w:type="spellStart"/>
      <w:r>
        <w:rPr>
          <w:rFonts w:ascii="Arial" w:hAnsi="Arial" w:cs="Arial"/>
          <w:sz w:val="16"/>
          <w:szCs w:val="18"/>
        </w:rPr>
        <w:t>i</w:t>
      </w:r>
      <w:proofErr w:type="spellEnd"/>
      <w:r>
        <w:rPr>
          <w:rFonts w:ascii="Arial" w:hAnsi="Arial" w:cs="Arial"/>
          <w:sz w:val="16"/>
          <w:szCs w:val="18"/>
        </w:rPr>
        <w:t xml:space="preserve">) from the date of this notice until the conclusion of the Cell Annual General Meeting at the registered offices of Middlefield International Limited and the Company and Cell and (ii) at the place of the Cell Annual General Meeting for at least 15 minutes before and during the meeting. </w:t>
      </w:r>
    </w:p>
    <w:p w:rsidR="005052CA" w:rsidRPr="001A7C5C" w:rsidRDefault="005052CA" w:rsidP="005052CA">
      <w:pPr>
        <w:rPr>
          <w:rFonts w:ascii="Times New Roman" w:hAnsi="Times New Roman"/>
          <w:sz w:val="16"/>
          <w:szCs w:val="16"/>
          <w:lang w:eastAsia="en-GB"/>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5052CA" w:rsidRDefault="005052CA" w:rsidP="00B74D7C">
      <w:pPr>
        <w:jc w:val="both"/>
        <w:rPr>
          <w:rFonts w:ascii="Times New Roman" w:hAnsi="Times New Roman"/>
          <w:strike/>
          <w:sz w:val="18"/>
          <w:szCs w:val="18"/>
        </w:rPr>
      </w:pPr>
    </w:p>
    <w:p w:rsidR="005052CA" w:rsidRDefault="005052CA" w:rsidP="00B74D7C">
      <w:pPr>
        <w:jc w:val="both"/>
        <w:rPr>
          <w:rFonts w:ascii="Times New Roman" w:hAnsi="Times New Roman"/>
          <w:strike/>
          <w:sz w:val="18"/>
          <w:szCs w:val="18"/>
        </w:rPr>
      </w:pPr>
    </w:p>
    <w:p w:rsidR="005052CA" w:rsidRDefault="005052CA" w:rsidP="00B74D7C">
      <w:pPr>
        <w:jc w:val="both"/>
        <w:rPr>
          <w:rFonts w:ascii="Times New Roman" w:hAnsi="Times New Roman"/>
          <w:strike/>
          <w:sz w:val="18"/>
          <w:szCs w:val="18"/>
        </w:rPr>
      </w:pPr>
    </w:p>
    <w:p w:rsidR="005052CA" w:rsidRDefault="005052CA"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000F1B" w:rsidRDefault="00000F1B" w:rsidP="00B74D7C">
      <w:pPr>
        <w:jc w:val="both"/>
        <w:rPr>
          <w:rFonts w:ascii="Times New Roman" w:hAnsi="Times New Roman"/>
          <w:strike/>
          <w:sz w:val="18"/>
          <w:szCs w:val="18"/>
        </w:rPr>
      </w:pPr>
    </w:p>
    <w:p w:rsidR="006A6718" w:rsidRDefault="006A6718" w:rsidP="00B74D7C">
      <w:pPr>
        <w:jc w:val="both"/>
        <w:rPr>
          <w:rFonts w:ascii="Times New Roman" w:hAnsi="Times New Roman"/>
          <w:strike/>
          <w:sz w:val="18"/>
          <w:szCs w:val="18"/>
        </w:rPr>
      </w:pPr>
    </w:p>
    <w:p w:rsidR="00000F1B" w:rsidRDefault="00000F1B" w:rsidP="00B74D7C">
      <w:pPr>
        <w:jc w:val="both"/>
        <w:rPr>
          <w:rFonts w:ascii="Times New Roman" w:hAnsi="Times New Roman"/>
          <w:strike/>
          <w:sz w:val="18"/>
          <w:szCs w:val="18"/>
        </w:rPr>
      </w:pPr>
    </w:p>
    <w:p w:rsidR="00000F1B" w:rsidRDefault="00000F1B" w:rsidP="00B74D7C">
      <w:pPr>
        <w:jc w:val="both"/>
        <w:rPr>
          <w:rFonts w:ascii="Times New Roman" w:hAnsi="Times New Roman"/>
          <w:strike/>
          <w:sz w:val="18"/>
          <w:szCs w:val="18"/>
        </w:rPr>
      </w:pPr>
    </w:p>
    <w:p w:rsidR="00A5285B" w:rsidRPr="009C7E04" w:rsidRDefault="00A5285B" w:rsidP="00A5285B">
      <w:pPr>
        <w:pStyle w:val="Title"/>
        <w:rPr>
          <w:rFonts w:ascii="Arial" w:hAnsi="Arial" w:cs="Arial"/>
          <w:sz w:val="20"/>
          <w:szCs w:val="20"/>
        </w:rPr>
      </w:pPr>
      <w:r w:rsidRPr="009C7E04">
        <w:rPr>
          <w:rFonts w:ascii="Arial" w:hAnsi="Arial" w:cs="Arial"/>
          <w:sz w:val="20"/>
          <w:szCs w:val="20"/>
        </w:rPr>
        <w:t>Middlefield Canadian Income PCC (the "Company") and Middlefield Canadian Income – GBP PC (the "Cell")</w:t>
      </w:r>
    </w:p>
    <w:p w:rsidR="00A5285B" w:rsidRPr="009C7E04" w:rsidRDefault="00A5285B" w:rsidP="00A5285B">
      <w:pPr>
        <w:pStyle w:val="Title"/>
        <w:rPr>
          <w:rFonts w:ascii="Arial" w:hAnsi="Arial" w:cs="Arial"/>
          <w:sz w:val="20"/>
          <w:szCs w:val="20"/>
        </w:rPr>
      </w:pPr>
      <w:r w:rsidRPr="009C7E04">
        <w:rPr>
          <w:rFonts w:ascii="Arial" w:hAnsi="Arial" w:cs="Arial"/>
          <w:sz w:val="20"/>
          <w:szCs w:val="20"/>
        </w:rPr>
        <w:t xml:space="preserve">whose registered office is at </w:t>
      </w:r>
      <w:r>
        <w:rPr>
          <w:rFonts w:ascii="Arial" w:hAnsi="Arial" w:cs="Arial"/>
          <w:color w:val="000000"/>
          <w:sz w:val="20"/>
        </w:rPr>
        <w:t xml:space="preserve">28 Esplanade, St </w:t>
      </w:r>
      <w:proofErr w:type="spellStart"/>
      <w:r>
        <w:rPr>
          <w:rFonts w:ascii="Arial" w:hAnsi="Arial" w:cs="Arial"/>
          <w:color w:val="000000"/>
          <w:sz w:val="20"/>
        </w:rPr>
        <w:t>Helier</w:t>
      </w:r>
      <w:proofErr w:type="spellEnd"/>
      <w:r>
        <w:rPr>
          <w:rFonts w:ascii="Arial" w:hAnsi="Arial" w:cs="Arial"/>
          <w:color w:val="000000"/>
          <w:sz w:val="20"/>
        </w:rPr>
        <w:t>, Jersey JE2 3QA</w:t>
      </w:r>
    </w:p>
    <w:p w:rsidR="00A5285B" w:rsidRPr="009C7E04" w:rsidRDefault="00A5285B" w:rsidP="00A5285B">
      <w:pPr>
        <w:rPr>
          <w:rFonts w:ascii="Arial" w:hAnsi="Arial" w:cs="Arial"/>
          <w:sz w:val="20"/>
          <w:szCs w:val="20"/>
        </w:rPr>
      </w:pPr>
    </w:p>
    <w:p w:rsidR="005052CA" w:rsidRDefault="005052CA" w:rsidP="005052CA">
      <w:pPr>
        <w:rPr>
          <w:rFonts w:ascii="Arial" w:hAnsi="Arial" w:cs="Arial"/>
          <w:sz w:val="20"/>
          <w:szCs w:val="20"/>
        </w:rPr>
      </w:pPr>
      <w:r>
        <w:rPr>
          <w:rFonts w:ascii="Arial" w:hAnsi="Arial" w:cs="Arial"/>
          <w:sz w:val="20"/>
          <w:szCs w:val="20"/>
        </w:rPr>
        <w:t>THIS DOCUMENT IS IMPORTANT AND REQUIRES YOUR IMMEDIATE ATTENTION. IF YOU ARE IN ANY DOUBT AS TO WHAT ACTION TO TAKE, YOU SHOULD IMMEDIATELY CONSULT YOUR STOCKBROKER, SOLICITOR, ACCOUNTANT OR OTHER INDEPENDENT ADVISER AUTHORISED UNDER THE FINANCIAL SERVICES AND MARKETS ACT 2000.</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sz w:val="20"/>
          <w:szCs w:val="20"/>
        </w:rPr>
      </w:pPr>
      <w:r>
        <w:rPr>
          <w:rFonts w:ascii="Arial" w:hAnsi="Arial" w:cs="Arial"/>
          <w:sz w:val="20"/>
          <w:szCs w:val="20"/>
        </w:rPr>
        <w:t>If you have sold or transferred all of your shares you should pass this document, together with the accompanying form of proxy, to the person through whom the sale or transfer was made for transmission to the purchaser or transferee. If you have sold any part of your holding of shares, please contact your stockbroker, bank or other agent through whom the sale or transfer was effected immediately.</w:t>
      </w:r>
    </w:p>
    <w:p w:rsidR="005052CA" w:rsidRDefault="005052CA" w:rsidP="005052CA">
      <w:pPr>
        <w:jc w:val="both"/>
        <w:rPr>
          <w:rFonts w:ascii="Arial" w:hAnsi="Arial" w:cs="Arial"/>
          <w:sz w:val="20"/>
          <w:szCs w:val="20"/>
        </w:rPr>
      </w:pPr>
    </w:p>
    <w:p w:rsidR="005052CA" w:rsidRDefault="005052CA" w:rsidP="005052CA">
      <w:pPr>
        <w:jc w:val="center"/>
        <w:rPr>
          <w:rFonts w:ascii="Arial" w:hAnsi="Arial" w:cs="Arial"/>
          <w:b/>
          <w:sz w:val="20"/>
          <w:szCs w:val="20"/>
        </w:rPr>
      </w:pPr>
      <w:r>
        <w:rPr>
          <w:rFonts w:ascii="Arial" w:hAnsi="Arial" w:cs="Arial"/>
          <w:b/>
          <w:sz w:val="20"/>
          <w:szCs w:val="20"/>
        </w:rPr>
        <w:t>Notice of Company and Cell Meeting</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sz w:val="20"/>
          <w:szCs w:val="20"/>
        </w:rPr>
      </w:pPr>
      <w:r>
        <w:rPr>
          <w:rFonts w:ascii="Arial" w:hAnsi="Arial" w:cs="Arial"/>
          <w:sz w:val="20"/>
          <w:szCs w:val="20"/>
        </w:rPr>
        <w:t xml:space="preserve">Notice is hereby given that a Company and Cell Meeting will be held at </w:t>
      </w:r>
      <w:r w:rsidR="006A6718" w:rsidRPr="00A47DA5">
        <w:rPr>
          <w:rFonts w:ascii="Arial" w:hAnsi="Arial" w:cs="Arial"/>
          <w:sz w:val="20"/>
          <w:szCs w:val="20"/>
        </w:rPr>
        <w:t>Green Room 3, The Cumberland Hotel, Great Cumberland Place, Marble Arch, London, W1H 7DL</w:t>
      </w:r>
      <w:r>
        <w:rPr>
          <w:rFonts w:ascii="Arial" w:hAnsi="Arial" w:cs="Arial"/>
          <w:sz w:val="20"/>
        </w:rPr>
        <w:t xml:space="preserve"> </w:t>
      </w:r>
      <w:r>
        <w:rPr>
          <w:rFonts w:ascii="Arial" w:hAnsi="Arial" w:cs="Arial"/>
          <w:sz w:val="20"/>
          <w:szCs w:val="20"/>
        </w:rPr>
        <w:t>on Thursday 20 June, 2019 at 12.30 p.m. for the following purposes:</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b/>
          <w:sz w:val="20"/>
          <w:szCs w:val="20"/>
        </w:rPr>
      </w:pPr>
      <w:r>
        <w:rPr>
          <w:rFonts w:ascii="Arial" w:hAnsi="Arial" w:cs="Arial"/>
          <w:b/>
          <w:sz w:val="20"/>
          <w:szCs w:val="20"/>
        </w:rPr>
        <w:t>ORDINARY BUSINESS</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sz w:val="20"/>
          <w:szCs w:val="20"/>
        </w:rPr>
      </w:pPr>
      <w:r>
        <w:rPr>
          <w:rFonts w:ascii="Arial" w:hAnsi="Arial" w:cs="Arial"/>
          <w:sz w:val="20"/>
          <w:szCs w:val="20"/>
        </w:rPr>
        <w:t>To consider and, if thought fit, pass each of the following resolutions as Company and Cell Ordinary Resolutions:</w:t>
      </w:r>
    </w:p>
    <w:p w:rsidR="005052CA" w:rsidRDefault="005052CA" w:rsidP="005052CA">
      <w:pPr>
        <w:jc w:val="both"/>
        <w:rPr>
          <w:rFonts w:ascii="Arial" w:hAnsi="Arial" w:cs="Arial"/>
          <w:sz w:val="20"/>
          <w:szCs w:val="20"/>
        </w:rPr>
      </w:pPr>
    </w:p>
    <w:p w:rsidR="005052CA" w:rsidRDefault="005052CA" w:rsidP="005052CA">
      <w:pPr>
        <w:numPr>
          <w:ilvl w:val="0"/>
          <w:numId w:val="28"/>
        </w:numPr>
        <w:jc w:val="both"/>
        <w:rPr>
          <w:rFonts w:ascii="Arial" w:hAnsi="Arial" w:cs="Arial"/>
          <w:sz w:val="20"/>
          <w:szCs w:val="20"/>
        </w:rPr>
      </w:pPr>
      <w:r>
        <w:rPr>
          <w:rFonts w:ascii="Arial" w:hAnsi="Arial" w:cs="Arial"/>
          <w:sz w:val="20"/>
          <w:szCs w:val="20"/>
        </w:rPr>
        <w:t>To re-elect Philip Bisson as a Director of the Company and the Cell.</w:t>
      </w:r>
    </w:p>
    <w:p w:rsidR="005052CA" w:rsidRDefault="005052CA" w:rsidP="005052CA">
      <w:pPr>
        <w:pStyle w:val="ListParagraph"/>
        <w:jc w:val="both"/>
        <w:rPr>
          <w:rFonts w:ascii="Arial" w:hAnsi="Arial" w:cs="Arial"/>
          <w:sz w:val="20"/>
          <w:szCs w:val="20"/>
        </w:rPr>
      </w:pPr>
    </w:p>
    <w:p w:rsidR="005052CA" w:rsidRDefault="005052CA" w:rsidP="005052CA">
      <w:pPr>
        <w:numPr>
          <w:ilvl w:val="0"/>
          <w:numId w:val="28"/>
        </w:numPr>
        <w:jc w:val="both"/>
        <w:rPr>
          <w:rFonts w:ascii="Arial" w:hAnsi="Arial" w:cs="Arial"/>
          <w:sz w:val="20"/>
          <w:szCs w:val="20"/>
        </w:rPr>
      </w:pPr>
      <w:r>
        <w:rPr>
          <w:rFonts w:ascii="Arial" w:hAnsi="Arial" w:cs="Arial"/>
          <w:sz w:val="20"/>
          <w:szCs w:val="20"/>
        </w:rPr>
        <w:t>To re-elect Thomas Grose as a Director of the Company and the Cell.</w:t>
      </w:r>
    </w:p>
    <w:p w:rsidR="005052CA" w:rsidRDefault="005052CA" w:rsidP="005052CA">
      <w:pPr>
        <w:pStyle w:val="ListParagraph"/>
        <w:rPr>
          <w:rFonts w:ascii="Arial" w:hAnsi="Arial" w:cs="Arial"/>
          <w:sz w:val="20"/>
          <w:szCs w:val="20"/>
        </w:rPr>
      </w:pPr>
    </w:p>
    <w:p w:rsidR="005052CA" w:rsidRDefault="005052CA" w:rsidP="005052CA">
      <w:pPr>
        <w:numPr>
          <w:ilvl w:val="0"/>
          <w:numId w:val="28"/>
        </w:numPr>
        <w:jc w:val="both"/>
        <w:rPr>
          <w:rFonts w:ascii="Arial" w:hAnsi="Arial" w:cs="Arial"/>
          <w:sz w:val="20"/>
          <w:szCs w:val="20"/>
        </w:rPr>
      </w:pPr>
      <w:r>
        <w:rPr>
          <w:rFonts w:ascii="Arial" w:hAnsi="Arial" w:cs="Arial"/>
          <w:sz w:val="20"/>
          <w:szCs w:val="20"/>
        </w:rPr>
        <w:t>To re-elect Nicholas Villiers as a Director of the Company and the Cell.</w:t>
      </w:r>
    </w:p>
    <w:p w:rsidR="005052CA" w:rsidRDefault="005052CA" w:rsidP="005052CA">
      <w:pPr>
        <w:pStyle w:val="ListParagraph"/>
        <w:rPr>
          <w:rFonts w:ascii="Arial" w:hAnsi="Arial" w:cs="Arial"/>
          <w:sz w:val="20"/>
          <w:szCs w:val="20"/>
        </w:rPr>
      </w:pPr>
    </w:p>
    <w:p w:rsidR="005052CA" w:rsidRDefault="005052CA" w:rsidP="005052CA">
      <w:pPr>
        <w:numPr>
          <w:ilvl w:val="0"/>
          <w:numId w:val="28"/>
        </w:numPr>
        <w:jc w:val="both"/>
        <w:rPr>
          <w:rFonts w:ascii="Arial" w:hAnsi="Arial" w:cs="Arial"/>
          <w:sz w:val="20"/>
          <w:szCs w:val="20"/>
        </w:rPr>
      </w:pPr>
      <w:r>
        <w:rPr>
          <w:rFonts w:ascii="Arial" w:hAnsi="Arial" w:cs="Arial"/>
          <w:sz w:val="20"/>
          <w:szCs w:val="20"/>
        </w:rPr>
        <w:t>To re-elect Richard Hughes as a Director of the Company and the Cell.</w:t>
      </w:r>
    </w:p>
    <w:p w:rsidR="005052CA" w:rsidRDefault="005052CA" w:rsidP="005052CA">
      <w:pPr>
        <w:ind w:left="720"/>
        <w:jc w:val="both"/>
        <w:rPr>
          <w:rFonts w:ascii="Arial" w:hAnsi="Arial" w:cs="Arial"/>
          <w:sz w:val="20"/>
          <w:szCs w:val="20"/>
        </w:rPr>
      </w:pPr>
    </w:p>
    <w:p w:rsidR="005052CA" w:rsidRDefault="005052CA" w:rsidP="005052CA">
      <w:pPr>
        <w:numPr>
          <w:ilvl w:val="0"/>
          <w:numId w:val="28"/>
        </w:numPr>
        <w:jc w:val="both"/>
        <w:rPr>
          <w:rFonts w:ascii="Arial" w:hAnsi="Arial" w:cs="Arial"/>
          <w:sz w:val="20"/>
          <w:szCs w:val="20"/>
        </w:rPr>
      </w:pPr>
      <w:r>
        <w:rPr>
          <w:rFonts w:ascii="Arial" w:hAnsi="Arial" w:cs="Arial"/>
          <w:sz w:val="20"/>
          <w:szCs w:val="20"/>
        </w:rPr>
        <w:t xml:space="preserve">To re-elect Dean </w:t>
      </w:r>
      <w:proofErr w:type="spellStart"/>
      <w:r>
        <w:rPr>
          <w:rFonts w:ascii="Arial" w:hAnsi="Arial" w:cs="Arial"/>
          <w:sz w:val="20"/>
          <w:szCs w:val="20"/>
        </w:rPr>
        <w:t>Orrico</w:t>
      </w:r>
      <w:proofErr w:type="spellEnd"/>
      <w:r>
        <w:rPr>
          <w:rFonts w:ascii="Arial" w:hAnsi="Arial" w:cs="Arial"/>
          <w:sz w:val="20"/>
          <w:szCs w:val="20"/>
        </w:rPr>
        <w:t xml:space="preserve"> as a Director of the Company and the Cell.</w:t>
      </w:r>
    </w:p>
    <w:p w:rsidR="005052CA" w:rsidRDefault="005052CA" w:rsidP="005052CA">
      <w:pPr>
        <w:ind w:left="720"/>
        <w:jc w:val="both"/>
        <w:rPr>
          <w:rFonts w:ascii="Arial" w:hAnsi="Arial" w:cs="Arial"/>
          <w:sz w:val="20"/>
          <w:szCs w:val="20"/>
        </w:rPr>
      </w:pPr>
    </w:p>
    <w:p w:rsidR="005052CA" w:rsidRDefault="005052CA" w:rsidP="005052CA">
      <w:pPr>
        <w:pStyle w:val="ListParagraph"/>
        <w:jc w:val="both"/>
        <w:rPr>
          <w:rFonts w:ascii="Arial" w:hAnsi="Arial" w:cs="Arial"/>
          <w:sz w:val="20"/>
          <w:szCs w:val="20"/>
        </w:rPr>
      </w:pPr>
    </w:p>
    <w:p w:rsidR="005052CA" w:rsidRDefault="005052CA" w:rsidP="005052CA">
      <w:pPr>
        <w:pStyle w:val="ListParagraph"/>
        <w:jc w:val="both"/>
        <w:rPr>
          <w:rFonts w:ascii="Arial" w:hAnsi="Arial" w:cs="Arial"/>
          <w:sz w:val="20"/>
          <w:szCs w:val="20"/>
        </w:rPr>
      </w:pPr>
    </w:p>
    <w:p w:rsidR="005052CA" w:rsidRDefault="005052CA" w:rsidP="005052CA">
      <w:pPr>
        <w:ind w:left="720"/>
        <w:jc w:val="both"/>
        <w:rPr>
          <w:rFonts w:ascii="Arial" w:hAnsi="Arial" w:cs="Arial"/>
          <w:sz w:val="20"/>
          <w:szCs w:val="20"/>
        </w:rPr>
      </w:pPr>
    </w:p>
    <w:p w:rsidR="005052CA" w:rsidRDefault="005052CA" w:rsidP="005052CA">
      <w:pPr>
        <w:pStyle w:val="ListParagraph"/>
        <w:ind w:left="0"/>
        <w:jc w:val="both"/>
        <w:rPr>
          <w:rFonts w:ascii="Arial" w:hAnsi="Arial" w:cs="Arial"/>
          <w:sz w:val="20"/>
          <w:szCs w:val="20"/>
        </w:rPr>
      </w:pPr>
    </w:p>
    <w:p w:rsidR="005052CA" w:rsidRDefault="005052CA" w:rsidP="005052CA">
      <w:pPr>
        <w:jc w:val="both"/>
        <w:rPr>
          <w:rFonts w:ascii="Arial" w:hAnsi="Arial" w:cs="Arial"/>
          <w:sz w:val="20"/>
          <w:szCs w:val="20"/>
        </w:rPr>
      </w:pPr>
      <w:r>
        <w:rPr>
          <w:rFonts w:ascii="Arial" w:hAnsi="Arial" w:cs="Arial"/>
          <w:sz w:val="20"/>
          <w:szCs w:val="20"/>
        </w:rPr>
        <w:t>JTC Fund Solutions (Guernsey) Limited</w:t>
      </w:r>
    </w:p>
    <w:p w:rsidR="005052CA" w:rsidRDefault="005052CA" w:rsidP="005052CA">
      <w:pPr>
        <w:jc w:val="both"/>
        <w:rPr>
          <w:rFonts w:ascii="Arial" w:hAnsi="Arial" w:cs="Arial"/>
          <w:sz w:val="20"/>
          <w:szCs w:val="20"/>
        </w:rPr>
      </w:pPr>
      <w:r>
        <w:rPr>
          <w:rFonts w:ascii="Arial" w:hAnsi="Arial" w:cs="Arial"/>
          <w:sz w:val="20"/>
          <w:szCs w:val="20"/>
        </w:rPr>
        <w:t>As Assistant Secretary</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sz w:val="20"/>
          <w:szCs w:val="20"/>
        </w:rPr>
      </w:pPr>
    </w:p>
    <w:p w:rsidR="005052CA" w:rsidRDefault="0077075B" w:rsidP="005052CA">
      <w:pPr>
        <w:jc w:val="both"/>
        <w:rPr>
          <w:rFonts w:ascii="Arial" w:hAnsi="Arial" w:cs="Arial"/>
          <w:sz w:val="20"/>
          <w:szCs w:val="20"/>
        </w:rPr>
      </w:pPr>
      <w:r>
        <w:rPr>
          <w:rFonts w:ascii="Arial" w:hAnsi="Arial" w:cs="Arial"/>
          <w:sz w:val="20"/>
          <w:szCs w:val="20"/>
        </w:rPr>
        <w:t>11</w:t>
      </w:r>
      <w:r w:rsidR="005052CA">
        <w:rPr>
          <w:rFonts w:ascii="Arial" w:hAnsi="Arial" w:cs="Arial"/>
          <w:sz w:val="20"/>
          <w:szCs w:val="20"/>
        </w:rPr>
        <w:t xml:space="preserve"> April 2019</w:t>
      </w: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5052CA" w:rsidRPr="009C7E04" w:rsidRDefault="005052CA" w:rsidP="005052CA">
      <w:pPr>
        <w:rPr>
          <w:rFonts w:ascii="Arial" w:hAnsi="Arial" w:cs="Arial"/>
          <w:b/>
          <w:bCs/>
          <w:sz w:val="18"/>
          <w:szCs w:val="18"/>
        </w:rPr>
      </w:pPr>
      <w:r w:rsidRPr="009C7E04">
        <w:rPr>
          <w:rFonts w:ascii="Arial" w:hAnsi="Arial" w:cs="Arial"/>
          <w:b/>
          <w:bCs/>
          <w:sz w:val="18"/>
          <w:szCs w:val="18"/>
        </w:rPr>
        <w:t>NOTES:</w:t>
      </w:r>
    </w:p>
    <w:p w:rsidR="005052CA" w:rsidRPr="009C7E04" w:rsidRDefault="005052CA" w:rsidP="005052CA">
      <w:pPr>
        <w:rPr>
          <w:rFonts w:ascii="Arial" w:hAnsi="Arial" w:cs="Arial"/>
          <w:b/>
          <w:bCs/>
          <w:sz w:val="18"/>
          <w:szCs w:val="18"/>
        </w:rPr>
      </w:pPr>
    </w:p>
    <w:p w:rsidR="005052CA" w:rsidRPr="009C7E04" w:rsidRDefault="005052CA" w:rsidP="005052CA">
      <w:pPr>
        <w:numPr>
          <w:ilvl w:val="0"/>
          <w:numId w:val="14"/>
        </w:numPr>
        <w:jc w:val="both"/>
        <w:rPr>
          <w:rFonts w:ascii="Arial" w:hAnsi="Arial" w:cs="Arial"/>
          <w:sz w:val="16"/>
          <w:szCs w:val="18"/>
        </w:rPr>
      </w:pPr>
      <w:r w:rsidRPr="009C7E04">
        <w:rPr>
          <w:rFonts w:ascii="Arial" w:hAnsi="Arial" w:cs="Arial"/>
          <w:sz w:val="16"/>
          <w:szCs w:val="18"/>
        </w:rPr>
        <w:t>A holder of management shares in the capital of the Company and/or of redeemable participating preference shares of no par value in the capital of the Cell (“Shares”) entitled to attend and vote at the Meeting is entitled to appoint one or more proxies to attend and vote instead of him. A proxy need not be a holder of Shares.</w:t>
      </w:r>
    </w:p>
    <w:p w:rsidR="005052CA" w:rsidRPr="009C7E04" w:rsidRDefault="005052CA" w:rsidP="005052CA">
      <w:pPr>
        <w:ind w:left="720"/>
        <w:jc w:val="both"/>
        <w:rPr>
          <w:rFonts w:ascii="Arial" w:hAnsi="Arial" w:cs="Arial"/>
          <w:sz w:val="16"/>
          <w:szCs w:val="18"/>
        </w:rPr>
      </w:pPr>
    </w:p>
    <w:p w:rsidR="005052CA" w:rsidRPr="009C7E04" w:rsidRDefault="005052CA" w:rsidP="005052CA">
      <w:pPr>
        <w:keepNext/>
        <w:numPr>
          <w:ilvl w:val="0"/>
          <w:numId w:val="14"/>
        </w:numPr>
        <w:spacing w:after="240"/>
        <w:jc w:val="both"/>
        <w:rPr>
          <w:rFonts w:ascii="Arial" w:hAnsi="Arial" w:cs="Arial"/>
          <w:sz w:val="16"/>
          <w:szCs w:val="18"/>
        </w:rPr>
      </w:pPr>
      <w:r w:rsidRPr="009C7E04">
        <w:rPr>
          <w:rFonts w:ascii="Arial" w:hAnsi="Arial" w:cs="Arial"/>
          <w:sz w:val="16"/>
          <w:szCs w:val="18"/>
        </w:rPr>
        <w:t xml:space="preserve">For the convenience of Shareholders who may be unable to attend the Meeting, a form of proxy accompanies this document. To be valid, the form of proxy should be completed in accordance with the instructions printed on it and sent, so as to reach </w:t>
      </w:r>
      <w:r w:rsidR="0077075B">
        <w:rPr>
          <w:rFonts w:ascii="Arial" w:hAnsi="Arial" w:cs="Arial"/>
          <w:sz w:val="16"/>
          <w:szCs w:val="18"/>
        </w:rPr>
        <w:t>Link Asset Services Limited</w:t>
      </w:r>
      <w:r w:rsidRPr="009C7E04">
        <w:rPr>
          <w:rFonts w:ascii="Arial" w:hAnsi="Arial" w:cs="Arial"/>
          <w:sz w:val="16"/>
          <w:szCs w:val="18"/>
        </w:rPr>
        <w:t>, PXS, The Registry, 34 Beckenham Road, Beckenham, Kent BR3 4TU by no later than 48 hours before the time fixed for the Meeting. The fact that holders of Shares may have completed forms of proxy will not prevent them from attending and voting in person at the Meeting should they subsequently decide to do so.</w:t>
      </w:r>
    </w:p>
    <w:p w:rsidR="005052CA" w:rsidRPr="009C7E04" w:rsidRDefault="005052CA" w:rsidP="005052CA">
      <w:pPr>
        <w:keepNext/>
        <w:numPr>
          <w:ilvl w:val="0"/>
          <w:numId w:val="14"/>
        </w:numPr>
        <w:spacing w:after="240"/>
        <w:jc w:val="both"/>
        <w:rPr>
          <w:rFonts w:ascii="Arial" w:hAnsi="Arial" w:cs="Arial"/>
          <w:sz w:val="16"/>
          <w:szCs w:val="18"/>
        </w:rPr>
      </w:pPr>
      <w:r w:rsidRPr="009C7E04">
        <w:rPr>
          <w:rFonts w:ascii="Arial" w:hAnsi="Arial" w:cs="Arial"/>
          <w:sz w:val="16"/>
          <w:szCs w:val="18"/>
        </w:rPr>
        <w:t>The quorum for the Meeting is at least two Shareholders present in person or by proxy or by attorney.  The majority required for the passing of the Company and Cell ordinary resolutions is a simple majority (or more) of the total number of votes cast for and against the resolution.</w:t>
      </w:r>
    </w:p>
    <w:p w:rsidR="005052CA" w:rsidRPr="009C7E04" w:rsidRDefault="005052CA" w:rsidP="005052CA">
      <w:pPr>
        <w:keepNext/>
        <w:numPr>
          <w:ilvl w:val="0"/>
          <w:numId w:val="14"/>
        </w:numPr>
        <w:spacing w:after="240"/>
        <w:jc w:val="both"/>
        <w:rPr>
          <w:rFonts w:ascii="Arial" w:hAnsi="Arial" w:cs="Arial"/>
          <w:sz w:val="16"/>
          <w:szCs w:val="18"/>
        </w:rPr>
      </w:pPr>
      <w:r w:rsidRPr="009C7E04">
        <w:rPr>
          <w:rFonts w:ascii="Arial" w:hAnsi="Arial" w:cs="Arial"/>
          <w:sz w:val="16"/>
          <w:szCs w:val="18"/>
        </w:rPr>
        <w:t xml:space="preserve">If, within half an hour from the appointed time for the Meeting, a quorum is not present, then the Meeting will be adjourned to the same day at the same time and address in the next week or if that date is a public holiday in the UK to the next working day thereafter at the same time and address.  At that adjourned meeting, if a quorum is not present within half an hour from the time appointed for the holding of the meeting, those Shareholders present in person or by proxy or by attorney will form a quorum whatever their number and the number of shares held by them.  Again, a simple majority of the total number of votes cast is required to pass the Company and Cell ordinary resolutions. </w:t>
      </w:r>
    </w:p>
    <w:p w:rsidR="005052CA" w:rsidRPr="009C7E04" w:rsidRDefault="005052CA" w:rsidP="005052CA">
      <w:pPr>
        <w:keepNext/>
        <w:numPr>
          <w:ilvl w:val="0"/>
          <w:numId w:val="14"/>
        </w:numPr>
        <w:spacing w:after="240"/>
        <w:jc w:val="both"/>
        <w:rPr>
          <w:rFonts w:ascii="Arial" w:hAnsi="Arial" w:cs="Arial"/>
          <w:sz w:val="16"/>
          <w:szCs w:val="18"/>
        </w:rPr>
      </w:pPr>
      <w:r w:rsidRPr="009C7E04">
        <w:rPr>
          <w:rFonts w:ascii="Arial" w:hAnsi="Arial" w:cs="Arial"/>
          <w:sz w:val="16"/>
          <w:szCs w:val="18"/>
        </w:rPr>
        <w:t>In the event that a form of proxy is returned without an indication as to how the proxy shall vote on the resolutions, the proxy will exercise his discretion as to whether, and if so how, he votes.</w:t>
      </w:r>
    </w:p>
    <w:p w:rsidR="005052CA" w:rsidRPr="009C7E04" w:rsidRDefault="005052CA" w:rsidP="005052CA">
      <w:pPr>
        <w:keepNext/>
        <w:numPr>
          <w:ilvl w:val="0"/>
          <w:numId w:val="14"/>
        </w:numPr>
        <w:spacing w:after="240"/>
        <w:jc w:val="both"/>
        <w:rPr>
          <w:rFonts w:ascii="Arial" w:hAnsi="Arial" w:cs="Arial"/>
          <w:sz w:val="16"/>
          <w:szCs w:val="18"/>
        </w:rPr>
      </w:pPr>
      <w:r w:rsidRPr="009C7E04">
        <w:rPr>
          <w:rFonts w:ascii="Arial" w:hAnsi="Arial" w:cs="Arial"/>
          <w:sz w:val="16"/>
          <w:szCs w:val="18"/>
        </w:rPr>
        <w:t>CREST members who wish to appoint a proxy or proxies through the CREST electronic proxy appointment service may do so for the Meeting and any adjournment(s) thereof by using the procedures described in the CREST Manual. CREST Personal Members or other CREST sponsored members, and those CREST members who have appointed a voting service provider(s), should refer to their CREST sponsor or voting service provider(s), who will be able to take the appropriate action on their behalf.</w:t>
      </w:r>
    </w:p>
    <w:p w:rsidR="005052CA" w:rsidRPr="009C7E04" w:rsidRDefault="005052CA" w:rsidP="005052CA">
      <w:pPr>
        <w:keepNext/>
        <w:numPr>
          <w:ilvl w:val="0"/>
          <w:numId w:val="14"/>
        </w:numPr>
        <w:spacing w:after="240"/>
        <w:jc w:val="both"/>
        <w:rPr>
          <w:rFonts w:ascii="Arial" w:hAnsi="Arial" w:cs="Arial"/>
          <w:sz w:val="16"/>
          <w:szCs w:val="18"/>
        </w:rPr>
      </w:pPr>
      <w:r w:rsidRPr="009C7E04">
        <w:rPr>
          <w:rFonts w:ascii="Arial" w:hAnsi="Arial" w:cs="Arial"/>
          <w:sz w:val="16"/>
          <w:szCs w:val="18"/>
        </w:rPr>
        <w:t xml:space="preserve">In order for a proxy appointment or instruction made using the CREST service to be valid, the appropriate CREST message (a </w:t>
      </w:r>
      <w:r w:rsidRPr="009C7E04">
        <w:rPr>
          <w:rFonts w:ascii="Arial" w:hAnsi="Arial" w:cs="Arial"/>
          <w:b/>
          <w:sz w:val="16"/>
          <w:szCs w:val="18"/>
        </w:rPr>
        <w:t>CREST Proxy Instruction</w:t>
      </w:r>
      <w:r w:rsidRPr="009C7E04">
        <w:rPr>
          <w:rFonts w:ascii="Arial" w:hAnsi="Arial" w:cs="Arial"/>
          <w:sz w:val="16"/>
          <w:szCs w:val="18"/>
        </w:rPr>
        <w:t xml:space="preserve">) must be properly authenticated in accordance with </w:t>
      </w:r>
      <w:proofErr w:type="spellStart"/>
      <w:r w:rsidRPr="009C7E04">
        <w:rPr>
          <w:rFonts w:ascii="Arial" w:hAnsi="Arial" w:cs="Arial"/>
          <w:sz w:val="16"/>
          <w:szCs w:val="18"/>
        </w:rPr>
        <w:t>Euroclear</w:t>
      </w:r>
      <w:proofErr w:type="spellEnd"/>
      <w:r w:rsidRPr="009C7E04">
        <w:rPr>
          <w:rFonts w:ascii="Arial" w:hAnsi="Arial" w:cs="Arial"/>
          <w:sz w:val="16"/>
          <w:szCs w:val="18"/>
        </w:rPr>
        <w:t xml:space="preserve"> UK &amp; Ireland Limited’s specifications and must contain the information required for such instruction, as described in the CREST Manual (available via www.euroclear.com/CREST). The message, regardless of whether it constitutes the appointment of a proxy or is an amendment to the instruction given to a previously appointed proxy must, in order to be valid, be transmitted so as to be received by </w:t>
      </w:r>
      <w:r w:rsidR="0077075B">
        <w:rPr>
          <w:rFonts w:ascii="Arial" w:hAnsi="Arial" w:cs="Arial"/>
          <w:sz w:val="16"/>
          <w:szCs w:val="18"/>
        </w:rPr>
        <w:t>Link Asset Services Limited</w:t>
      </w:r>
      <w:r w:rsidRPr="009C7E04">
        <w:rPr>
          <w:rFonts w:ascii="Arial" w:hAnsi="Arial" w:cs="Arial"/>
          <w:sz w:val="16"/>
          <w:szCs w:val="18"/>
        </w:rPr>
        <w:t xml:space="preserve"> by the latest time(s) for receipt of proxy appointments specified in note (2) above.  For this purpose, the time of receipt will be taken to be the time (as determined by the time stamp applied to the message by the CREST Application Host) from which the issuer's agent is able to retrieve the message by enquiry to CREST in the manner prescribed by CREST.  After this time, any change of instructions to proxies appointed through CREST should be communicated to the appointee through other means.  </w:t>
      </w:r>
    </w:p>
    <w:p w:rsidR="005052CA" w:rsidRPr="009C7E04" w:rsidRDefault="005052CA" w:rsidP="005052CA">
      <w:pPr>
        <w:keepNext/>
        <w:numPr>
          <w:ilvl w:val="0"/>
          <w:numId w:val="14"/>
        </w:numPr>
        <w:spacing w:after="240"/>
        <w:jc w:val="both"/>
        <w:rPr>
          <w:rFonts w:ascii="Arial" w:hAnsi="Arial" w:cs="Arial"/>
          <w:sz w:val="16"/>
          <w:szCs w:val="18"/>
        </w:rPr>
      </w:pPr>
      <w:r w:rsidRPr="009C7E04">
        <w:rPr>
          <w:rFonts w:ascii="Arial" w:hAnsi="Arial" w:cs="Arial"/>
          <w:sz w:val="16"/>
          <w:szCs w:val="18"/>
        </w:rPr>
        <w:t xml:space="preserve">CREST members and, where applicable, their CREST sponsors or voting service providers should note that </w:t>
      </w:r>
      <w:proofErr w:type="spellStart"/>
      <w:r w:rsidRPr="009C7E04">
        <w:rPr>
          <w:rFonts w:ascii="Arial" w:hAnsi="Arial" w:cs="Arial"/>
          <w:sz w:val="16"/>
          <w:szCs w:val="18"/>
        </w:rPr>
        <w:t>Euroclear</w:t>
      </w:r>
      <w:proofErr w:type="spellEnd"/>
      <w:r w:rsidRPr="009C7E04">
        <w:rPr>
          <w:rFonts w:ascii="Arial" w:hAnsi="Arial" w:cs="Arial"/>
          <w:sz w:val="16"/>
          <w:szCs w:val="18"/>
        </w:rPr>
        <w:t xml:space="preserve"> UK &amp; Ireland Limited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w:t>
      </w:r>
    </w:p>
    <w:p w:rsidR="005052CA" w:rsidRPr="009C7E04" w:rsidRDefault="005052CA" w:rsidP="005052CA">
      <w:pPr>
        <w:keepNext/>
        <w:numPr>
          <w:ilvl w:val="0"/>
          <w:numId w:val="14"/>
        </w:numPr>
        <w:spacing w:after="240"/>
        <w:jc w:val="both"/>
        <w:rPr>
          <w:rFonts w:ascii="Arial" w:hAnsi="Arial" w:cs="Arial"/>
          <w:sz w:val="16"/>
          <w:szCs w:val="18"/>
        </w:rPr>
      </w:pPr>
      <w:r w:rsidRPr="009C7E04">
        <w:rPr>
          <w:rFonts w:ascii="Arial" w:hAnsi="Arial" w:cs="Arial"/>
          <w:sz w:val="16"/>
          <w:szCs w:val="18"/>
        </w:rPr>
        <w:t>The Cell may treat as invalid a CREST Proxy Instruction in the circumstances set out in Article 34 of the Companies (Uncertificated Securities) (Jersey) Order 1999.</w:t>
      </w:r>
    </w:p>
    <w:p w:rsidR="005052CA" w:rsidRPr="009C7E04" w:rsidRDefault="005052CA" w:rsidP="005052CA">
      <w:pPr>
        <w:keepNext/>
        <w:numPr>
          <w:ilvl w:val="0"/>
          <w:numId w:val="14"/>
        </w:numPr>
        <w:spacing w:after="240"/>
        <w:jc w:val="both"/>
        <w:rPr>
          <w:rFonts w:ascii="Arial" w:hAnsi="Arial" w:cs="Arial"/>
          <w:sz w:val="16"/>
          <w:szCs w:val="18"/>
          <w:lang w:eastAsia="en-GB"/>
        </w:rPr>
      </w:pPr>
      <w:r w:rsidRPr="009C7E04">
        <w:rPr>
          <w:rFonts w:ascii="Arial" w:hAnsi="Arial" w:cs="Arial"/>
          <w:sz w:val="16"/>
          <w:szCs w:val="18"/>
        </w:rPr>
        <w:t>The Cell, pursuant to regulation 40 of the (Companies Uncertificated Securities) (Jersey) Order 1999 (as amended), specifies that only holders of redeemable participating preference shares of no par value in the capital of the Cell</w:t>
      </w:r>
      <w:r w:rsidRPr="009C7E04" w:rsidDel="000F1DEF">
        <w:rPr>
          <w:rFonts w:ascii="Arial" w:hAnsi="Arial" w:cs="Arial"/>
          <w:sz w:val="16"/>
          <w:szCs w:val="18"/>
        </w:rPr>
        <w:t xml:space="preserve"> </w:t>
      </w:r>
      <w:r w:rsidRPr="009C7E04">
        <w:rPr>
          <w:rFonts w:ascii="Arial" w:hAnsi="Arial" w:cs="Arial"/>
          <w:sz w:val="16"/>
          <w:szCs w:val="18"/>
        </w:rPr>
        <w:t xml:space="preserve">registered in the register of members of the Cell on the close of business </w:t>
      </w:r>
      <w:r w:rsidRPr="00A61E20">
        <w:rPr>
          <w:rFonts w:ascii="Arial" w:hAnsi="Arial" w:cs="Arial"/>
          <w:sz w:val="16"/>
          <w:szCs w:val="18"/>
        </w:rPr>
        <w:t xml:space="preserve">on </w:t>
      </w:r>
      <w:r w:rsidRPr="00A61E20">
        <w:rPr>
          <w:rFonts w:ascii="Arial" w:hAnsi="Arial" w:cs="Arial"/>
          <w:sz w:val="16"/>
          <w:szCs w:val="20"/>
        </w:rPr>
        <w:t xml:space="preserve">Tuesday, </w:t>
      </w:r>
      <w:r>
        <w:rPr>
          <w:rFonts w:ascii="Arial" w:hAnsi="Arial" w:cs="Arial"/>
          <w:sz w:val="16"/>
          <w:szCs w:val="20"/>
        </w:rPr>
        <w:t>18</w:t>
      </w:r>
      <w:r w:rsidRPr="00A61E20">
        <w:rPr>
          <w:rFonts w:ascii="Arial" w:hAnsi="Arial" w:cs="Arial"/>
          <w:sz w:val="16"/>
          <w:szCs w:val="20"/>
        </w:rPr>
        <w:t xml:space="preserve"> June, 201</w:t>
      </w:r>
      <w:r w:rsidR="0077075B">
        <w:rPr>
          <w:rFonts w:ascii="Arial" w:hAnsi="Arial" w:cs="Arial"/>
          <w:sz w:val="16"/>
          <w:szCs w:val="20"/>
        </w:rPr>
        <w:t>9</w:t>
      </w:r>
      <w:r w:rsidRPr="009C7E04">
        <w:rPr>
          <w:rFonts w:ascii="Arial" w:hAnsi="Arial" w:cs="Arial"/>
          <w:sz w:val="16"/>
          <w:szCs w:val="20"/>
        </w:rPr>
        <w:t xml:space="preserve"> </w:t>
      </w:r>
      <w:r w:rsidRPr="009C7E04">
        <w:rPr>
          <w:rFonts w:ascii="Arial" w:hAnsi="Arial" w:cs="Arial"/>
          <w:sz w:val="16"/>
          <w:szCs w:val="18"/>
        </w:rPr>
        <w:t>shall be entitled to attend or vote at the Meeting in respect of the number of such shares registered in their name at that time or in the event that the Meeting is adjourned, in the register of members at the close of business two days before the date of the adjourned Meeting. Changes to entries on the register of members of the Cell after such time or, in the event that the Meeting is adjourned, to entries in the register of members of the Cell after the close of business two days before the date of the adjourned Meeting, shall be disregarded in determining the rights of any person to attend or vote at the Meeting.</w:t>
      </w: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947C43" w:rsidRDefault="00947C43" w:rsidP="00B74D7C">
      <w:pPr>
        <w:jc w:val="both"/>
        <w:rPr>
          <w:rFonts w:ascii="Times New Roman" w:hAnsi="Times New Roman"/>
          <w:strike/>
          <w:sz w:val="18"/>
          <w:szCs w:val="18"/>
        </w:rPr>
      </w:pPr>
    </w:p>
    <w:p w:rsidR="00A5285B" w:rsidRPr="002C68B1" w:rsidRDefault="00A5285B" w:rsidP="00A5285B">
      <w:pPr>
        <w:jc w:val="center"/>
        <w:rPr>
          <w:rFonts w:ascii="Arial" w:hAnsi="Arial" w:cs="Arial"/>
          <w:b/>
          <w:sz w:val="20"/>
          <w:szCs w:val="20"/>
        </w:rPr>
      </w:pPr>
      <w:r w:rsidRPr="002C68B1">
        <w:rPr>
          <w:rFonts w:ascii="Arial" w:hAnsi="Arial" w:cs="Arial"/>
          <w:b/>
          <w:sz w:val="20"/>
          <w:szCs w:val="20"/>
        </w:rPr>
        <w:t>Middlefield Canadian Income PCC (the "Company”)</w:t>
      </w:r>
    </w:p>
    <w:p w:rsidR="00A5285B" w:rsidRDefault="00A5285B" w:rsidP="00A5285B">
      <w:pPr>
        <w:jc w:val="center"/>
        <w:rPr>
          <w:rFonts w:ascii="Arial" w:hAnsi="Arial" w:cs="Arial"/>
          <w:b/>
          <w:sz w:val="20"/>
          <w:szCs w:val="20"/>
        </w:rPr>
      </w:pPr>
      <w:r w:rsidRPr="002C68B1">
        <w:rPr>
          <w:rFonts w:ascii="Arial" w:hAnsi="Arial" w:cs="Arial"/>
          <w:b/>
          <w:sz w:val="20"/>
          <w:szCs w:val="20"/>
        </w:rPr>
        <w:t>wh</w:t>
      </w:r>
      <w:r>
        <w:rPr>
          <w:rFonts w:ascii="Arial" w:hAnsi="Arial" w:cs="Arial"/>
          <w:b/>
          <w:sz w:val="20"/>
          <w:szCs w:val="20"/>
        </w:rPr>
        <w:t xml:space="preserve">ose registered office is at </w:t>
      </w:r>
      <w:r w:rsidRPr="005D5C99">
        <w:rPr>
          <w:rFonts w:ascii="Arial" w:hAnsi="Arial" w:cs="Arial"/>
          <w:b/>
          <w:sz w:val="20"/>
          <w:szCs w:val="20"/>
        </w:rPr>
        <w:t>28 Esplanade, St Helier, Jersey JE2 3QA</w:t>
      </w:r>
    </w:p>
    <w:p w:rsidR="00A5285B" w:rsidRPr="00B9124B" w:rsidRDefault="00A5285B" w:rsidP="00A5285B">
      <w:pPr>
        <w:jc w:val="center"/>
        <w:rPr>
          <w:rFonts w:ascii="Arial" w:hAnsi="Arial" w:cs="Arial"/>
          <w:b/>
          <w:sz w:val="20"/>
          <w:szCs w:val="20"/>
        </w:rPr>
      </w:pPr>
    </w:p>
    <w:p w:rsidR="005052CA" w:rsidRDefault="005052CA" w:rsidP="005052CA">
      <w:pPr>
        <w:jc w:val="both"/>
        <w:rPr>
          <w:rFonts w:ascii="Arial" w:hAnsi="Arial" w:cs="Arial"/>
          <w:sz w:val="20"/>
          <w:szCs w:val="20"/>
        </w:rPr>
      </w:pPr>
      <w:r>
        <w:rPr>
          <w:rFonts w:ascii="Arial" w:hAnsi="Arial" w:cs="Arial"/>
          <w:sz w:val="20"/>
          <w:szCs w:val="20"/>
        </w:rPr>
        <w:t>THIS DOCUMENT IS IMPORTANT AND REQUIRES YOUR IMMEDIATE ATTENTION. IF YOU ARE IN ANY DOUBT AS TO WHAT ACTION TO TAKE, YOU SHOULD IMMEDIATELY CONSULT YOUR STOCKBROKER, SOLICITOR, ACCOUNTANT OR OTHER INDEPENDENT ADVISER AUTHORISED UNDER THE FINANCIAL SERVICES AND MARKETS ACT 2000.</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sz w:val="20"/>
          <w:szCs w:val="20"/>
        </w:rPr>
      </w:pPr>
      <w:r>
        <w:rPr>
          <w:rFonts w:ascii="Arial" w:hAnsi="Arial" w:cs="Arial"/>
          <w:sz w:val="20"/>
          <w:szCs w:val="20"/>
        </w:rPr>
        <w:t xml:space="preserve">If you have sold or transferred all of your management shares you should pass this document, together with the accompanying form of proxy, to the person through whom the sale or transfer was made for transmission to the purchaser or transferee. </w:t>
      </w:r>
    </w:p>
    <w:p w:rsidR="005052CA" w:rsidRDefault="005052CA" w:rsidP="005052CA">
      <w:pPr>
        <w:jc w:val="both"/>
        <w:rPr>
          <w:rFonts w:ascii="Arial" w:hAnsi="Arial" w:cs="Arial"/>
          <w:sz w:val="20"/>
          <w:szCs w:val="20"/>
        </w:rPr>
      </w:pPr>
    </w:p>
    <w:p w:rsidR="005052CA" w:rsidRDefault="005052CA" w:rsidP="005052CA">
      <w:pPr>
        <w:jc w:val="center"/>
        <w:rPr>
          <w:rFonts w:ascii="Arial" w:hAnsi="Arial" w:cs="Arial"/>
          <w:b/>
          <w:sz w:val="20"/>
          <w:szCs w:val="20"/>
        </w:rPr>
      </w:pPr>
      <w:r>
        <w:rPr>
          <w:rFonts w:ascii="Arial" w:hAnsi="Arial" w:cs="Arial"/>
          <w:b/>
          <w:sz w:val="20"/>
          <w:szCs w:val="20"/>
        </w:rPr>
        <w:t>Notice of Annual General Meeting of the Company</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sz w:val="20"/>
          <w:szCs w:val="20"/>
        </w:rPr>
      </w:pPr>
      <w:r>
        <w:rPr>
          <w:rFonts w:ascii="Arial" w:hAnsi="Arial" w:cs="Arial"/>
          <w:sz w:val="20"/>
          <w:szCs w:val="20"/>
        </w:rPr>
        <w:t xml:space="preserve">Notice is hereby given that the Annual General Meeting of the Company will be held at </w:t>
      </w:r>
      <w:r w:rsidR="006A6718" w:rsidRPr="00F9062B">
        <w:rPr>
          <w:rFonts w:ascii="Arial" w:hAnsi="Arial" w:cs="Arial"/>
          <w:sz w:val="20"/>
          <w:szCs w:val="20"/>
        </w:rPr>
        <w:t>Green Room 3, The Cumberland Hotel, Great Cumberland Place, Marble Arch, London, W1H 7DL</w:t>
      </w:r>
      <w:r w:rsidRPr="00DF4F5A">
        <w:rPr>
          <w:rFonts w:ascii="Arial" w:hAnsi="Arial" w:cs="Arial"/>
          <w:sz w:val="20"/>
          <w:szCs w:val="20"/>
        </w:rPr>
        <w:t xml:space="preserve"> </w:t>
      </w:r>
      <w:r>
        <w:rPr>
          <w:rFonts w:ascii="Arial" w:hAnsi="Arial" w:cs="Arial"/>
          <w:sz w:val="20"/>
          <w:szCs w:val="20"/>
        </w:rPr>
        <w:t>on Thursday, 20 June, 2019 at 12.45 p.m. for the following purposes:</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b/>
          <w:sz w:val="20"/>
          <w:szCs w:val="20"/>
        </w:rPr>
      </w:pPr>
      <w:r>
        <w:rPr>
          <w:rFonts w:ascii="Arial" w:hAnsi="Arial" w:cs="Arial"/>
          <w:b/>
          <w:sz w:val="20"/>
          <w:szCs w:val="20"/>
        </w:rPr>
        <w:t>SPECIAL BUSINESS</w:t>
      </w:r>
    </w:p>
    <w:p w:rsidR="005052CA" w:rsidRDefault="005052CA" w:rsidP="005052CA">
      <w:pPr>
        <w:jc w:val="both"/>
        <w:rPr>
          <w:rFonts w:ascii="Arial" w:hAnsi="Arial" w:cs="Arial"/>
          <w:sz w:val="20"/>
          <w:szCs w:val="20"/>
        </w:rPr>
      </w:pPr>
      <w:r>
        <w:rPr>
          <w:rFonts w:ascii="Arial" w:hAnsi="Arial" w:cs="Arial"/>
          <w:sz w:val="20"/>
          <w:szCs w:val="20"/>
        </w:rPr>
        <w:t>To consider and, if thought fit, pass the following resolution as a Special Resolution:</w:t>
      </w:r>
    </w:p>
    <w:p w:rsidR="005052CA" w:rsidRDefault="005052CA" w:rsidP="005052CA">
      <w:pPr>
        <w:jc w:val="both"/>
        <w:rPr>
          <w:rFonts w:ascii="Arial" w:hAnsi="Arial" w:cs="Arial"/>
          <w:sz w:val="20"/>
          <w:szCs w:val="20"/>
        </w:rPr>
      </w:pPr>
    </w:p>
    <w:p w:rsidR="005052CA" w:rsidRDefault="005052CA" w:rsidP="00F9062B">
      <w:pPr>
        <w:numPr>
          <w:ilvl w:val="0"/>
          <w:numId w:val="76"/>
        </w:numPr>
        <w:overflowPunct w:val="0"/>
        <w:autoSpaceDE w:val="0"/>
        <w:autoSpaceDN w:val="0"/>
        <w:adjustRightInd w:val="0"/>
        <w:spacing w:line="360" w:lineRule="auto"/>
        <w:jc w:val="both"/>
        <w:textAlignment w:val="baseline"/>
        <w:rPr>
          <w:rFonts w:ascii="Arial" w:hAnsi="Arial" w:cs="Arial"/>
          <w:color w:val="0000FF"/>
          <w:sz w:val="20"/>
          <w:szCs w:val="20"/>
          <w:u w:val="double"/>
        </w:rPr>
      </w:pPr>
      <w:r>
        <w:rPr>
          <w:rFonts w:ascii="Arial" w:hAnsi="Arial" w:cs="Arial"/>
          <w:b/>
          <w:bCs/>
          <w:sz w:val="20"/>
          <w:szCs w:val="20"/>
        </w:rPr>
        <w:t>THAT</w:t>
      </w:r>
      <w:r>
        <w:rPr>
          <w:rFonts w:ascii="Arial" w:hAnsi="Arial" w:cs="Arial"/>
          <w:bCs/>
          <w:sz w:val="20"/>
          <w:szCs w:val="20"/>
        </w:rPr>
        <w:t xml:space="preserve"> the new Company Articles of Association published on the Company’s website and tabled at the meeting be adopted as the Company's Articles of Association in substitution for the Company's existing Articles of Association with effect from the date of this Annual General Meeting.</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b/>
          <w:sz w:val="20"/>
          <w:szCs w:val="20"/>
        </w:rPr>
      </w:pPr>
      <w:r>
        <w:rPr>
          <w:rFonts w:ascii="Arial" w:hAnsi="Arial" w:cs="Arial"/>
          <w:b/>
          <w:sz w:val="20"/>
          <w:szCs w:val="20"/>
        </w:rPr>
        <w:t>ORDINARY BUSINESS</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b/>
          <w:sz w:val="20"/>
          <w:szCs w:val="20"/>
        </w:rPr>
      </w:pPr>
      <w:r>
        <w:rPr>
          <w:rFonts w:ascii="Arial" w:hAnsi="Arial" w:cs="Arial"/>
          <w:b/>
          <w:sz w:val="20"/>
          <w:szCs w:val="20"/>
        </w:rPr>
        <w:t>To consider and, if thought fit, pass each of the following resolutions as Ordinary Resolutions:</w:t>
      </w:r>
    </w:p>
    <w:p w:rsidR="005052CA" w:rsidRDefault="005052CA" w:rsidP="005052CA">
      <w:pPr>
        <w:jc w:val="both"/>
        <w:rPr>
          <w:rFonts w:ascii="Arial" w:hAnsi="Arial" w:cs="Arial"/>
          <w:sz w:val="20"/>
          <w:szCs w:val="20"/>
        </w:rPr>
      </w:pPr>
    </w:p>
    <w:p w:rsidR="005052CA" w:rsidRDefault="005052CA" w:rsidP="00F9062B">
      <w:pPr>
        <w:numPr>
          <w:ilvl w:val="0"/>
          <w:numId w:val="78"/>
        </w:numPr>
        <w:spacing w:line="360" w:lineRule="auto"/>
        <w:jc w:val="both"/>
        <w:rPr>
          <w:rFonts w:ascii="Arial" w:hAnsi="Arial" w:cs="Arial"/>
          <w:sz w:val="20"/>
          <w:szCs w:val="20"/>
        </w:rPr>
      </w:pPr>
      <w:r>
        <w:rPr>
          <w:rFonts w:ascii="Arial" w:hAnsi="Arial" w:cs="Arial"/>
          <w:sz w:val="20"/>
          <w:szCs w:val="20"/>
        </w:rPr>
        <w:t>To receive and adopt the Company’s annual financial report for the year ended 31 December, 2018.</w:t>
      </w:r>
    </w:p>
    <w:p w:rsidR="005052CA" w:rsidRPr="0077075B" w:rsidRDefault="005052CA" w:rsidP="00F9062B">
      <w:pPr>
        <w:numPr>
          <w:ilvl w:val="0"/>
          <w:numId w:val="78"/>
        </w:numPr>
        <w:spacing w:line="360" w:lineRule="auto"/>
        <w:ind w:left="714" w:hanging="357"/>
        <w:jc w:val="both"/>
        <w:rPr>
          <w:rFonts w:ascii="Arial" w:hAnsi="Arial" w:cs="Arial"/>
          <w:sz w:val="20"/>
          <w:szCs w:val="20"/>
        </w:rPr>
      </w:pPr>
      <w:r>
        <w:rPr>
          <w:rFonts w:ascii="Arial" w:hAnsi="Arial" w:cs="Arial"/>
          <w:sz w:val="20"/>
          <w:szCs w:val="20"/>
        </w:rPr>
        <w:t xml:space="preserve">To re-appoint Deloitte </w:t>
      </w:r>
      <w:r w:rsidRPr="00E7124B">
        <w:rPr>
          <w:rFonts w:ascii="Arial" w:hAnsi="Arial" w:cs="Arial"/>
          <w:sz w:val="20"/>
          <w:szCs w:val="20"/>
        </w:rPr>
        <w:t xml:space="preserve">LLP as Auditor of the Company. </w:t>
      </w:r>
    </w:p>
    <w:p w:rsidR="005052CA" w:rsidRPr="0077075B" w:rsidRDefault="005052CA" w:rsidP="00F9062B">
      <w:pPr>
        <w:numPr>
          <w:ilvl w:val="0"/>
          <w:numId w:val="78"/>
        </w:numPr>
        <w:spacing w:line="360" w:lineRule="auto"/>
        <w:ind w:left="714" w:hanging="357"/>
        <w:jc w:val="both"/>
        <w:rPr>
          <w:rFonts w:ascii="Arial" w:hAnsi="Arial" w:cs="Arial"/>
          <w:sz w:val="20"/>
          <w:szCs w:val="20"/>
        </w:rPr>
      </w:pPr>
      <w:r w:rsidRPr="0077075B">
        <w:rPr>
          <w:rFonts w:ascii="Arial" w:hAnsi="Arial" w:cs="Arial"/>
          <w:sz w:val="20"/>
          <w:szCs w:val="20"/>
        </w:rPr>
        <w:t>To authorise the Directors to determine the Auditor’s remuneration.</w:t>
      </w:r>
    </w:p>
    <w:p w:rsidR="005052CA" w:rsidRPr="0077075B" w:rsidRDefault="005052CA" w:rsidP="00F9062B">
      <w:pPr>
        <w:numPr>
          <w:ilvl w:val="0"/>
          <w:numId w:val="78"/>
        </w:numPr>
        <w:spacing w:line="360" w:lineRule="auto"/>
        <w:ind w:left="714" w:hanging="357"/>
        <w:jc w:val="both"/>
        <w:rPr>
          <w:rFonts w:ascii="Arial" w:hAnsi="Arial" w:cs="Arial"/>
          <w:sz w:val="20"/>
          <w:szCs w:val="20"/>
          <w:u w:val="double"/>
        </w:rPr>
      </w:pPr>
      <w:r w:rsidRPr="0077075B">
        <w:rPr>
          <w:rFonts w:ascii="Arial" w:hAnsi="Arial" w:cs="Arial"/>
          <w:sz w:val="20"/>
          <w:szCs w:val="20"/>
        </w:rPr>
        <w:t>To approve the Directors' remuneration as set out on page 19</w:t>
      </w:r>
      <w:r w:rsidRPr="00E7124B">
        <w:rPr>
          <w:rFonts w:ascii="Arial" w:hAnsi="Arial" w:cs="Arial"/>
          <w:sz w:val="20"/>
          <w:szCs w:val="20"/>
        </w:rPr>
        <w:t xml:space="preserve"> of the Annual Audited Financial Report for the year ended 31 December, 2018. </w:t>
      </w:r>
    </w:p>
    <w:p w:rsidR="005052CA" w:rsidRDefault="005052CA" w:rsidP="00F9062B">
      <w:pPr>
        <w:numPr>
          <w:ilvl w:val="0"/>
          <w:numId w:val="78"/>
        </w:numPr>
        <w:overflowPunct w:val="0"/>
        <w:autoSpaceDE w:val="0"/>
        <w:autoSpaceDN w:val="0"/>
        <w:adjustRightInd w:val="0"/>
        <w:spacing w:line="360" w:lineRule="auto"/>
        <w:jc w:val="both"/>
        <w:textAlignment w:val="baseline"/>
        <w:rPr>
          <w:rFonts w:ascii="Arial" w:hAnsi="Arial" w:cs="Arial"/>
          <w:color w:val="0000FF"/>
          <w:sz w:val="20"/>
          <w:szCs w:val="20"/>
          <w:u w:val="double"/>
        </w:rPr>
      </w:pPr>
      <w:r w:rsidRPr="0077075B">
        <w:rPr>
          <w:rFonts w:ascii="Arial" w:hAnsi="Arial" w:cs="Arial"/>
          <w:sz w:val="20"/>
          <w:szCs w:val="20"/>
        </w:rPr>
        <w:t>To approve the dividend policy of the Company as set out on page 10</w:t>
      </w:r>
      <w:r w:rsidRPr="00E7124B">
        <w:rPr>
          <w:rFonts w:ascii="Arial" w:hAnsi="Arial" w:cs="Arial"/>
          <w:sz w:val="20"/>
          <w:szCs w:val="20"/>
        </w:rPr>
        <w:t xml:space="preserve"> of the Annual Audited Financial Report for the year ended 31 December, 2018</w:t>
      </w:r>
      <w:r>
        <w:rPr>
          <w:rFonts w:ascii="Arial" w:hAnsi="Arial" w:cs="Arial"/>
          <w:sz w:val="20"/>
          <w:szCs w:val="20"/>
        </w:rPr>
        <w:t>.</w:t>
      </w:r>
    </w:p>
    <w:p w:rsidR="005052CA" w:rsidRDefault="005052CA" w:rsidP="005052CA">
      <w:pPr>
        <w:jc w:val="both"/>
        <w:rPr>
          <w:rFonts w:ascii="Arial" w:hAnsi="Arial" w:cs="Arial"/>
          <w:sz w:val="20"/>
          <w:szCs w:val="20"/>
        </w:rPr>
      </w:pPr>
    </w:p>
    <w:p w:rsidR="005052CA" w:rsidRDefault="005052CA" w:rsidP="005052CA">
      <w:pPr>
        <w:jc w:val="both"/>
        <w:rPr>
          <w:rFonts w:ascii="Arial" w:hAnsi="Arial" w:cs="Arial"/>
          <w:sz w:val="20"/>
          <w:szCs w:val="20"/>
        </w:rPr>
      </w:pPr>
    </w:p>
    <w:p w:rsidR="005052CA" w:rsidRDefault="005052CA" w:rsidP="005052CA">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By order of the Board</w:t>
      </w:r>
    </w:p>
    <w:p w:rsidR="005052CA" w:rsidRDefault="005052CA" w:rsidP="005052CA">
      <w:pPr>
        <w:rPr>
          <w:rFonts w:ascii="Arial" w:hAnsi="Arial" w:cs="Arial"/>
          <w:sz w:val="20"/>
          <w:szCs w:val="20"/>
        </w:rPr>
      </w:pPr>
      <w:r>
        <w:rPr>
          <w:rFonts w:ascii="Arial" w:hAnsi="Arial" w:cs="Arial"/>
          <w:sz w:val="20"/>
          <w:szCs w:val="20"/>
        </w:rPr>
        <w:t>JTC Fund Solutions (Guernsey) Limited</w:t>
      </w:r>
    </w:p>
    <w:p w:rsidR="005052CA" w:rsidRDefault="005052CA" w:rsidP="005052CA">
      <w:pPr>
        <w:rPr>
          <w:rFonts w:ascii="Arial" w:hAnsi="Arial" w:cs="Arial"/>
          <w:sz w:val="20"/>
          <w:szCs w:val="20"/>
        </w:rPr>
      </w:pPr>
      <w:r>
        <w:rPr>
          <w:rFonts w:ascii="Arial" w:hAnsi="Arial" w:cs="Arial"/>
          <w:sz w:val="20"/>
          <w:szCs w:val="20"/>
        </w:rPr>
        <w:t>as Assistant Secretary</w:t>
      </w:r>
    </w:p>
    <w:p w:rsidR="005052CA" w:rsidRDefault="005052CA" w:rsidP="005052CA">
      <w:pPr>
        <w:rPr>
          <w:rFonts w:ascii="Arial" w:hAnsi="Arial" w:cs="Arial"/>
          <w:sz w:val="20"/>
          <w:szCs w:val="20"/>
        </w:rPr>
      </w:pPr>
    </w:p>
    <w:p w:rsidR="005052CA" w:rsidRDefault="0077075B" w:rsidP="005052CA">
      <w:pPr>
        <w:jc w:val="both"/>
        <w:rPr>
          <w:rFonts w:ascii="Arial" w:hAnsi="Arial" w:cs="Arial"/>
          <w:sz w:val="20"/>
          <w:szCs w:val="20"/>
        </w:rPr>
      </w:pPr>
      <w:r>
        <w:rPr>
          <w:rFonts w:ascii="Arial" w:hAnsi="Arial" w:cs="Arial"/>
          <w:sz w:val="20"/>
          <w:szCs w:val="20"/>
        </w:rPr>
        <w:t>11</w:t>
      </w:r>
      <w:r w:rsidR="005052CA">
        <w:rPr>
          <w:rFonts w:ascii="Arial" w:hAnsi="Arial" w:cs="Arial"/>
          <w:sz w:val="20"/>
          <w:szCs w:val="20"/>
        </w:rPr>
        <w:t xml:space="preserve"> April 2019</w:t>
      </w:r>
    </w:p>
    <w:p w:rsidR="005052CA" w:rsidRDefault="005052CA" w:rsidP="005052CA">
      <w:pPr>
        <w:rPr>
          <w:rFonts w:ascii="Arial" w:hAnsi="Arial" w:cs="Arial"/>
          <w:sz w:val="20"/>
          <w:szCs w:val="20"/>
        </w:rPr>
      </w:pPr>
    </w:p>
    <w:p w:rsidR="005052CA" w:rsidRDefault="005052CA" w:rsidP="005052CA">
      <w:pPr>
        <w:rPr>
          <w:rFonts w:ascii="Arial" w:hAnsi="Arial" w:cs="Arial"/>
          <w:sz w:val="20"/>
          <w:szCs w:val="20"/>
        </w:rPr>
      </w:pPr>
    </w:p>
    <w:p w:rsidR="005052CA" w:rsidRDefault="005052CA" w:rsidP="005052CA">
      <w:pPr>
        <w:rPr>
          <w:rFonts w:ascii="Arial" w:hAnsi="Arial" w:cs="Arial"/>
          <w:b/>
          <w:bCs/>
          <w:sz w:val="18"/>
          <w:szCs w:val="18"/>
        </w:rPr>
      </w:pPr>
      <w:r>
        <w:rPr>
          <w:rFonts w:ascii="Arial" w:hAnsi="Arial" w:cs="Arial"/>
          <w:b/>
          <w:bCs/>
          <w:sz w:val="18"/>
          <w:szCs w:val="18"/>
        </w:rPr>
        <w:t>Notes:</w:t>
      </w:r>
    </w:p>
    <w:p w:rsidR="005052CA" w:rsidRDefault="005052CA" w:rsidP="005052CA">
      <w:pPr>
        <w:rPr>
          <w:rFonts w:ascii="Arial" w:hAnsi="Arial" w:cs="Arial"/>
          <w:b/>
          <w:bCs/>
          <w:sz w:val="18"/>
          <w:szCs w:val="18"/>
        </w:rPr>
      </w:pPr>
    </w:p>
    <w:p w:rsidR="005052CA" w:rsidRDefault="005052CA" w:rsidP="00F9062B">
      <w:pPr>
        <w:numPr>
          <w:ilvl w:val="0"/>
          <w:numId w:val="77"/>
        </w:numPr>
        <w:jc w:val="both"/>
        <w:rPr>
          <w:rFonts w:ascii="Arial" w:hAnsi="Arial" w:cs="Arial"/>
          <w:sz w:val="16"/>
          <w:szCs w:val="18"/>
        </w:rPr>
      </w:pPr>
      <w:r>
        <w:rPr>
          <w:rFonts w:ascii="Arial" w:hAnsi="Arial" w:cs="Arial"/>
          <w:sz w:val="16"/>
          <w:szCs w:val="18"/>
        </w:rPr>
        <w:t>Only holders of management shares are entitled to attend and vote at the Company Annual General Meeting. A holder of management shares is entitled to appoint one or more proxies to attend and vote at the Company Annual General Meeting instead of him. A proxy need not be a holder of management shares.</w:t>
      </w:r>
    </w:p>
    <w:p w:rsidR="005052CA" w:rsidRDefault="005052CA" w:rsidP="00F9062B">
      <w:pPr>
        <w:numPr>
          <w:ilvl w:val="0"/>
          <w:numId w:val="77"/>
        </w:numPr>
        <w:jc w:val="both"/>
        <w:rPr>
          <w:rFonts w:ascii="Arial" w:hAnsi="Arial" w:cs="Arial"/>
          <w:sz w:val="16"/>
          <w:szCs w:val="18"/>
        </w:rPr>
      </w:pPr>
      <w:r>
        <w:rPr>
          <w:rFonts w:ascii="Arial" w:hAnsi="Arial" w:cs="Arial"/>
          <w:sz w:val="16"/>
          <w:szCs w:val="18"/>
        </w:rPr>
        <w:t xml:space="preserve">The proposed new Articles of Association have been uploaded to the Company’s website </w:t>
      </w:r>
      <w:hyperlink r:id="rId26" w:history="1">
        <w:r>
          <w:rPr>
            <w:rStyle w:val="Hyperlink"/>
            <w:rFonts w:ascii="Arial" w:hAnsi="Arial" w:cs="Arial"/>
            <w:sz w:val="16"/>
            <w:szCs w:val="18"/>
          </w:rPr>
          <w:t>http://www.middlefield.co.uk/mcit.htm</w:t>
        </w:r>
      </w:hyperlink>
      <w:r>
        <w:rPr>
          <w:rFonts w:ascii="Arial" w:hAnsi="Arial" w:cs="Arial"/>
          <w:sz w:val="16"/>
          <w:szCs w:val="18"/>
        </w:rPr>
        <w:t xml:space="preserve"> and will be available for inspection at the Annual General Meeting.  Electronic copies can also be requested from the Assistant Secretary by e-mail to fundservicesgsy@jtcgroup.com.</w:t>
      </w:r>
    </w:p>
    <w:p w:rsidR="005052CA" w:rsidRDefault="005052CA" w:rsidP="00A5285B">
      <w:pPr>
        <w:rPr>
          <w:rFonts w:ascii="Arial" w:hAnsi="Arial" w:cs="Arial"/>
          <w:sz w:val="20"/>
          <w:szCs w:val="20"/>
        </w:rPr>
      </w:pPr>
    </w:p>
    <w:p w:rsidR="005052CA" w:rsidRDefault="005052CA" w:rsidP="00A5285B">
      <w:pPr>
        <w:rPr>
          <w:rFonts w:ascii="Arial" w:hAnsi="Arial" w:cs="Arial"/>
          <w:sz w:val="20"/>
          <w:szCs w:val="20"/>
        </w:rPr>
      </w:pPr>
    </w:p>
    <w:p w:rsidR="005052CA" w:rsidRDefault="005052CA" w:rsidP="00A5285B">
      <w:pPr>
        <w:rPr>
          <w:rFonts w:ascii="Arial" w:hAnsi="Arial" w:cs="Arial"/>
          <w:sz w:val="20"/>
          <w:szCs w:val="20"/>
        </w:rPr>
      </w:pPr>
    </w:p>
    <w:p w:rsidR="005052CA" w:rsidRDefault="005052CA" w:rsidP="00A5285B">
      <w:pPr>
        <w:rPr>
          <w:rFonts w:ascii="Arial" w:hAnsi="Arial" w:cs="Arial"/>
          <w:sz w:val="20"/>
          <w:szCs w:val="20"/>
        </w:rPr>
      </w:pPr>
    </w:p>
    <w:p w:rsidR="00947C43" w:rsidRDefault="00947C43" w:rsidP="00A5285B">
      <w:pPr>
        <w:rPr>
          <w:rFonts w:ascii="Arial" w:hAnsi="Arial" w:cs="Arial"/>
          <w:sz w:val="20"/>
          <w:szCs w:val="20"/>
        </w:rPr>
      </w:pPr>
    </w:p>
    <w:p w:rsidR="00947C43" w:rsidRDefault="00947C43" w:rsidP="00A5285B">
      <w:pPr>
        <w:rPr>
          <w:rFonts w:ascii="Arial" w:hAnsi="Arial" w:cs="Arial"/>
          <w:sz w:val="20"/>
          <w:szCs w:val="20"/>
        </w:rPr>
      </w:pPr>
    </w:p>
    <w:p w:rsidR="007B5B87" w:rsidRPr="009170B8" w:rsidRDefault="007B5B87" w:rsidP="007B5B87">
      <w:pPr>
        <w:pStyle w:val="Heading2"/>
        <w:tabs>
          <w:tab w:val="right" w:pos="8222"/>
        </w:tabs>
        <w:rPr>
          <w:rFonts w:ascii="Times New Roman" w:hAnsi="Times New Roman"/>
        </w:rPr>
      </w:pPr>
      <w:bookmarkStart w:id="76" w:name="OLE_LINK61"/>
      <w:bookmarkStart w:id="77" w:name="OLE_LINK62"/>
      <w:r w:rsidRPr="009170B8">
        <w:rPr>
          <w:rFonts w:ascii="Times New Roman" w:hAnsi="Times New Roman"/>
        </w:rPr>
        <w:t>Management and Administration</w:t>
      </w:r>
    </w:p>
    <w:bookmarkEnd w:id="76"/>
    <w:bookmarkEnd w:id="77"/>
    <w:p w:rsidR="007B5B87" w:rsidRPr="009170B8" w:rsidRDefault="007B5B87" w:rsidP="007B5B87">
      <w:pPr>
        <w:tabs>
          <w:tab w:val="right" w:pos="8222"/>
        </w:tabs>
        <w:rPr>
          <w:rFonts w:ascii="Times New Roman" w:hAnsi="Times New Roman"/>
        </w:rPr>
      </w:pPr>
    </w:p>
    <w:tbl>
      <w:tblPr>
        <w:tblW w:w="0" w:type="auto"/>
        <w:tblLook w:val="0000" w:firstRow="0" w:lastRow="0" w:firstColumn="0" w:lastColumn="0" w:noHBand="0" w:noVBand="0"/>
      </w:tblPr>
      <w:tblGrid>
        <w:gridCol w:w="4264"/>
        <w:gridCol w:w="5744"/>
      </w:tblGrid>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Directors</w:t>
            </w:r>
          </w:p>
        </w:tc>
        <w:tc>
          <w:tcPr>
            <w:tcW w:w="5744"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Nicholas Villiers (Chairman)</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44" w:type="dxa"/>
          </w:tcPr>
          <w:p w:rsidR="007B5B87" w:rsidRPr="009170B8" w:rsidRDefault="007B5B87" w:rsidP="003B01CA">
            <w:pPr>
              <w:pStyle w:val="Header"/>
              <w:tabs>
                <w:tab w:val="clear" w:pos="4153"/>
                <w:tab w:val="clear" w:pos="8306"/>
                <w:tab w:val="left" w:pos="3402"/>
                <w:tab w:val="right" w:pos="8222"/>
              </w:tabs>
              <w:rPr>
                <w:rFonts w:ascii="Times New Roman" w:hAnsi="Times New Roman"/>
                <w:szCs w:val="22"/>
              </w:rPr>
            </w:pPr>
            <w:r w:rsidRPr="009170B8">
              <w:rPr>
                <w:rFonts w:ascii="Times New Roman" w:hAnsi="Times New Roman"/>
                <w:szCs w:val="22"/>
              </w:rPr>
              <w:t xml:space="preserve">Raymond </w:t>
            </w:r>
            <w:proofErr w:type="spellStart"/>
            <w:r w:rsidRPr="009170B8">
              <w:rPr>
                <w:rFonts w:ascii="Times New Roman" w:hAnsi="Times New Roman"/>
                <w:szCs w:val="22"/>
              </w:rPr>
              <w:t>Apsey</w:t>
            </w:r>
            <w:proofErr w:type="spellEnd"/>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44" w:type="dxa"/>
          </w:tcPr>
          <w:p w:rsidR="007B5B87" w:rsidRPr="009170B8" w:rsidRDefault="007B5B87" w:rsidP="003B01CA">
            <w:pPr>
              <w:pStyle w:val="Header"/>
              <w:tabs>
                <w:tab w:val="clear" w:pos="4153"/>
                <w:tab w:val="clear" w:pos="8306"/>
                <w:tab w:val="left" w:pos="3402"/>
                <w:tab w:val="right" w:pos="8222"/>
              </w:tabs>
              <w:rPr>
                <w:rFonts w:ascii="Times New Roman" w:hAnsi="Times New Roman"/>
                <w:szCs w:val="22"/>
              </w:rPr>
            </w:pPr>
            <w:r w:rsidRPr="009170B8">
              <w:rPr>
                <w:rFonts w:ascii="Times New Roman" w:hAnsi="Times New Roman"/>
                <w:szCs w:val="22"/>
              </w:rPr>
              <w:t>Philip Bisson</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44" w:type="dxa"/>
          </w:tcPr>
          <w:p w:rsidR="007B5B87" w:rsidRPr="009170B8" w:rsidRDefault="007B5B87" w:rsidP="003B01CA">
            <w:pPr>
              <w:pStyle w:val="Header"/>
              <w:tabs>
                <w:tab w:val="clear" w:pos="4153"/>
                <w:tab w:val="clear" w:pos="8306"/>
                <w:tab w:val="left" w:pos="3402"/>
                <w:tab w:val="right" w:pos="8222"/>
              </w:tabs>
              <w:rPr>
                <w:rFonts w:ascii="Times New Roman" w:hAnsi="Times New Roman"/>
                <w:szCs w:val="22"/>
              </w:rPr>
            </w:pPr>
            <w:r w:rsidRPr="009170B8">
              <w:rPr>
                <w:rFonts w:ascii="Times New Roman" w:hAnsi="Times New Roman"/>
                <w:szCs w:val="22"/>
              </w:rPr>
              <w:t>Thomas Grose</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44" w:type="dxa"/>
          </w:tcPr>
          <w:p w:rsidR="007B5B87" w:rsidRPr="009170B8" w:rsidRDefault="007B5B87" w:rsidP="003B01CA">
            <w:pPr>
              <w:pStyle w:val="Header"/>
              <w:tabs>
                <w:tab w:val="left" w:pos="3402"/>
                <w:tab w:val="right" w:pos="8222"/>
              </w:tabs>
              <w:rPr>
                <w:rFonts w:ascii="Times New Roman" w:hAnsi="Times New Roman"/>
                <w:iCs/>
                <w:szCs w:val="22"/>
                <w:lang w:eastAsia="en-GB"/>
              </w:rPr>
            </w:pPr>
            <w:r w:rsidRPr="009170B8">
              <w:rPr>
                <w:rFonts w:ascii="Times New Roman" w:hAnsi="Times New Roman"/>
                <w:iCs/>
                <w:szCs w:val="22"/>
                <w:lang w:eastAsia="en-GB"/>
              </w:rPr>
              <w:t xml:space="preserve">Dean </w:t>
            </w:r>
            <w:proofErr w:type="spellStart"/>
            <w:r w:rsidRPr="009170B8">
              <w:rPr>
                <w:rFonts w:ascii="Times New Roman" w:hAnsi="Times New Roman"/>
                <w:iCs/>
                <w:szCs w:val="22"/>
                <w:lang w:eastAsia="en-GB"/>
              </w:rPr>
              <w:t>Orrico</w:t>
            </w:r>
            <w:proofErr w:type="spellEnd"/>
            <w:r w:rsidRPr="009170B8">
              <w:rPr>
                <w:rFonts w:ascii="Times New Roman" w:hAnsi="Times New Roman"/>
                <w:iCs/>
                <w:szCs w:val="22"/>
                <w:lang w:eastAsia="en-GB"/>
              </w:rPr>
              <w:t xml:space="preserve"> </w:t>
            </w:r>
          </w:p>
        </w:tc>
      </w:tr>
      <w:tr w:rsidR="004317C4" w:rsidRPr="009170B8" w:rsidTr="003B01CA">
        <w:tc>
          <w:tcPr>
            <w:tcW w:w="4264" w:type="dxa"/>
          </w:tcPr>
          <w:p w:rsidR="004317C4" w:rsidRPr="009170B8" w:rsidRDefault="004317C4" w:rsidP="003B01CA">
            <w:pPr>
              <w:pStyle w:val="Heading2"/>
              <w:tabs>
                <w:tab w:val="left" w:pos="3402"/>
                <w:tab w:val="right" w:pos="8222"/>
              </w:tabs>
              <w:rPr>
                <w:rFonts w:ascii="Times New Roman" w:hAnsi="Times New Roman"/>
              </w:rPr>
            </w:pPr>
          </w:p>
        </w:tc>
        <w:tc>
          <w:tcPr>
            <w:tcW w:w="5744" w:type="dxa"/>
          </w:tcPr>
          <w:p w:rsidR="004317C4" w:rsidRPr="009170B8" w:rsidRDefault="004317C4" w:rsidP="003B01CA">
            <w:pPr>
              <w:pStyle w:val="Header"/>
              <w:tabs>
                <w:tab w:val="left" w:pos="3402"/>
                <w:tab w:val="right" w:pos="8222"/>
              </w:tabs>
              <w:rPr>
                <w:rFonts w:ascii="Times New Roman" w:hAnsi="Times New Roman"/>
                <w:iCs/>
                <w:szCs w:val="22"/>
                <w:lang w:eastAsia="en-GB"/>
              </w:rPr>
            </w:pPr>
            <w:r>
              <w:rPr>
                <w:rFonts w:ascii="Times New Roman" w:hAnsi="Times New Roman"/>
                <w:iCs/>
                <w:szCs w:val="22"/>
                <w:lang w:eastAsia="en-GB"/>
              </w:rPr>
              <w:t>Richard Hughes (appointed 1 July 2018)</w:t>
            </w:r>
          </w:p>
        </w:tc>
      </w:tr>
    </w:tbl>
    <w:p w:rsidR="007B5B87" w:rsidRDefault="007B5B87" w:rsidP="007B5B87">
      <w:pPr>
        <w:rPr>
          <w:rFonts w:ascii="Times New Roman" w:hAnsi="Times New Roman"/>
        </w:rPr>
      </w:pPr>
    </w:p>
    <w:tbl>
      <w:tblPr>
        <w:tblW w:w="0" w:type="auto"/>
        <w:tblLook w:val="0000" w:firstRow="0" w:lastRow="0" w:firstColumn="0" w:lastColumn="0" w:noHBand="0" w:noVBand="0"/>
      </w:tblPr>
      <w:tblGrid>
        <w:gridCol w:w="4264"/>
        <w:gridCol w:w="5767"/>
      </w:tblGrid>
      <w:tr w:rsidR="007B5B87" w:rsidRPr="009170B8" w:rsidTr="003B01CA">
        <w:tc>
          <w:tcPr>
            <w:tcW w:w="4264" w:type="dxa"/>
          </w:tcPr>
          <w:p w:rsidR="007B5B87" w:rsidRPr="00074F84" w:rsidRDefault="007B5B87" w:rsidP="003B01CA">
            <w:pPr>
              <w:pStyle w:val="Heading2"/>
              <w:tabs>
                <w:tab w:val="left" w:pos="3402"/>
                <w:tab w:val="right" w:pos="8222"/>
              </w:tabs>
              <w:rPr>
                <w:rFonts w:ascii="Times New Roman" w:hAnsi="Times New Roman"/>
              </w:rPr>
            </w:pPr>
            <w:r w:rsidRPr="00074F84">
              <w:rPr>
                <w:rFonts w:ascii="Times New Roman" w:hAnsi="Times New Roman"/>
              </w:rPr>
              <w:t>Administrator and Secretary</w:t>
            </w: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r w:rsidRPr="00074F84">
              <w:rPr>
                <w:rFonts w:ascii="Times New Roman" w:hAnsi="Times New Roman"/>
              </w:rPr>
              <w:t>JTC Fund Solutions (Jersey) Limited</w:t>
            </w:r>
          </w:p>
        </w:tc>
      </w:tr>
      <w:tr w:rsidR="007B5B87" w:rsidRPr="009170B8" w:rsidTr="003B01CA">
        <w:tc>
          <w:tcPr>
            <w:tcW w:w="4264" w:type="dxa"/>
          </w:tcPr>
          <w:p w:rsidR="007B5B87" w:rsidRPr="00074F84" w:rsidRDefault="007B5B87" w:rsidP="003B01CA">
            <w:pPr>
              <w:pStyle w:val="Heading2"/>
              <w:tabs>
                <w:tab w:val="left" w:pos="3402"/>
                <w:tab w:val="right" w:pos="8222"/>
              </w:tabs>
              <w:rPr>
                <w:rFonts w:ascii="Times New Roman" w:hAnsi="Times New Roman"/>
              </w:rPr>
            </w:pP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28 Esplanade</w:t>
            </w:r>
          </w:p>
        </w:tc>
      </w:tr>
      <w:tr w:rsidR="007B5B87" w:rsidRPr="009170B8" w:rsidTr="003B01CA">
        <w:tc>
          <w:tcPr>
            <w:tcW w:w="4264" w:type="dxa"/>
          </w:tcPr>
          <w:p w:rsidR="007B5B87" w:rsidRPr="00074F84" w:rsidRDefault="007B5B87" w:rsidP="003B01CA">
            <w:pPr>
              <w:pStyle w:val="Heading2"/>
              <w:tabs>
                <w:tab w:val="left" w:pos="3402"/>
                <w:tab w:val="right" w:pos="8222"/>
              </w:tabs>
              <w:rPr>
                <w:rFonts w:ascii="Times New Roman" w:hAnsi="Times New Roman"/>
              </w:rPr>
            </w:pP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St. Helier</w:t>
            </w:r>
          </w:p>
        </w:tc>
      </w:tr>
      <w:tr w:rsidR="007B5B87" w:rsidRPr="009170B8" w:rsidTr="003B01CA">
        <w:trPr>
          <w:trHeight w:val="205"/>
        </w:trPr>
        <w:tc>
          <w:tcPr>
            <w:tcW w:w="4264" w:type="dxa"/>
          </w:tcPr>
          <w:p w:rsidR="007B5B87" w:rsidRPr="00074F84" w:rsidRDefault="007B5B87" w:rsidP="003B01CA">
            <w:pPr>
              <w:pStyle w:val="Heading2"/>
              <w:tabs>
                <w:tab w:val="left" w:pos="3402"/>
                <w:tab w:val="right" w:pos="8222"/>
              </w:tabs>
              <w:rPr>
                <w:rFonts w:ascii="Times New Roman" w:hAnsi="Times New Roman"/>
              </w:rPr>
            </w:pP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r w:rsidRPr="00BA75C4">
              <w:rPr>
                <w:rFonts w:ascii="Times New Roman" w:hAnsi="Times New Roman"/>
              </w:rPr>
              <w:t>Jersey, JE2 3QA</w:t>
            </w:r>
          </w:p>
        </w:tc>
      </w:tr>
      <w:tr w:rsidR="007B5B87" w:rsidRPr="009170B8" w:rsidTr="003B01CA">
        <w:tc>
          <w:tcPr>
            <w:tcW w:w="4264" w:type="dxa"/>
          </w:tcPr>
          <w:p w:rsidR="007B5B87" w:rsidRPr="00074F84" w:rsidRDefault="007B5B87" w:rsidP="003B01CA">
            <w:pPr>
              <w:pStyle w:val="Heading2"/>
              <w:tabs>
                <w:tab w:val="left" w:pos="3402"/>
                <w:tab w:val="right" w:pos="8222"/>
              </w:tabs>
              <w:rPr>
                <w:rFonts w:ascii="Times New Roman" w:hAnsi="Times New Roman"/>
              </w:rPr>
            </w:pP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p>
        </w:tc>
      </w:tr>
      <w:tr w:rsidR="007B5B87" w:rsidRPr="009170B8" w:rsidTr="003B01CA">
        <w:tc>
          <w:tcPr>
            <w:tcW w:w="4264" w:type="dxa"/>
          </w:tcPr>
          <w:p w:rsidR="007B5B87" w:rsidRPr="00074F84" w:rsidRDefault="007B5B87" w:rsidP="003B01CA">
            <w:pPr>
              <w:pStyle w:val="Heading2"/>
              <w:tabs>
                <w:tab w:val="left" w:pos="3402"/>
                <w:tab w:val="right" w:pos="8222"/>
              </w:tabs>
              <w:rPr>
                <w:rFonts w:ascii="Times New Roman" w:hAnsi="Times New Roman"/>
              </w:rPr>
            </w:pPr>
            <w:r w:rsidRPr="00074F84">
              <w:rPr>
                <w:rFonts w:ascii="Times New Roman" w:hAnsi="Times New Roman"/>
              </w:rPr>
              <w:t>Registered Office</w:t>
            </w: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r w:rsidRPr="00BA75C4">
              <w:rPr>
                <w:rFonts w:ascii="Times New Roman" w:hAnsi="Times New Roman"/>
              </w:rPr>
              <w:t>28 Esplanade</w:t>
            </w:r>
          </w:p>
        </w:tc>
      </w:tr>
      <w:tr w:rsidR="007B5B87" w:rsidRPr="009170B8" w:rsidTr="003B01CA">
        <w:trPr>
          <w:trHeight w:val="164"/>
        </w:trPr>
        <w:tc>
          <w:tcPr>
            <w:tcW w:w="4264" w:type="dxa"/>
          </w:tcPr>
          <w:p w:rsidR="007B5B87" w:rsidRPr="00074F84" w:rsidRDefault="007B5B87" w:rsidP="003B01CA">
            <w:pPr>
              <w:pStyle w:val="Heading2"/>
              <w:tabs>
                <w:tab w:val="left" w:pos="3402"/>
                <w:tab w:val="right" w:pos="8222"/>
              </w:tabs>
              <w:rPr>
                <w:rFonts w:ascii="Times New Roman" w:hAnsi="Times New Roman"/>
              </w:rPr>
            </w:pP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r w:rsidRPr="00BA75C4">
              <w:rPr>
                <w:rFonts w:ascii="Times New Roman" w:hAnsi="Times New Roman"/>
              </w:rPr>
              <w:t>St</w:t>
            </w:r>
            <w:r>
              <w:rPr>
                <w:rFonts w:ascii="Times New Roman" w:hAnsi="Times New Roman"/>
              </w:rPr>
              <w:t>.</w:t>
            </w:r>
            <w:r w:rsidRPr="00BA75C4">
              <w:rPr>
                <w:rFonts w:ascii="Times New Roman" w:hAnsi="Times New Roman"/>
              </w:rPr>
              <w:t xml:space="preserve"> Helier</w:t>
            </w:r>
          </w:p>
        </w:tc>
      </w:tr>
      <w:tr w:rsidR="007B5B87" w:rsidRPr="009170B8" w:rsidTr="003B01CA">
        <w:tc>
          <w:tcPr>
            <w:tcW w:w="4264" w:type="dxa"/>
          </w:tcPr>
          <w:p w:rsidR="007B5B87" w:rsidRPr="00074F84" w:rsidRDefault="007B5B87" w:rsidP="003B01CA">
            <w:pPr>
              <w:pStyle w:val="Heading2"/>
              <w:tabs>
                <w:tab w:val="left" w:pos="3402"/>
                <w:tab w:val="right" w:pos="8222"/>
              </w:tabs>
              <w:rPr>
                <w:rFonts w:ascii="Times New Roman" w:hAnsi="Times New Roman"/>
              </w:rPr>
            </w:pP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r w:rsidRPr="00BA75C4">
              <w:rPr>
                <w:rFonts w:ascii="Times New Roman" w:hAnsi="Times New Roman"/>
              </w:rPr>
              <w:t xml:space="preserve">Jersey, JE2 3QA </w:t>
            </w:r>
          </w:p>
        </w:tc>
      </w:tr>
      <w:tr w:rsidR="007B5B87" w:rsidRPr="009170B8" w:rsidTr="003B01CA">
        <w:trPr>
          <w:trHeight w:val="195"/>
        </w:trPr>
        <w:tc>
          <w:tcPr>
            <w:tcW w:w="4264" w:type="dxa"/>
          </w:tcPr>
          <w:p w:rsidR="007B5B87" w:rsidRPr="00074F84" w:rsidRDefault="007B5B87" w:rsidP="003B01CA">
            <w:pPr>
              <w:pStyle w:val="Heading2"/>
              <w:tabs>
                <w:tab w:val="left" w:pos="3402"/>
                <w:tab w:val="right" w:pos="8222"/>
              </w:tabs>
              <w:rPr>
                <w:rFonts w:ascii="Times New Roman" w:hAnsi="Times New Roman"/>
              </w:rPr>
            </w:pPr>
          </w:p>
        </w:tc>
        <w:tc>
          <w:tcPr>
            <w:tcW w:w="5767" w:type="dxa"/>
          </w:tcPr>
          <w:p w:rsidR="007B5B87" w:rsidRPr="00074F84" w:rsidRDefault="007B5B87" w:rsidP="003B01CA">
            <w:pPr>
              <w:pStyle w:val="Header"/>
              <w:tabs>
                <w:tab w:val="clear" w:pos="4153"/>
                <w:tab w:val="clear" w:pos="8306"/>
                <w:tab w:val="left" w:pos="3402"/>
                <w:tab w:val="right" w:pos="8222"/>
              </w:tabs>
              <w:rPr>
                <w:rFonts w:ascii="Times New Roman" w:hAnsi="Times New Roman"/>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Pr>
                <w:rFonts w:ascii="Times New Roman" w:hAnsi="Times New Roman"/>
              </w:rPr>
              <w:t>Assistant Secretary</w:t>
            </w: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JTC Fund Solutions (Guernsey) Limited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Ground Floor, Dorey Court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Admiral Park</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St. Peter Port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Guernsey, GY1 2HT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Default="007B5B87" w:rsidP="003B01CA">
            <w:pPr>
              <w:pStyle w:val="Header"/>
              <w:tabs>
                <w:tab w:val="clear" w:pos="4153"/>
                <w:tab w:val="clear" w:pos="8306"/>
                <w:tab w:val="left" w:pos="3402"/>
                <w:tab w:val="right" w:pos="8222"/>
              </w:tabs>
              <w:rPr>
                <w:rFonts w:ascii="Times New Roman" w:hAnsi="Times New Roman"/>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Investment Advisor</w:t>
            </w: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Middlefield International Limited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288 Bishopsgate</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London</w:t>
            </w:r>
            <w:r>
              <w:rPr>
                <w:rFonts w:ascii="Times New Roman" w:hAnsi="Times New Roman"/>
              </w:rPr>
              <w:t xml:space="preserve">, </w:t>
            </w:r>
            <w:r w:rsidRPr="009170B8">
              <w:rPr>
                <w:rFonts w:ascii="Times New Roman" w:hAnsi="Times New Roman"/>
              </w:rPr>
              <w:t>EC2M 4QP</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8C7A0F" w:rsidRDefault="007B5B87" w:rsidP="003B01CA">
            <w:pPr>
              <w:pStyle w:val="Header"/>
              <w:tabs>
                <w:tab w:val="clear" w:pos="4153"/>
                <w:tab w:val="clear" w:pos="8306"/>
                <w:tab w:val="left" w:pos="3402"/>
                <w:tab w:val="right" w:pos="8222"/>
              </w:tabs>
              <w:rPr>
                <w:rFonts w:ascii="Times New Roman" w:hAnsi="Times New Roman"/>
              </w:rPr>
            </w:pPr>
          </w:p>
        </w:tc>
      </w:tr>
    </w:tbl>
    <w:tbl>
      <w:tblPr>
        <w:tblpPr w:leftFromText="180" w:rightFromText="180" w:vertAnchor="text" w:horzAnchor="margin" w:tblpY="-21"/>
        <w:tblW w:w="0" w:type="auto"/>
        <w:tblLook w:val="0000" w:firstRow="0" w:lastRow="0" w:firstColumn="0" w:lastColumn="0" w:noHBand="0" w:noVBand="0"/>
      </w:tblPr>
      <w:tblGrid>
        <w:gridCol w:w="4264"/>
        <w:gridCol w:w="1231"/>
        <w:gridCol w:w="4536"/>
      </w:tblGrid>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Investment Manager</w:t>
            </w: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bCs/>
              </w:rPr>
            </w:pPr>
            <w:r w:rsidRPr="009170B8">
              <w:rPr>
                <w:rFonts w:ascii="Times New Roman" w:hAnsi="Times New Roman"/>
                <w:bCs/>
              </w:rPr>
              <w:t xml:space="preserve">Middlefield </w:t>
            </w:r>
            <w:r>
              <w:rPr>
                <w:rFonts w:ascii="Times New Roman" w:hAnsi="Times New Roman"/>
                <w:bCs/>
              </w:rPr>
              <w:t>Limited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bCs/>
              </w:rPr>
            </w:pPr>
            <w:r w:rsidRPr="009170B8">
              <w:rPr>
                <w:rFonts w:ascii="Times New Roman" w:hAnsi="Times New Roman"/>
                <w:bCs/>
              </w:rPr>
              <w:t>812 Memorial Drive NW</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bCs/>
              </w:rPr>
            </w:pPr>
            <w:r w:rsidRPr="009170B8">
              <w:rPr>
                <w:rFonts w:ascii="Times New Roman" w:hAnsi="Times New Roman"/>
                <w:bCs/>
              </w:rPr>
              <w:t>Calgary, Alberta</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bCs/>
              </w:rPr>
            </w:pPr>
            <w:r w:rsidRPr="009170B8">
              <w:rPr>
                <w:rFonts w:ascii="Times New Roman" w:hAnsi="Times New Roman"/>
                <w:bCs/>
              </w:rPr>
              <w:t>Canada</w:t>
            </w:r>
            <w:r>
              <w:rPr>
                <w:rFonts w:ascii="Times New Roman" w:hAnsi="Times New Roman"/>
                <w:bCs/>
              </w:rPr>
              <w:t xml:space="preserve">, </w:t>
            </w:r>
            <w:r w:rsidRPr="009170B8">
              <w:rPr>
                <w:rFonts w:ascii="Times New Roman" w:hAnsi="Times New Roman"/>
                <w:bCs/>
              </w:rPr>
              <w:t>T2N 3C8</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b/>
                <w:bCs/>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Legal Advisers:</w:t>
            </w: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b/>
                <w:bCs/>
              </w:rPr>
            </w:pPr>
            <w:r w:rsidRPr="009170B8">
              <w:rPr>
                <w:rFonts w:ascii="Times New Roman" w:hAnsi="Times New Roman"/>
                <w:b/>
                <w:bCs/>
              </w:rPr>
              <w:t>In England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Norton Rose Fulbright LLP</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3 More London Riverside</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London</w:t>
            </w:r>
            <w:r>
              <w:rPr>
                <w:rFonts w:ascii="Times New Roman" w:hAnsi="Times New Roman"/>
              </w:rPr>
              <w:t xml:space="preserve">, </w:t>
            </w:r>
            <w:r w:rsidRPr="009170B8">
              <w:rPr>
                <w:rFonts w:ascii="Times New Roman" w:hAnsi="Times New Roman"/>
              </w:rPr>
              <w:t>SE1 2AQ</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proofErr w:type="spellStart"/>
            <w:r>
              <w:rPr>
                <w:rFonts w:ascii="Times New Roman" w:hAnsi="Times New Roman"/>
              </w:rPr>
              <w:t>Ashurst</w:t>
            </w:r>
            <w:proofErr w:type="spellEnd"/>
            <w:r w:rsidR="003B01CA">
              <w:rPr>
                <w:rFonts w:ascii="Times New Roman" w:hAnsi="Times New Roman"/>
              </w:rPr>
              <w:t xml:space="preserve"> LLP</w:t>
            </w:r>
          </w:p>
        </w:tc>
      </w:tr>
      <w:tr w:rsidR="007B5B87" w:rsidRPr="009170B8" w:rsidTr="003B01CA">
        <w:trPr>
          <w:trHeight w:val="755"/>
        </w:trPr>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9660E" w:rsidRDefault="007B5B87" w:rsidP="003B01CA">
            <w:pPr>
              <w:pStyle w:val="Header"/>
              <w:tabs>
                <w:tab w:val="clear" w:pos="4153"/>
                <w:tab w:val="clear" w:pos="8306"/>
                <w:tab w:val="left" w:pos="3402"/>
                <w:tab w:val="right" w:pos="8222"/>
              </w:tabs>
              <w:rPr>
                <w:rFonts w:ascii="Times New Roman" w:hAnsi="Times New Roman"/>
                <w:bCs/>
              </w:rPr>
            </w:pPr>
            <w:proofErr w:type="spellStart"/>
            <w:r w:rsidRPr="0099660E">
              <w:rPr>
                <w:rFonts w:ascii="Times New Roman" w:hAnsi="Times New Roman"/>
                <w:bCs/>
              </w:rPr>
              <w:t>Broadwalk</w:t>
            </w:r>
            <w:proofErr w:type="spellEnd"/>
            <w:r w:rsidRPr="0099660E">
              <w:rPr>
                <w:rFonts w:ascii="Times New Roman" w:hAnsi="Times New Roman"/>
                <w:bCs/>
              </w:rPr>
              <w:t xml:space="preserve"> House</w:t>
            </w:r>
          </w:p>
          <w:p w:rsidR="007B5B87" w:rsidRPr="0099660E" w:rsidRDefault="007B5B87" w:rsidP="003B01CA">
            <w:pPr>
              <w:pStyle w:val="Header"/>
              <w:tabs>
                <w:tab w:val="clear" w:pos="4153"/>
                <w:tab w:val="clear" w:pos="8306"/>
                <w:tab w:val="left" w:pos="3402"/>
                <w:tab w:val="right" w:pos="8222"/>
              </w:tabs>
              <w:rPr>
                <w:rFonts w:ascii="Times New Roman" w:hAnsi="Times New Roman"/>
                <w:bCs/>
              </w:rPr>
            </w:pPr>
            <w:r w:rsidRPr="0099660E">
              <w:rPr>
                <w:rFonts w:ascii="Times New Roman" w:hAnsi="Times New Roman"/>
                <w:bCs/>
              </w:rPr>
              <w:t xml:space="preserve">5 </w:t>
            </w:r>
            <w:proofErr w:type="spellStart"/>
            <w:r w:rsidRPr="0099660E">
              <w:rPr>
                <w:rFonts w:ascii="Times New Roman" w:hAnsi="Times New Roman"/>
                <w:bCs/>
              </w:rPr>
              <w:t>Appold</w:t>
            </w:r>
            <w:proofErr w:type="spellEnd"/>
            <w:r w:rsidRPr="0099660E">
              <w:rPr>
                <w:rFonts w:ascii="Times New Roman" w:hAnsi="Times New Roman"/>
                <w:bCs/>
              </w:rPr>
              <w:t xml:space="preserve"> </w:t>
            </w:r>
            <w:r>
              <w:rPr>
                <w:rFonts w:ascii="Times New Roman" w:hAnsi="Times New Roman"/>
                <w:bCs/>
              </w:rPr>
              <w:t>S</w:t>
            </w:r>
            <w:r w:rsidRPr="0099660E">
              <w:rPr>
                <w:rFonts w:ascii="Times New Roman" w:hAnsi="Times New Roman"/>
                <w:bCs/>
              </w:rPr>
              <w:t>treet</w:t>
            </w:r>
          </w:p>
          <w:p w:rsidR="007B5B87" w:rsidRPr="008C7A0F" w:rsidRDefault="007B5B87" w:rsidP="003B01CA">
            <w:pPr>
              <w:pStyle w:val="Header"/>
              <w:tabs>
                <w:tab w:val="clear" w:pos="4153"/>
                <w:tab w:val="clear" w:pos="8306"/>
                <w:tab w:val="left" w:pos="3402"/>
                <w:tab w:val="right" w:pos="8222"/>
              </w:tabs>
              <w:rPr>
                <w:rFonts w:ascii="Times New Roman" w:hAnsi="Times New Roman"/>
                <w:bCs/>
              </w:rPr>
            </w:pPr>
            <w:r w:rsidRPr="0099660E">
              <w:rPr>
                <w:rFonts w:ascii="Times New Roman" w:hAnsi="Times New Roman"/>
                <w:bCs/>
              </w:rPr>
              <w:t>London</w:t>
            </w:r>
            <w:r>
              <w:rPr>
                <w:rFonts w:ascii="Times New Roman" w:hAnsi="Times New Roman"/>
                <w:bCs/>
              </w:rPr>
              <w:t xml:space="preserve">, </w:t>
            </w:r>
            <w:r w:rsidRPr="0099660E">
              <w:rPr>
                <w:rFonts w:ascii="Times New Roman" w:hAnsi="Times New Roman"/>
                <w:bCs/>
              </w:rPr>
              <w:t>EC2A 2HA</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b/>
                <w:bCs/>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b/>
                <w:bCs/>
              </w:rPr>
              <w:t>In Jersey</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Carey Olsen</w:t>
            </w:r>
            <w:r w:rsidR="003B01CA">
              <w:rPr>
                <w:rFonts w:ascii="Times New Roman" w:hAnsi="Times New Roman"/>
              </w:rPr>
              <w:t xml:space="preserve"> Jersey Partnership</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 xml:space="preserve">47 Esplanade </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St. Helier</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Jersey</w:t>
            </w:r>
            <w:r>
              <w:rPr>
                <w:rFonts w:ascii="Times New Roman" w:hAnsi="Times New Roman"/>
              </w:rPr>
              <w:t xml:space="preserve">, </w:t>
            </w:r>
            <w:r w:rsidRPr="009170B8">
              <w:rPr>
                <w:rFonts w:ascii="Times New Roman" w:hAnsi="Times New Roman"/>
              </w:rPr>
              <w:t>JE1 0BD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gridSpan w:val="2"/>
          </w:tcPr>
          <w:p w:rsidR="007B5B87" w:rsidRPr="009170B8" w:rsidRDefault="007B5B87" w:rsidP="003B01CA">
            <w:pPr>
              <w:pStyle w:val="Header"/>
              <w:tabs>
                <w:tab w:val="clear" w:pos="4153"/>
                <w:tab w:val="clear" w:pos="8306"/>
                <w:tab w:val="left" w:pos="3402"/>
                <w:tab w:val="right" w:pos="8222"/>
              </w:tabs>
              <w:rPr>
                <w:rFonts w:ascii="Times New Roman" w:hAnsi="Times New Roman"/>
                <w:b/>
                <w:bCs/>
              </w:rPr>
            </w:pPr>
          </w:p>
        </w:tc>
      </w:tr>
      <w:tr w:rsidR="007B5B87" w:rsidRPr="009170B8" w:rsidTr="003B01CA">
        <w:trPr>
          <w:trHeight w:val="284"/>
        </w:trPr>
        <w:tc>
          <w:tcPr>
            <w:tcW w:w="5495" w:type="dxa"/>
            <w:gridSpan w:val="2"/>
          </w:tcPr>
          <w:p w:rsidR="007B5B87" w:rsidRPr="009170B8" w:rsidRDefault="007B5B87" w:rsidP="003B01CA">
            <w:pPr>
              <w:pStyle w:val="Heading2"/>
              <w:tabs>
                <w:tab w:val="right" w:pos="8222"/>
              </w:tabs>
              <w:rPr>
                <w:rFonts w:ascii="Times New Roman" w:hAnsi="Times New Roman"/>
              </w:rPr>
            </w:pPr>
          </w:p>
        </w:tc>
        <w:tc>
          <w:tcPr>
            <w:tcW w:w="4536"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p>
        </w:tc>
      </w:tr>
    </w:tbl>
    <w:p w:rsidR="007B5B87" w:rsidRDefault="007B5B87" w:rsidP="007B5B87">
      <w:pPr>
        <w:pStyle w:val="Heading2"/>
        <w:tabs>
          <w:tab w:val="right" w:pos="8222"/>
        </w:tabs>
        <w:rPr>
          <w:rFonts w:ascii="Times New Roman" w:hAnsi="Times New Roman"/>
        </w:rPr>
      </w:pPr>
    </w:p>
    <w:p w:rsidR="007B5B87" w:rsidRPr="0049432A" w:rsidRDefault="007B5B87" w:rsidP="007B5B87"/>
    <w:p w:rsidR="007B5B87" w:rsidRDefault="007B5B87" w:rsidP="007B5B87">
      <w:pPr>
        <w:pStyle w:val="Heading2"/>
        <w:tabs>
          <w:tab w:val="right" w:pos="8222"/>
        </w:tabs>
        <w:rPr>
          <w:rFonts w:ascii="Times New Roman" w:hAnsi="Times New Roman"/>
        </w:rPr>
      </w:pPr>
    </w:p>
    <w:p w:rsidR="00D67909" w:rsidRPr="00E54387" w:rsidRDefault="00D67909" w:rsidP="00E54387"/>
    <w:p w:rsidR="00D67909" w:rsidRPr="00D67909" w:rsidRDefault="00D67909"/>
    <w:p w:rsidR="00D67909" w:rsidRPr="009170B8" w:rsidRDefault="00D67909" w:rsidP="00D67909">
      <w:pPr>
        <w:pStyle w:val="Heading2"/>
        <w:tabs>
          <w:tab w:val="right" w:pos="8222"/>
        </w:tabs>
        <w:rPr>
          <w:rFonts w:ascii="Times New Roman" w:hAnsi="Times New Roman"/>
        </w:rPr>
      </w:pPr>
      <w:r w:rsidRPr="009170B8">
        <w:rPr>
          <w:rFonts w:ascii="Times New Roman" w:hAnsi="Times New Roman"/>
        </w:rPr>
        <w:t>Management and Administration</w:t>
      </w:r>
      <w:r>
        <w:rPr>
          <w:rFonts w:ascii="Times New Roman" w:hAnsi="Times New Roman"/>
        </w:rPr>
        <w:t xml:space="preserve"> (continued)</w:t>
      </w:r>
    </w:p>
    <w:p w:rsidR="007B5B87" w:rsidRDefault="007B5B87" w:rsidP="007B5B87">
      <w:pPr>
        <w:rPr>
          <w:rFonts w:ascii="Times New Roman" w:hAnsi="Times New Roman"/>
        </w:rPr>
      </w:pPr>
    </w:p>
    <w:tbl>
      <w:tblPr>
        <w:tblW w:w="0" w:type="auto"/>
        <w:tblLook w:val="0000" w:firstRow="0" w:lastRow="0" w:firstColumn="0" w:lastColumn="0" w:noHBand="0" w:noVBand="0"/>
      </w:tblPr>
      <w:tblGrid>
        <w:gridCol w:w="4264"/>
        <w:gridCol w:w="5767"/>
      </w:tblGrid>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b/>
                <w:bCs/>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Legal Advisers</w:t>
            </w:r>
            <w:r>
              <w:rPr>
                <w:rFonts w:ascii="Times New Roman" w:hAnsi="Times New Roman"/>
              </w:rPr>
              <w:t xml:space="preserve"> (continued)</w:t>
            </w:r>
            <w:r w:rsidRPr="009170B8">
              <w:rPr>
                <w:rFonts w:ascii="Times New Roman" w:hAnsi="Times New Roman"/>
              </w:rPr>
              <w:t>:</w:t>
            </w: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b/>
                <w:bCs/>
              </w:rPr>
            </w:pPr>
            <w:r w:rsidRPr="009170B8">
              <w:rPr>
                <w:rFonts w:ascii="Times New Roman" w:hAnsi="Times New Roman"/>
                <w:b/>
                <w:bCs/>
              </w:rPr>
              <w:t>In Canada</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 xml:space="preserve">Fasken Martineau </w:t>
            </w:r>
            <w:proofErr w:type="spellStart"/>
            <w:r w:rsidRPr="009170B8">
              <w:rPr>
                <w:rFonts w:ascii="Times New Roman" w:hAnsi="Times New Roman"/>
              </w:rPr>
              <w:t>DuMoulin</w:t>
            </w:r>
            <w:proofErr w:type="spellEnd"/>
            <w:r w:rsidRPr="009170B8">
              <w:rPr>
                <w:rFonts w:ascii="Times New Roman" w:hAnsi="Times New Roman"/>
              </w:rPr>
              <w:t xml:space="preserve"> LLP</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Bay Adelaide Centre</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Box 20, Suite 2400</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333 Bay Street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Toronto, Ontario</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Canada</w:t>
            </w:r>
            <w:r>
              <w:rPr>
                <w:rFonts w:ascii="Times New Roman" w:hAnsi="Times New Roman"/>
              </w:rPr>
              <w:t xml:space="preserve">, </w:t>
            </w:r>
            <w:r w:rsidRPr="009170B8">
              <w:rPr>
                <w:rFonts w:ascii="Times New Roman" w:hAnsi="Times New Roman"/>
              </w:rPr>
              <w:t>M5H 2T6</w:t>
            </w:r>
          </w:p>
        </w:tc>
      </w:tr>
    </w:tbl>
    <w:p w:rsidR="007B5B87" w:rsidRPr="009170B8" w:rsidRDefault="007B5B87" w:rsidP="007B5B87">
      <w:pPr>
        <w:pStyle w:val="Header"/>
        <w:tabs>
          <w:tab w:val="clear" w:pos="4153"/>
          <w:tab w:val="clear" w:pos="8306"/>
        </w:tabs>
        <w:rPr>
          <w:rFonts w:ascii="Times New Roman" w:hAnsi="Times New Roman"/>
        </w:rPr>
      </w:pPr>
    </w:p>
    <w:tbl>
      <w:tblPr>
        <w:tblW w:w="0" w:type="auto"/>
        <w:tblLook w:val="0000" w:firstRow="0" w:lastRow="0" w:firstColumn="0" w:lastColumn="0" w:noHBand="0" w:noVBand="0"/>
      </w:tblPr>
      <w:tblGrid>
        <w:gridCol w:w="4264"/>
        <w:gridCol w:w="5767"/>
      </w:tblGrid>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Broker and Adviser</w:t>
            </w: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proofErr w:type="spellStart"/>
            <w:r w:rsidRPr="009170B8">
              <w:rPr>
                <w:rFonts w:ascii="Times New Roman" w:hAnsi="Times New Roman"/>
              </w:rPr>
              <w:t>Canaccord</w:t>
            </w:r>
            <w:proofErr w:type="spellEnd"/>
            <w:r w:rsidRPr="009170B8">
              <w:rPr>
                <w:rFonts w:ascii="Times New Roman" w:hAnsi="Times New Roman"/>
              </w:rPr>
              <w:t xml:space="preserve"> </w:t>
            </w:r>
            <w:proofErr w:type="spellStart"/>
            <w:r w:rsidRPr="009170B8">
              <w:rPr>
                <w:rFonts w:ascii="Times New Roman" w:hAnsi="Times New Roman"/>
              </w:rPr>
              <w:t>Genuity</w:t>
            </w:r>
            <w:proofErr w:type="spellEnd"/>
            <w:r w:rsidRPr="009170B8">
              <w:rPr>
                <w:rFonts w:ascii="Times New Roman" w:hAnsi="Times New Roman"/>
              </w:rPr>
              <w:t xml:space="preserve"> Limited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9</w:t>
            </w:r>
            <w:r w:rsidRPr="009170B8">
              <w:rPr>
                <w:rFonts w:ascii="Times New Roman" w:hAnsi="Times New Roman"/>
                <w:vertAlign w:val="superscript"/>
              </w:rPr>
              <w:t>th</w:t>
            </w:r>
            <w:r w:rsidRPr="009170B8">
              <w:rPr>
                <w:rFonts w:ascii="Times New Roman" w:hAnsi="Times New Roman"/>
              </w:rPr>
              <w:t xml:space="preserve"> Floor</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88 Wood Street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London</w:t>
            </w:r>
            <w:r>
              <w:rPr>
                <w:rFonts w:ascii="Times New Roman" w:hAnsi="Times New Roman"/>
              </w:rPr>
              <w:t xml:space="preserve">, </w:t>
            </w:r>
            <w:r w:rsidRPr="009170B8">
              <w:rPr>
                <w:rFonts w:ascii="Times New Roman" w:hAnsi="Times New Roman"/>
              </w:rPr>
              <w:t>EC2V 7QR</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Custodian</w:t>
            </w: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RBC Investor Services Trust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335 - 8th Avenue SW</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 xml:space="preserve">23rd Floor </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Calgary, Alberta</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Canada</w:t>
            </w:r>
            <w:r>
              <w:rPr>
                <w:rFonts w:ascii="Times New Roman" w:hAnsi="Times New Roman"/>
              </w:rPr>
              <w:t xml:space="preserve">, </w:t>
            </w:r>
            <w:r w:rsidRPr="009170B8">
              <w:rPr>
                <w:rFonts w:ascii="Times New Roman" w:hAnsi="Times New Roman"/>
              </w:rPr>
              <w:t>T2P 1C9</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Registrar</w:t>
            </w:r>
          </w:p>
        </w:tc>
        <w:tc>
          <w:tcPr>
            <w:tcW w:w="5767" w:type="dxa"/>
          </w:tcPr>
          <w:p w:rsidR="007B5B87" w:rsidRPr="008C7A0F"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Link Market Services</w:t>
            </w:r>
            <w:r w:rsidRPr="008C7A0F">
              <w:rPr>
                <w:rFonts w:ascii="Times New Roman" w:hAnsi="Times New Roman"/>
              </w:rPr>
              <w:t xml:space="preserve"> (Jersey) Limited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8C7A0F"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12</w:t>
            </w:r>
            <w:r w:rsidRPr="008C7A0F">
              <w:rPr>
                <w:rFonts w:ascii="Times New Roman" w:hAnsi="Times New Roman"/>
              </w:rPr>
              <w:t xml:space="preserve"> Castle Street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8C7A0F" w:rsidRDefault="007B5B87" w:rsidP="003B01CA">
            <w:pPr>
              <w:pStyle w:val="Header"/>
              <w:tabs>
                <w:tab w:val="clear" w:pos="4153"/>
                <w:tab w:val="clear" w:pos="8306"/>
                <w:tab w:val="left" w:pos="3402"/>
                <w:tab w:val="right" w:pos="8222"/>
              </w:tabs>
              <w:rPr>
                <w:rFonts w:ascii="Times New Roman" w:hAnsi="Times New Roman"/>
              </w:rPr>
            </w:pPr>
            <w:r w:rsidRPr="008C7A0F">
              <w:rPr>
                <w:rFonts w:ascii="Times New Roman" w:hAnsi="Times New Roman"/>
              </w:rPr>
              <w:t>St. Helier</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8C7A0F" w:rsidRDefault="007B5B87" w:rsidP="003B01CA">
            <w:pPr>
              <w:pStyle w:val="Header"/>
              <w:tabs>
                <w:tab w:val="clear" w:pos="4153"/>
                <w:tab w:val="clear" w:pos="8306"/>
                <w:tab w:val="left" w:pos="3402"/>
                <w:tab w:val="right" w:pos="8222"/>
              </w:tabs>
              <w:rPr>
                <w:rFonts w:ascii="Times New Roman" w:hAnsi="Times New Roman"/>
              </w:rPr>
            </w:pPr>
            <w:r w:rsidRPr="008C7A0F">
              <w:rPr>
                <w:rFonts w:ascii="Times New Roman" w:hAnsi="Times New Roman"/>
              </w:rPr>
              <w:t>Jersey, JE2 3RT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8C7A0F" w:rsidRDefault="007B5B87" w:rsidP="003B01CA">
            <w:pPr>
              <w:pStyle w:val="Header"/>
              <w:tabs>
                <w:tab w:val="clear" w:pos="4153"/>
                <w:tab w:val="clear" w:pos="8306"/>
                <w:tab w:val="left" w:pos="3402"/>
                <w:tab w:val="right" w:pos="8222"/>
              </w:tabs>
              <w:rPr>
                <w:rFonts w:ascii="Times New Roman" w:hAnsi="Times New Roman"/>
              </w:rPr>
            </w:pPr>
          </w:p>
        </w:tc>
      </w:tr>
    </w:tbl>
    <w:tbl>
      <w:tblPr>
        <w:tblpPr w:leftFromText="180" w:rightFromText="180" w:vertAnchor="text" w:horzAnchor="margin" w:tblpY="2"/>
        <w:tblW w:w="0" w:type="auto"/>
        <w:tblLook w:val="0000" w:firstRow="0" w:lastRow="0" w:firstColumn="0" w:lastColumn="0" w:noHBand="0" w:noVBand="0"/>
      </w:tblPr>
      <w:tblGrid>
        <w:gridCol w:w="4264"/>
        <w:gridCol w:w="5767"/>
      </w:tblGrid>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Auditor</w:t>
            </w: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 xml:space="preserve">Deloitte LLP </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P O Box 403</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proofErr w:type="spellStart"/>
            <w:r w:rsidRPr="00A00219">
              <w:rPr>
                <w:rFonts w:ascii="Times New Roman" w:hAnsi="Times New Roman"/>
              </w:rPr>
              <w:t>Gasp</w:t>
            </w:r>
            <w:r w:rsidRPr="00C87A19">
              <w:rPr>
                <w:rFonts w:ascii="Times New Roman" w:hAnsi="Times New Roman"/>
              </w:rPr>
              <w:t>é</w:t>
            </w:r>
            <w:proofErr w:type="spellEnd"/>
            <w:r w:rsidRPr="00A00219">
              <w:rPr>
                <w:rFonts w:ascii="Times New Roman" w:hAnsi="Times New Roman"/>
              </w:rPr>
              <w:t xml:space="preserve">  House</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A00219" w:rsidDel="00F96D49" w:rsidRDefault="007B5B87" w:rsidP="003B01CA">
            <w:pPr>
              <w:pStyle w:val="Header"/>
              <w:tabs>
                <w:tab w:val="clear" w:pos="4153"/>
                <w:tab w:val="clear" w:pos="8306"/>
                <w:tab w:val="left" w:pos="3402"/>
                <w:tab w:val="right" w:pos="8222"/>
              </w:tabs>
              <w:rPr>
                <w:b/>
                <w:bCs/>
                <w:i/>
                <w:iCs/>
                <w:color w:val="1F497D"/>
              </w:rPr>
            </w:pPr>
            <w:r>
              <w:rPr>
                <w:rFonts w:ascii="Times New Roman" w:hAnsi="Times New Roman"/>
              </w:rPr>
              <w:t>E</w:t>
            </w:r>
            <w:r w:rsidRPr="00A00219">
              <w:rPr>
                <w:rFonts w:ascii="Times New Roman" w:hAnsi="Times New Roman"/>
              </w:rPr>
              <w:t>splanade</w:t>
            </w:r>
            <w:r>
              <w:rPr>
                <w:b/>
                <w:bCs/>
                <w:i/>
                <w:iCs/>
                <w:color w:val="1F497D"/>
              </w:rPr>
              <w:t xml:space="preserve"> </w:t>
            </w:r>
            <w:r w:rsidRPr="00A00219">
              <w:rPr>
                <w:rFonts w:ascii="Times New Roman" w:hAnsi="Times New Roman"/>
              </w:rPr>
              <w:t>66-72</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i/>
                <w:iCs/>
              </w:rPr>
            </w:pPr>
            <w:r w:rsidRPr="009170B8">
              <w:rPr>
                <w:rFonts w:ascii="Times New Roman" w:hAnsi="Times New Roman"/>
              </w:rPr>
              <w:t>St. Helier</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Jersey</w:t>
            </w:r>
            <w:r>
              <w:rPr>
                <w:rFonts w:ascii="Times New Roman" w:hAnsi="Times New Roman"/>
              </w:rPr>
              <w:t xml:space="preserve">, </w:t>
            </w:r>
            <w:r w:rsidRPr="009170B8">
              <w:rPr>
                <w:rFonts w:ascii="Times New Roman" w:hAnsi="Times New Roman"/>
              </w:rPr>
              <w:t>JE</w:t>
            </w:r>
            <w:r>
              <w:rPr>
                <w:rFonts w:ascii="Times New Roman" w:hAnsi="Times New Roman"/>
              </w:rPr>
              <w:t>2</w:t>
            </w:r>
            <w:r w:rsidRPr="009170B8">
              <w:rPr>
                <w:rFonts w:ascii="Times New Roman" w:hAnsi="Times New Roman"/>
              </w:rPr>
              <w:t xml:space="preserve"> </w:t>
            </w:r>
            <w:r>
              <w:rPr>
                <w:rFonts w:ascii="Times New Roman" w:hAnsi="Times New Roman"/>
              </w:rPr>
              <w:t>3QT</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r w:rsidRPr="009170B8">
              <w:rPr>
                <w:rFonts w:ascii="Times New Roman" w:hAnsi="Times New Roman"/>
              </w:rPr>
              <w:t>CREST Agent, UK Paying Agent and Transfer Agent</w:t>
            </w:r>
          </w:p>
        </w:tc>
        <w:tc>
          <w:tcPr>
            <w:tcW w:w="5767" w:type="dxa"/>
            <w:vAlign w:val="bottom"/>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Pr>
                <w:rFonts w:ascii="Times New Roman" w:hAnsi="Times New Roman"/>
              </w:rPr>
              <w:t>Link Market Services Limited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The Registry</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34 Beckenham Road</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Pr="009170B8"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Beckenham</w:t>
            </w:r>
          </w:p>
        </w:tc>
      </w:tr>
      <w:tr w:rsidR="007B5B87" w:rsidRPr="009170B8" w:rsidTr="003B01CA">
        <w:tc>
          <w:tcPr>
            <w:tcW w:w="4264" w:type="dxa"/>
          </w:tcPr>
          <w:p w:rsidR="007B5B87" w:rsidRPr="009170B8" w:rsidRDefault="007B5B87" w:rsidP="003B01CA">
            <w:pPr>
              <w:pStyle w:val="Heading2"/>
              <w:tabs>
                <w:tab w:val="left" w:pos="3402"/>
                <w:tab w:val="right" w:pos="8222"/>
              </w:tabs>
              <w:rPr>
                <w:rFonts w:ascii="Times New Roman" w:hAnsi="Times New Roman"/>
              </w:rPr>
            </w:pPr>
          </w:p>
        </w:tc>
        <w:tc>
          <w:tcPr>
            <w:tcW w:w="5767" w:type="dxa"/>
          </w:tcPr>
          <w:p w:rsidR="007B5B87" w:rsidRDefault="007B5B87" w:rsidP="003B01CA">
            <w:pPr>
              <w:pStyle w:val="Header"/>
              <w:tabs>
                <w:tab w:val="clear" w:pos="4153"/>
                <w:tab w:val="clear" w:pos="8306"/>
                <w:tab w:val="left" w:pos="3402"/>
                <w:tab w:val="right" w:pos="8222"/>
              </w:tabs>
              <w:rPr>
                <w:rFonts w:ascii="Times New Roman" w:hAnsi="Times New Roman"/>
              </w:rPr>
            </w:pPr>
            <w:r w:rsidRPr="009170B8">
              <w:rPr>
                <w:rFonts w:ascii="Times New Roman" w:hAnsi="Times New Roman"/>
              </w:rPr>
              <w:t>Kent</w:t>
            </w:r>
            <w:r>
              <w:rPr>
                <w:rFonts w:ascii="Times New Roman" w:hAnsi="Times New Roman"/>
              </w:rPr>
              <w:t xml:space="preserve">, </w:t>
            </w:r>
            <w:r w:rsidRPr="009170B8">
              <w:rPr>
                <w:rFonts w:ascii="Times New Roman" w:hAnsi="Times New Roman"/>
              </w:rPr>
              <w:t>BR3 4TU</w:t>
            </w:r>
          </w:p>
          <w:p w:rsidR="007B5B87" w:rsidRPr="009170B8" w:rsidRDefault="007B5B87" w:rsidP="003B01CA">
            <w:pPr>
              <w:pStyle w:val="Header"/>
              <w:tabs>
                <w:tab w:val="clear" w:pos="4153"/>
                <w:tab w:val="clear" w:pos="8306"/>
                <w:tab w:val="left" w:pos="3402"/>
                <w:tab w:val="right" w:pos="8222"/>
              </w:tabs>
              <w:rPr>
                <w:rFonts w:ascii="Times New Roman" w:hAnsi="Times New Roman"/>
              </w:rPr>
            </w:pPr>
          </w:p>
        </w:tc>
      </w:tr>
    </w:tbl>
    <w:p w:rsidR="007B5B87" w:rsidRPr="009170B8" w:rsidRDefault="007B5B87" w:rsidP="007B5B87">
      <w:pPr>
        <w:pStyle w:val="Header"/>
        <w:tabs>
          <w:tab w:val="clear" w:pos="4153"/>
          <w:tab w:val="clear" w:pos="8306"/>
        </w:tabs>
        <w:rPr>
          <w:rFonts w:ascii="Times New Roman" w:hAnsi="Times New Roman"/>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7B5B87">
      <w:pPr>
        <w:jc w:val="both"/>
        <w:rPr>
          <w:rFonts w:ascii="Times New Roman" w:hAnsi="Times New Roman"/>
          <w:strike/>
          <w:sz w:val="18"/>
          <w:szCs w:val="18"/>
        </w:rPr>
      </w:pPr>
    </w:p>
    <w:p w:rsidR="007B5B87" w:rsidRDefault="007B5B87" w:rsidP="00B74D7C">
      <w:pPr>
        <w:jc w:val="both"/>
        <w:rPr>
          <w:rFonts w:ascii="Times New Roman" w:hAnsi="Times New Roman"/>
          <w:strike/>
          <w:sz w:val="18"/>
          <w:szCs w:val="18"/>
        </w:rPr>
      </w:pPr>
    </w:p>
    <w:p w:rsidR="006F35AB" w:rsidRDefault="006F35AB" w:rsidP="006F35AB">
      <w:pPr>
        <w:rPr>
          <w:rFonts w:ascii="Arial" w:hAnsi="Arial" w:cs="Arial"/>
          <w:sz w:val="20"/>
        </w:rPr>
      </w:pPr>
      <w:r>
        <w:rPr>
          <w:rFonts w:ascii="Arial" w:hAnsi="Arial" w:cs="Arial"/>
          <w:sz w:val="20"/>
        </w:rPr>
        <w:t>END OF ANNOUNCEMENT</w:t>
      </w:r>
    </w:p>
    <w:p w:rsidR="006F35AB" w:rsidRDefault="006F35AB" w:rsidP="006F35AB">
      <w:pPr>
        <w:rPr>
          <w:rFonts w:ascii="Arial" w:hAnsi="Arial" w:cs="Arial"/>
          <w:sz w:val="20"/>
        </w:rPr>
      </w:pPr>
    </w:p>
    <w:p w:rsidR="006F35AB" w:rsidRDefault="006F35AB" w:rsidP="006F35AB">
      <w:pPr>
        <w:rPr>
          <w:rFonts w:ascii="Arial" w:hAnsi="Arial" w:cs="Arial"/>
          <w:sz w:val="20"/>
        </w:rPr>
      </w:pPr>
      <w:r>
        <w:rPr>
          <w:rFonts w:ascii="Arial" w:hAnsi="Arial" w:cs="Arial"/>
          <w:sz w:val="20"/>
        </w:rPr>
        <w:t>E&amp;OE – in transmission</w:t>
      </w:r>
    </w:p>
    <w:p w:rsidR="007B5B87" w:rsidRPr="00CC0176" w:rsidRDefault="007B5B87" w:rsidP="00B74D7C">
      <w:pPr>
        <w:jc w:val="both"/>
        <w:rPr>
          <w:rFonts w:ascii="Times New Roman" w:hAnsi="Times New Roman"/>
          <w:strike/>
          <w:sz w:val="18"/>
          <w:szCs w:val="18"/>
        </w:rPr>
      </w:pPr>
    </w:p>
    <w:sectPr w:rsidR="007B5B87" w:rsidRPr="00CC0176" w:rsidSect="006A5531">
      <w:headerReference w:type="default" r:id="rId2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A6" w:rsidRDefault="007A3BA6">
      <w:r>
        <w:separator/>
      </w:r>
    </w:p>
  </w:endnote>
  <w:endnote w:type="continuationSeparator" w:id="0">
    <w:p w:rsidR="007A3BA6" w:rsidRDefault="007A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Dresdner Bank AG">
    <w:altName w:val="Trebuchet M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cala Sans LF">
    <w:altName w:val="Scala Sans LF"/>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A6" w:rsidRPr="00AE500A" w:rsidRDefault="007A3BA6">
    <w:pPr>
      <w:pStyle w:val="Footer"/>
      <w:jc w:val="center"/>
      <w:rPr>
        <w:sz w:val="18"/>
      </w:rPr>
    </w:pPr>
    <w:r w:rsidRPr="00AE500A">
      <w:rPr>
        <w:rStyle w:val="PageNumber"/>
        <w:sz w:val="18"/>
      </w:rPr>
      <w:fldChar w:fldCharType="begin"/>
    </w:r>
    <w:r w:rsidRPr="00AE500A">
      <w:rPr>
        <w:rStyle w:val="PageNumber"/>
        <w:sz w:val="18"/>
      </w:rPr>
      <w:instrText xml:space="preserve"> PAGE </w:instrText>
    </w:r>
    <w:r w:rsidRPr="00AE500A">
      <w:rPr>
        <w:rStyle w:val="PageNumber"/>
        <w:sz w:val="18"/>
      </w:rPr>
      <w:fldChar w:fldCharType="separate"/>
    </w:r>
    <w:r w:rsidR="00524F0B">
      <w:rPr>
        <w:rStyle w:val="PageNumber"/>
        <w:noProof/>
        <w:sz w:val="18"/>
      </w:rPr>
      <w:t>58</w:t>
    </w:r>
    <w:r w:rsidRPr="00AE500A">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A6" w:rsidRDefault="007A3BA6">
      <w:r>
        <w:separator/>
      </w:r>
    </w:p>
  </w:footnote>
  <w:footnote w:type="continuationSeparator" w:id="0">
    <w:p w:rsidR="007A3BA6" w:rsidRDefault="007A3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A6" w:rsidRPr="00E74666" w:rsidRDefault="007A3BA6" w:rsidP="00E74666">
    <w:pPr>
      <w:pStyle w:val="Heading1"/>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A6" w:rsidRDefault="007A3BA6" w:rsidP="00E74666">
    <w:pPr>
      <w:pStyle w:val="Heading1"/>
      <w:rPr>
        <w:rFonts w:ascii="Times New Roman" w:hAnsi="Times New Roman"/>
        <w:sz w:val="20"/>
        <w:szCs w:val="20"/>
      </w:rPr>
    </w:pPr>
    <w:r w:rsidRPr="00E74666">
      <w:rPr>
        <w:rFonts w:ascii="Times New Roman" w:hAnsi="Times New Roman"/>
        <w:sz w:val="20"/>
        <w:szCs w:val="20"/>
      </w:rPr>
      <w:t xml:space="preserve">MIDDLEFIELD CANADIAN INCOME PCC (the “Company”) </w:t>
    </w:r>
  </w:p>
  <w:p w:rsidR="007A3BA6" w:rsidRPr="00E74666" w:rsidRDefault="007A3BA6" w:rsidP="00E74666">
    <w:pPr>
      <w:pStyle w:val="Heading1"/>
      <w:rPr>
        <w:sz w:val="20"/>
        <w:szCs w:val="20"/>
      </w:rPr>
    </w:pPr>
    <w:r w:rsidRPr="00E74666">
      <w:rPr>
        <w:rFonts w:ascii="Times New Roman" w:hAnsi="Times New Roman"/>
        <w:sz w:val="20"/>
        <w:szCs w:val="20"/>
      </w:rPr>
      <w:t>Including MIDDLEFIELD CANADIAN INCOME – GBP PC (the “Fund”), a cell of the Company</w:t>
    </w:r>
  </w:p>
  <w:p w:rsidR="007A3BA6" w:rsidRPr="00E74666" w:rsidRDefault="007A3BA6">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A6" w:rsidRDefault="007A3BA6" w:rsidP="00E74666">
    <w:pPr>
      <w:pStyle w:val="Heading1"/>
      <w:rPr>
        <w:rFonts w:ascii="Times New Roman" w:hAnsi="Times New Roman"/>
        <w:sz w:val="20"/>
        <w:szCs w:val="20"/>
      </w:rPr>
    </w:pPr>
    <w:r w:rsidRPr="00E74666">
      <w:rPr>
        <w:rFonts w:ascii="Times New Roman" w:hAnsi="Times New Roman"/>
        <w:sz w:val="20"/>
        <w:szCs w:val="20"/>
      </w:rPr>
      <w:t xml:space="preserve">MIDDLEFIELD CANADIAN INCOME PCC (the “Company”) </w:t>
    </w:r>
  </w:p>
  <w:p w:rsidR="007A3BA6" w:rsidRPr="00E74666" w:rsidRDefault="007A3BA6" w:rsidP="00E74666">
    <w:pPr>
      <w:pStyle w:val="Heading1"/>
      <w:rPr>
        <w:sz w:val="20"/>
        <w:szCs w:val="20"/>
      </w:rPr>
    </w:pPr>
    <w:r w:rsidRPr="00E74666">
      <w:rPr>
        <w:rFonts w:ascii="Times New Roman" w:hAnsi="Times New Roman"/>
        <w:sz w:val="20"/>
        <w:szCs w:val="20"/>
      </w:rPr>
      <w:t>Including MIDDLEFIELD CANADIAN INCOME – GBP PC (the “Fund”), a cell of the Company</w:t>
    </w:r>
  </w:p>
  <w:p w:rsidR="007A3BA6" w:rsidRPr="00E74666" w:rsidRDefault="007A3BA6">
    <w:pPr>
      <w:pStyle w:val="Header"/>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A6" w:rsidRDefault="007A3BA6" w:rsidP="00961F82">
    <w:pPr>
      <w:pStyle w:val="Heading1"/>
      <w:rPr>
        <w:rFonts w:ascii="Times New Roman" w:hAnsi="Times New Roman"/>
        <w:sz w:val="20"/>
        <w:szCs w:val="20"/>
      </w:rPr>
    </w:pPr>
    <w:r w:rsidRPr="00E74666">
      <w:rPr>
        <w:rFonts w:ascii="Times New Roman" w:hAnsi="Times New Roman"/>
        <w:sz w:val="20"/>
        <w:szCs w:val="20"/>
      </w:rPr>
      <w:t xml:space="preserve">MIDDLEFIELD CANADIAN INCOME PCC (the “Company”) </w:t>
    </w:r>
  </w:p>
  <w:p w:rsidR="007A3BA6" w:rsidRPr="00365532" w:rsidRDefault="007A3BA6" w:rsidP="00B74D7C">
    <w:pPr>
      <w:pStyle w:val="Heading1"/>
      <w:rPr>
        <w:rFonts w:ascii="Times New Roman" w:hAnsi="Times New Roman"/>
        <w:sz w:val="20"/>
        <w:szCs w:val="20"/>
      </w:rPr>
    </w:pPr>
    <w:r w:rsidRPr="00E74666">
      <w:rPr>
        <w:rFonts w:ascii="Times New Roman" w:hAnsi="Times New Roman"/>
        <w:sz w:val="20"/>
        <w:szCs w:val="20"/>
      </w:rPr>
      <w:t>Including MIDDLEFIELD CANADIAN INCOME – GBP PC (the “Fund”), a cell of the Company</w:t>
    </w:r>
  </w:p>
  <w:p w:rsidR="007A3BA6" w:rsidRPr="00E2655C" w:rsidRDefault="007A3BA6" w:rsidP="00E2655C">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509"/>
    <w:multiLevelType w:val="hybridMultilevel"/>
    <w:tmpl w:val="96DE4F8E"/>
    <w:lvl w:ilvl="0" w:tplc="59A69DD6">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1FB1F72"/>
    <w:multiLevelType w:val="hybridMultilevel"/>
    <w:tmpl w:val="EFB8EA3E"/>
    <w:lvl w:ilvl="0" w:tplc="B406F35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D84776"/>
    <w:multiLevelType w:val="hybridMultilevel"/>
    <w:tmpl w:val="715A069A"/>
    <w:lvl w:ilvl="0" w:tplc="08090001">
      <w:start w:val="1"/>
      <w:numFmt w:val="bullet"/>
      <w:lvlText w:val=""/>
      <w:lvlJc w:val="left"/>
      <w:pPr>
        <w:ind w:left="21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3C30A3A"/>
    <w:multiLevelType w:val="hybridMultilevel"/>
    <w:tmpl w:val="002A942C"/>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4">
    <w:nsid w:val="073C4385"/>
    <w:multiLevelType w:val="hybridMultilevel"/>
    <w:tmpl w:val="AB4C0A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AE94F83"/>
    <w:multiLevelType w:val="hybridMultilevel"/>
    <w:tmpl w:val="63285330"/>
    <w:lvl w:ilvl="0" w:tplc="8F485892">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127A7DED"/>
    <w:multiLevelType w:val="multilevel"/>
    <w:tmpl w:val="97948F86"/>
    <w:lvl w:ilvl="0">
      <w:start w:val="1"/>
      <w:numFmt w:val="bullet"/>
      <w:lvlText w:val="·"/>
      <w:lvlJc w:val="left"/>
      <w:pPr>
        <w:tabs>
          <w:tab w:val="left" w:pos="432"/>
        </w:tabs>
        <w:ind w:left="720"/>
      </w:pPr>
      <w:rPr>
        <w:rFonts w:ascii="Symbol" w:eastAsia="Symbol" w:hAnsi="Symbo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0F25E6"/>
    <w:multiLevelType w:val="hybridMultilevel"/>
    <w:tmpl w:val="B38EF428"/>
    <w:lvl w:ilvl="0" w:tplc="58D43296">
      <w:start w:val="1"/>
      <w:numFmt w:val="decimal"/>
      <w:lvlText w:val="(%1)"/>
      <w:lvlJc w:val="left"/>
      <w:pPr>
        <w:ind w:left="720" w:hanging="360"/>
      </w:pPr>
      <w:rPr>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55496A"/>
    <w:multiLevelType w:val="hybridMultilevel"/>
    <w:tmpl w:val="7AF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1837D7"/>
    <w:multiLevelType w:val="hybridMultilevel"/>
    <w:tmpl w:val="CB2E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9A1393"/>
    <w:multiLevelType w:val="hybridMultilevel"/>
    <w:tmpl w:val="0DDADFBE"/>
    <w:lvl w:ilvl="0" w:tplc="4C2489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0C5E24"/>
    <w:multiLevelType w:val="hybridMultilevel"/>
    <w:tmpl w:val="48204518"/>
    <w:lvl w:ilvl="0" w:tplc="625840A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1E987241"/>
    <w:multiLevelType w:val="hybridMultilevel"/>
    <w:tmpl w:val="E3B05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2607737"/>
    <w:multiLevelType w:val="hybridMultilevel"/>
    <w:tmpl w:val="B964D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374551F"/>
    <w:multiLevelType w:val="hybridMultilevel"/>
    <w:tmpl w:val="C0C01C84"/>
    <w:lvl w:ilvl="0" w:tplc="7DE6445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5B24C84"/>
    <w:multiLevelType w:val="hybridMultilevel"/>
    <w:tmpl w:val="5EE4E9F8"/>
    <w:lvl w:ilvl="0" w:tplc="0CEABF96">
      <w:start w:val="1"/>
      <w:numFmt w:val="lowerRoman"/>
      <w:lvlText w:val="%1)"/>
      <w:lvlJc w:val="left"/>
      <w:pPr>
        <w:ind w:left="1740" w:hanging="72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6">
    <w:nsid w:val="25FA29F1"/>
    <w:multiLevelType w:val="hybridMultilevel"/>
    <w:tmpl w:val="81AAE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7425086"/>
    <w:multiLevelType w:val="hybridMultilevel"/>
    <w:tmpl w:val="2FFE8FE8"/>
    <w:lvl w:ilvl="0" w:tplc="2F52B9F2">
      <w:start w:val="2"/>
      <w:numFmt w:val="bullet"/>
      <w:lvlText w:val=""/>
      <w:lvlJc w:val="left"/>
      <w:pPr>
        <w:ind w:left="1080" w:hanging="360"/>
      </w:pPr>
      <w:rPr>
        <w:rFonts w:ascii="Symbol" w:eastAsia="Times New Roman" w:hAnsi="Symbol" w:cs="Times New Roman" w:hint="default"/>
        <w:color w:val="auto"/>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280A3E4E"/>
    <w:multiLevelType w:val="hybridMultilevel"/>
    <w:tmpl w:val="5962923E"/>
    <w:lvl w:ilvl="0" w:tplc="D74C2228">
      <w:start w:val="1"/>
      <w:numFmt w:val="bullet"/>
      <w:pStyle w:val="indent12"/>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8631F58"/>
    <w:multiLevelType w:val="hybridMultilevel"/>
    <w:tmpl w:val="9432DC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29E165EB"/>
    <w:multiLevelType w:val="multilevel"/>
    <w:tmpl w:val="1EBC6314"/>
    <w:lvl w:ilvl="0">
      <w:start w:val="1"/>
      <w:numFmt w:val="decimal"/>
      <w:pStyle w:val="AgreementHeading1"/>
      <w:lvlText w:val="%1."/>
      <w:lvlJc w:val="left"/>
      <w:pPr>
        <w:tabs>
          <w:tab w:val="num" w:pos="720"/>
        </w:tabs>
        <w:ind w:left="0" w:firstLine="0"/>
      </w:pPr>
      <w:rPr>
        <w:rFonts w:ascii="Times New Roman" w:hAnsi="Times New Roman"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Char"/>
      <w:lvlText w:val="%1.%2"/>
      <w:lvlJc w:val="left"/>
      <w:pPr>
        <w:tabs>
          <w:tab w:val="num" w:pos="891"/>
        </w:tabs>
        <w:ind w:left="891" w:hanging="720"/>
      </w:pPr>
      <w:rPr>
        <w:rFonts w:ascii="Times New Roman" w:hAnsi="Times New Roman" w:hint="default"/>
        <w:b w:val="0"/>
        <w:i w:val="0"/>
        <w:sz w:val="22"/>
        <w:szCs w:val="22"/>
      </w:rPr>
    </w:lvl>
    <w:lvl w:ilvl="2">
      <w:start w:val="1"/>
      <w:numFmt w:val="decimal"/>
      <w:pStyle w:val="AgreementHeading3CharChar"/>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nsid w:val="30B540D3"/>
    <w:multiLevelType w:val="hybridMultilevel"/>
    <w:tmpl w:val="1BC829EC"/>
    <w:lvl w:ilvl="0" w:tplc="08090001">
      <w:start w:val="1"/>
      <w:numFmt w:val="bullet"/>
      <w:lvlText w:val=""/>
      <w:lvlJc w:val="left"/>
      <w:pPr>
        <w:tabs>
          <w:tab w:val="num" w:pos="720"/>
        </w:tabs>
        <w:ind w:left="720" w:hanging="360"/>
      </w:pPr>
      <w:rPr>
        <w:rFonts w:ascii="Symbol" w:hAnsi="Symbol" w:hint="default"/>
      </w:rPr>
    </w:lvl>
    <w:lvl w:ilvl="1" w:tplc="15606690">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30C36FA1"/>
    <w:multiLevelType w:val="hybridMultilevel"/>
    <w:tmpl w:val="24D8F0DC"/>
    <w:lvl w:ilvl="0" w:tplc="8A3ED7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4855C4"/>
    <w:multiLevelType w:val="hybridMultilevel"/>
    <w:tmpl w:val="130AE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360147"/>
    <w:multiLevelType w:val="hybridMultilevel"/>
    <w:tmpl w:val="47A03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37946E19"/>
    <w:multiLevelType w:val="hybridMultilevel"/>
    <w:tmpl w:val="0C06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F9442F"/>
    <w:multiLevelType w:val="hybridMultilevel"/>
    <w:tmpl w:val="96DE4F8E"/>
    <w:lvl w:ilvl="0" w:tplc="59A69DD6">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CEA1459"/>
    <w:multiLevelType w:val="hybridMultilevel"/>
    <w:tmpl w:val="B686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3926C5"/>
    <w:multiLevelType w:val="hybridMultilevel"/>
    <w:tmpl w:val="96DE4F8E"/>
    <w:lvl w:ilvl="0" w:tplc="59A69DD6">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3F973ABA"/>
    <w:multiLevelType w:val="multilevel"/>
    <w:tmpl w:val="C924140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FAB48F2"/>
    <w:multiLevelType w:val="hybridMultilevel"/>
    <w:tmpl w:val="5A0251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0972BC3"/>
    <w:multiLevelType w:val="hybridMultilevel"/>
    <w:tmpl w:val="17C8D234"/>
    <w:lvl w:ilvl="0" w:tplc="08090001">
      <w:start w:val="1"/>
      <w:numFmt w:val="bullet"/>
      <w:lvlText w:val=""/>
      <w:lvlJc w:val="left"/>
      <w:pPr>
        <w:ind w:left="842" w:hanging="360"/>
      </w:pPr>
      <w:rPr>
        <w:rFonts w:ascii="Symbol" w:hAnsi="Symbol" w:hint="default"/>
      </w:rPr>
    </w:lvl>
    <w:lvl w:ilvl="1" w:tplc="08090003">
      <w:start w:val="1"/>
      <w:numFmt w:val="bullet"/>
      <w:lvlText w:val="o"/>
      <w:lvlJc w:val="left"/>
      <w:pPr>
        <w:ind w:left="1562" w:hanging="360"/>
      </w:pPr>
      <w:rPr>
        <w:rFonts w:ascii="Courier New" w:hAnsi="Courier New" w:cs="Courier New" w:hint="default"/>
      </w:rPr>
    </w:lvl>
    <w:lvl w:ilvl="2" w:tplc="08090005">
      <w:start w:val="1"/>
      <w:numFmt w:val="bullet"/>
      <w:lvlText w:val=""/>
      <w:lvlJc w:val="left"/>
      <w:pPr>
        <w:ind w:left="2282" w:hanging="360"/>
      </w:pPr>
      <w:rPr>
        <w:rFonts w:ascii="Wingdings" w:hAnsi="Wingdings" w:hint="default"/>
      </w:rPr>
    </w:lvl>
    <w:lvl w:ilvl="3" w:tplc="08090001">
      <w:start w:val="1"/>
      <w:numFmt w:val="bullet"/>
      <w:lvlText w:val=""/>
      <w:lvlJc w:val="left"/>
      <w:pPr>
        <w:ind w:left="3002" w:hanging="360"/>
      </w:pPr>
      <w:rPr>
        <w:rFonts w:ascii="Symbol" w:hAnsi="Symbol" w:hint="default"/>
      </w:rPr>
    </w:lvl>
    <w:lvl w:ilvl="4" w:tplc="08090003">
      <w:start w:val="1"/>
      <w:numFmt w:val="bullet"/>
      <w:lvlText w:val="o"/>
      <w:lvlJc w:val="left"/>
      <w:pPr>
        <w:ind w:left="3722" w:hanging="360"/>
      </w:pPr>
      <w:rPr>
        <w:rFonts w:ascii="Courier New" w:hAnsi="Courier New" w:cs="Courier New" w:hint="default"/>
      </w:rPr>
    </w:lvl>
    <w:lvl w:ilvl="5" w:tplc="08090005">
      <w:start w:val="1"/>
      <w:numFmt w:val="bullet"/>
      <w:lvlText w:val=""/>
      <w:lvlJc w:val="left"/>
      <w:pPr>
        <w:ind w:left="4442" w:hanging="360"/>
      </w:pPr>
      <w:rPr>
        <w:rFonts w:ascii="Wingdings" w:hAnsi="Wingdings" w:hint="default"/>
      </w:rPr>
    </w:lvl>
    <w:lvl w:ilvl="6" w:tplc="08090001">
      <w:start w:val="1"/>
      <w:numFmt w:val="bullet"/>
      <w:lvlText w:val=""/>
      <w:lvlJc w:val="left"/>
      <w:pPr>
        <w:ind w:left="5162" w:hanging="360"/>
      </w:pPr>
      <w:rPr>
        <w:rFonts w:ascii="Symbol" w:hAnsi="Symbol" w:hint="default"/>
      </w:rPr>
    </w:lvl>
    <w:lvl w:ilvl="7" w:tplc="08090003">
      <w:start w:val="1"/>
      <w:numFmt w:val="bullet"/>
      <w:lvlText w:val="o"/>
      <w:lvlJc w:val="left"/>
      <w:pPr>
        <w:ind w:left="5882" w:hanging="360"/>
      </w:pPr>
      <w:rPr>
        <w:rFonts w:ascii="Courier New" w:hAnsi="Courier New" w:cs="Courier New" w:hint="default"/>
      </w:rPr>
    </w:lvl>
    <w:lvl w:ilvl="8" w:tplc="08090005">
      <w:start w:val="1"/>
      <w:numFmt w:val="bullet"/>
      <w:lvlText w:val=""/>
      <w:lvlJc w:val="left"/>
      <w:pPr>
        <w:ind w:left="6602" w:hanging="360"/>
      </w:pPr>
      <w:rPr>
        <w:rFonts w:ascii="Wingdings" w:hAnsi="Wingdings" w:hint="default"/>
      </w:rPr>
    </w:lvl>
  </w:abstractNum>
  <w:abstractNum w:abstractNumId="32">
    <w:nsid w:val="44B0540F"/>
    <w:multiLevelType w:val="hybridMultilevel"/>
    <w:tmpl w:val="96DE4F8E"/>
    <w:lvl w:ilvl="0" w:tplc="59A69DD6">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46F15C6A"/>
    <w:multiLevelType w:val="hybridMultilevel"/>
    <w:tmpl w:val="AD9EFA9E"/>
    <w:lvl w:ilvl="0" w:tplc="58D43296">
      <w:start w:val="1"/>
      <w:numFmt w:val="decimal"/>
      <w:lvlText w:val="(%1)"/>
      <w:lvlJc w:val="left"/>
      <w:pPr>
        <w:ind w:left="720" w:hanging="360"/>
      </w:pPr>
      <w:rPr>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85A6C96"/>
    <w:multiLevelType w:val="hybridMultilevel"/>
    <w:tmpl w:val="2F2E5F88"/>
    <w:lvl w:ilvl="0" w:tplc="81286A2A">
      <w:start w:val="1"/>
      <w:numFmt w:val="lowerRoman"/>
      <w:lvlText w:val="%1)"/>
      <w:lvlJc w:val="left"/>
      <w:pPr>
        <w:tabs>
          <w:tab w:val="num" w:pos="2520"/>
        </w:tabs>
        <w:ind w:left="2520" w:hanging="72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5">
    <w:nsid w:val="48B2191E"/>
    <w:multiLevelType w:val="hybridMultilevel"/>
    <w:tmpl w:val="B7BAC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A236F7D"/>
    <w:multiLevelType w:val="hybridMultilevel"/>
    <w:tmpl w:val="E272C3E2"/>
    <w:lvl w:ilvl="0" w:tplc="C4AA40AA">
      <w:start w:val="1"/>
      <w:numFmt w:val="bullet"/>
      <w:lvlText w:val=""/>
      <w:lvlJc w:val="left"/>
      <w:pPr>
        <w:tabs>
          <w:tab w:val="num" w:pos="2464"/>
        </w:tabs>
        <w:ind w:left="2464" w:hanging="360"/>
      </w:pPr>
      <w:rPr>
        <w:rFonts w:ascii="Symbol" w:hAnsi="Symbol" w:hint="default"/>
      </w:rPr>
    </w:lvl>
    <w:lvl w:ilvl="1" w:tplc="08090003" w:tentative="1">
      <w:start w:val="1"/>
      <w:numFmt w:val="bullet"/>
      <w:lvlText w:val="o"/>
      <w:lvlJc w:val="left"/>
      <w:pPr>
        <w:tabs>
          <w:tab w:val="num" w:pos="3184"/>
        </w:tabs>
        <w:ind w:left="3184" w:hanging="360"/>
      </w:pPr>
      <w:rPr>
        <w:rFonts w:ascii="Courier New" w:hAnsi="Courier New" w:cs="Courier New" w:hint="default"/>
      </w:rPr>
    </w:lvl>
    <w:lvl w:ilvl="2" w:tplc="08090005" w:tentative="1">
      <w:start w:val="1"/>
      <w:numFmt w:val="bullet"/>
      <w:lvlText w:val=""/>
      <w:lvlJc w:val="left"/>
      <w:pPr>
        <w:tabs>
          <w:tab w:val="num" w:pos="3904"/>
        </w:tabs>
        <w:ind w:left="3904" w:hanging="360"/>
      </w:pPr>
      <w:rPr>
        <w:rFonts w:ascii="Wingdings" w:hAnsi="Wingdings" w:hint="default"/>
      </w:rPr>
    </w:lvl>
    <w:lvl w:ilvl="3" w:tplc="08090001" w:tentative="1">
      <w:start w:val="1"/>
      <w:numFmt w:val="bullet"/>
      <w:lvlText w:val=""/>
      <w:lvlJc w:val="left"/>
      <w:pPr>
        <w:tabs>
          <w:tab w:val="num" w:pos="4624"/>
        </w:tabs>
        <w:ind w:left="4624" w:hanging="360"/>
      </w:pPr>
      <w:rPr>
        <w:rFonts w:ascii="Symbol" w:hAnsi="Symbol" w:hint="default"/>
      </w:rPr>
    </w:lvl>
    <w:lvl w:ilvl="4" w:tplc="08090003" w:tentative="1">
      <w:start w:val="1"/>
      <w:numFmt w:val="bullet"/>
      <w:lvlText w:val="o"/>
      <w:lvlJc w:val="left"/>
      <w:pPr>
        <w:tabs>
          <w:tab w:val="num" w:pos="5344"/>
        </w:tabs>
        <w:ind w:left="5344" w:hanging="360"/>
      </w:pPr>
      <w:rPr>
        <w:rFonts w:ascii="Courier New" w:hAnsi="Courier New" w:cs="Courier New" w:hint="default"/>
      </w:rPr>
    </w:lvl>
    <w:lvl w:ilvl="5" w:tplc="08090005" w:tentative="1">
      <w:start w:val="1"/>
      <w:numFmt w:val="bullet"/>
      <w:lvlText w:val=""/>
      <w:lvlJc w:val="left"/>
      <w:pPr>
        <w:tabs>
          <w:tab w:val="num" w:pos="6064"/>
        </w:tabs>
        <w:ind w:left="6064" w:hanging="360"/>
      </w:pPr>
      <w:rPr>
        <w:rFonts w:ascii="Wingdings" w:hAnsi="Wingdings" w:hint="default"/>
      </w:rPr>
    </w:lvl>
    <w:lvl w:ilvl="6" w:tplc="08090001" w:tentative="1">
      <w:start w:val="1"/>
      <w:numFmt w:val="bullet"/>
      <w:lvlText w:val=""/>
      <w:lvlJc w:val="left"/>
      <w:pPr>
        <w:tabs>
          <w:tab w:val="num" w:pos="6784"/>
        </w:tabs>
        <w:ind w:left="6784" w:hanging="360"/>
      </w:pPr>
      <w:rPr>
        <w:rFonts w:ascii="Symbol" w:hAnsi="Symbol" w:hint="default"/>
      </w:rPr>
    </w:lvl>
    <w:lvl w:ilvl="7" w:tplc="08090003" w:tentative="1">
      <w:start w:val="1"/>
      <w:numFmt w:val="bullet"/>
      <w:lvlText w:val="o"/>
      <w:lvlJc w:val="left"/>
      <w:pPr>
        <w:tabs>
          <w:tab w:val="num" w:pos="7504"/>
        </w:tabs>
        <w:ind w:left="7504" w:hanging="360"/>
      </w:pPr>
      <w:rPr>
        <w:rFonts w:ascii="Courier New" w:hAnsi="Courier New" w:cs="Courier New" w:hint="default"/>
      </w:rPr>
    </w:lvl>
    <w:lvl w:ilvl="8" w:tplc="08090005" w:tentative="1">
      <w:start w:val="1"/>
      <w:numFmt w:val="bullet"/>
      <w:lvlText w:val=""/>
      <w:lvlJc w:val="left"/>
      <w:pPr>
        <w:tabs>
          <w:tab w:val="num" w:pos="8224"/>
        </w:tabs>
        <w:ind w:left="8224" w:hanging="360"/>
      </w:pPr>
      <w:rPr>
        <w:rFonts w:ascii="Wingdings" w:hAnsi="Wingdings" w:hint="default"/>
      </w:rPr>
    </w:lvl>
  </w:abstractNum>
  <w:abstractNum w:abstractNumId="37">
    <w:nsid w:val="4EFC4CC9"/>
    <w:multiLevelType w:val="hybridMultilevel"/>
    <w:tmpl w:val="E6D28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521E00DB"/>
    <w:multiLevelType w:val="hybridMultilevel"/>
    <w:tmpl w:val="D2965D26"/>
    <w:lvl w:ilvl="0" w:tplc="08090001">
      <w:start w:val="1"/>
      <w:numFmt w:val="bullet"/>
      <w:lvlText w:val=""/>
      <w:lvlJc w:val="left"/>
      <w:pPr>
        <w:ind w:left="720" w:hanging="360"/>
      </w:pPr>
      <w:rPr>
        <w:rFonts w:ascii="Symbol" w:hAnsi="Symbol" w:hint="default"/>
      </w:rPr>
    </w:lvl>
    <w:lvl w:ilvl="1" w:tplc="130627B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2EE2F29"/>
    <w:multiLevelType w:val="hybridMultilevel"/>
    <w:tmpl w:val="B38EF428"/>
    <w:lvl w:ilvl="0" w:tplc="58D43296">
      <w:start w:val="1"/>
      <w:numFmt w:val="decimal"/>
      <w:lvlText w:val="(%1)"/>
      <w:lvlJc w:val="left"/>
      <w:pPr>
        <w:ind w:left="720" w:hanging="360"/>
      </w:pPr>
      <w:rPr>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3411C80"/>
    <w:multiLevelType w:val="hybridMultilevel"/>
    <w:tmpl w:val="EC481D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53F11DE9"/>
    <w:multiLevelType w:val="hybridMultilevel"/>
    <w:tmpl w:val="08749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E645CCC"/>
    <w:multiLevelType w:val="hybridMultilevel"/>
    <w:tmpl w:val="F0766C38"/>
    <w:lvl w:ilvl="0" w:tplc="44E0CA06">
      <w:start w:val="7"/>
      <w:numFmt w:val="bullet"/>
      <w:lvlText w:val="-"/>
      <w:lvlJc w:val="left"/>
      <w:pPr>
        <w:ind w:left="644" w:hanging="360"/>
      </w:pPr>
      <w:rPr>
        <w:rFonts w:ascii="Trebuchet MS" w:eastAsia="Times New Roman" w:hAnsi="Trebuchet M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nsid w:val="5F266E62"/>
    <w:multiLevelType w:val="hybridMultilevel"/>
    <w:tmpl w:val="E320D5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61467E62"/>
    <w:multiLevelType w:val="hybridMultilevel"/>
    <w:tmpl w:val="1DB63C2A"/>
    <w:lvl w:ilvl="0" w:tplc="8C88CB16">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7D943AA"/>
    <w:multiLevelType w:val="hybridMultilevel"/>
    <w:tmpl w:val="B38EF428"/>
    <w:lvl w:ilvl="0" w:tplc="58D43296">
      <w:start w:val="1"/>
      <w:numFmt w:val="decimal"/>
      <w:lvlText w:val="(%1)"/>
      <w:lvlJc w:val="left"/>
      <w:pPr>
        <w:ind w:left="720" w:hanging="360"/>
      </w:pPr>
      <w:rPr>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8664BC4"/>
    <w:multiLevelType w:val="hybridMultilevel"/>
    <w:tmpl w:val="B38EF428"/>
    <w:lvl w:ilvl="0" w:tplc="58D43296">
      <w:start w:val="1"/>
      <w:numFmt w:val="decimal"/>
      <w:lvlText w:val="(%1)"/>
      <w:lvlJc w:val="left"/>
      <w:pPr>
        <w:ind w:left="720" w:hanging="360"/>
      </w:pPr>
      <w:rPr>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8A0105D"/>
    <w:multiLevelType w:val="hybridMultilevel"/>
    <w:tmpl w:val="D090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9B50755"/>
    <w:multiLevelType w:val="hybridMultilevel"/>
    <w:tmpl w:val="D67CE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6AC254D6"/>
    <w:multiLevelType w:val="hybridMultilevel"/>
    <w:tmpl w:val="B9D80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nsid w:val="6EF9171E"/>
    <w:multiLevelType w:val="hybridMultilevel"/>
    <w:tmpl w:val="DE12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08977F5"/>
    <w:multiLevelType w:val="hybridMultilevel"/>
    <w:tmpl w:val="8750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602771D"/>
    <w:multiLevelType w:val="hybridMultilevel"/>
    <w:tmpl w:val="D1400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7"/>
  </w:num>
  <w:num w:numId="8">
    <w:abstractNumId w:val="18"/>
  </w:num>
  <w:num w:numId="9">
    <w:abstractNumId w:val="16"/>
  </w:num>
  <w:num w:numId="10">
    <w:abstractNumId w:val="8"/>
  </w:num>
  <w:num w:numId="11">
    <w:abstractNumId w:val="9"/>
  </w:num>
  <w:num w:numId="12">
    <w:abstractNumId w:val="39"/>
  </w:num>
  <w:num w:numId="13">
    <w:abstractNumId w:val="51"/>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8"/>
  </w:num>
  <w:num w:numId="17">
    <w:abstractNumId w:val="4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0"/>
  </w:num>
  <w:num w:numId="21">
    <w:abstractNumId w:val="52"/>
  </w:num>
  <w:num w:numId="22">
    <w:abstractNumId w:val="6"/>
  </w:num>
  <w:num w:numId="23">
    <w:abstractNumId w:val="41"/>
  </w:num>
  <w:num w:numId="24">
    <w:abstractNumId w:val="30"/>
  </w:num>
  <w:num w:numId="25">
    <w:abstractNumId w:val="15"/>
  </w:num>
  <w:num w:numId="26">
    <w:abstractNumId w:val="33"/>
  </w:num>
  <w:num w:numId="27">
    <w:abstractNumId w:val="14"/>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1"/>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42"/>
  </w:num>
  <w:num w:numId="34">
    <w:abstractNumId w:val="27"/>
  </w:num>
  <w:num w:numId="35">
    <w:abstractNumId w:val="13"/>
  </w:num>
  <w:num w:numId="36">
    <w:abstractNumId w:val="1"/>
  </w:num>
  <w:num w:numId="37">
    <w:abstractNumId w:val="24"/>
  </w:num>
  <w:num w:numId="38">
    <w:abstractNumId w:val="49"/>
  </w:num>
  <w:num w:numId="39">
    <w:abstractNumId w:val="12"/>
  </w:num>
  <w:num w:numId="40">
    <w:abstractNumId w:val="37"/>
  </w:num>
  <w:num w:numId="41">
    <w:abstractNumId w:val="35"/>
  </w:num>
  <w:num w:numId="42">
    <w:abstractNumId w:val="25"/>
  </w:num>
  <w:num w:numId="43">
    <w:abstractNumId w:val="50"/>
  </w:num>
  <w:num w:numId="44">
    <w:abstractNumId w:val="29"/>
  </w:num>
  <w:num w:numId="45">
    <w:abstractNumId w:val="27"/>
  </w:num>
  <w:num w:numId="46">
    <w:abstractNumId w:val="13"/>
  </w:num>
  <w:num w:numId="47">
    <w:abstractNumId w:val="1"/>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3"/>
  </w:num>
  <w:num w:numId="51">
    <w:abstractNumId w:val="31"/>
  </w:num>
  <w:num w:numId="52">
    <w:abstractNumId w:val="21"/>
  </w:num>
  <w:num w:numId="53">
    <w:abstractNumId w:val="4"/>
  </w:num>
  <w:num w:numId="54">
    <w:abstractNumId w:val="28"/>
  </w:num>
  <w:num w:numId="55">
    <w:abstractNumId w:val="7"/>
  </w:num>
  <w:num w:numId="56">
    <w:abstractNumId w:val="46"/>
  </w:num>
  <w:num w:numId="57">
    <w:abstractNumId w:val="19"/>
  </w:num>
  <w:num w:numId="58">
    <w:abstractNumId w:val="48"/>
  </w:num>
  <w:num w:numId="59">
    <w:abstractNumId w:val="3"/>
  </w:num>
  <w:num w:numId="60">
    <w:abstractNumId w:val="31"/>
  </w:num>
  <w:num w:numId="61">
    <w:abstractNumId w:val="21"/>
  </w:num>
  <w:num w:numId="62">
    <w:abstractNumId w:val="27"/>
  </w:num>
  <w:num w:numId="63">
    <w:abstractNumId w:val="13"/>
  </w:num>
  <w:num w:numId="64">
    <w:abstractNumId w:val="1"/>
  </w:num>
  <w:num w:numId="65">
    <w:abstractNumId w:val="27"/>
  </w:num>
  <w:num w:numId="66">
    <w:abstractNumId w:val="13"/>
  </w:num>
  <w:num w:numId="67">
    <w:abstractNumId w:val="1"/>
  </w:num>
  <w:num w:numId="6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num>
  <w:num w:numId="70">
    <w:abstractNumId w:val="17"/>
  </w:num>
  <w:num w:numId="71">
    <w:abstractNumId w:val="20"/>
  </w:num>
  <w:num w:numId="72">
    <w:abstractNumId w:val="20"/>
  </w:num>
  <w:num w:numId="73">
    <w:abstractNumId w:val="20"/>
  </w:num>
  <w:num w:numId="74">
    <w:abstractNumId w:val="20"/>
  </w:num>
  <w:num w:numId="75">
    <w:abstractNumId w:val="10"/>
  </w:num>
  <w:num w:numId="76">
    <w:abstractNumId w:val="26"/>
  </w:num>
  <w:num w:numId="77">
    <w:abstractNumId w:val="45"/>
  </w:num>
  <w:num w:numId="78">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02"/>
    <w:rsid w:val="00000B81"/>
    <w:rsid w:val="00000C8E"/>
    <w:rsid w:val="00000EC0"/>
    <w:rsid w:val="00000F1B"/>
    <w:rsid w:val="00001DCD"/>
    <w:rsid w:val="000041E9"/>
    <w:rsid w:val="00004334"/>
    <w:rsid w:val="00004BF9"/>
    <w:rsid w:val="00005419"/>
    <w:rsid w:val="000055B3"/>
    <w:rsid w:val="00007938"/>
    <w:rsid w:val="000100A6"/>
    <w:rsid w:val="00010214"/>
    <w:rsid w:val="00010362"/>
    <w:rsid w:val="00010376"/>
    <w:rsid w:val="000106E3"/>
    <w:rsid w:val="0001230C"/>
    <w:rsid w:val="00012706"/>
    <w:rsid w:val="00012E3E"/>
    <w:rsid w:val="0001320E"/>
    <w:rsid w:val="0001352F"/>
    <w:rsid w:val="000142DA"/>
    <w:rsid w:val="0001520E"/>
    <w:rsid w:val="00015A9F"/>
    <w:rsid w:val="00016130"/>
    <w:rsid w:val="00016890"/>
    <w:rsid w:val="000218C3"/>
    <w:rsid w:val="0002382B"/>
    <w:rsid w:val="000248F4"/>
    <w:rsid w:val="00024908"/>
    <w:rsid w:val="00026499"/>
    <w:rsid w:val="00026C12"/>
    <w:rsid w:val="00026D7B"/>
    <w:rsid w:val="000271B3"/>
    <w:rsid w:val="000302D8"/>
    <w:rsid w:val="00030764"/>
    <w:rsid w:val="00030F00"/>
    <w:rsid w:val="00030F64"/>
    <w:rsid w:val="00031408"/>
    <w:rsid w:val="0003228C"/>
    <w:rsid w:val="000328AD"/>
    <w:rsid w:val="000348B8"/>
    <w:rsid w:val="000350BA"/>
    <w:rsid w:val="000371FC"/>
    <w:rsid w:val="0003728B"/>
    <w:rsid w:val="000372DC"/>
    <w:rsid w:val="000376A2"/>
    <w:rsid w:val="0003773B"/>
    <w:rsid w:val="0003785D"/>
    <w:rsid w:val="0004036B"/>
    <w:rsid w:val="00040EA2"/>
    <w:rsid w:val="000415E8"/>
    <w:rsid w:val="00042666"/>
    <w:rsid w:val="0004287D"/>
    <w:rsid w:val="00043930"/>
    <w:rsid w:val="00044900"/>
    <w:rsid w:val="00044908"/>
    <w:rsid w:val="00044BF1"/>
    <w:rsid w:val="00044C09"/>
    <w:rsid w:val="00045E37"/>
    <w:rsid w:val="000469B4"/>
    <w:rsid w:val="00047A69"/>
    <w:rsid w:val="00047B3E"/>
    <w:rsid w:val="00050427"/>
    <w:rsid w:val="00050BDF"/>
    <w:rsid w:val="000512E3"/>
    <w:rsid w:val="00051C23"/>
    <w:rsid w:val="000530EB"/>
    <w:rsid w:val="00053155"/>
    <w:rsid w:val="000546A2"/>
    <w:rsid w:val="000547AE"/>
    <w:rsid w:val="00054C78"/>
    <w:rsid w:val="00054F0C"/>
    <w:rsid w:val="000554DB"/>
    <w:rsid w:val="00056270"/>
    <w:rsid w:val="000574A7"/>
    <w:rsid w:val="00061B90"/>
    <w:rsid w:val="00061E9F"/>
    <w:rsid w:val="000620E4"/>
    <w:rsid w:val="000627FD"/>
    <w:rsid w:val="000638AC"/>
    <w:rsid w:val="00064FF4"/>
    <w:rsid w:val="00066C61"/>
    <w:rsid w:val="00067778"/>
    <w:rsid w:val="0007188C"/>
    <w:rsid w:val="00072147"/>
    <w:rsid w:val="00072D6D"/>
    <w:rsid w:val="00072E4E"/>
    <w:rsid w:val="00073A3D"/>
    <w:rsid w:val="00074822"/>
    <w:rsid w:val="0007483A"/>
    <w:rsid w:val="00074ECB"/>
    <w:rsid w:val="00074F84"/>
    <w:rsid w:val="000757CF"/>
    <w:rsid w:val="0007657D"/>
    <w:rsid w:val="0007688C"/>
    <w:rsid w:val="00077368"/>
    <w:rsid w:val="00077E08"/>
    <w:rsid w:val="00077EF1"/>
    <w:rsid w:val="00077F61"/>
    <w:rsid w:val="000806AE"/>
    <w:rsid w:val="000809E9"/>
    <w:rsid w:val="00080D52"/>
    <w:rsid w:val="00081793"/>
    <w:rsid w:val="00082623"/>
    <w:rsid w:val="0008270C"/>
    <w:rsid w:val="00082799"/>
    <w:rsid w:val="00083323"/>
    <w:rsid w:val="00084F06"/>
    <w:rsid w:val="00085018"/>
    <w:rsid w:val="0008565A"/>
    <w:rsid w:val="00085CF9"/>
    <w:rsid w:val="00085F03"/>
    <w:rsid w:val="000871D0"/>
    <w:rsid w:val="000872BE"/>
    <w:rsid w:val="00087BD3"/>
    <w:rsid w:val="0009012F"/>
    <w:rsid w:val="000905A7"/>
    <w:rsid w:val="00090B1E"/>
    <w:rsid w:val="00090F47"/>
    <w:rsid w:val="0009149F"/>
    <w:rsid w:val="00091C76"/>
    <w:rsid w:val="00092B84"/>
    <w:rsid w:val="00093B35"/>
    <w:rsid w:val="00094752"/>
    <w:rsid w:val="000947BD"/>
    <w:rsid w:val="000954BE"/>
    <w:rsid w:val="00095797"/>
    <w:rsid w:val="000970E5"/>
    <w:rsid w:val="00097EBA"/>
    <w:rsid w:val="000A0847"/>
    <w:rsid w:val="000A0CFF"/>
    <w:rsid w:val="000A125F"/>
    <w:rsid w:val="000A23B8"/>
    <w:rsid w:val="000A28A8"/>
    <w:rsid w:val="000A463E"/>
    <w:rsid w:val="000A491F"/>
    <w:rsid w:val="000A4A71"/>
    <w:rsid w:val="000A575D"/>
    <w:rsid w:val="000A60F4"/>
    <w:rsid w:val="000A64E2"/>
    <w:rsid w:val="000A6862"/>
    <w:rsid w:val="000A77B4"/>
    <w:rsid w:val="000B0580"/>
    <w:rsid w:val="000B0BBE"/>
    <w:rsid w:val="000B0EEC"/>
    <w:rsid w:val="000B2685"/>
    <w:rsid w:val="000B2A92"/>
    <w:rsid w:val="000B2E98"/>
    <w:rsid w:val="000B3D95"/>
    <w:rsid w:val="000B46AE"/>
    <w:rsid w:val="000B5725"/>
    <w:rsid w:val="000B7B0C"/>
    <w:rsid w:val="000B7D9A"/>
    <w:rsid w:val="000B7E86"/>
    <w:rsid w:val="000C01F0"/>
    <w:rsid w:val="000C0728"/>
    <w:rsid w:val="000C2642"/>
    <w:rsid w:val="000C2D59"/>
    <w:rsid w:val="000C3D90"/>
    <w:rsid w:val="000C4CA4"/>
    <w:rsid w:val="000C583D"/>
    <w:rsid w:val="000C73CF"/>
    <w:rsid w:val="000D00A0"/>
    <w:rsid w:val="000D0DAD"/>
    <w:rsid w:val="000D2607"/>
    <w:rsid w:val="000D392C"/>
    <w:rsid w:val="000D4D04"/>
    <w:rsid w:val="000D5033"/>
    <w:rsid w:val="000D7A83"/>
    <w:rsid w:val="000D7D22"/>
    <w:rsid w:val="000D7F18"/>
    <w:rsid w:val="000E0D73"/>
    <w:rsid w:val="000E2C2D"/>
    <w:rsid w:val="000E3BC0"/>
    <w:rsid w:val="000E468E"/>
    <w:rsid w:val="000E4B08"/>
    <w:rsid w:val="000E5753"/>
    <w:rsid w:val="000E5FF0"/>
    <w:rsid w:val="000E7780"/>
    <w:rsid w:val="000E7D08"/>
    <w:rsid w:val="000F12CC"/>
    <w:rsid w:val="000F16AE"/>
    <w:rsid w:val="000F246C"/>
    <w:rsid w:val="000F255A"/>
    <w:rsid w:val="000F394B"/>
    <w:rsid w:val="000F3B03"/>
    <w:rsid w:val="000F3B77"/>
    <w:rsid w:val="000F3CD1"/>
    <w:rsid w:val="000F4687"/>
    <w:rsid w:val="000F6035"/>
    <w:rsid w:val="000F683A"/>
    <w:rsid w:val="001002FF"/>
    <w:rsid w:val="00100B20"/>
    <w:rsid w:val="00102569"/>
    <w:rsid w:val="001039F8"/>
    <w:rsid w:val="00105080"/>
    <w:rsid w:val="00105D89"/>
    <w:rsid w:val="00106B3B"/>
    <w:rsid w:val="0010757E"/>
    <w:rsid w:val="001102BE"/>
    <w:rsid w:val="00110ADF"/>
    <w:rsid w:val="001113EA"/>
    <w:rsid w:val="00111586"/>
    <w:rsid w:val="00113095"/>
    <w:rsid w:val="001132CF"/>
    <w:rsid w:val="001146A2"/>
    <w:rsid w:val="00114BB6"/>
    <w:rsid w:val="0011506A"/>
    <w:rsid w:val="00116C07"/>
    <w:rsid w:val="00117298"/>
    <w:rsid w:val="001175C2"/>
    <w:rsid w:val="00120804"/>
    <w:rsid w:val="00121523"/>
    <w:rsid w:val="00122B40"/>
    <w:rsid w:val="00123166"/>
    <w:rsid w:val="001236A6"/>
    <w:rsid w:val="00124241"/>
    <w:rsid w:val="0012442B"/>
    <w:rsid w:val="0012480E"/>
    <w:rsid w:val="001252A0"/>
    <w:rsid w:val="00125749"/>
    <w:rsid w:val="00127AAC"/>
    <w:rsid w:val="00130177"/>
    <w:rsid w:val="001303A8"/>
    <w:rsid w:val="00130E9E"/>
    <w:rsid w:val="001317D0"/>
    <w:rsid w:val="00131911"/>
    <w:rsid w:val="001319CD"/>
    <w:rsid w:val="00133242"/>
    <w:rsid w:val="0013421B"/>
    <w:rsid w:val="00136367"/>
    <w:rsid w:val="00136D69"/>
    <w:rsid w:val="0013754B"/>
    <w:rsid w:val="00140415"/>
    <w:rsid w:val="001411D3"/>
    <w:rsid w:val="0014225D"/>
    <w:rsid w:val="001432FC"/>
    <w:rsid w:val="001436AB"/>
    <w:rsid w:val="00143A25"/>
    <w:rsid w:val="00144558"/>
    <w:rsid w:val="00145156"/>
    <w:rsid w:val="00145538"/>
    <w:rsid w:val="001462B5"/>
    <w:rsid w:val="001469D0"/>
    <w:rsid w:val="00146B2B"/>
    <w:rsid w:val="001471A2"/>
    <w:rsid w:val="0015042F"/>
    <w:rsid w:val="001506ED"/>
    <w:rsid w:val="00150C06"/>
    <w:rsid w:val="00150D85"/>
    <w:rsid w:val="0015220A"/>
    <w:rsid w:val="00152BB4"/>
    <w:rsid w:val="00153E34"/>
    <w:rsid w:val="0015424C"/>
    <w:rsid w:val="001567DA"/>
    <w:rsid w:val="00156F20"/>
    <w:rsid w:val="00157DC4"/>
    <w:rsid w:val="00160242"/>
    <w:rsid w:val="0016075F"/>
    <w:rsid w:val="0016191E"/>
    <w:rsid w:val="001619C3"/>
    <w:rsid w:val="00161A63"/>
    <w:rsid w:val="00161D0D"/>
    <w:rsid w:val="00162707"/>
    <w:rsid w:val="00162B4C"/>
    <w:rsid w:val="00163AED"/>
    <w:rsid w:val="0016433D"/>
    <w:rsid w:val="00164614"/>
    <w:rsid w:val="00164789"/>
    <w:rsid w:val="00164FBE"/>
    <w:rsid w:val="00165C10"/>
    <w:rsid w:val="00166C3F"/>
    <w:rsid w:val="001674BB"/>
    <w:rsid w:val="00167C68"/>
    <w:rsid w:val="00170EEA"/>
    <w:rsid w:val="00171797"/>
    <w:rsid w:val="0017199A"/>
    <w:rsid w:val="00171C7E"/>
    <w:rsid w:val="00172CD2"/>
    <w:rsid w:val="00173361"/>
    <w:rsid w:val="00173446"/>
    <w:rsid w:val="001734B8"/>
    <w:rsid w:val="00174095"/>
    <w:rsid w:val="0017441F"/>
    <w:rsid w:val="0017521B"/>
    <w:rsid w:val="00175A17"/>
    <w:rsid w:val="00175F3B"/>
    <w:rsid w:val="0017658A"/>
    <w:rsid w:val="00176666"/>
    <w:rsid w:val="001770B3"/>
    <w:rsid w:val="00177A25"/>
    <w:rsid w:val="001806DD"/>
    <w:rsid w:val="00180734"/>
    <w:rsid w:val="00180CE9"/>
    <w:rsid w:val="00181057"/>
    <w:rsid w:val="001829ED"/>
    <w:rsid w:val="001831E5"/>
    <w:rsid w:val="001847C2"/>
    <w:rsid w:val="001848DB"/>
    <w:rsid w:val="00184EEE"/>
    <w:rsid w:val="0018522C"/>
    <w:rsid w:val="001858EA"/>
    <w:rsid w:val="00190762"/>
    <w:rsid w:val="0019125D"/>
    <w:rsid w:val="00191C4E"/>
    <w:rsid w:val="00192265"/>
    <w:rsid w:val="00192799"/>
    <w:rsid w:val="00193C78"/>
    <w:rsid w:val="00194338"/>
    <w:rsid w:val="001947E2"/>
    <w:rsid w:val="0019579A"/>
    <w:rsid w:val="00195DE1"/>
    <w:rsid w:val="001977E7"/>
    <w:rsid w:val="00197DAA"/>
    <w:rsid w:val="001A0F0E"/>
    <w:rsid w:val="001A1B7B"/>
    <w:rsid w:val="001A3BBA"/>
    <w:rsid w:val="001A4551"/>
    <w:rsid w:val="001A5495"/>
    <w:rsid w:val="001A66B5"/>
    <w:rsid w:val="001A6907"/>
    <w:rsid w:val="001A6D4D"/>
    <w:rsid w:val="001A7AC9"/>
    <w:rsid w:val="001B0402"/>
    <w:rsid w:val="001B13C9"/>
    <w:rsid w:val="001B1B01"/>
    <w:rsid w:val="001B1CB5"/>
    <w:rsid w:val="001B1F99"/>
    <w:rsid w:val="001B2235"/>
    <w:rsid w:val="001B2326"/>
    <w:rsid w:val="001B2E46"/>
    <w:rsid w:val="001B2F59"/>
    <w:rsid w:val="001B321C"/>
    <w:rsid w:val="001B3248"/>
    <w:rsid w:val="001B3C1C"/>
    <w:rsid w:val="001B3D21"/>
    <w:rsid w:val="001B47ED"/>
    <w:rsid w:val="001B5057"/>
    <w:rsid w:val="001B50D1"/>
    <w:rsid w:val="001B54AC"/>
    <w:rsid w:val="001B59C8"/>
    <w:rsid w:val="001B619B"/>
    <w:rsid w:val="001B7840"/>
    <w:rsid w:val="001B7B81"/>
    <w:rsid w:val="001B7F7A"/>
    <w:rsid w:val="001C03AE"/>
    <w:rsid w:val="001C0D3D"/>
    <w:rsid w:val="001C19D4"/>
    <w:rsid w:val="001C2432"/>
    <w:rsid w:val="001C39C3"/>
    <w:rsid w:val="001C4BC1"/>
    <w:rsid w:val="001C4CA1"/>
    <w:rsid w:val="001C532F"/>
    <w:rsid w:val="001C542E"/>
    <w:rsid w:val="001C5CB1"/>
    <w:rsid w:val="001C61EE"/>
    <w:rsid w:val="001C65CD"/>
    <w:rsid w:val="001C7353"/>
    <w:rsid w:val="001D033C"/>
    <w:rsid w:val="001D137F"/>
    <w:rsid w:val="001D1E2F"/>
    <w:rsid w:val="001D201D"/>
    <w:rsid w:val="001D3EF9"/>
    <w:rsid w:val="001D4B2C"/>
    <w:rsid w:val="001D6700"/>
    <w:rsid w:val="001D695D"/>
    <w:rsid w:val="001D6EAF"/>
    <w:rsid w:val="001E0800"/>
    <w:rsid w:val="001E180B"/>
    <w:rsid w:val="001E1F06"/>
    <w:rsid w:val="001E205C"/>
    <w:rsid w:val="001E2AA3"/>
    <w:rsid w:val="001E3D8A"/>
    <w:rsid w:val="001E43A4"/>
    <w:rsid w:val="001E551E"/>
    <w:rsid w:val="001E6499"/>
    <w:rsid w:val="001E6CF6"/>
    <w:rsid w:val="001E6F6F"/>
    <w:rsid w:val="001E752C"/>
    <w:rsid w:val="001F19B2"/>
    <w:rsid w:val="001F19FF"/>
    <w:rsid w:val="001F2868"/>
    <w:rsid w:val="001F2DA9"/>
    <w:rsid w:val="001F34A2"/>
    <w:rsid w:val="001F3F17"/>
    <w:rsid w:val="001F4189"/>
    <w:rsid w:val="001F4AB0"/>
    <w:rsid w:val="001F4D76"/>
    <w:rsid w:val="001F4E53"/>
    <w:rsid w:val="001F52A8"/>
    <w:rsid w:val="001F5383"/>
    <w:rsid w:val="001F56D3"/>
    <w:rsid w:val="001F5DDC"/>
    <w:rsid w:val="001F5EE5"/>
    <w:rsid w:val="001F7130"/>
    <w:rsid w:val="001F77C8"/>
    <w:rsid w:val="001F7BA0"/>
    <w:rsid w:val="00200255"/>
    <w:rsid w:val="00200AEC"/>
    <w:rsid w:val="002018A5"/>
    <w:rsid w:val="002018EA"/>
    <w:rsid w:val="00201EEA"/>
    <w:rsid w:val="00201F03"/>
    <w:rsid w:val="002023BC"/>
    <w:rsid w:val="0020257D"/>
    <w:rsid w:val="00203A19"/>
    <w:rsid w:val="00203B1A"/>
    <w:rsid w:val="00204406"/>
    <w:rsid w:val="002049F0"/>
    <w:rsid w:val="00204DA9"/>
    <w:rsid w:val="00205A92"/>
    <w:rsid w:val="00205CCE"/>
    <w:rsid w:val="00207157"/>
    <w:rsid w:val="00207744"/>
    <w:rsid w:val="00207FC2"/>
    <w:rsid w:val="002121AA"/>
    <w:rsid w:val="0021526B"/>
    <w:rsid w:val="00215525"/>
    <w:rsid w:val="00216A2D"/>
    <w:rsid w:val="00216D5A"/>
    <w:rsid w:val="002173A6"/>
    <w:rsid w:val="00217F3A"/>
    <w:rsid w:val="002209B8"/>
    <w:rsid w:val="00221782"/>
    <w:rsid w:val="00221C2F"/>
    <w:rsid w:val="002235F0"/>
    <w:rsid w:val="0022385C"/>
    <w:rsid w:val="00224785"/>
    <w:rsid w:val="00224CE0"/>
    <w:rsid w:val="0022529F"/>
    <w:rsid w:val="00225DD1"/>
    <w:rsid w:val="00225F99"/>
    <w:rsid w:val="00226273"/>
    <w:rsid w:val="0023043F"/>
    <w:rsid w:val="00230758"/>
    <w:rsid w:val="00231074"/>
    <w:rsid w:val="0023125C"/>
    <w:rsid w:val="00232BF1"/>
    <w:rsid w:val="00232D47"/>
    <w:rsid w:val="00232F32"/>
    <w:rsid w:val="00234ECB"/>
    <w:rsid w:val="00235643"/>
    <w:rsid w:val="00235C0B"/>
    <w:rsid w:val="002362A7"/>
    <w:rsid w:val="00240095"/>
    <w:rsid w:val="00240714"/>
    <w:rsid w:val="00240CE1"/>
    <w:rsid w:val="00240E4F"/>
    <w:rsid w:val="002410F8"/>
    <w:rsid w:val="002414FB"/>
    <w:rsid w:val="0024151D"/>
    <w:rsid w:val="002415E1"/>
    <w:rsid w:val="00241E54"/>
    <w:rsid w:val="00242174"/>
    <w:rsid w:val="0024354B"/>
    <w:rsid w:val="00243B15"/>
    <w:rsid w:val="002443EB"/>
    <w:rsid w:val="0024480F"/>
    <w:rsid w:val="002449F7"/>
    <w:rsid w:val="00245A04"/>
    <w:rsid w:val="00245A86"/>
    <w:rsid w:val="002466A7"/>
    <w:rsid w:val="002466EE"/>
    <w:rsid w:val="00246AC9"/>
    <w:rsid w:val="00247178"/>
    <w:rsid w:val="00250D42"/>
    <w:rsid w:val="00250DD3"/>
    <w:rsid w:val="002521F8"/>
    <w:rsid w:val="00252CC1"/>
    <w:rsid w:val="00252FB0"/>
    <w:rsid w:val="002546F3"/>
    <w:rsid w:val="0025555F"/>
    <w:rsid w:val="00255E08"/>
    <w:rsid w:val="002567D9"/>
    <w:rsid w:val="00256B19"/>
    <w:rsid w:val="002571E5"/>
    <w:rsid w:val="00260492"/>
    <w:rsid w:val="0026100C"/>
    <w:rsid w:val="00261362"/>
    <w:rsid w:val="002633CF"/>
    <w:rsid w:val="002637E8"/>
    <w:rsid w:val="00264C00"/>
    <w:rsid w:val="0026630B"/>
    <w:rsid w:val="00266AF0"/>
    <w:rsid w:val="00270C3D"/>
    <w:rsid w:val="0027108B"/>
    <w:rsid w:val="00271A34"/>
    <w:rsid w:val="00271EC8"/>
    <w:rsid w:val="00272054"/>
    <w:rsid w:val="002721C9"/>
    <w:rsid w:val="00272B6F"/>
    <w:rsid w:val="00275886"/>
    <w:rsid w:val="00275919"/>
    <w:rsid w:val="002765D3"/>
    <w:rsid w:val="002767A2"/>
    <w:rsid w:val="00276EEB"/>
    <w:rsid w:val="00277565"/>
    <w:rsid w:val="00277607"/>
    <w:rsid w:val="00277906"/>
    <w:rsid w:val="00280769"/>
    <w:rsid w:val="002808B3"/>
    <w:rsid w:val="00280D14"/>
    <w:rsid w:val="002820C6"/>
    <w:rsid w:val="00283C5A"/>
    <w:rsid w:val="00283CF3"/>
    <w:rsid w:val="00284997"/>
    <w:rsid w:val="00284A9E"/>
    <w:rsid w:val="0028540D"/>
    <w:rsid w:val="00285992"/>
    <w:rsid w:val="00286BF9"/>
    <w:rsid w:val="00286C1F"/>
    <w:rsid w:val="0029026D"/>
    <w:rsid w:val="00290C33"/>
    <w:rsid w:val="00290E1C"/>
    <w:rsid w:val="00290E74"/>
    <w:rsid w:val="00292065"/>
    <w:rsid w:val="00293222"/>
    <w:rsid w:val="002935A1"/>
    <w:rsid w:val="00293953"/>
    <w:rsid w:val="0029496F"/>
    <w:rsid w:val="00296AEA"/>
    <w:rsid w:val="002971EF"/>
    <w:rsid w:val="00297513"/>
    <w:rsid w:val="0029766F"/>
    <w:rsid w:val="00297D93"/>
    <w:rsid w:val="002A018B"/>
    <w:rsid w:val="002A02AE"/>
    <w:rsid w:val="002A184F"/>
    <w:rsid w:val="002A1CBF"/>
    <w:rsid w:val="002A2620"/>
    <w:rsid w:val="002A2E4F"/>
    <w:rsid w:val="002A4630"/>
    <w:rsid w:val="002A4A43"/>
    <w:rsid w:val="002A5133"/>
    <w:rsid w:val="002A5871"/>
    <w:rsid w:val="002A5E85"/>
    <w:rsid w:val="002A624D"/>
    <w:rsid w:val="002A63A7"/>
    <w:rsid w:val="002A753A"/>
    <w:rsid w:val="002A7C37"/>
    <w:rsid w:val="002B0A72"/>
    <w:rsid w:val="002B181A"/>
    <w:rsid w:val="002B3111"/>
    <w:rsid w:val="002B4426"/>
    <w:rsid w:val="002B4D80"/>
    <w:rsid w:val="002B51F5"/>
    <w:rsid w:val="002B587E"/>
    <w:rsid w:val="002B68B6"/>
    <w:rsid w:val="002B69AF"/>
    <w:rsid w:val="002B6AF3"/>
    <w:rsid w:val="002C0463"/>
    <w:rsid w:val="002C0897"/>
    <w:rsid w:val="002C184B"/>
    <w:rsid w:val="002C1F7B"/>
    <w:rsid w:val="002C3393"/>
    <w:rsid w:val="002C4193"/>
    <w:rsid w:val="002C44EF"/>
    <w:rsid w:val="002C6849"/>
    <w:rsid w:val="002C6D84"/>
    <w:rsid w:val="002D0000"/>
    <w:rsid w:val="002D0B6C"/>
    <w:rsid w:val="002D0CEE"/>
    <w:rsid w:val="002D0CF0"/>
    <w:rsid w:val="002D15D2"/>
    <w:rsid w:val="002D1CF2"/>
    <w:rsid w:val="002D339D"/>
    <w:rsid w:val="002D437E"/>
    <w:rsid w:val="002D5D97"/>
    <w:rsid w:val="002D6E62"/>
    <w:rsid w:val="002D7247"/>
    <w:rsid w:val="002D7851"/>
    <w:rsid w:val="002D79E8"/>
    <w:rsid w:val="002D7B66"/>
    <w:rsid w:val="002E01AE"/>
    <w:rsid w:val="002E14F8"/>
    <w:rsid w:val="002E1911"/>
    <w:rsid w:val="002E1A23"/>
    <w:rsid w:val="002E266A"/>
    <w:rsid w:val="002E37DE"/>
    <w:rsid w:val="002E3BC8"/>
    <w:rsid w:val="002E3EE6"/>
    <w:rsid w:val="002E40E8"/>
    <w:rsid w:val="002E4599"/>
    <w:rsid w:val="002E479A"/>
    <w:rsid w:val="002E5B69"/>
    <w:rsid w:val="002E5B8A"/>
    <w:rsid w:val="002E5D73"/>
    <w:rsid w:val="002E6487"/>
    <w:rsid w:val="002E6FF3"/>
    <w:rsid w:val="002E7532"/>
    <w:rsid w:val="002E7C96"/>
    <w:rsid w:val="002F0BD1"/>
    <w:rsid w:val="002F1ACC"/>
    <w:rsid w:val="002F3397"/>
    <w:rsid w:val="002F40D1"/>
    <w:rsid w:val="002F51EF"/>
    <w:rsid w:val="002F5A09"/>
    <w:rsid w:val="002F5F42"/>
    <w:rsid w:val="002F69CC"/>
    <w:rsid w:val="002F6D25"/>
    <w:rsid w:val="002F6FC5"/>
    <w:rsid w:val="002F717A"/>
    <w:rsid w:val="002F7CE4"/>
    <w:rsid w:val="00301559"/>
    <w:rsid w:val="00301638"/>
    <w:rsid w:val="00301676"/>
    <w:rsid w:val="00303FC5"/>
    <w:rsid w:val="00304635"/>
    <w:rsid w:val="00304AAD"/>
    <w:rsid w:val="00304D74"/>
    <w:rsid w:val="0030598E"/>
    <w:rsid w:val="0030797F"/>
    <w:rsid w:val="003102B8"/>
    <w:rsid w:val="0031126E"/>
    <w:rsid w:val="0031351A"/>
    <w:rsid w:val="0031392A"/>
    <w:rsid w:val="00314C55"/>
    <w:rsid w:val="00314FEB"/>
    <w:rsid w:val="003156AA"/>
    <w:rsid w:val="00315EA1"/>
    <w:rsid w:val="00316831"/>
    <w:rsid w:val="0031691D"/>
    <w:rsid w:val="00317C0D"/>
    <w:rsid w:val="00317EC5"/>
    <w:rsid w:val="00320243"/>
    <w:rsid w:val="00321966"/>
    <w:rsid w:val="0032324A"/>
    <w:rsid w:val="0032361E"/>
    <w:rsid w:val="00323D26"/>
    <w:rsid w:val="003249B0"/>
    <w:rsid w:val="00325375"/>
    <w:rsid w:val="003258B7"/>
    <w:rsid w:val="00325AC3"/>
    <w:rsid w:val="00325BC9"/>
    <w:rsid w:val="00326E17"/>
    <w:rsid w:val="00327D83"/>
    <w:rsid w:val="00330296"/>
    <w:rsid w:val="003304A2"/>
    <w:rsid w:val="0033052C"/>
    <w:rsid w:val="003308E3"/>
    <w:rsid w:val="0033203A"/>
    <w:rsid w:val="00332B93"/>
    <w:rsid w:val="00334D4D"/>
    <w:rsid w:val="00335CE9"/>
    <w:rsid w:val="003402E7"/>
    <w:rsid w:val="00340324"/>
    <w:rsid w:val="00340443"/>
    <w:rsid w:val="00340A5B"/>
    <w:rsid w:val="00340F28"/>
    <w:rsid w:val="00340F70"/>
    <w:rsid w:val="00340FAA"/>
    <w:rsid w:val="00341520"/>
    <w:rsid w:val="00341AF2"/>
    <w:rsid w:val="00342154"/>
    <w:rsid w:val="00342203"/>
    <w:rsid w:val="00342E27"/>
    <w:rsid w:val="003439D3"/>
    <w:rsid w:val="003445E2"/>
    <w:rsid w:val="00344612"/>
    <w:rsid w:val="0034498D"/>
    <w:rsid w:val="003456F4"/>
    <w:rsid w:val="003458C2"/>
    <w:rsid w:val="00346B8E"/>
    <w:rsid w:val="00347628"/>
    <w:rsid w:val="0034762A"/>
    <w:rsid w:val="00347DD0"/>
    <w:rsid w:val="00350412"/>
    <w:rsid w:val="00350996"/>
    <w:rsid w:val="003510CB"/>
    <w:rsid w:val="003512A0"/>
    <w:rsid w:val="0035130E"/>
    <w:rsid w:val="00353C10"/>
    <w:rsid w:val="003544F2"/>
    <w:rsid w:val="00355596"/>
    <w:rsid w:val="003556E9"/>
    <w:rsid w:val="0035571B"/>
    <w:rsid w:val="00356AE5"/>
    <w:rsid w:val="003579D8"/>
    <w:rsid w:val="00357E45"/>
    <w:rsid w:val="00361C7F"/>
    <w:rsid w:val="0036211B"/>
    <w:rsid w:val="00363388"/>
    <w:rsid w:val="00364610"/>
    <w:rsid w:val="00364640"/>
    <w:rsid w:val="00364D9A"/>
    <w:rsid w:val="00364DDC"/>
    <w:rsid w:val="00365532"/>
    <w:rsid w:val="00365F09"/>
    <w:rsid w:val="00367036"/>
    <w:rsid w:val="00370B2D"/>
    <w:rsid w:val="00370D1E"/>
    <w:rsid w:val="00371E7D"/>
    <w:rsid w:val="00372BC9"/>
    <w:rsid w:val="00373113"/>
    <w:rsid w:val="00374009"/>
    <w:rsid w:val="00374B61"/>
    <w:rsid w:val="00375730"/>
    <w:rsid w:val="003767B2"/>
    <w:rsid w:val="003819E7"/>
    <w:rsid w:val="00381F43"/>
    <w:rsid w:val="0038452F"/>
    <w:rsid w:val="00384704"/>
    <w:rsid w:val="0038479D"/>
    <w:rsid w:val="003847B5"/>
    <w:rsid w:val="0038650F"/>
    <w:rsid w:val="003871A4"/>
    <w:rsid w:val="00387C93"/>
    <w:rsid w:val="00387E9C"/>
    <w:rsid w:val="00390429"/>
    <w:rsid w:val="00390640"/>
    <w:rsid w:val="0039119D"/>
    <w:rsid w:val="00392159"/>
    <w:rsid w:val="003927C6"/>
    <w:rsid w:val="0039289A"/>
    <w:rsid w:val="00393B97"/>
    <w:rsid w:val="00394099"/>
    <w:rsid w:val="003946ED"/>
    <w:rsid w:val="003947CA"/>
    <w:rsid w:val="00394C16"/>
    <w:rsid w:val="003961B5"/>
    <w:rsid w:val="0039624B"/>
    <w:rsid w:val="00396551"/>
    <w:rsid w:val="00397007"/>
    <w:rsid w:val="00397271"/>
    <w:rsid w:val="003979F9"/>
    <w:rsid w:val="003A057D"/>
    <w:rsid w:val="003A0FB8"/>
    <w:rsid w:val="003A191D"/>
    <w:rsid w:val="003A1B46"/>
    <w:rsid w:val="003A1DBF"/>
    <w:rsid w:val="003A2C86"/>
    <w:rsid w:val="003A3E0E"/>
    <w:rsid w:val="003A5345"/>
    <w:rsid w:val="003A5F18"/>
    <w:rsid w:val="003A6103"/>
    <w:rsid w:val="003A65E3"/>
    <w:rsid w:val="003A6A3E"/>
    <w:rsid w:val="003A6A6E"/>
    <w:rsid w:val="003A70C0"/>
    <w:rsid w:val="003A7E75"/>
    <w:rsid w:val="003A7F2B"/>
    <w:rsid w:val="003A7F68"/>
    <w:rsid w:val="003B01CA"/>
    <w:rsid w:val="003B03BB"/>
    <w:rsid w:val="003B149F"/>
    <w:rsid w:val="003B17AC"/>
    <w:rsid w:val="003B47EF"/>
    <w:rsid w:val="003B5950"/>
    <w:rsid w:val="003B6CEF"/>
    <w:rsid w:val="003B7567"/>
    <w:rsid w:val="003C0203"/>
    <w:rsid w:val="003C044E"/>
    <w:rsid w:val="003C1E60"/>
    <w:rsid w:val="003C2045"/>
    <w:rsid w:val="003C2973"/>
    <w:rsid w:val="003C575A"/>
    <w:rsid w:val="003C5D38"/>
    <w:rsid w:val="003C60AD"/>
    <w:rsid w:val="003C6203"/>
    <w:rsid w:val="003C664D"/>
    <w:rsid w:val="003C6D11"/>
    <w:rsid w:val="003C7537"/>
    <w:rsid w:val="003D1957"/>
    <w:rsid w:val="003D1A1F"/>
    <w:rsid w:val="003D1CF8"/>
    <w:rsid w:val="003D2940"/>
    <w:rsid w:val="003D2963"/>
    <w:rsid w:val="003D4DDD"/>
    <w:rsid w:val="003D5E1B"/>
    <w:rsid w:val="003D69D7"/>
    <w:rsid w:val="003E00DE"/>
    <w:rsid w:val="003E1473"/>
    <w:rsid w:val="003E3C9C"/>
    <w:rsid w:val="003E4680"/>
    <w:rsid w:val="003E47A3"/>
    <w:rsid w:val="003E4EC0"/>
    <w:rsid w:val="003E5FD6"/>
    <w:rsid w:val="003E6704"/>
    <w:rsid w:val="003E7240"/>
    <w:rsid w:val="003E7664"/>
    <w:rsid w:val="003E7E8D"/>
    <w:rsid w:val="003F065C"/>
    <w:rsid w:val="003F06D8"/>
    <w:rsid w:val="003F0C2C"/>
    <w:rsid w:val="003F0C98"/>
    <w:rsid w:val="003F108F"/>
    <w:rsid w:val="003F1A88"/>
    <w:rsid w:val="003F22F6"/>
    <w:rsid w:val="003F2E35"/>
    <w:rsid w:val="003F5A81"/>
    <w:rsid w:val="003F5C30"/>
    <w:rsid w:val="003F6804"/>
    <w:rsid w:val="003F6B68"/>
    <w:rsid w:val="003F6B8B"/>
    <w:rsid w:val="003F7A1B"/>
    <w:rsid w:val="00400A1C"/>
    <w:rsid w:val="00400D87"/>
    <w:rsid w:val="004016AE"/>
    <w:rsid w:val="0040186C"/>
    <w:rsid w:val="0040186D"/>
    <w:rsid w:val="00403B3B"/>
    <w:rsid w:val="0040408F"/>
    <w:rsid w:val="004044A2"/>
    <w:rsid w:val="00404E3C"/>
    <w:rsid w:val="00405388"/>
    <w:rsid w:val="00407C6D"/>
    <w:rsid w:val="004100A9"/>
    <w:rsid w:val="004110A5"/>
    <w:rsid w:val="004113DA"/>
    <w:rsid w:val="0041203E"/>
    <w:rsid w:val="00413EAC"/>
    <w:rsid w:val="00415095"/>
    <w:rsid w:val="004151F2"/>
    <w:rsid w:val="004155E7"/>
    <w:rsid w:val="00415952"/>
    <w:rsid w:val="00415AD9"/>
    <w:rsid w:val="004176BA"/>
    <w:rsid w:val="00421CB7"/>
    <w:rsid w:val="00421E48"/>
    <w:rsid w:val="00422AB9"/>
    <w:rsid w:val="00423F6A"/>
    <w:rsid w:val="00424C38"/>
    <w:rsid w:val="00424DA7"/>
    <w:rsid w:val="0042620F"/>
    <w:rsid w:val="004262F6"/>
    <w:rsid w:val="004271CB"/>
    <w:rsid w:val="00427527"/>
    <w:rsid w:val="00427E7D"/>
    <w:rsid w:val="0043020D"/>
    <w:rsid w:val="0043047C"/>
    <w:rsid w:val="004307BF"/>
    <w:rsid w:val="00430CE3"/>
    <w:rsid w:val="004317C4"/>
    <w:rsid w:val="00432C47"/>
    <w:rsid w:val="004337A1"/>
    <w:rsid w:val="00436BF6"/>
    <w:rsid w:val="00440436"/>
    <w:rsid w:val="00441837"/>
    <w:rsid w:val="00442123"/>
    <w:rsid w:val="00442642"/>
    <w:rsid w:val="004429FF"/>
    <w:rsid w:val="0044304A"/>
    <w:rsid w:val="004436FA"/>
    <w:rsid w:val="00444597"/>
    <w:rsid w:val="0044558C"/>
    <w:rsid w:val="00446471"/>
    <w:rsid w:val="0044672E"/>
    <w:rsid w:val="00446FF3"/>
    <w:rsid w:val="0045033B"/>
    <w:rsid w:val="00452494"/>
    <w:rsid w:val="00454341"/>
    <w:rsid w:val="004543CE"/>
    <w:rsid w:val="00454491"/>
    <w:rsid w:val="00455058"/>
    <w:rsid w:val="00455E2B"/>
    <w:rsid w:val="00456F1C"/>
    <w:rsid w:val="00457C92"/>
    <w:rsid w:val="00457C98"/>
    <w:rsid w:val="00460232"/>
    <w:rsid w:val="00460791"/>
    <w:rsid w:val="0046116C"/>
    <w:rsid w:val="0046123E"/>
    <w:rsid w:val="00461737"/>
    <w:rsid w:val="00462312"/>
    <w:rsid w:val="004626CF"/>
    <w:rsid w:val="0046295B"/>
    <w:rsid w:val="00462AA3"/>
    <w:rsid w:val="00462D4E"/>
    <w:rsid w:val="004639AD"/>
    <w:rsid w:val="00463F5E"/>
    <w:rsid w:val="004640EA"/>
    <w:rsid w:val="00464A66"/>
    <w:rsid w:val="004651D0"/>
    <w:rsid w:val="00465738"/>
    <w:rsid w:val="00465E93"/>
    <w:rsid w:val="0046678C"/>
    <w:rsid w:val="0046710C"/>
    <w:rsid w:val="0046730C"/>
    <w:rsid w:val="00467405"/>
    <w:rsid w:val="0046798C"/>
    <w:rsid w:val="00467A58"/>
    <w:rsid w:val="00467AC2"/>
    <w:rsid w:val="004702AA"/>
    <w:rsid w:val="0047208B"/>
    <w:rsid w:val="004727CD"/>
    <w:rsid w:val="004739DE"/>
    <w:rsid w:val="00473D3B"/>
    <w:rsid w:val="00475643"/>
    <w:rsid w:val="00476BB8"/>
    <w:rsid w:val="00476C2F"/>
    <w:rsid w:val="00476F38"/>
    <w:rsid w:val="004772CD"/>
    <w:rsid w:val="00477B5B"/>
    <w:rsid w:val="00477F5D"/>
    <w:rsid w:val="004800EB"/>
    <w:rsid w:val="004802E3"/>
    <w:rsid w:val="00480341"/>
    <w:rsid w:val="00480E45"/>
    <w:rsid w:val="00480FB8"/>
    <w:rsid w:val="00481A97"/>
    <w:rsid w:val="00482E22"/>
    <w:rsid w:val="004836B0"/>
    <w:rsid w:val="00484D1E"/>
    <w:rsid w:val="004850B7"/>
    <w:rsid w:val="004851CA"/>
    <w:rsid w:val="0048530F"/>
    <w:rsid w:val="00485E1F"/>
    <w:rsid w:val="0048685B"/>
    <w:rsid w:val="00490500"/>
    <w:rsid w:val="004915C0"/>
    <w:rsid w:val="004918A4"/>
    <w:rsid w:val="00491A74"/>
    <w:rsid w:val="004931FC"/>
    <w:rsid w:val="00493D5D"/>
    <w:rsid w:val="004940F1"/>
    <w:rsid w:val="004942A9"/>
    <w:rsid w:val="0049432A"/>
    <w:rsid w:val="00494EFB"/>
    <w:rsid w:val="0049556F"/>
    <w:rsid w:val="00495D8C"/>
    <w:rsid w:val="00496847"/>
    <w:rsid w:val="004A001B"/>
    <w:rsid w:val="004A0850"/>
    <w:rsid w:val="004A0CEB"/>
    <w:rsid w:val="004A2239"/>
    <w:rsid w:val="004A22FC"/>
    <w:rsid w:val="004A2DCC"/>
    <w:rsid w:val="004A4360"/>
    <w:rsid w:val="004A57C9"/>
    <w:rsid w:val="004A5E7B"/>
    <w:rsid w:val="004A65CA"/>
    <w:rsid w:val="004A6AEE"/>
    <w:rsid w:val="004A6B7B"/>
    <w:rsid w:val="004B07B6"/>
    <w:rsid w:val="004B07D0"/>
    <w:rsid w:val="004B0E89"/>
    <w:rsid w:val="004B288D"/>
    <w:rsid w:val="004B44DB"/>
    <w:rsid w:val="004B51BE"/>
    <w:rsid w:val="004B6572"/>
    <w:rsid w:val="004B708B"/>
    <w:rsid w:val="004B71FC"/>
    <w:rsid w:val="004B7A9A"/>
    <w:rsid w:val="004C2C2A"/>
    <w:rsid w:val="004C4914"/>
    <w:rsid w:val="004C4D95"/>
    <w:rsid w:val="004C509A"/>
    <w:rsid w:val="004C529F"/>
    <w:rsid w:val="004C60DD"/>
    <w:rsid w:val="004C6D51"/>
    <w:rsid w:val="004C7F7E"/>
    <w:rsid w:val="004C7FC4"/>
    <w:rsid w:val="004C7FF2"/>
    <w:rsid w:val="004D0324"/>
    <w:rsid w:val="004D2973"/>
    <w:rsid w:val="004D2996"/>
    <w:rsid w:val="004D303B"/>
    <w:rsid w:val="004D4355"/>
    <w:rsid w:val="004D4660"/>
    <w:rsid w:val="004D4DAB"/>
    <w:rsid w:val="004D5362"/>
    <w:rsid w:val="004D5BE3"/>
    <w:rsid w:val="004D658C"/>
    <w:rsid w:val="004D6A93"/>
    <w:rsid w:val="004D6D24"/>
    <w:rsid w:val="004D7848"/>
    <w:rsid w:val="004E129D"/>
    <w:rsid w:val="004E19BE"/>
    <w:rsid w:val="004E1B57"/>
    <w:rsid w:val="004E21EE"/>
    <w:rsid w:val="004E55B1"/>
    <w:rsid w:val="004E6C8C"/>
    <w:rsid w:val="004E7ACE"/>
    <w:rsid w:val="004E7BFB"/>
    <w:rsid w:val="004E7E30"/>
    <w:rsid w:val="004F0E80"/>
    <w:rsid w:val="004F1AFC"/>
    <w:rsid w:val="004F1C42"/>
    <w:rsid w:val="004F1F98"/>
    <w:rsid w:val="004F2E07"/>
    <w:rsid w:val="004F3F84"/>
    <w:rsid w:val="004F5016"/>
    <w:rsid w:val="004F5C79"/>
    <w:rsid w:val="004F5E30"/>
    <w:rsid w:val="004F62CA"/>
    <w:rsid w:val="004F63C8"/>
    <w:rsid w:val="004F6762"/>
    <w:rsid w:val="004F723D"/>
    <w:rsid w:val="004F7406"/>
    <w:rsid w:val="004F7B5D"/>
    <w:rsid w:val="0050034D"/>
    <w:rsid w:val="00500B42"/>
    <w:rsid w:val="005012CE"/>
    <w:rsid w:val="00501C83"/>
    <w:rsid w:val="00501F90"/>
    <w:rsid w:val="00502884"/>
    <w:rsid w:val="00503ECC"/>
    <w:rsid w:val="005040C7"/>
    <w:rsid w:val="00504382"/>
    <w:rsid w:val="00504C32"/>
    <w:rsid w:val="005052CA"/>
    <w:rsid w:val="00505AC4"/>
    <w:rsid w:val="00507731"/>
    <w:rsid w:val="00507F2B"/>
    <w:rsid w:val="00510DDE"/>
    <w:rsid w:val="00510E94"/>
    <w:rsid w:val="00510F44"/>
    <w:rsid w:val="00513248"/>
    <w:rsid w:val="00514A54"/>
    <w:rsid w:val="00514FDE"/>
    <w:rsid w:val="005151D5"/>
    <w:rsid w:val="005151EE"/>
    <w:rsid w:val="00515204"/>
    <w:rsid w:val="00515455"/>
    <w:rsid w:val="005156A2"/>
    <w:rsid w:val="00516510"/>
    <w:rsid w:val="00516B45"/>
    <w:rsid w:val="005171C9"/>
    <w:rsid w:val="00517A39"/>
    <w:rsid w:val="00517F0F"/>
    <w:rsid w:val="005203F8"/>
    <w:rsid w:val="00520B8E"/>
    <w:rsid w:val="00520C7A"/>
    <w:rsid w:val="00521623"/>
    <w:rsid w:val="00521B74"/>
    <w:rsid w:val="00522C7A"/>
    <w:rsid w:val="005239D1"/>
    <w:rsid w:val="00524F0B"/>
    <w:rsid w:val="00525A7B"/>
    <w:rsid w:val="00525A83"/>
    <w:rsid w:val="00526A6B"/>
    <w:rsid w:val="00526D87"/>
    <w:rsid w:val="00527796"/>
    <w:rsid w:val="00527E25"/>
    <w:rsid w:val="0053064F"/>
    <w:rsid w:val="0053089D"/>
    <w:rsid w:val="00530D3F"/>
    <w:rsid w:val="00531EF5"/>
    <w:rsid w:val="00532F63"/>
    <w:rsid w:val="0053386C"/>
    <w:rsid w:val="0053454C"/>
    <w:rsid w:val="00534581"/>
    <w:rsid w:val="00534926"/>
    <w:rsid w:val="0053609D"/>
    <w:rsid w:val="00536788"/>
    <w:rsid w:val="00536B8C"/>
    <w:rsid w:val="00537B2C"/>
    <w:rsid w:val="0054029D"/>
    <w:rsid w:val="005407D3"/>
    <w:rsid w:val="00542BC9"/>
    <w:rsid w:val="00543032"/>
    <w:rsid w:val="005437AB"/>
    <w:rsid w:val="005442A4"/>
    <w:rsid w:val="00545F41"/>
    <w:rsid w:val="00547BA4"/>
    <w:rsid w:val="00547E68"/>
    <w:rsid w:val="005504A8"/>
    <w:rsid w:val="00551C81"/>
    <w:rsid w:val="005534B8"/>
    <w:rsid w:val="005538B7"/>
    <w:rsid w:val="00556416"/>
    <w:rsid w:val="005566C6"/>
    <w:rsid w:val="00556E7E"/>
    <w:rsid w:val="005577AB"/>
    <w:rsid w:val="005602E5"/>
    <w:rsid w:val="0056033A"/>
    <w:rsid w:val="005624DC"/>
    <w:rsid w:val="00564652"/>
    <w:rsid w:val="00564936"/>
    <w:rsid w:val="0056500A"/>
    <w:rsid w:val="00566B8B"/>
    <w:rsid w:val="0056762E"/>
    <w:rsid w:val="00567699"/>
    <w:rsid w:val="00572843"/>
    <w:rsid w:val="005729C2"/>
    <w:rsid w:val="00573B96"/>
    <w:rsid w:val="00573E6A"/>
    <w:rsid w:val="005748D3"/>
    <w:rsid w:val="00575911"/>
    <w:rsid w:val="00577741"/>
    <w:rsid w:val="005807C4"/>
    <w:rsid w:val="0058083A"/>
    <w:rsid w:val="00580BF8"/>
    <w:rsid w:val="00581281"/>
    <w:rsid w:val="00581422"/>
    <w:rsid w:val="00581489"/>
    <w:rsid w:val="00581CAA"/>
    <w:rsid w:val="00581EB3"/>
    <w:rsid w:val="00584A42"/>
    <w:rsid w:val="00584C9E"/>
    <w:rsid w:val="00584F46"/>
    <w:rsid w:val="0058547E"/>
    <w:rsid w:val="00585D7A"/>
    <w:rsid w:val="00586117"/>
    <w:rsid w:val="005903CF"/>
    <w:rsid w:val="00590806"/>
    <w:rsid w:val="00590B67"/>
    <w:rsid w:val="00592785"/>
    <w:rsid w:val="00592B86"/>
    <w:rsid w:val="00592F14"/>
    <w:rsid w:val="00593C8A"/>
    <w:rsid w:val="005941D0"/>
    <w:rsid w:val="00594578"/>
    <w:rsid w:val="005946D9"/>
    <w:rsid w:val="0059478E"/>
    <w:rsid w:val="00594AB4"/>
    <w:rsid w:val="00594B38"/>
    <w:rsid w:val="005951B7"/>
    <w:rsid w:val="00597814"/>
    <w:rsid w:val="00597A35"/>
    <w:rsid w:val="00597BD5"/>
    <w:rsid w:val="00597C31"/>
    <w:rsid w:val="00597E02"/>
    <w:rsid w:val="005A0E7C"/>
    <w:rsid w:val="005A11B9"/>
    <w:rsid w:val="005A143D"/>
    <w:rsid w:val="005A157B"/>
    <w:rsid w:val="005A253D"/>
    <w:rsid w:val="005A3BC6"/>
    <w:rsid w:val="005A4E3F"/>
    <w:rsid w:val="005A512E"/>
    <w:rsid w:val="005A5861"/>
    <w:rsid w:val="005A6F0F"/>
    <w:rsid w:val="005A7116"/>
    <w:rsid w:val="005B1500"/>
    <w:rsid w:val="005B2027"/>
    <w:rsid w:val="005B25AA"/>
    <w:rsid w:val="005B418D"/>
    <w:rsid w:val="005B45CA"/>
    <w:rsid w:val="005B51C2"/>
    <w:rsid w:val="005B52A5"/>
    <w:rsid w:val="005B5654"/>
    <w:rsid w:val="005B6646"/>
    <w:rsid w:val="005B78AB"/>
    <w:rsid w:val="005B7AD8"/>
    <w:rsid w:val="005C00E3"/>
    <w:rsid w:val="005C0691"/>
    <w:rsid w:val="005C0D38"/>
    <w:rsid w:val="005C1E06"/>
    <w:rsid w:val="005C28C1"/>
    <w:rsid w:val="005C3713"/>
    <w:rsid w:val="005C3DA3"/>
    <w:rsid w:val="005C3FC9"/>
    <w:rsid w:val="005C4099"/>
    <w:rsid w:val="005C4EF1"/>
    <w:rsid w:val="005C5432"/>
    <w:rsid w:val="005C57F7"/>
    <w:rsid w:val="005C5C54"/>
    <w:rsid w:val="005C655D"/>
    <w:rsid w:val="005C74A6"/>
    <w:rsid w:val="005C7A90"/>
    <w:rsid w:val="005D18D0"/>
    <w:rsid w:val="005D1F0F"/>
    <w:rsid w:val="005D237C"/>
    <w:rsid w:val="005D2791"/>
    <w:rsid w:val="005D2A03"/>
    <w:rsid w:val="005D2AD4"/>
    <w:rsid w:val="005D3CAA"/>
    <w:rsid w:val="005D40C6"/>
    <w:rsid w:val="005D4170"/>
    <w:rsid w:val="005D492D"/>
    <w:rsid w:val="005D5744"/>
    <w:rsid w:val="005D601C"/>
    <w:rsid w:val="005D6047"/>
    <w:rsid w:val="005D6519"/>
    <w:rsid w:val="005D6750"/>
    <w:rsid w:val="005D7361"/>
    <w:rsid w:val="005D79C8"/>
    <w:rsid w:val="005E04C1"/>
    <w:rsid w:val="005E187C"/>
    <w:rsid w:val="005E23EC"/>
    <w:rsid w:val="005E33EB"/>
    <w:rsid w:val="005E66A0"/>
    <w:rsid w:val="005E6BEB"/>
    <w:rsid w:val="005E6FE3"/>
    <w:rsid w:val="005E7409"/>
    <w:rsid w:val="005E765E"/>
    <w:rsid w:val="005E7727"/>
    <w:rsid w:val="005E78A4"/>
    <w:rsid w:val="005E7CCE"/>
    <w:rsid w:val="005F1248"/>
    <w:rsid w:val="005F18D8"/>
    <w:rsid w:val="005F2E9E"/>
    <w:rsid w:val="005F3DFC"/>
    <w:rsid w:val="005F44E9"/>
    <w:rsid w:val="005F4676"/>
    <w:rsid w:val="005F5A0F"/>
    <w:rsid w:val="005F5BDB"/>
    <w:rsid w:val="005F6DE1"/>
    <w:rsid w:val="005F70B1"/>
    <w:rsid w:val="005F7AAE"/>
    <w:rsid w:val="006004EA"/>
    <w:rsid w:val="00601C95"/>
    <w:rsid w:val="0060203D"/>
    <w:rsid w:val="00602BD5"/>
    <w:rsid w:val="00602C0B"/>
    <w:rsid w:val="006031CA"/>
    <w:rsid w:val="00605CF8"/>
    <w:rsid w:val="00605FFC"/>
    <w:rsid w:val="0060677F"/>
    <w:rsid w:val="00606AC1"/>
    <w:rsid w:val="00606E35"/>
    <w:rsid w:val="00607740"/>
    <w:rsid w:val="00610163"/>
    <w:rsid w:val="00610199"/>
    <w:rsid w:val="00610FED"/>
    <w:rsid w:val="00613A85"/>
    <w:rsid w:val="00613F06"/>
    <w:rsid w:val="006141FC"/>
    <w:rsid w:val="00615D97"/>
    <w:rsid w:val="00616390"/>
    <w:rsid w:val="0061684B"/>
    <w:rsid w:val="00617038"/>
    <w:rsid w:val="0061706F"/>
    <w:rsid w:val="006170B2"/>
    <w:rsid w:val="006179DC"/>
    <w:rsid w:val="00617A6C"/>
    <w:rsid w:val="00617D71"/>
    <w:rsid w:val="00617E9F"/>
    <w:rsid w:val="006209E6"/>
    <w:rsid w:val="00622404"/>
    <w:rsid w:val="0062275C"/>
    <w:rsid w:val="006228A4"/>
    <w:rsid w:val="0062373C"/>
    <w:rsid w:val="006259F4"/>
    <w:rsid w:val="00625E0C"/>
    <w:rsid w:val="0062717B"/>
    <w:rsid w:val="00627733"/>
    <w:rsid w:val="00627D48"/>
    <w:rsid w:val="00630B7A"/>
    <w:rsid w:val="00630C0D"/>
    <w:rsid w:val="00631C98"/>
    <w:rsid w:val="00632797"/>
    <w:rsid w:val="00632F46"/>
    <w:rsid w:val="006335C9"/>
    <w:rsid w:val="0063408A"/>
    <w:rsid w:val="006343E1"/>
    <w:rsid w:val="00634511"/>
    <w:rsid w:val="006353C8"/>
    <w:rsid w:val="00636240"/>
    <w:rsid w:val="006362F8"/>
    <w:rsid w:val="00636B25"/>
    <w:rsid w:val="00637020"/>
    <w:rsid w:val="0063725D"/>
    <w:rsid w:val="00637569"/>
    <w:rsid w:val="00637649"/>
    <w:rsid w:val="00637B1E"/>
    <w:rsid w:val="00637D87"/>
    <w:rsid w:val="0064038B"/>
    <w:rsid w:val="00641358"/>
    <w:rsid w:val="00641C22"/>
    <w:rsid w:val="00643751"/>
    <w:rsid w:val="00643951"/>
    <w:rsid w:val="0064399F"/>
    <w:rsid w:val="00644B3D"/>
    <w:rsid w:val="0064563B"/>
    <w:rsid w:val="006463EE"/>
    <w:rsid w:val="0064692C"/>
    <w:rsid w:val="00646DE7"/>
    <w:rsid w:val="006474BE"/>
    <w:rsid w:val="0064756F"/>
    <w:rsid w:val="00647C0E"/>
    <w:rsid w:val="0065092F"/>
    <w:rsid w:val="00650CA7"/>
    <w:rsid w:val="006515D3"/>
    <w:rsid w:val="00651B5F"/>
    <w:rsid w:val="00651D17"/>
    <w:rsid w:val="0065359F"/>
    <w:rsid w:val="00653910"/>
    <w:rsid w:val="00653A15"/>
    <w:rsid w:val="00653C0A"/>
    <w:rsid w:val="00653DEF"/>
    <w:rsid w:val="006544BC"/>
    <w:rsid w:val="006546B5"/>
    <w:rsid w:val="006546C6"/>
    <w:rsid w:val="00654D23"/>
    <w:rsid w:val="006556B7"/>
    <w:rsid w:val="006558CA"/>
    <w:rsid w:val="00656144"/>
    <w:rsid w:val="00656175"/>
    <w:rsid w:val="00656755"/>
    <w:rsid w:val="00660485"/>
    <w:rsid w:val="0066127F"/>
    <w:rsid w:val="006641E3"/>
    <w:rsid w:val="00664D9D"/>
    <w:rsid w:val="00664E34"/>
    <w:rsid w:val="00665F9D"/>
    <w:rsid w:val="006726A0"/>
    <w:rsid w:val="00673009"/>
    <w:rsid w:val="00673907"/>
    <w:rsid w:val="00673C21"/>
    <w:rsid w:val="00673CD6"/>
    <w:rsid w:val="00673DE9"/>
    <w:rsid w:val="006743C1"/>
    <w:rsid w:val="00674D66"/>
    <w:rsid w:val="006751CE"/>
    <w:rsid w:val="00675EE2"/>
    <w:rsid w:val="00676567"/>
    <w:rsid w:val="00677224"/>
    <w:rsid w:val="00677226"/>
    <w:rsid w:val="00677FD4"/>
    <w:rsid w:val="00680195"/>
    <w:rsid w:val="00680A76"/>
    <w:rsid w:val="006810AC"/>
    <w:rsid w:val="00682F72"/>
    <w:rsid w:val="0068366F"/>
    <w:rsid w:val="0068400B"/>
    <w:rsid w:val="0068497D"/>
    <w:rsid w:val="00684D2C"/>
    <w:rsid w:val="00684F36"/>
    <w:rsid w:val="0068534D"/>
    <w:rsid w:val="00687474"/>
    <w:rsid w:val="00687611"/>
    <w:rsid w:val="00687920"/>
    <w:rsid w:val="00687983"/>
    <w:rsid w:val="00687A6B"/>
    <w:rsid w:val="00687B11"/>
    <w:rsid w:val="0069096F"/>
    <w:rsid w:val="0069101E"/>
    <w:rsid w:val="0069237D"/>
    <w:rsid w:val="00692463"/>
    <w:rsid w:val="00692C2C"/>
    <w:rsid w:val="00692FC8"/>
    <w:rsid w:val="0069322D"/>
    <w:rsid w:val="00693822"/>
    <w:rsid w:val="00693A74"/>
    <w:rsid w:val="00695B2D"/>
    <w:rsid w:val="00697042"/>
    <w:rsid w:val="006A121F"/>
    <w:rsid w:val="006A1280"/>
    <w:rsid w:val="006A136A"/>
    <w:rsid w:val="006A1AA8"/>
    <w:rsid w:val="006A26C7"/>
    <w:rsid w:val="006A2B26"/>
    <w:rsid w:val="006A3148"/>
    <w:rsid w:val="006A3504"/>
    <w:rsid w:val="006A376D"/>
    <w:rsid w:val="006A4361"/>
    <w:rsid w:val="006A47B5"/>
    <w:rsid w:val="006A4D71"/>
    <w:rsid w:val="006A5531"/>
    <w:rsid w:val="006A5ECD"/>
    <w:rsid w:val="006A62A6"/>
    <w:rsid w:val="006A66ED"/>
    <w:rsid w:val="006A6718"/>
    <w:rsid w:val="006A6F40"/>
    <w:rsid w:val="006A75D1"/>
    <w:rsid w:val="006B00BA"/>
    <w:rsid w:val="006B0C97"/>
    <w:rsid w:val="006B21E0"/>
    <w:rsid w:val="006B259D"/>
    <w:rsid w:val="006B2697"/>
    <w:rsid w:val="006B2699"/>
    <w:rsid w:val="006B2C86"/>
    <w:rsid w:val="006B2FE8"/>
    <w:rsid w:val="006B360D"/>
    <w:rsid w:val="006B3C2C"/>
    <w:rsid w:val="006B4878"/>
    <w:rsid w:val="006B4D2C"/>
    <w:rsid w:val="006B529F"/>
    <w:rsid w:val="006B5325"/>
    <w:rsid w:val="006B59BD"/>
    <w:rsid w:val="006B6761"/>
    <w:rsid w:val="006B6E2F"/>
    <w:rsid w:val="006B74ED"/>
    <w:rsid w:val="006C0CC2"/>
    <w:rsid w:val="006C1752"/>
    <w:rsid w:val="006C25A1"/>
    <w:rsid w:val="006C2D2A"/>
    <w:rsid w:val="006C2E26"/>
    <w:rsid w:val="006C2F2E"/>
    <w:rsid w:val="006C3EF3"/>
    <w:rsid w:val="006C4B4E"/>
    <w:rsid w:val="006C5B9F"/>
    <w:rsid w:val="006C5CFD"/>
    <w:rsid w:val="006D0126"/>
    <w:rsid w:val="006D291C"/>
    <w:rsid w:val="006D303E"/>
    <w:rsid w:val="006D3E20"/>
    <w:rsid w:val="006D421B"/>
    <w:rsid w:val="006D4895"/>
    <w:rsid w:val="006D55F6"/>
    <w:rsid w:val="006D5B32"/>
    <w:rsid w:val="006D7028"/>
    <w:rsid w:val="006D7376"/>
    <w:rsid w:val="006D791B"/>
    <w:rsid w:val="006E00B5"/>
    <w:rsid w:val="006E04C2"/>
    <w:rsid w:val="006E115F"/>
    <w:rsid w:val="006E16B4"/>
    <w:rsid w:val="006E26E0"/>
    <w:rsid w:val="006E4C61"/>
    <w:rsid w:val="006E6EDC"/>
    <w:rsid w:val="006E7A21"/>
    <w:rsid w:val="006E7A43"/>
    <w:rsid w:val="006F0F43"/>
    <w:rsid w:val="006F35AB"/>
    <w:rsid w:val="006F3AF2"/>
    <w:rsid w:val="006F3E1A"/>
    <w:rsid w:val="006F4D75"/>
    <w:rsid w:val="006F5D13"/>
    <w:rsid w:val="006F6425"/>
    <w:rsid w:val="006F716E"/>
    <w:rsid w:val="006F76BA"/>
    <w:rsid w:val="006F787E"/>
    <w:rsid w:val="00702118"/>
    <w:rsid w:val="007024BB"/>
    <w:rsid w:val="0070263B"/>
    <w:rsid w:val="00703060"/>
    <w:rsid w:val="0070448F"/>
    <w:rsid w:val="00704E80"/>
    <w:rsid w:val="00705535"/>
    <w:rsid w:val="00705AD2"/>
    <w:rsid w:val="00705E73"/>
    <w:rsid w:val="00707CD0"/>
    <w:rsid w:val="0071092F"/>
    <w:rsid w:val="007109CD"/>
    <w:rsid w:val="00710FBC"/>
    <w:rsid w:val="00711504"/>
    <w:rsid w:val="00714490"/>
    <w:rsid w:val="00714635"/>
    <w:rsid w:val="00715400"/>
    <w:rsid w:val="00716648"/>
    <w:rsid w:val="007167F0"/>
    <w:rsid w:val="00720B02"/>
    <w:rsid w:val="00720B13"/>
    <w:rsid w:val="0072177C"/>
    <w:rsid w:val="00721960"/>
    <w:rsid w:val="00721A68"/>
    <w:rsid w:val="00721C5F"/>
    <w:rsid w:val="00721D5C"/>
    <w:rsid w:val="00722143"/>
    <w:rsid w:val="007229A7"/>
    <w:rsid w:val="00724360"/>
    <w:rsid w:val="007243A2"/>
    <w:rsid w:val="007246E8"/>
    <w:rsid w:val="00724CB2"/>
    <w:rsid w:val="00725776"/>
    <w:rsid w:val="0072663F"/>
    <w:rsid w:val="00726BEA"/>
    <w:rsid w:val="0072754C"/>
    <w:rsid w:val="00727863"/>
    <w:rsid w:val="0072796B"/>
    <w:rsid w:val="00730C31"/>
    <w:rsid w:val="007331E9"/>
    <w:rsid w:val="0073394E"/>
    <w:rsid w:val="00734D28"/>
    <w:rsid w:val="00734D68"/>
    <w:rsid w:val="00735183"/>
    <w:rsid w:val="00735AEF"/>
    <w:rsid w:val="007362D0"/>
    <w:rsid w:val="00737581"/>
    <w:rsid w:val="00740088"/>
    <w:rsid w:val="0074052B"/>
    <w:rsid w:val="0074128C"/>
    <w:rsid w:val="007433BA"/>
    <w:rsid w:val="00743E9D"/>
    <w:rsid w:val="00744996"/>
    <w:rsid w:val="0074557A"/>
    <w:rsid w:val="00745D6A"/>
    <w:rsid w:val="0074628C"/>
    <w:rsid w:val="00746742"/>
    <w:rsid w:val="00746787"/>
    <w:rsid w:val="00746D02"/>
    <w:rsid w:val="007471B0"/>
    <w:rsid w:val="007501D6"/>
    <w:rsid w:val="00750224"/>
    <w:rsid w:val="00750550"/>
    <w:rsid w:val="0075060A"/>
    <w:rsid w:val="00750FDA"/>
    <w:rsid w:val="00751154"/>
    <w:rsid w:val="0075234A"/>
    <w:rsid w:val="0075336E"/>
    <w:rsid w:val="00753AFA"/>
    <w:rsid w:val="007540EE"/>
    <w:rsid w:val="00754E52"/>
    <w:rsid w:val="0075642E"/>
    <w:rsid w:val="00756CF5"/>
    <w:rsid w:val="00757CD7"/>
    <w:rsid w:val="00760064"/>
    <w:rsid w:val="007604E9"/>
    <w:rsid w:val="00760665"/>
    <w:rsid w:val="00761733"/>
    <w:rsid w:val="00762429"/>
    <w:rsid w:val="00762FC6"/>
    <w:rsid w:val="007630F3"/>
    <w:rsid w:val="0076333E"/>
    <w:rsid w:val="00763653"/>
    <w:rsid w:val="00763F2C"/>
    <w:rsid w:val="00764702"/>
    <w:rsid w:val="0077075B"/>
    <w:rsid w:val="007719E1"/>
    <w:rsid w:val="007720F6"/>
    <w:rsid w:val="007721B9"/>
    <w:rsid w:val="00772814"/>
    <w:rsid w:val="00773BE9"/>
    <w:rsid w:val="00773BEF"/>
    <w:rsid w:val="00774909"/>
    <w:rsid w:val="00775264"/>
    <w:rsid w:val="00776941"/>
    <w:rsid w:val="00776D42"/>
    <w:rsid w:val="00777382"/>
    <w:rsid w:val="00780133"/>
    <w:rsid w:val="00780634"/>
    <w:rsid w:val="00780CFB"/>
    <w:rsid w:val="00781070"/>
    <w:rsid w:val="00781D70"/>
    <w:rsid w:val="00781E9B"/>
    <w:rsid w:val="00781EBA"/>
    <w:rsid w:val="007822CA"/>
    <w:rsid w:val="007827E8"/>
    <w:rsid w:val="007838B1"/>
    <w:rsid w:val="007845B1"/>
    <w:rsid w:val="00787009"/>
    <w:rsid w:val="007873D4"/>
    <w:rsid w:val="007874AA"/>
    <w:rsid w:val="00790D9B"/>
    <w:rsid w:val="007915AA"/>
    <w:rsid w:val="00791AA0"/>
    <w:rsid w:val="00792A87"/>
    <w:rsid w:val="0079332A"/>
    <w:rsid w:val="00796917"/>
    <w:rsid w:val="007973D9"/>
    <w:rsid w:val="007975C9"/>
    <w:rsid w:val="007A0336"/>
    <w:rsid w:val="007A03AD"/>
    <w:rsid w:val="007A254B"/>
    <w:rsid w:val="007A26DB"/>
    <w:rsid w:val="007A324C"/>
    <w:rsid w:val="007A3643"/>
    <w:rsid w:val="007A3AA0"/>
    <w:rsid w:val="007A3BA6"/>
    <w:rsid w:val="007A4543"/>
    <w:rsid w:val="007A7C6B"/>
    <w:rsid w:val="007A7E93"/>
    <w:rsid w:val="007B036B"/>
    <w:rsid w:val="007B1928"/>
    <w:rsid w:val="007B2C76"/>
    <w:rsid w:val="007B360F"/>
    <w:rsid w:val="007B3657"/>
    <w:rsid w:val="007B59D7"/>
    <w:rsid w:val="007B5B87"/>
    <w:rsid w:val="007B7619"/>
    <w:rsid w:val="007B763E"/>
    <w:rsid w:val="007C04EA"/>
    <w:rsid w:val="007C0E1B"/>
    <w:rsid w:val="007C0E83"/>
    <w:rsid w:val="007C1656"/>
    <w:rsid w:val="007C1692"/>
    <w:rsid w:val="007C20BA"/>
    <w:rsid w:val="007C217F"/>
    <w:rsid w:val="007C2437"/>
    <w:rsid w:val="007C6DC0"/>
    <w:rsid w:val="007C7150"/>
    <w:rsid w:val="007C7832"/>
    <w:rsid w:val="007D0CD7"/>
    <w:rsid w:val="007D0E1F"/>
    <w:rsid w:val="007D1591"/>
    <w:rsid w:val="007D1DF5"/>
    <w:rsid w:val="007D2677"/>
    <w:rsid w:val="007D3600"/>
    <w:rsid w:val="007D567B"/>
    <w:rsid w:val="007D5BB4"/>
    <w:rsid w:val="007D60D8"/>
    <w:rsid w:val="007D63A8"/>
    <w:rsid w:val="007E0162"/>
    <w:rsid w:val="007E35E7"/>
    <w:rsid w:val="007E3962"/>
    <w:rsid w:val="007E3B1B"/>
    <w:rsid w:val="007E49EC"/>
    <w:rsid w:val="007E4D7F"/>
    <w:rsid w:val="007E5C70"/>
    <w:rsid w:val="007E6005"/>
    <w:rsid w:val="007E6A89"/>
    <w:rsid w:val="007E7402"/>
    <w:rsid w:val="007F18DF"/>
    <w:rsid w:val="007F2253"/>
    <w:rsid w:val="007F3F16"/>
    <w:rsid w:val="007F5214"/>
    <w:rsid w:val="007F5FD0"/>
    <w:rsid w:val="007F6744"/>
    <w:rsid w:val="007F6DC3"/>
    <w:rsid w:val="0080147C"/>
    <w:rsid w:val="00801927"/>
    <w:rsid w:val="0080354A"/>
    <w:rsid w:val="00803E5F"/>
    <w:rsid w:val="0080451A"/>
    <w:rsid w:val="008046B6"/>
    <w:rsid w:val="0080617F"/>
    <w:rsid w:val="00806C2D"/>
    <w:rsid w:val="00807340"/>
    <w:rsid w:val="00807B7A"/>
    <w:rsid w:val="00807CB4"/>
    <w:rsid w:val="00810935"/>
    <w:rsid w:val="00811B37"/>
    <w:rsid w:val="008125B3"/>
    <w:rsid w:val="00812EA2"/>
    <w:rsid w:val="0081339C"/>
    <w:rsid w:val="00813B12"/>
    <w:rsid w:val="00813EC4"/>
    <w:rsid w:val="00814098"/>
    <w:rsid w:val="0081421B"/>
    <w:rsid w:val="00814BDD"/>
    <w:rsid w:val="00814EE2"/>
    <w:rsid w:val="00815221"/>
    <w:rsid w:val="00815B49"/>
    <w:rsid w:val="008168BC"/>
    <w:rsid w:val="008170BE"/>
    <w:rsid w:val="0082134E"/>
    <w:rsid w:val="00821523"/>
    <w:rsid w:val="00821905"/>
    <w:rsid w:val="00822532"/>
    <w:rsid w:val="00825088"/>
    <w:rsid w:val="008251BE"/>
    <w:rsid w:val="00825282"/>
    <w:rsid w:val="00825905"/>
    <w:rsid w:val="0083141F"/>
    <w:rsid w:val="008317CE"/>
    <w:rsid w:val="00831C7C"/>
    <w:rsid w:val="00834149"/>
    <w:rsid w:val="0083431D"/>
    <w:rsid w:val="00834626"/>
    <w:rsid w:val="00835EC7"/>
    <w:rsid w:val="008363DE"/>
    <w:rsid w:val="00836E2C"/>
    <w:rsid w:val="0083710F"/>
    <w:rsid w:val="0083763C"/>
    <w:rsid w:val="00840A35"/>
    <w:rsid w:val="00842C90"/>
    <w:rsid w:val="0084306F"/>
    <w:rsid w:val="008432D5"/>
    <w:rsid w:val="00845553"/>
    <w:rsid w:val="00846CDA"/>
    <w:rsid w:val="00846F14"/>
    <w:rsid w:val="008502D6"/>
    <w:rsid w:val="00850395"/>
    <w:rsid w:val="0085085C"/>
    <w:rsid w:val="008511E6"/>
    <w:rsid w:val="00852365"/>
    <w:rsid w:val="00852BE4"/>
    <w:rsid w:val="0085359F"/>
    <w:rsid w:val="00854C38"/>
    <w:rsid w:val="0085547E"/>
    <w:rsid w:val="0085597F"/>
    <w:rsid w:val="008568DA"/>
    <w:rsid w:val="00856E77"/>
    <w:rsid w:val="00856FCD"/>
    <w:rsid w:val="00857049"/>
    <w:rsid w:val="00857A9E"/>
    <w:rsid w:val="00857FFC"/>
    <w:rsid w:val="00861145"/>
    <w:rsid w:val="0086216D"/>
    <w:rsid w:val="00863009"/>
    <w:rsid w:val="00863B4D"/>
    <w:rsid w:val="00863E0E"/>
    <w:rsid w:val="00864147"/>
    <w:rsid w:val="00864E72"/>
    <w:rsid w:val="00867109"/>
    <w:rsid w:val="00870B29"/>
    <w:rsid w:val="0087167A"/>
    <w:rsid w:val="00871823"/>
    <w:rsid w:val="00872323"/>
    <w:rsid w:val="008726D6"/>
    <w:rsid w:val="00873316"/>
    <w:rsid w:val="008739CA"/>
    <w:rsid w:val="00873B87"/>
    <w:rsid w:val="0087458E"/>
    <w:rsid w:val="00875FED"/>
    <w:rsid w:val="00876B60"/>
    <w:rsid w:val="008800F5"/>
    <w:rsid w:val="00880DF8"/>
    <w:rsid w:val="008815B0"/>
    <w:rsid w:val="0088169E"/>
    <w:rsid w:val="00881A12"/>
    <w:rsid w:val="00881F1C"/>
    <w:rsid w:val="00882689"/>
    <w:rsid w:val="00882FB0"/>
    <w:rsid w:val="008831E9"/>
    <w:rsid w:val="00883529"/>
    <w:rsid w:val="00883B5B"/>
    <w:rsid w:val="00883DBB"/>
    <w:rsid w:val="00883DF2"/>
    <w:rsid w:val="00885FEF"/>
    <w:rsid w:val="00886CD6"/>
    <w:rsid w:val="008875AF"/>
    <w:rsid w:val="00890145"/>
    <w:rsid w:val="00890476"/>
    <w:rsid w:val="00890D39"/>
    <w:rsid w:val="00890F51"/>
    <w:rsid w:val="00891288"/>
    <w:rsid w:val="00891A05"/>
    <w:rsid w:val="00891F6B"/>
    <w:rsid w:val="0089341C"/>
    <w:rsid w:val="00894794"/>
    <w:rsid w:val="008950B4"/>
    <w:rsid w:val="00895DA9"/>
    <w:rsid w:val="00895E2A"/>
    <w:rsid w:val="00896C86"/>
    <w:rsid w:val="008A0222"/>
    <w:rsid w:val="008A052D"/>
    <w:rsid w:val="008A08F5"/>
    <w:rsid w:val="008A1BD4"/>
    <w:rsid w:val="008A1D32"/>
    <w:rsid w:val="008A1E34"/>
    <w:rsid w:val="008A1E6F"/>
    <w:rsid w:val="008A279D"/>
    <w:rsid w:val="008A27B4"/>
    <w:rsid w:val="008A388E"/>
    <w:rsid w:val="008A5AE3"/>
    <w:rsid w:val="008A5F83"/>
    <w:rsid w:val="008A744A"/>
    <w:rsid w:val="008A7584"/>
    <w:rsid w:val="008B08F2"/>
    <w:rsid w:val="008B09B2"/>
    <w:rsid w:val="008B359C"/>
    <w:rsid w:val="008B3C05"/>
    <w:rsid w:val="008B5D17"/>
    <w:rsid w:val="008B5E0E"/>
    <w:rsid w:val="008B6192"/>
    <w:rsid w:val="008B64A3"/>
    <w:rsid w:val="008B6A8E"/>
    <w:rsid w:val="008B71BC"/>
    <w:rsid w:val="008C0809"/>
    <w:rsid w:val="008C12B5"/>
    <w:rsid w:val="008C2493"/>
    <w:rsid w:val="008C257D"/>
    <w:rsid w:val="008C2CBC"/>
    <w:rsid w:val="008C314D"/>
    <w:rsid w:val="008C38E2"/>
    <w:rsid w:val="008C4453"/>
    <w:rsid w:val="008C4C53"/>
    <w:rsid w:val="008C7A0F"/>
    <w:rsid w:val="008D0679"/>
    <w:rsid w:val="008D0B0D"/>
    <w:rsid w:val="008D0C64"/>
    <w:rsid w:val="008D28E4"/>
    <w:rsid w:val="008D2F1B"/>
    <w:rsid w:val="008D3372"/>
    <w:rsid w:val="008D3BE3"/>
    <w:rsid w:val="008D3CDD"/>
    <w:rsid w:val="008D4A27"/>
    <w:rsid w:val="008D4BB3"/>
    <w:rsid w:val="008D4CCD"/>
    <w:rsid w:val="008D527B"/>
    <w:rsid w:val="008D7806"/>
    <w:rsid w:val="008E017A"/>
    <w:rsid w:val="008E01C7"/>
    <w:rsid w:val="008E0649"/>
    <w:rsid w:val="008E074A"/>
    <w:rsid w:val="008E2767"/>
    <w:rsid w:val="008E6CC6"/>
    <w:rsid w:val="008E6E19"/>
    <w:rsid w:val="008E72C5"/>
    <w:rsid w:val="008E7530"/>
    <w:rsid w:val="008F013E"/>
    <w:rsid w:val="008F0399"/>
    <w:rsid w:val="008F2257"/>
    <w:rsid w:val="008F2941"/>
    <w:rsid w:val="008F4495"/>
    <w:rsid w:val="00900B81"/>
    <w:rsid w:val="009014F7"/>
    <w:rsid w:val="00901761"/>
    <w:rsid w:val="00901BB8"/>
    <w:rsid w:val="00901DD9"/>
    <w:rsid w:val="00901F91"/>
    <w:rsid w:val="009020DC"/>
    <w:rsid w:val="00902673"/>
    <w:rsid w:val="00904654"/>
    <w:rsid w:val="00904B90"/>
    <w:rsid w:val="009059CD"/>
    <w:rsid w:val="00906638"/>
    <w:rsid w:val="00906E95"/>
    <w:rsid w:val="00907435"/>
    <w:rsid w:val="009116DC"/>
    <w:rsid w:val="00911C3C"/>
    <w:rsid w:val="00914395"/>
    <w:rsid w:val="009146AA"/>
    <w:rsid w:val="00914F64"/>
    <w:rsid w:val="00915080"/>
    <w:rsid w:val="00916D00"/>
    <w:rsid w:val="009170B8"/>
    <w:rsid w:val="00917EED"/>
    <w:rsid w:val="0092009D"/>
    <w:rsid w:val="009200C7"/>
    <w:rsid w:val="0092097C"/>
    <w:rsid w:val="00920D42"/>
    <w:rsid w:val="00921DA8"/>
    <w:rsid w:val="00923A17"/>
    <w:rsid w:val="0092424B"/>
    <w:rsid w:val="00925E8D"/>
    <w:rsid w:val="00927459"/>
    <w:rsid w:val="009278EC"/>
    <w:rsid w:val="0093027C"/>
    <w:rsid w:val="00930A1C"/>
    <w:rsid w:val="009328F5"/>
    <w:rsid w:val="00932B92"/>
    <w:rsid w:val="009342E2"/>
    <w:rsid w:val="009346AC"/>
    <w:rsid w:val="0093532E"/>
    <w:rsid w:val="00935DFE"/>
    <w:rsid w:val="00935F9F"/>
    <w:rsid w:val="00936147"/>
    <w:rsid w:val="009378B0"/>
    <w:rsid w:val="00944A18"/>
    <w:rsid w:val="00944D0E"/>
    <w:rsid w:val="00945C61"/>
    <w:rsid w:val="00946025"/>
    <w:rsid w:val="009463C0"/>
    <w:rsid w:val="00946728"/>
    <w:rsid w:val="00946A27"/>
    <w:rsid w:val="0094717C"/>
    <w:rsid w:val="00947C43"/>
    <w:rsid w:val="00947EDA"/>
    <w:rsid w:val="00950B8C"/>
    <w:rsid w:val="00950D07"/>
    <w:rsid w:val="00952002"/>
    <w:rsid w:val="009524C2"/>
    <w:rsid w:val="0095414E"/>
    <w:rsid w:val="0095457F"/>
    <w:rsid w:val="009545C0"/>
    <w:rsid w:val="00954949"/>
    <w:rsid w:val="0095597F"/>
    <w:rsid w:val="00955B4C"/>
    <w:rsid w:val="00956597"/>
    <w:rsid w:val="00956B95"/>
    <w:rsid w:val="00956BB7"/>
    <w:rsid w:val="009605FA"/>
    <w:rsid w:val="00960ABD"/>
    <w:rsid w:val="00960DBA"/>
    <w:rsid w:val="009617D7"/>
    <w:rsid w:val="00961C5F"/>
    <w:rsid w:val="00961DC0"/>
    <w:rsid w:val="00961F82"/>
    <w:rsid w:val="00962648"/>
    <w:rsid w:val="00963079"/>
    <w:rsid w:val="00963184"/>
    <w:rsid w:val="009639C8"/>
    <w:rsid w:val="00963D05"/>
    <w:rsid w:val="00964288"/>
    <w:rsid w:val="0096480D"/>
    <w:rsid w:val="00964AA1"/>
    <w:rsid w:val="00965D83"/>
    <w:rsid w:val="00965FE9"/>
    <w:rsid w:val="009664E0"/>
    <w:rsid w:val="0096691F"/>
    <w:rsid w:val="0096733F"/>
    <w:rsid w:val="0096774F"/>
    <w:rsid w:val="00970453"/>
    <w:rsid w:val="0097065F"/>
    <w:rsid w:val="00972398"/>
    <w:rsid w:val="00974B79"/>
    <w:rsid w:val="00974BA7"/>
    <w:rsid w:val="0097628E"/>
    <w:rsid w:val="0097699F"/>
    <w:rsid w:val="00976E27"/>
    <w:rsid w:val="00977C98"/>
    <w:rsid w:val="00977C9D"/>
    <w:rsid w:val="00980433"/>
    <w:rsid w:val="00980C12"/>
    <w:rsid w:val="00980EDC"/>
    <w:rsid w:val="00982005"/>
    <w:rsid w:val="009827DC"/>
    <w:rsid w:val="00982DCB"/>
    <w:rsid w:val="009839A2"/>
    <w:rsid w:val="00983D01"/>
    <w:rsid w:val="00984FBC"/>
    <w:rsid w:val="00985A4A"/>
    <w:rsid w:val="00986D84"/>
    <w:rsid w:val="00987BB1"/>
    <w:rsid w:val="009927FF"/>
    <w:rsid w:val="00992E5F"/>
    <w:rsid w:val="009933BA"/>
    <w:rsid w:val="009934D2"/>
    <w:rsid w:val="00993FB9"/>
    <w:rsid w:val="00994AF3"/>
    <w:rsid w:val="009955C9"/>
    <w:rsid w:val="00995F53"/>
    <w:rsid w:val="00995FF6"/>
    <w:rsid w:val="0099660E"/>
    <w:rsid w:val="00996A53"/>
    <w:rsid w:val="00996C09"/>
    <w:rsid w:val="009972FC"/>
    <w:rsid w:val="00997CDC"/>
    <w:rsid w:val="009A1074"/>
    <w:rsid w:val="009A125B"/>
    <w:rsid w:val="009A17D1"/>
    <w:rsid w:val="009A1B57"/>
    <w:rsid w:val="009A3042"/>
    <w:rsid w:val="009A34DE"/>
    <w:rsid w:val="009A51A9"/>
    <w:rsid w:val="009A58BF"/>
    <w:rsid w:val="009A5D33"/>
    <w:rsid w:val="009A6332"/>
    <w:rsid w:val="009A6C22"/>
    <w:rsid w:val="009A7524"/>
    <w:rsid w:val="009A7D1E"/>
    <w:rsid w:val="009B02CC"/>
    <w:rsid w:val="009B03D7"/>
    <w:rsid w:val="009B1A71"/>
    <w:rsid w:val="009B3A41"/>
    <w:rsid w:val="009B3E5A"/>
    <w:rsid w:val="009B4FCC"/>
    <w:rsid w:val="009B5227"/>
    <w:rsid w:val="009B5399"/>
    <w:rsid w:val="009B6870"/>
    <w:rsid w:val="009B6A0B"/>
    <w:rsid w:val="009B7A02"/>
    <w:rsid w:val="009B7E1B"/>
    <w:rsid w:val="009C09B6"/>
    <w:rsid w:val="009C0A3A"/>
    <w:rsid w:val="009C0EBD"/>
    <w:rsid w:val="009C0ED7"/>
    <w:rsid w:val="009C130E"/>
    <w:rsid w:val="009C165B"/>
    <w:rsid w:val="009C1B4D"/>
    <w:rsid w:val="009C210C"/>
    <w:rsid w:val="009C2F2B"/>
    <w:rsid w:val="009C3411"/>
    <w:rsid w:val="009C3E72"/>
    <w:rsid w:val="009C474C"/>
    <w:rsid w:val="009C4870"/>
    <w:rsid w:val="009C49A6"/>
    <w:rsid w:val="009C4D89"/>
    <w:rsid w:val="009C50E6"/>
    <w:rsid w:val="009C654A"/>
    <w:rsid w:val="009C6F67"/>
    <w:rsid w:val="009C7477"/>
    <w:rsid w:val="009D0A1B"/>
    <w:rsid w:val="009D1000"/>
    <w:rsid w:val="009D118E"/>
    <w:rsid w:val="009D14C7"/>
    <w:rsid w:val="009D5E11"/>
    <w:rsid w:val="009D5E90"/>
    <w:rsid w:val="009D6139"/>
    <w:rsid w:val="009D6BB7"/>
    <w:rsid w:val="009D7B95"/>
    <w:rsid w:val="009E1609"/>
    <w:rsid w:val="009E26D7"/>
    <w:rsid w:val="009E4901"/>
    <w:rsid w:val="009E4DCC"/>
    <w:rsid w:val="009E5D11"/>
    <w:rsid w:val="009E5E44"/>
    <w:rsid w:val="009E7780"/>
    <w:rsid w:val="009E7FD7"/>
    <w:rsid w:val="009F1188"/>
    <w:rsid w:val="009F582B"/>
    <w:rsid w:val="009F6386"/>
    <w:rsid w:val="009F6654"/>
    <w:rsid w:val="009F6E7D"/>
    <w:rsid w:val="009F7422"/>
    <w:rsid w:val="009F7DDD"/>
    <w:rsid w:val="00A00219"/>
    <w:rsid w:val="00A008C9"/>
    <w:rsid w:val="00A00959"/>
    <w:rsid w:val="00A00AFF"/>
    <w:rsid w:val="00A01A8F"/>
    <w:rsid w:val="00A03A34"/>
    <w:rsid w:val="00A04F52"/>
    <w:rsid w:val="00A06B82"/>
    <w:rsid w:val="00A1209E"/>
    <w:rsid w:val="00A12655"/>
    <w:rsid w:val="00A130EE"/>
    <w:rsid w:val="00A13360"/>
    <w:rsid w:val="00A136F5"/>
    <w:rsid w:val="00A13BE3"/>
    <w:rsid w:val="00A13FD4"/>
    <w:rsid w:val="00A14C0B"/>
    <w:rsid w:val="00A14D76"/>
    <w:rsid w:val="00A15560"/>
    <w:rsid w:val="00A163F0"/>
    <w:rsid w:val="00A16846"/>
    <w:rsid w:val="00A1781B"/>
    <w:rsid w:val="00A2018F"/>
    <w:rsid w:val="00A205FD"/>
    <w:rsid w:val="00A22283"/>
    <w:rsid w:val="00A22F58"/>
    <w:rsid w:val="00A2312D"/>
    <w:rsid w:val="00A24AE6"/>
    <w:rsid w:val="00A2580F"/>
    <w:rsid w:val="00A30A7B"/>
    <w:rsid w:val="00A314E6"/>
    <w:rsid w:val="00A318B2"/>
    <w:rsid w:val="00A32C0A"/>
    <w:rsid w:val="00A3309B"/>
    <w:rsid w:val="00A33C09"/>
    <w:rsid w:val="00A33F67"/>
    <w:rsid w:val="00A35137"/>
    <w:rsid w:val="00A35217"/>
    <w:rsid w:val="00A353C7"/>
    <w:rsid w:val="00A35703"/>
    <w:rsid w:val="00A36030"/>
    <w:rsid w:val="00A360D1"/>
    <w:rsid w:val="00A36A46"/>
    <w:rsid w:val="00A40E89"/>
    <w:rsid w:val="00A41738"/>
    <w:rsid w:val="00A41AD7"/>
    <w:rsid w:val="00A41DF0"/>
    <w:rsid w:val="00A42237"/>
    <w:rsid w:val="00A43489"/>
    <w:rsid w:val="00A454FC"/>
    <w:rsid w:val="00A4562E"/>
    <w:rsid w:val="00A464C3"/>
    <w:rsid w:val="00A47FFB"/>
    <w:rsid w:val="00A50154"/>
    <w:rsid w:val="00A50DD8"/>
    <w:rsid w:val="00A51DB4"/>
    <w:rsid w:val="00A5254C"/>
    <w:rsid w:val="00A5285B"/>
    <w:rsid w:val="00A52BD1"/>
    <w:rsid w:val="00A532F4"/>
    <w:rsid w:val="00A53682"/>
    <w:rsid w:val="00A53FCE"/>
    <w:rsid w:val="00A55F40"/>
    <w:rsid w:val="00A56847"/>
    <w:rsid w:val="00A569F8"/>
    <w:rsid w:val="00A571FC"/>
    <w:rsid w:val="00A57B68"/>
    <w:rsid w:val="00A60119"/>
    <w:rsid w:val="00A60442"/>
    <w:rsid w:val="00A60E5D"/>
    <w:rsid w:val="00A61302"/>
    <w:rsid w:val="00A61DCB"/>
    <w:rsid w:val="00A62EBA"/>
    <w:rsid w:val="00A6347A"/>
    <w:rsid w:val="00A6528A"/>
    <w:rsid w:val="00A65633"/>
    <w:rsid w:val="00A66792"/>
    <w:rsid w:val="00A7054D"/>
    <w:rsid w:val="00A70920"/>
    <w:rsid w:val="00A71780"/>
    <w:rsid w:val="00A719EA"/>
    <w:rsid w:val="00A71AE3"/>
    <w:rsid w:val="00A73058"/>
    <w:rsid w:val="00A737A0"/>
    <w:rsid w:val="00A7552A"/>
    <w:rsid w:val="00A75EF2"/>
    <w:rsid w:val="00A75F62"/>
    <w:rsid w:val="00A76C31"/>
    <w:rsid w:val="00A76C8E"/>
    <w:rsid w:val="00A76FCC"/>
    <w:rsid w:val="00A77699"/>
    <w:rsid w:val="00A776D6"/>
    <w:rsid w:val="00A7773E"/>
    <w:rsid w:val="00A7779E"/>
    <w:rsid w:val="00A77F2A"/>
    <w:rsid w:val="00A805F6"/>
    <w:rsid w:val="00A80A42"/>
    <w:rsid w:val="00A81266"/>
    <w:rsid w:val="00A8245E"/>
    <w:rsid w:val="00A82DFB"/>
    <w:rsid w:val="00A832B5"/>
    <w:rsid w:val="00A836C9"/>
    <w:rsid w:val="00A83FA5"/>
    <w:rsid w:val="00A840E1"/>
    <w:rsid w:val="00A842F3"/>
    <w:rsid w:val="00A862FA"/>
    <w:rsid w:val="00A86527"/>
    <w:rsid w:val="00A86B48"/>
    <w:rsid w:val="00A86E4F"/>
    <w:rsid w:val="00A86F70"/>
    <w:rsid w:val="00A876C6"/>
    <w:rsid w:val="00A903BC"/>
    <w:rsid w:val="00A91663"/>
    <w:rsid w:val="00A9184C"/>
    <w:rsid w:val="00A92E88"/>
    <w:rsid w:val="00A9356D"/>
    <w:rsid w:val="00A94889"/>
    <w:rsid w:val="00A95332"/>
    <w:rsid w:val="00A95C97"/>
    <w:rsid w:val="00AA00BB"/>
    <w:rsid w:val="00AA05BC"/>
    <w:rsid w:val="00AA0D4B"/>
    <w:rsid w:val="00AA2CBC"/>
    <w:rsid w:val="00AA3779"/>
    <w:rsid w:val="00AA4CB4"/>
    <w:rsid w:val="00AA55CA"/>
    <w:rsid w:val="00AA564C"/>
    <w:rsid w:val="00AA6111"/>
    <w:rsid w:val="00AA6147"/>
    <w:rsid w:val="00AA69BF"/>
    <w:rsid w:val="00AA6E18"/>
    <w:rsid w:val="00AA7783"/>
    <w:rsid w:val="00AA7AB2"/>
    <w:rsid w:val="00AA7EB7"/>
    <w:rsid w:val="00AB0C28"/>
    <w:rsid w:val="00AB12EC"/>
    <w:rsid w:val="00AB132F"/>
    <w:rsid w:val="00AB1484"/>
    <w:rsid w:val="00AB1A45"/>
    <w:rsid w:val="00AB22F4"/>
    <w:rsid w:val="00AB2628"/>
    <w:rsid w:val="00AB3E01"/>
    <w:rsid w:val="00AB3E61"/>
    <w:rsid w:val="00AB431B"/>
    <w:rsid w:val="00AB52D6"/>
    <w:rsid w:val="00AB5C99"/>
    <w:rsid w:val="00AB6F44"/>
    <w:rsid w:val="00AC0FB5"/>
    <w:rsid w:val="00AC23A1"/>
    <w:rsid w:val="00AC3775"/>
    <w:rsid w:val="00AC3CD4"/>
    <w:rsid w:val="00AC4467"/>
    <w:rsid w:val="00AC466E"/>
    <w:rsid w:val="00AC5183"/>
    <w:rsid w:val="00AC608F"/>
    <w:rsid w:val="00AC6756"/>
    <w:rsid w:val="00AC6910"/>
    <w:rsid w:val="00AC6AC8"/>
    <w:rsid w:val="00AC77FF"/>
    <w:rsid w:val="00AC7C99"/>
    <w:rsid w:val="00AC7F75"/>
    <w:rsid w:val="00AD00D4"/>
    <w:rsid w:val="00AD06D6"/>
    <w:rsid w:val="00AD16F0"/>
    <w:rsid w:val="00AD3656"/>
    <w:rsid w:val="00AD4279"/>
    <w:rsid w:val="00AD47CC"/>
    <w:rsid w:val="00AD4F86"/>
    <w:rsid w:val="00AD54D4"/>
    <w:rsid w:val="00AD5915"/>
    <w:rsid w:val="00AD62B4"/>
    <w:rsid w:val="00AE0E55"/>
    <w:rsid w:val="00AE1CB6"/>
    <w:rsid w:val="00AE3C55"/>
    <w:rsid w:val="00AE49F1"/>
    <w:rsid w:val="00AE4D50"/>
    <w:rsid w:val="00AE500A"/>
    <w:rsid w:val="00AE5375"/>
    <w:rsid w:val="00AE6BEB"/>
    <w:rsid w:val="00AE6D91"/>
    <w:rsid w:val="00AE719F"/>
    <w:rsid w:val="00AE7A45"/>
    <w:rsid w:val="00AF036A"/>
    <w:rsid w:val="00AF113A"/>
    <w:rsid w:val="00AF1968"/>
    <w:rsid w:val="00AF1EFD"/>
    <w:rsid w:val="00AF1F94"/>
    <w:rsid w:val="00AF30B3"/>
    <w:rsid w:val="00AF344B"/>
    <w:rsid w:val="00AF3BFC"/>
    <w:rsid w:val="00AF3C8D"/>
    <w:rsid w:val="00AF4AC0"/>
    <w:rsid w:val="00AF5553"/>
    <w:rsid w:val="00AF5D6A"/>
    <w:rsid w:val="00AF6DE8"/>
    <w:rsid w:val="00AF7B93"/>
    <w:rsid w:val="00B00EBA"/>
    <w:rsid w:val="00B0682E"/>
    <w:rsid w:val="00B0687B"/>
    <w:rsid w:val="00B06D4B"/>
    <w:rsid w:val="00B07733"/>
    <w:rsid w:val="00B07993"/>
    <w:rsid w:val="00B110A1"/>
    <w:rsid w:val="00B11177"/>
    <w:rsid w:val="00B1204B"/>
    <w:rsid w:val="00B121E3"/>
    <w:rsid w:val="00B12E46"/>
    <w:rsid w:val="00B13363"/>
    <w:rsid w:val="00B137C8"/>
    <w:rsid w:val="00B14322"/>
    <w:rsid w:val="00B14C12"/>
    <w:rsid w:val="00B14EEB"/>
    <w:rsid w:val="00B20760"/>
    <w:rsid w:val="00B21EC2"/>
    <w:rsid w:val="00B22C41"/>
    <w:rsid w:val="00B26704"/>
    <w:rsid w:val="00B26D59"/>
    <w:rsid w:val="00B273A5"/>
    <w:rsid w:val="00B27CD7"/>
    <w:rsid w:val="00B30E86"/>
    <w:rsid w:val="00B3111D"/>
    <w:rsid w:val="00B314F2"/>
    <w:rsid w:val="00B325F4"/>
    <w:rsid w:val="00B329DA"/>
    <w:rsid w:val="00B335A3"/>
    <w:rsid w:val="00B351EA"/>
    <w:rsid w:val="00B35238"/>
    <w:rsid w:val="00B3680F"/>
    <w:rsid w:val="00B37C5B"/>
    <w:rsid w:val="00B37CD5"/>
    <w:rsid w:val="00B4007A"/>
    <w:rsid w:val="00B40382"/>
    <w:rsid w:val="00B412DB"/>
    <w:rsid w:val="00B41A4A"/>
    <w:rsid w:val="00B41B40"/>
    <w:rsid w:val="00B4238D"/>
    <w:rsid w:val="00B439F6"/>
    <w:rsid w:val="00B44D91"/>
    <w:rsid w:val="00B452C8"/>
    <w:rsid w:val="00B455CF"/>
    <w:rsid w:val="00B46A8C"/>
    <w:rsid w:val="00B46ADE"/>
    <w:rsid w:val="00B46F2F"/>
    <w:rsid w:val="00B50CF1"/>
    <w:rsid w:val="00B51184"/>
    <w:rsid w:val="00B51512"/>
    <w:rsid w:val="00B51A06"/>
    <w:rsid w:val="00B52D8A"/>
    <w:rsid w:val="00B54FD0"/>
    <w:rsid w:val="00B55219"/>
    <w:rsid w:val="00B56247"/>
    <w:rsid w:val="00B57315"/>
    <w:rsid w:val="00B60D71"/>
    <w:rsid w:val="00B60EF5"/>
    <w:rsid w:val="00B60F48"/>
    <w:rsid w:val="00B61D85"/>
    <w:rsid w:val="00B62A1C"/>
    <w:rsid w:val="00B62A7B"/>
    <w:rsid w:val="00B62F55"/>
    <w:rsid w:val="00B64B6C"/>
    <w:rsid w:val="00B65242"/>
    <w:rsid w:val="00B65BFF"/>
    <w:rsid w:val="00B666E0"/>
    <w:rsid w:val="00B67072"/>
    <w:rsid w:val="00B67A31"/>
    <w:rsid w:val="00B701D6"/>
    <w:rsid w:val="00B7214D"/>
    <w:rsid w:val="00B7237E"/>
    <w:rsid w:val="00B7473B"/>
    <w:rsid w:val="00B74AA5"/>
    <w:rsid w:val="00B74D7C"/>
    <w:rsid w:val="00B75091"/>
    <w:rsid w:val="00B7569A"/>
    <w:rsid w:val="00B75FC8"/>
    <w:rsid w:val="00B772F1"/>
    <w:rsid w:val="00B77E93"/>
    <w:rsid w:val="00B816E6"/>
    <w:rsid w:val="00B81D99"/>
    <w:rsid w:val="00B83208"/>
    <w:rsid w:val="00B836DB"/>
    <w:rsid w:val="00B84004"/>
    <w:rsid w:val="00B841E0"/>
    <w:rsid w:val="00B8531F"/>
    <w:rsid w:val="00B85E8C"/>
    <w:rsid w:val="00B873C5"/>
    <w:rsid w:val="00B87629"/>
    <w:rsid w:val="00B878DC"/>
    <w:rsid w:val="00B9035E"/>
    <w:rsid w:val="00B9035F"/>
    <w:rsid w:val="00B9048C"/>
    <w:rsid w:val="00B9074A"/>
    <w:rsid w:val="00B9223B"/>
    <w:rsid w:val="00B93032"/>
    <w:rsid w:val="00B93850"/>
    <w:rsid w:val="00B94B66"/>
    <w:rsid w:val="00B94F5C"/>
    <w:rsid w:val="00B95CDE"/>
    <w:rsid w:val="00B9607C"/>
    <w:rsid w:val="00B96123"/>
    <w:rsid w:val="00B97852"/>
    <w:rsid w:val="00B97A00"/>
    <w:rsid w:val="00B97B84"/>
    <w:rsid w:val="00BA0F3B"/>
    <w:rsid w:val="00BA22D4"/>
    <w:rsid w:val="00BA28BE"/>
    <w:rsid w:val="00BA2B3B"/>
    <w:rsid w:val="00BA2D91"/>
    <w:rsid w:val="00BA324F"/>
    <w:rsid w:val="00BA460A"/>
    <w:rsid w:val="00BA4A91"/>
    <w:rsid w:val="00BA558F"/>
    <w:rsid w:val="00BA59E2"/>
    <w:rsid w:val="00BA6C9F"/>
    <w:rsid w:val="00BA73F2"/>
    <w:rsid w:val="00BA756C"/>
    <w:rsid w:val="00BA75C4"/>
    <w:rsid w:val="00BB06A3"/>
    <w:rsid w:val="00BB17FC"/>
    <w:rsid w:val="00BB18EB"/>
    <w:rsid w:val="00BB23EB"/>
    <w:rsid w:val="00BB24B8"/>
    <w:rsid w:val="00BB251A"/>
    <w:rsid w:val="00BB2717"/>
    <w:rsid w:val="00BB2957"/>
    <w:rsid w:val="00BB2C0A"/>
    <w:rsid w:val="00BB3239"/>
    <w:rsid w:val="00BB3513"/>
    <w:rsid w:val="00BB3562"/>
    <w:rsid w:val="00BB3D80"/>
    <w:rsid w:val="00BB4A44"/>
    <w:rsid w:val="00BB4E8B"/>
    <w:rsid w:val="00BB5919"/>
    <w:rsid w:val="00BB5DA3"/>
    <w:rsid w:val="00BB783A"/>
    <w:rsid w:val="00BB78D8"/>
    <w:rsid w:val="00BB7B31"/>
    <w:rsid w:val="00BC1552"/>
    <w:rsid w:val="00BC2BA3"/>
    <w:rsid w:val="00BC31C9"/>
    <w:rsid w:val="00BC3787"/>
    <w:rsid w:val="00BC3E19"/>
    <w:rsid w:val="00BC4119"/>
    <w:rsid w:val="00BC444B"/>
    <w:rsid w:val="00BC574D"/>
    <w:rsid w:val="00BC6B32"/>
    <w:rsid w:val="00BC7412"/>
    <w:rsid w:val="00BC7C0A"/>
    <w:rsid w:val="00BD1AFA"/>
    <w:rsid w:val="00BD1CDC"/>
    <w:rsid w:val="00BD1D1A"/>
    <w:rsid w:val="00BD33D4"/>
    <w:rsid w:val="00BD41DE"/>
    <w:rsid w:val="00BD4879"/>
    <w:rsid w:val="00BD48DF"/>
    <w:rsid w:val="00BD5385"/>
    <w:rsid w:val="00BD67FB"/>
    <w:rsid w:val="00BD691E"/>
    <w:rsid w:val="00BD703C"/>
    <w:rsid w:val="00BD7325"/>
    <w:rsid w:val="00BD7C09"/>
    <w:rsid w:val="00BE0AEA"/>
    <w:rsid w:val="00BE1759"/>
    <w:rsid w:val="00BE175F"/>
    <w:rsid w:val="00BE276A"/>
    <w:rsid w:val="00BE4906"/>
    <w:rsid w:val="00BE5CD3"/>
    <w:rsid w:val="00BE7132"/>
    <w:rsid w:val="00BE7970"/>
    <w:rsid w:val="00BF0023"/>
    <w:rsid w:val="00BF1AF5"/>
    <w:rsid w:val="00BF1B70"/>
    <w:rsid w:val="00BF1EE8"/>
    <w:rsid w:val="00BF256D"/>
    <w:rsid w:val="00BF2BCD"/>
    <w:rsid w:val="00BF30AE"/>
    <w:rsid w:val="00BF36B0"/>
    <w:rsid w:val="00BF6076"/>
    <w:rsid w:val="00BF6AC9"/>
    <w:rsid w:val="00BF7874"/>
    <w:rsid w:val="00C003B7"/>
    <w:rsid w:val="00C004CE"/>
    <w:rsid w:val="00C01240"/>
    <w:rsid w:val="00C01375"/>
    <w:rsid w:val="00C018AA"/>
    <w:rsid w:val="00C01B88"/>
    <w:rsid w:val="00C02D03"/>
    <w:rsid w:val="00C02E54"/>
    <w:rsid w:val="00C051A5"/>
    <w:rsid w:val="00C06F67"/>
    <w:rsid w:val="00C10BEA"/>
    <w:rsid w:val="00C10F3C"/>
    <w:rsid w:val="00C110BF"/>
    <w:rsid w:val="00C1134B"/>
    <w:rsid w:val="00C11AC9"/>
    <w:rsid w:val="00C12747"/>
    <w:rsid w:val="00C12A91"/>
    <w:rsid w:val="00C12BC9"/>
    <w:rsid w:val="00C13766"/>
    <w:rsid w:val="00C13DF0"/>
    <w:rsid w:val="00C15FA7"/>
    <w:rsid w:val="00C17A44"/>
    <w:rsid w:val="00C17ED2"/>
    <w:rsid w:val="00C20324"/>
    <w:rsid w:val="00C20843"/>
    <w:rsid w:val="00C20B9A"/>
    <w:rsid w:val="00C2101F"/>
    <w:rsid w:val="00C210C9"/>
    <w:rsid w:val="00C23FA5"/>
    <w:rsid w:val="00C2421E"/>
    <w:rsid w:val="00C24FB0"/>
    <w:rsid w:val="00C25004"/>
    <w:rsid w:val="00C25849"/>
    <w:rsid w:val="00C25D98"/>
    <w:rsid w:val="00C267B2"/>
    <w:rsid w:val="00C27161"/>
    <w:rsid w:val="00C313DE"/>
    <w:rsid w:val="00C318D9"/>
    <w:rsid w:val="00C31EC7"/>
    <w:rsid w:val="00C3300F"/>
    <w:rsid w:val="00C33B29"/>
    <w:rsid w:val="00C3447F"/>
    <w:rsid w:val="00C35149"/>
    <w:rsid w:val="00C35BE1"/>
    <w:rsid w:val="00C35E60"/>
    <w:rsid w:val="00C36150"/>
    <w:rsid w:val="00C36822"/>
    <w:rsid w:val="00C36A1B"/>
    <w:rsid w:val="00C37EAE"/>
    <w:rsid w:val="00C4170C"/>
    <w:rsid w:val="00C41A3C"/>
    <w:rsid w:val="00C41D63"/>
    <w:rsid w:val="00C41DAE"/>
    <w:rsid w:val="00C41E02"/>
    <w:rsid w:val="00C41E61"/>
    <w:rsid w:val="00C422F0"/>
    <w:rsid w:val="00C42440"/>
    <w:rsid w:val="00C42CC8"/>
    <w:rsid w:val="00C47B85"/>
    <w:rsid w:val="00C50392"/>
    <w:rsid w:val="00C506BA"/>
    <w:rsid w:val="00C50AC1"/>
    <w:rsid w:val="00C50E62"/>
    <w:rsid w:val="00C51B75"/>
    <w:rsid w:val="00C523C8"/>
    <w:rsid w:val="00C5252F"/>
    <w:rsid w:val="00C52640"/>
    <w:rsid w:val="00C531D7"/>
    <w:rsid w:val="00C53534"/>
    <w:rsid w:val="00C539EE"/>
    <w:rsid w:val="00C5554C"/>
    <w:rsid w:val="00C560BE"/>
    <w:rsid w:val="00C560E4"/>
    <w:rsid w:val="00C57300"/>
    <w:rsid w:val="00C57552"/>
    <w:rsid w:val="00C60D14"/>
    <w:rsid w:val="00C621C9"/>
    <w:rsid w:val="00C621FD"/>
    <w:rsid w:val="00C637E1"/>
    <w:rsid w:val="00C653DF"/>
    <w:rsid w:val="00C66012"/>
    <w:rsid w:val="00C672C9"/>
    <w:rsid w:val="00C67AAA"/>
    <w:rsid w:val="00C70F27"/>
    <w:rsid w:val="00C7167F"/>
    <w:rsid w:val="00C7170A"/>
    <w:rsid w:val="00C72027"/>
    <w:rsid w:val="00C72D86"/>
    <w:rsid w:val="00C73033"/>
    <w:rsid w:val="00C737EE"/>
    <w:rsid w:val="00C73A61"/>
    <w:rsid w:val="00C741FB"/>
    <w:rsid w:val="00C753A7"/>
    <w:rsid w:val="00C756FD"/>
    <w:rsid w:val="00C75700"/>
    <w:rsid w:val="00C7653B"/>
    <w:rsid w:val="00C76FAD"/>
    <w:rsid w:val="00C80A3C"/>
    <w:rsid w:val="00C818A9"/>
    <w:rsid w:val="00C819EF"/>
    <w:rsid w:val="00C82F09"/>
    <w:rsid w:val="00C83FF9"/>
    <w:rsid w:val="00C84D94"/>
    <w:rsid w:val="00C85379"/>
    <w:rsid w:val="00C85540"/>
    <w:rsid w:val="00C85AA3"/>
    <w:rsid w:val="00C87A19"/>
    <w:rsid w:val="00C90154"/>
    <w:rsid w:val="00C90305"/>
    <w:rsid w:val="00C90E9E"/>
    <w:rsid w:val="00C9158A"/>
    <w:rsid w:val="00C91D6E"/>
    <w:rsid w:val="00C93018"/>
    <w:rsid w:val="00C9390C"/>
    <w:rsid w:val="00C93994"/>
    <w:rsid w:val="00C945A6"/>
    <w:rsid w:val="00C94624"/>
    <w:rsid w:val="00C94EAB"/>
    <w:rsid w:val="00C950FF"/>
    <w:rsid w:val="00C9548E"/>
    <w:rsid w:val="00C95D30"/>
    <w:rsid w:val="00C96454"/>
    <w:rsid w:val="00C96666"/>
    <w:rsid w:val="00C96CD4"/>
    <w:rsid w:val="00C96F7B"/>
    <w:rsid w:val="00C97037"/>
    <w:rsid w:val="00C9758E"/>
    <w:rsid w:val="00C97746"/>
    <w:rsid w:val="00C97C05"/>
    <w:rsid w:val="00C97DF5"/>
    <w:rsid w:val="00CA08A1"/>
    <w:rsid w:val="00CA1D45"/>
    <w:rsid w:val="00CA1FC3"/>
    <w:rsid w:val="00CA297B"/>
    <w:rsid w:val="00CA2BE5"/>
    <w:rsid w:val="00CA3B7A"/>
    <w:rsid w:val="00CA3E85"/>
    <w:rsid w:val="00CA4080"/>
    <w:rsid w:val="00CA45B2"/>
    <w:rsid w:val="00CA5876"/>
    <w:rsid w:val="00CA5A90"/>
    <w:rsid w:val="00CA5FC6"/>
    <w:rsid w:val="00CA6D2F"/>
    <w:rsid w:val="00CA7ACE"/>
    <w:rsid w:val="00CB02EB"/>
    <w:rsid w:val="00CB0857"/>
    <w:rsid w:val="00CB1698"/>
    <w:rsid w:val="00CB2259"/>
    <w:rsid w:val="00CB54F5"/>
    <w:rsid w:val="00CB55F4"/>
    <w:rsid w:val="00CB5941"/>
    <w:rsid w:val="00CB5E4B"/>
    <w:rsid w:val="00CB6471"/>
    <w:rsid w:val="00CB6A15"/>
    <w:rsid w:val="00CB7142"/>
    <w:rsid w:val="00CC001F"/>
    <w:rsid w:val="00CC0176"/>
    <w:rsid w:val="00CC1A21"/>
    <w:rsid w:val="00CC2441"/>
    <w:rsid w:val="00CC2915"/>
    <w:rsid w:val="00CC39AA"/>
    <w:rsid w:val="00CC4422"/>
    <w:rsid w:val="00CC443E"/>
    <w:rsid w:val="00CC4FF6"/>
    <w:rsid w:val="00CC5B0E"/>
    <w:rsid w:val="00CC5E02"/>
    <w:rsid w:val="00CC68F9"/>
    <w:rsid w:val="00CC7F52"/>
    <w:rsid w:val="00CD0839"/>
    <w:rsid w:val="00CD0B8C"/>
    <w:rsid w:val="00CD0D3D"/>
    <w:rsid w:val="00CD10A8"/>
    <w:rsid w:val="00CD1304"/>
    <w:rsid w:val="00CD168F"/>
    <w:rsid w:val="00CD2D55"/>
    <w:rsid w:val="00CD2DAE"/>
    <w:rsid w:val="00CD2F8A"/>
    <w:rsid w:val="00CD4DDD"/>
    <w:rsid w:val="00CD5F6F"/>
    <w:rsid w:val="00CD69C2"/>
    <w:rsid w:val="00CD6D7F"/>
    <w:rsid w:val="00CD7310"/>
    <w:rsid w:val="00CE01A6"/>
    <w:rsid w:val="00CE0B46"/>
    <w:rsid w:val="00CE0C2E"/>
    <w:rsid w:val="00CE0D99"/>
    <w:rsid w:val="00CE1EB6"/>
    <w:rsid w:val="00CE2307"/>
    <w:rsid w:val="00CE248F"/>
    <w:rsid w:val="00CE24DD"/>
    <w:rsid w:val="00CE321D"/>
    <w:rsid w:val="00CE3725"/>
    <w:rsid w:val="00CE43CB"/>
    <w:rsid w:val="00CE4B14"/>
    <w:rsid w:val="00CE59B7"/>
    <w:rsid w:val="00CE6452"/>
    <w:rsid w:val="00CE70C3"/>
    <w:rsid w:val="00CE7E65"/>
    <w:rsid w:val="00CF1114"/>
    <w:rsid w:val="00CF1BA3"/>
    <w:rsid w:val="00CF1BFC"/>
    <w:rsid w:val="00CF1C33"/>
    <w:rsid w:val="00CF2864"/>
    <w:rsid w:val="00CF2FD9"/>
    <w:rsid w:val="00CF3066"/>
    <w:rsid w:val="00CF6057"/>
    <w:rsid w:val="00CF78A5"/>
    <w:rsid w:val="00D00726"/>
    <w:rsid w:val="00D00B34"/>
    <w:rsid w:val="00D00D55"/>
    <w:rsid w:val="00D01D0C"/>
    <w:rsid w:val="00D01F77"/>
    <w:rsid w:val="00D0380B"/>
    <w:rsid w:val="00D0423F"/>
    <w:rsid w:val="00D05E6E"/>
    <w:rsid w:val="00D060EE"/>
    <w:rsid w:val="00D0679C"/>
    <w:rsid w:val="00D06CDD"/>
    <w:rsid w:val="00D06D1B"/>
    <w:rsid w:val="00D070FC"/>
    <w:rsid w:val="00D10139"/>
    <w:rsid w:val="00D10B35"/>
    <w:rsid w:val="00D11480"/>
    <w:rsid w:val="00D13434"/>
    <w:rsid w:val="00D159D6"/>
    <w:rsid w:val="00D15AE9"/>
    <w:rsid w:val="00D20A45"/>
    <w:rsid w:val="00D20AC8"/>
    <w:rsid w:val="00D22098"/>
    <w:rsid w:val="00D2233D"/>
    <w:rsid w:val="00D224F1"/>
    <w:rsid w:val="00D228F8"/>
    <w:rsid w:val="00D22BC9"/>
    <w:rsid w:val="00D22C00"/>
    <w:rsid w:val="00D22CD1"/>
    <w:rsid w:val="00D235EF"/>
    <w:rsid w:val="00D2431A"/>
    <w:rsid w:val="00D2481F"/>
    <w:rsid w:val="00D2592E"/>
    <w:rsid w:val="00D262E0"/>
    <w:rsid w:val="00D27A05"/>
    <w:rsid w:val="00D30929"/>
    <w:rsid w:val="00D316F7"/>
    <w:rsid w:val="00D31862"/>
    <w:rsid w:val="00D32491"/>
    <w:rsid w:val="00D329CC"/>
    <w:rsid w:val="00D33726"/>
    <w:rsid w:val="00D347E0"/>
    <w:rsid w:val="00D36921"/>
    <w:rsid w:val="00D41059"/>
    <w:rsid w:val="00D416C2"/>
    <w:rsid w:val="00D419A5"/>
    <w:rsid w:val="00D44689"/>
    <w:rsid w:val="00D453BF"/>
    <w:rsid w:val="00D454F8"/>
    <w:rsid w:val="00D45C91"/>
    <w:rsid w:val="00D469CC"/>
    <w:rsid w:val="00D47483"/>
    <w:rsid w:val="00D50340"/>
    <w:rsid w:val="00D51684"/>
    <w:rsid w:val="00D51DCF"/>
    <w:rsid w:val="00D52BF8"/>
    <w:rsid w:val="00D534ED"/>
    <w:rsid w:val="00D53636"/>
    <w:rsid w:val="00D540E5"/>
    <w:rsid w:val="00D54AA3"/>
    <w:rsid w:val="00D550FF"/>
    <w:rsid w:val="00D55CBA"/>
    <w:rsid w:val="00D56474"/>
    <w:rsid w:val="00D570CE"/>
    <w:rsid w:val="00D574B7"/>
    <w:rsid w:val="00D57F5E"/>
    <w:rsid w:val="00D61254"/>
    <w:rsid w:val="00D63446"/>
    <w:rsid w:val="00D63451"/>
    <w:rsid w:val="00D63A77"/>
    <w:rsid w:val="00D63C32"/>
    <w:rsid w:val="00D64263"/>
    <w:rsid w:val="00D65093"/>
    <w:rsid w:val="00D65817"/>
    <w:rsid w:val="00D65C7E"/>
    <w:rsid w:val="00D65E6A"/>
    <w:rsid w:val="00D66DE8"/>
    <w:rsid w:val="00D671A8"/>
    <w:rsid w:val="00D67366"/>
    <w:rsid w:val="00D67909"/>
    <w:rsid w:val="00D7031D"/>
    <w:rsid w:val="00D705D1"/>
    <w:rsid w:val="00D708E2"/>
    <w:rsid w:val="00D72AB1"/>
    <w:rsid w:val="00D73114"/>
    <w:rsid w:val="00D73C72"/>
    <w:rsid w:val="00D74A23"/>
    <w:rsid w:val="00D74C7D"/>
    <w:rsid w:val="00D75329"/>
    <w:rsid w:val="00D758E1"/>
    <w:rsid w:val="00D758F6"/>
    <w:rsid w:val="00D76907"/>
    <w:rsid w:val="00D77F0C"/>
    <w:rsid w:val="00D80419"/>
    <w:rsid w:val="00D806E7"/>
    <w:rsid w:val="00D80CCD"/>
    <w:rsid w:val="00D81849"/>
    <w:rsid w:val="00D8207B"/>
    <w:rsid w:val="00D8354A"/>
    <w:rsid w:val="00D83591"/>
    <w:rsid w:val="00D83D2E"/>
    <w:rsid w:val="00D8419E"/>
    <w:rsid w:val="00D84903"/>
    <w:rsid w:val="00D856E9"/>
    <w:rsid w:val="00D86102"/>
    <w:rsid w:val="00D869EC"/>
    <w:rsid w:val="00D86C83"/>
    <w:rsid w:val="00D90839"/>
    <w:rsid w:val="00D91D67"/>
    <w:rsid w:val="00D92601"/>
    <w:rsid w:val="00D92F42"/>
    <w:rsid w:val="00D933D2"/>
    <w:rsid w:val="00D936D4"/>
    <w:rsid w:val="00D94872"/>
    <w:rsid w:val="00D95D9D"/>
    <w:rsid w:val="00D96AC2"/>
    <w:rsid w:val="00D97499"/>
    <w:rsid w:val="00DA0092"/>
    <w:rsid w:val="00DA092B"/>
    <w:rsid w:val="00DA201B"/>
    <w:rsid w:val="00DA20E7"/>
    <w:rsid w:val="00DA2C50"/>
    <w:rsid w:val="00DA2EFE"/>
    <w:rsid w:val="00DA3ED9"/>
    <w:rsid w:val="00DA4AAF"/>
    <w:rsid w:val="00DA54A8"/>
    <w:rsid w:val="00DA5600"/>
    <w:rsid w:val="00DA5BFA"/>
    <w:rsid w:val="00DA5E13"/>
    <w:rsid w:val="00DA654A"/>
    <w:rsid w:val="00DB06D9"/>
    <w:rsid w:val="00DB103B"/>
    <w:rsid w:val="00DB181A"/>
    <w:rsid w:val="00DB1B56"/>
    <w:rsid w:val="00DB25CA"/>
    <w:rsid w:val="00DB2838"/>
    <w:rsid w:val="00DB2BC0"/>
    <w:rsid w:val="00DB3532"/>
    <w:rsid w:val="00DB39F6"/>
    <w:rsid w:val="00DB3CE3"/>
    <w:rsid w:val="00DB3E3C"/>
    <w:rsid w:val="00DB3F8A"/>
    <w:rsid w:val="00DB4673"/>
    <w:rsid w:val="00DB497D"/>
    <w:rsid w:val="00DB4EED"/>
    <w:rsid w:val="00DB5397"/>
    <w:rsid w:val="00DB5E9F"/>
    <w:rsid w:val="00DB6142"/>
    <w:rsid w:val="00DB63D2"/>
    <w:rsid w:val="00DB7656"/>
    <w:rsid w:val="00DC1361"/>
    <w:rsid w:val="00DC1E1D"/>
    <w:rsid w:val="00DC2464"/>
    <w:rsid w:val="00DC2AF3"/>
    <w:rsid w:val="00DC2D03"/>
    <w:rsid w:val="00DC2ECE"/>
    <w:rsid w:val="00DC3326"/>
    <w:rsid w:val="00DC3C73"/>
    <w:rsid w:val="00DC3C96"/>
    <w:rsid w:val="00DC5AE7"/>
    <w:rsid w:val="00DC5F6B"/>
    <w:rsid w:val="00DC60A5"/>
    <w:rsid w:val="00DC65A3"/>
    <w:rsid w:val="00DC73B8"/>
    <w:rsid w:val="00DC74BA"/>
    <w:rsid w:val="00DD03D7"/>
    <w:rsid w:val="00DD0461"/>
    <w:rsid w:val="00DD07B5"/>
    <w:rsid w:val="00DD10AA"/>
    <w:rsid w:val="00DD134E"/>
    <w:rsid w:val="00DD2488"/>
    <w:rsid w:val="00DD2637"/>
    <w:rsid w:val="00DD3656"/>
    <w:rsid w:val="00DD3E45"/>
    <w:rsid w:val="00DD433F"/>
    <w:rsid w:val="00DD4CD8"/>
    <w:rsid w:val="00DD4EDB"/>
    <w:rsid w:val="00DD55DE"/>
    <w:rsid w:val="00DD64D4"/>
    <w:rsid w:val="00DD7657"/>
    <w:rsid w:val="00DD788E"/>
    <w:rsid w:val="00DD7C28"/>
    <w:rsid w:val="00DD7C2E"/>
    <w:rsid w:val="00DE07BC"/>
    <w:rsid w:val="00DE1B62"/>
    <w:rsid w:val="00DE1FEA"/>
    <w:rsid w:val="00DE25E9"/>
    <w:rsid w:val="00DE2FDF"/>
    <w:rsid w:val="00DE306C"/>
    <w:rsid w:val="00DE33B6"/>
    <w:rsid w:val="00DE3472"/>
    <w:rsid w:val="00DE60AD"/>
    <w:rsid w:val="00DE663A"/>
    <w:rsid w:val="00DE68C6"/>
    <w:rsid w:val="00DE70F2"/>
    <w:rsid w:val="00DE717C"/>
    <w:rsid w:val="00DF0831"/>
    <w:rsid w:val="00DF095E"/>
    <w:rsid w:val="00DF1751"/>
    <w:rsid w:val="00DF286C"/>
    <w:rsid w:val="00DF2D11"/>
    <w:rsid w:val="00DF35A1"/>
    <w:rsid w:val="00DF4A8E"/>
    <w:rsid w:val="00DF4F5A"/>
    <w:rsid w:val="00DF57E5"/>
    <w:rsid w:val="00DF6556"/>
    <w:rsid w:val="00DF6FCA"/>
    <w:rsid w:val="00DF7B9E"/>
    <w:rsid w:val="00E0169D"/>
    <w:rsid w:val="00E01FF6"/>
    <w:rsid w:val="00E020E1"/>
    <w:rsid w:val="00E024CB"/>
    <w:rsid w:val="00E02C98"/>
    <w:rsid w:val="00E04A57"/>
    <w:rsid w:val="00E04E0C"/>
    <w:rsid w:val="00E04F0F"/>
    <w:rsid w:val="00E0504B"/>
    <w:rsid w:val="00E05C4A"/>
    <w:rsid w:val="00E05EB4"/>
    <w:rsid w:val="00E061FD"/>
    <w:rsid w:val="00E06B39"/>
    <w:rsid w:val="00E072A6"/>
    <w:rsid w:val="00E07C87"/>
    <w:rsid w:val="00E07E06"/>
    <w:rsid w:val="00E1145C"/>
    <w:rsid w:val="00E117BF"/>
    <w:rsid w:val="00E11D87"/>
    <w:rsid w:val="00E12A9A"/>
    <w:rsid w:val="00E12F18"/>
    <w:rsid w:val="00E12F72"/>
    <w:rsid w:val="00E1344C"/>
    <w:rsid w:val="00E15ADE"/>
    <w:rsid w:val="00E17005"/>
    <w:rsid w:val="00E1746E"/>
    <w:rsid w:val="00E176DA"/>
    <w:rsid w:val="00E17C74"/>
    <w:rsid w:val="00E20585"/>
    <w:rsid w:val="00E205A7"/>
    <w:rsid w:val="00E20762"/>
    <w:rsid w:val="00E2122E"/>
    <w:rsid w:val="00E21312"/>
    <w:rsid w:val="00E214AD"/>
    <w:rsid w:val="00E22BC3"/>
    <w:rsid w:val="00E23B7F"/>
    <w:rsid w:val="00E24A68"/>
    <w:rsid w:val="00E24D12"/>
    <w:rsid w:val="00E2655C"/>
    <w:rsid w:val="00E268CB"/>
    <w:rsid w:val="00E26EB9"/>
    <w:rsid w:val="00E30002"/>
    <w:rsid w:val="00E3001B"/>
    <w:rsid w:val="00E303B3"/>
    <w:rsid w:val="00E31F43"/>
    <w:rsid w:val="00E33E74"/>
    <w:rsid w:val="00E34287"/>
    <w:rsid w:val="00E34776"/>
    <w:rsid w:val="00E35F7E"/>
    <w:rsid w:val="00E3748D"/>
    <w:rsid w:val="00E379CB"/>
    <w:rsid w:val="00E37B41"/>
    <w:rsid w:val="00E4010A"/>
    <w:rsid w:val="00E420C0"/>
    <w:rsid w:val="00E42542"/>
    <w:rsid w:val="00E434B6"/>
    <w:rsid w:val="00E43719"/>
    <w:rsid w:val="00E4391F"/>
    <w:rsid w:val="00E43BB2"/>
    <w:rsid w:val="00E44174"/>
    <w:rsid w:val="00E45B09"/>
    <w:rsid w:val="00E45B47"/>
    <w:rsid w:val="00E45EF5"/>
    <w:rsid w:val="00E4750D"/>
    <w:rsid w:val="00E4767F"/>
    <w:rsid w:val="00E479D1"/>
    <w:rsid w:val="00E47F45"/>
    <w:rsid w:val="00E514C3"/>
    <w:rsid w:val="00E52D08"/>
    <w:rsid w:val="00E53A62"/>
    <w:rsid w:val="00E53C80"/>
    <w:rsid w:val="00E54387"/>
    <w:rsid w:val="00E54D55"/>
    <w:rsid w:val="00E55117"/>
    <w:rsid w:val="00E55F23"/>
    <w:rsid w:val="00E5676A"/>
    <w:rsid w:val="00E56C67"/>
    <w:rsid w:val="00E5749A"/>
    <w:rsid w:val="00E60E61"/>
    <w:rsid w:val="00E61AB1"/>
    <w:rsid w:val="00E62246"/>
    <w:rsid w:val="00E62A1A"/>
    <w:rsid w:val="00E62B32"/>
    <w:rsid w:val="00E62C85"/>
    <w:rsid w:val="00E6349A"/>
    <w:rsid w:val="00E641B5"/>
    <w:rsid w:val="00E65746"/>
    <w:rsid w:val="00E70028"/>
    <w:rsid w:val="00E702B2"/>
    <w:rsid w:val="00E70A3D"/>
    <w:rsid w:val="00E7124B"/>
    <w:rsid w:val="00E713E3"/>
    <w:rsid w:val="00E7230D"/>
    <w:rsid w:val="00E72FBD"/>
    <w:rsid w:val="00E731C4"/>
    <w:rsid w:val="00E733D7"/>
    <w:rsid w:val="00E739C9"/>
    <w:rsid w:val="00E73E45"/>
    <w:rsid w:val="00E74666"/>
    <w:rsid w:val="00E75016"/>
    <w:rsid w:val="00E76556"/>
    <w:rsid w:val="00E76B02"/>
    <w:rsid w:val="00E802C7"/>
    <w:rsid w:val="00E8032E"/>
    <w:rsid w:val="00E80392"/>
    <w:rsid w:val="00E810EF"/>
    <w:rsid w:val="00E82F59"/>
    <w:rsid w:val="00E83295"/>
    <w:rsid w:val="00E8529A"/>
    <w:rsid w:val="00E85D3F"/>
    <w:rsid w:val="00E85E0E"/>
    <w:rsid w:val="00E86E3B"/>
    <w:rsid w:val="00E87342"/>
    <w:rsid w:val="00E87C05"/>
    <w:rsid w:val="00E90B1A"/>
    <w:rsid w:val="00E91253"/>
    <w:rsid w:val="00E948D8"/>
    <w:rsid w:val="00E95726"/>
    <w:rsid w:val="00E95EED"/>
    <w:rsid w:val="00E964F6"/>
    <w:rsid w:val="00E96883"/>
    <w:rsid w:val="00E96935"/>
    <w:rsid w:val="00E96E6D"/>
    <w:rsid w:val="00E97174"/>
    <w:rsid w:val="00E97A2D"/>
    <w:rsid w:val="00EA1746"/>
    <w:rsid w:val="00EA2C5A"/>
    <w:rsid w:val="00EA320A"/>
    <w:rsid w:val="00EA3E61"/>
    <w:rsid w:val="00EA3F67"/>
    <w:rsid w:val="00EA3F8F"/>
    <w:rsid w:val="00EA4FAC"/>
    <w:rsid w:val="00EA54C7"/>
    <w:rsid w:val="00EA5973"/>
    <w:rsid w:val="00EA5C11"/>
    <w:rsid w:val="00EA5D0D"/>
    <w:rsid w:val="00EA6374"/>
    <w:rsid w:val="00EA6CEA"/>
    <w:rsid w:val="00EA7869"/>
    <w:rsid w:val="00EB18F7"/>
    <w:rsid w:val="00EB1CCF"/>
    <w:rsid w:val="00EB1F76"/>
    <w:rsid w:val="00EB2F20"/>
    <w:rsid w:val="00EB4307"/>
    <w:rsid w:val="00EB489D"/>
    <w:rsid w:val="00EB5458"/>
    <w:rsid w:val="00EB6AC8"/>
    <w:rsid w:val="00EB6B64"/>
    <w:rsid w:val="00EC04F9"/>
    <w:rsid w:val="00EC119C"/>
    <w:rsid w:val="00EC224B"/>
    <w:rsid w:val="00EC3237"/>
    <w:rsid w:val="00EC3646"/>
    <w:rsid w:val="00EC3AF5"/>
    <w:rsid w:val="00EC3CFA"/>
    <w:rsid w:val="00EC4A82"/>
    <w:rsid w:val="00EC699B"/>
    <w:rsid w:val="00EC73DC"/>
    <w:rsid w:val="00EC79B0"/>
    <w:rsid w:val="00ED04CB"/>
    <w:rsid w:val="00ED1762"/>
    <w:rsid w:val="00ED1B57"/>
    <w:rsid w:val="00ED1F10"/>
    <w:rsid w:val="00ED2329"/>
    <w:rsid w:val="00ED27A5"/>
    <w:rsid w:val="00ED2964"/>
    <w:rsid w:val="00ED2E2D"/>
    <w:rsid w:val="00ED4509"/>
    <w:rsid w:val="00ED4E2F"/>
    <w:rsid w:val="00ED5910"/>
    <w:rsid w:val="00ED5BDA"/>
    <w:rsid w:val="00ED6240"/>
    <w:rsid w:val="00ED69AD"/>
    <w:rsid w:val="00ED6C36"/>
    <w:rsid w:val="00ED7CA9"/>
    <w:rsid w:val="00EE1172"/>
    <w:rsid w:val="00EE1EDD"/>
    <w:rsid w:val="00EE24D4"/>
    <w:rsid w:val="00EE28F7"/>
    <w:rsid w:val="00EE2909"/>
    <w:rsid w:val="00EE3F2D"/>
    <w:rsid w:val="00EE596E"/>
    <w:rsid w:val="00EE752A"/>
    <w:rsid w:val="00EE7A22"/>
    <w:rsid w:val="00EE7AC0"/>
    <w:rsid w:val="00EE7F4A"/>
    <w:rsid w:val="00EE7FEC"/>
    <w:rsid w:val="00EF09DD"/>
    <w:rsid w:val="00EF15F8"/>
    <w:rsid w:val="00EF1FA2"/>
    <w:rsid w:val="00EF571B"/>
    <w:rsid w:val="00EF5C6B"/>
    <w:rsid w:val="00EF5E28"/>
    <w:rsid w:val="00EF798A"/>
    <w:rsid w:val="00F01D35"/>
    <w:rsid w:val="00F01D4B"/>
    <w:rsid w:val="00F01D70"/>
    <w:rsid w:val="00F020A0"/>
    <w:rsid w:val="00F0397D"/>
    <w:rsid w:val="00F03B1A"/>
    <w:rsid w:val="00F03C6D"/>
    <w:rsid w:val="00F05EF2"/>
    <w:rsid w:val="00F06055"/>
    <w:rsid w:val="00F060AB"/>
    <w:rsid w:val="00F06282"/>
    <w:rsid w:val="00F069F1"/>
    <w:rsid w:val="00F06D65"/>
    <w:rsid w:val="00F0712E"/>
    <w:rsid w:val="00F073FC"/>
    <w:rsid w:val="00F07609"/>
    <w:rsid w:val="00F10A32"/>
    <w:rsid w:val="00F1196D"/>
    <w:rsid w:val="00F12326"/>
    <w:rsid w:val="00F13B3B"/>
    <w:rsid w:val="00F1427B"/>
    <w:rsid w:val="00F152E7"/>
    <w:rsid w:val="00F16926"/>
    <w:rsid w:val="00F1745E"/>
    <w:rsid w:val="00F176B1"/>
    <w:rsid w:val="00F21C60"/>
    <w:rsid w:val="00F2313C"/>
    <w:rsid w:val="00F2433C"/>
    <w:rsid w:val="00F2623D"/>
    <w:rsid w:val="00F26955"/>
    <w:rsid w:val="00F27267"/>
    <w:rsid w:val="00F27700"/>
    <w:rsid w:val="00F30274"/>
    <w:rsid w:val="00F302E3"/>
    <w:rsid w:val="00F3038B"/>
    <w:rsid w:val="00F30841"/>
    <w:rsid w:val="00F32E04"/>
    <w:rsid w:val="00F3394B"/>
    <w:rsid w:val="00F34401"/>
    <w:rsid w:val="00F34B40"/>
    <w:rsid w:val="00F353C4"/>
    <w:rsid w:val="00F37B83"/>
    <w:rsid w:val="00F4004D"/>
    <w:rsid w:val="00F4049D"/>
    <w:rsid w:val="00F42F6A"/>
    <w:rsid w:val="00F43A3B"/>
    <w:rsid w:val="00F43AFA"/>
    <w:rsid w:val="00F4484A"/>
    <w:rsid w:val="00F44923"/>
    <w:rsid w:val="00F45C2B"/>
    <w:rsid w:val="00F46463"/>
    <w:rsid w:val="00F50EA7"/>
    <w:rsid w:val="00F52563"/>
    <w:rsid w:val="00F527DE"/>
    <w:rsid w:val="00F528EE"/>
    <w:rsid w:val="00F52E49"/>
    <w:rsid w:val="00F5336D"/>
    <w:rsid w:val="00F53AAF"/>
    <w:rsid w:val="00F54362"/>
    <w:rsid w:val="00F54746"/>
    <w:rsid w:val="00F55195"/>
    <w:rsid w:val="00F55350"/>
    <w:rsid w:val="00F55487"/>
    <w:rsid w:val="00F5553D"/>
    <w:rsid w:val="00F565C6"/>
    <w:rsid w:val="00F5755E"/>
    <w:rsid w:val="00F57753"/>
    <w:rsid w:val="00F57894"/>
    <w:rsid w:val="00F60181"/>
    <w:rsid w:val="00F6073E"/>
    <w:rsid w:val="00F60757"/>
    <w:rsid w:val="00F61579"/>
    <w:rsid w:val="00F616CD"/>
    <w:rsid w:val="00F616EC"/>
    <w:rsid w:val="00F61DA0"/>
    <w:rsid w:val="00F62264"/>
    <w:rsid w:val="00F630DF"/>
    <w:rsid w:val="00F64F02"/>
    <w:rsid w:val="00F65FAE"/>
    <w:rsid w:val="00F7014E"/>
    <w:rsid w:val="00F70328"/>
    <w:rsid w:val="00F70785"/>
    <w:rsid w:val="00F715E0"/>
    <w:rsid w:val="00F720F4"/>
    <w:rsid w:val="00F72FA0"/>
    <w:rsid w:val="00F7320F"/>
    <w:rsid w:val="00F7331D"/>
    <w:rsid w:val="00F73E5B"/>
    <w:rsid w:val="00F74122"/>
    <w:rsid w:val="00F74EE6"/>
    <w:rsid w:val="00F75DC8"/>
    <w:rsid w:val="00F75EEC"/>
    <w:rsid w:val="00F76798"/>
    <w:rsid w:val="00F76B96"/>
    <w:rsid w:val="00F76CE0"/>
    <w:rsid w:val="00F76E7D"/>
    <w:rsid w:val="00F7741A"/>
    <w:rsid w:val="00F77704"/>
    <w:rsid w:val="00F804C0"/>
    <w:rsid w:val="00F81507"/>
    <w:rsid w:val="00F825B4"/>
    <w:rsid w:val="00F82AC6"/>
    <w:rsid w:val="00F82BBC"/>
    <w:rsid w:val="00F82C3D"/>
    <w:rsid w:val="00F83252"/>
    <w:rsid w:val="00F83AC2"/>
    <w:rsid w:val="00F84C0C"/>
    <w:rsid w:val="00F85D38"/>
    <w:rsid w:val="00F864D0"/>
    <w:rsid w:val="00F875CA"/>
    <w:rsid w:val="00F9062B"/>
    <w:rsid w:val="00F90960"/>
    <w:rsid w:val="00F90F77"/>
    <w:rsid w:val="00F91ACC"/>
    <w:rsid w:val="00F92DAF"/>
    <w:rsid w:val="00F930B9"/>
    <w:rsid w:val="00F938DE"/>
    <w:rsid w:val="00F93C7A"/>
    <w:rsid w:val="00F93C82"/>
    <w:rsid w:val="00F94535"/>
    <w:rsid w:val="00F94BC1"/>
    <w:rsid w:val="00F950AF"/>
    <w:rsid w:val="00F95DA7"/>
    <w:rsid w:val="00F9621A"/>
    <w:rsid w:val="00F9635F"/>
    <w:rsid w:val="00F9694A"/>
    <w:rsid w:val="00F96D49"/>
    <w:rsid w:val="00F97E00"/>
    <w:rsid w:val="00FA08B2"/>
    <w:rsid w:val="00FA0976"/>
    <w:rsid w:val="00FA1554"/>
    <w:rsid w:val="00FA1564"/>
    <w:rsid w:val="00FA25B6"/>
    <w:rsid w:val="00FA294C"/>
    <w:rsid w:val="00FA39B9"/>
    <w:rsid w:val="00FA3DDB"/>
    <w:rsid w:val="00FA4FA4"/>
    <w:rsid w:val="00FA52B8"/>
    <w:rsid w:val="00FA56C7"/>
    <w:rsid w:val="00FA59B7"/>
    <w:rsid w:val="00FA5D2E"/>
    <w:rsid w:val="00FA5FD3"/>
    <w:rsid w:val="00FA7CDA"/>
    <w:rsid w:val="00FA7FCA"/>
    <w:rsid w:val="00FB0254"/>
    <w:rsid w:val="00FB08E4"/>
    <w:rsid w:val="00FB0B00"/>
    <w:rsid w:val="00FB0C4F"/>
    <w:rsid w:val="00FB0D6C"/>
    <w:rsid w:val="00FB1052"/>
    <w:rsid w:val="00FB1878"/>
    <w:rsid w:val="00FB1A8E"/>
    <w:rsid w:val="00FB1FB3"/>
    <w:rsid w:val="00FB4920"/>
    <w:rsid w:val="00FB5ED2"/>
    <w:rsid w:val="00FB6507"/>
    <w:rsid w:val="00FB65ED"/>
    <w:rsid w:val="00FB68BC"/>
    <w:rsid w:val="00FB741F"/>
    <w:rsid w:val="00FB7C5E"/>
    <w:rsid w:val="00FB7D49"/>
    <w:rsid w:val="00FC0309"/>
    <w:rsid w:val="00FC2FF0"/>
    <w:rsid w:val="00FC31B2"/>
    <w:rsid w:val="00FC367D"/>
    <w:rsid w:val="00FC38BA"/>
    <w:rsid w:val="00FC3FBA"/>
    <w:rsid w:val="00FC448E"/>
    <w:rsid w:val="00FC5197"/>
    <w:rsid w:val="00FC51DC"/>
    <w:rsid w:val="00FC52DE"/>
    <w:rsid w:val="00FC6B76"/>
    <w:rsid w:val="00FC7D6B"/>
    <w:rsid w:val="00FD084A"/>
    <w:rsid w:val="00FD120A"/>
    <w:rsid w:val="00FD3889"/>
    <w:rsid w:val="00FD43FF"/>
    <w:rsid w:val="00FD462F"/>
    <w:rsid w:val="00FD4FC7"/>
    <w:rsid w:val="00FD537A"/>
    <w:rsid w:val="00FD77FA"/>
    <w:rsid w:val="00FE09C7"/>
    <w:rsid w:val="00FE0AB3"/>
    <w:rsid w:val="00FE207E"/>
    <w:rsid w:val="00FE20A3"/>
    <w:rsid w:val="00FE23FE"/>
    <w:rsid w:val="00FE3553"/>
    <w:rsid w:val="00FE4407"/>
    <w:rsid w:val="00FE6825"/>
    <w:rsid w:val="00FE6B9C"/>
    <w:rsid w:val="00FE6E41"/>
    <w:rsid w:val="00FE7068"/>
    <w:rsid w:val="00FF03F5"/>
    <w:rsid w:val="00FF120D"/>
    <w:rsid w:val="00FF12DD"/>
    <w:rsid w:val="00FF272D"/>
    <w:rsid w:val="00FF282A"/>
    <w:rsid w:val="00FF30AD"/>
    <w:rsid w:val="00FF3D34"/>
    <w:rsid w:val="00FF4DAE"/>
    <w:rsid w:val="00FF53DD"/>
    <w:rsid w:val="00FF6ADF"/>
    <w:rsid w:val="00FF6EA1"/>
    <w:rsid w:val="00FF7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AFF"/>
    <w:rPr>
      <w:rFonts w:ascii="Dresdner Bank AG" w:hAnsi="Dresdner Bank AG"/>
      <w:sz w:val="22"/>
      <w:szCs w:val="24"/>
      <w:lang w:eastAsia="en-US"/>
    </w:rPr>
  </w:style>
  <w:style w:type="paragraph" w:styleId="Heading1">
    <w:name w:val="heading 1"/>
    <w:basedOn w:val="Normal"/>
    <w:next w:val="Normal"/>
    <w:link w:val="Heading1Char"/>
    <w:qFormat/>
    <w:rsid w:val="00525A83"/>
    <w:pPr>
      <w:keepNext/>
      <w:jc w:val="center"/>
      <w:outlineLvl w:val="0"/>
    </w:pPr>
    <w:rPr>
      <w:b/>
      <w:bCs/>
    </w:rPr>
  </w:style>
  <w:style w:type="paragraph" w:styleId="Heading2">
    <w:name w:val="heading 2"/>
    <w:basedOn w:val="Normal"/>
    <w:next w:val="Normal"/>
    <w:link w:val="Heading2Char"/>
    <w:qFormat/>
    <w:rsid w:val="00525A83"/>
    <w:pPr>
      <w:keepNext/>
      <w:outlineLvl w:val="1"/>
    </w:pPr>
    <w:rPr>
      <w:b/>
      <w:bCs/>
    </w:rPr>
  </w:style>
  <w:style w:type="paragraph" w:styleId="Heading3">
    <w:name w:val="heading 3"/>
    <w:basedOn w:val="Normal"/>
    <w:next w:val="Normal"/>
    <w:link w:val="Heading3Char"/>
    <w:qFormat/>
    <w:rsid w:val="00525A83"/>
    <w:pPr>
      <w:keepNext/>
      <w:tabs>
        <w:tab w:val="left" w:pos="3402"/>
        <w:tab w:val="right" w:pos="8222"/>
      </w:tabs>
      <w:outlineLvl w:val="2"/>
    </w:pPr>
    <w:rPr>
      <w:b/>
      <w:bCs/>
      <w:sz w:val="20"/>
    </w:rPr>
  </w:style>
  <w:style w:type="paragraph" w:styleId="Heading4">
    <w:name w:val="heading 4"/>
    <w:basedOn w:val="Normal"/>
    <w:next w:val="Normal"/>
    <w:link w:val="Heading4Char"/>
    <w:qFormat/>
    <w:rsid w:val="00525A83"/>
    <w:pPr>
      <w:keepNext/>
      <w:tabs>
        <w:tab w:val="left" w:pos="3402"/>
        <w:tab w:val="right" w:pos="8222"/>
      </w:tabs>
      <w:jc w:val="both"/>
      <w:outlineLvl w:val="3"/>
    </w:pPr>
    <w:rPr>
      <w:b/>
      <w:bCs/>
      <w:sz w:val="20"/>
    </w:rPr>
  </w:style>
  <w:style w:type="paragraph" w:styleId="Heading5">
    <w:name w:val="heading 5"/>
    <w:basedOn w:val="Normal"/>
    <w:next w:val="Normal"/>
    <w:link w:val="Heading5Char"/>
    <w:qFormat/>
    <w:rsid w:val="00525A83"/>
    <w:pPr>
      <w:keepNext/>
      <w:jc w:val="both"/>
      <w:outlineLvl w:val="4"/>
    </w:pPr>
    <w:rPr>
      <w:i/>
      <w:iCs/>
      <w:sz w:val="20"/>
    </w:rPr>
  </w:style>
  <w:style w:type="paragraph" w:styleId="Heading6">
    <w:name w:val="heading 6"/>
    <w:basedOn w:val="Normal"/>
    <w:next w:val="Normal"/>
    <w:link w:val="Heading6Char"/>
    <w:qFormat/>
    <w:rsid w:val="00525A83"/>
    <w:pPr>
      <w:keepNext/>
      <w:outlineLvl w:val="5"/>
    </w:pPr>
    <w:rPr>
      <w:i/>
      <w:iCs/>
      <w:sz w:val="20"/>
    </w:rPr>
  </w:style>
  <w:style w:type="paragraph" w:styleId="Heading7">
    <w:name w:val="heading 7"/>
    <w:basedOn w:val="Normal"/>
    <w:next w:val="Normal"/>
    <w:link w:val="Heading7Char"/>
    <w:qFormat/>
    <w:rsid w:val="00525A83"/>
    <w:pPr>
      <w:keepNext/>
      <w:jc w:val="right"/>
      <w:outlineLvl w:val="6"/>
    </w:pPr>
    <w:rPr>
      <w:b/>
      <w:bCs/>
    </w:rPr>
  </w:style>
  <w:style w:type="paragraph" w:styleId="Heading8">
    <w:name w:val="heading 8"/>
    <w:basedOn w:val="Normal"/>
    <w:next w:val="Normal"/>
    <w:qFormat/>
    <w:rsid w:val="00525A83"/>
    <w:pPr>
      <w:keepNext/>
      <w:ind w:left="720"/>
      <w:jc w:val="both"/>
      <w:outlineLvl w:val="7"/>
    </w:pPr>
    <w:rPr>
      <w:i/>
      <w:iCs/>
      <w:sz w:val="20"/>
    </w:rPr>
  </w:style>
  <w:style w:type="paragraph" w:styleId="Heading9">
    <w:name w:val="heading 9"/>
    <w:basedOn w:val="Normal"/>
    <w:next w:val="Normal"/>
    <w:qFormat/>
    <w:rsid w:val="00525A83"/>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5A83"/>
    <w:pPr>
      <w:tabs>
        <w:tab w:val="center" w:pos="4153"/>
        <w:tab w:val="right" w:pos="8306"/>
      </w:tabs>
    </w:pPr>
  </w:style>
  <w:style w:type="paragraph" w:styleId="Footer">
    <w:name w:val="footer"/>
    <w:aliases w:val="Footer line 1"/>
    <w:basedOn w:val="Normal"/>
    <w:link w:val="FooterChar"/>
    <w:rsid w:val="00525A83"/>
    <w:pPr>
      <w:tabs>
        <w:tab w:val="center" w:pos="4153"/>
        <w:tab w:val="right" w:pos="8306"/>
      </w:tabs>
    </w:pPr>
  </w:style>
  <w:style w:type="character" w:styleId="PageNumber">
    <w:name w:val="page number"/>
    <w:basedOn w:val="DefaultParagraphFont"/>
    <w:rsid w:val="00525A83"/>
  </w:style>
  <w:style w:type="paragraph" w:styleId="ListBullet">
    <w:name w:val="List Bullet"/>
    <w:basedOn w:val="Normal"/>
    <w:autoRedefine/>
    <w:rsid w:val="009278EC"/>
    <w:pPr>
      <w:numPr>
        <w:numId w:val="69"/>
      </w:numPr>
      <w:contextualSpacing/>
    </w:pPr>
    <w:rPr>
      <w:rFonts w:ascii="Times New Roman" w:hAnsi="Times New Roman"/>
      <w:iCs/>
      <w:sz w:val="20"/>
      <w:szCs w:val="20"/>
    </w:rPr>
  </w:style>
  <w:style w:type="paragraph" w:styleId="BodyText">
    <w:name w:val="Body Text"/>
    <w:basedOn w:val="Normal"/>
    <w:link w:val="BodyTextChar"/>
    <w:rsid w:val="00525A83"/>
    <w:pPr>
      <w:tabs>
        <w:tab w:val="left" w:pos="3402"/>
        <w:tab w:val="right" w:pos="8222"/>
      </w:tabs>
      <w:jc w:val="both"/>
    </w:pPr>
    <w:rPr>
      <w:sz w:val="20"/>
    </w:rPr>
  </w:style>
  <w:style w:type="paragraph" w:styleId="BodyTextIndent">
    <w:name w:val="Body Text Indent"/>
    <w:basedOn w:val="Normal"/>
    <w:rsid w:val="00525A83"/>
    <w:pPr>
      <w:ind w:left="720"/>
      <w:jc w:val="both"/>
    </w:pPr>
    <w:rPr>
      <w:sz w:val="20"/>
    </w:rPr>
  </w:style>
  <w:style w:type="paragraph" w:styleId="BodyTextIndent2">
    <w:name w:val="Body Text Indent 2"/>
    <w:basedOn w:val="Normal"/>
    <w:rsid w:val="00525A83"/>
    <w:pPr>
      <w:ind w:left="720"/>
      <w:jc w:val="both"/>
    </w:pPr>
    <w:rPr>
      <w:i/>
      <w:iCs/>
      <w:sz w:val="20"/>
    </w:rPr>
  </w:style>
  <w:style w:type="paragraph" w:styleId="BodyTextIndent3">
    <w:name w:val="Body Text Indent 3"/>
    <w:basedOn w:val="Normal"/>
    <w:rsid w:val="00525A83"/>
    <w:pPr>
      <w:ind w:left="720" w:hanging="720"/>
      <w:jc w:val="both"/>
    </w:pPr>
    <w:rPr>
      <w:sz w:val="20"/>
    </w:rPr>
  </w:style>
  <w:style w:type="paragraph" w:styleId="BodyText2">
    <w:name w:val="Body Text 2"/>
    <w:basedOn w:val="Normal"/>
    <w:rsid w:val="00525A83"/>
    <w:pPr>
      <w:autoSpaceDE w:val="0"/>
      <w:autoSpaceDN w:val="0"/>
      <w:adjustRightInd w:val="0"/>
      <w:jc w:val="both"/>
    </w:pPr>
    <w:rPr>
      <w:rFonts w:ascii="Times New Roman" w:hAnsi="Times New Roman"/>
      <w:color w:val="000000"/>
      <w:szCs w:val="22"/>
      <w:lang w:val="en-US"/>
    </w:rPr>
  </w:style>
  <w:style w:type="paragraph" w:styleId="CommentText">
    <w:name w:val="annotation text"/>
    <w:basedOn w:val="Normal"/>
    <w:semiHidden/>
    <w:rsid w:val="00525A83"/>
    <w:rPr>
      <w:sz w:val="20"/>
      <w:szCs w:val="20"/>
    </w:rPr>
  </w:style>
  <w:style w:type="paragraph" w:styleId="CommentSubject">
    <w:name w:val="annotation subject"/>
    <w:basedOn w:val="CommentText"/>
    <w:next w:val="CommentText"/>
    <w:semiHidden/>
    <w:rsid w:val="00525A83"/>
    <w:rPr>
      <w:rFonts w:ascii="Times New Roman" w:hAnsi="Times New Roman"/>
      <w:b/>
      <w:bCs/>
    </w:rPr>
  </w:style>
  <w:style w:type="paragraph" w:styleId="BalloonText">
    <w:name w:val="Balloon Text"/>
    <w:basedOn w:val="Normal"/>
    <w:semiHidden/>
    <w:rsid w:val="00525A83"/>
    <w:rPr>
      <w:rFonts w:ascii="Tahoma" w:hAnsi="Tahoma" w:cs="Tahoma"/>
      <w:sz w:val="16"/>
      <w:szCs w:val="16"/>
    </w:rPr>
  </w:style>
  <w:style w:type="paragraph" w:styleId="BodyText3">
    <w:name w:val="Body Text 3"/>
    <w:basedOn w:val="Normal"/>
    <w:rsid w:val="00525A83"/>
    <w:pPr>
      <w:spacing w:after="120"/>
    </w:pPr>
    <w:rPr>
      <w:sz w:val="16"/>
      <w:szCs w:val="16"/>
    </w:rPr>
  </w:style>
  <w:style w:type="paragraph" w:styleId="Title">
    <w:name w:val="Title"/>
    <w:basedOn w:val="Normal"/>
    <w:link w:val="TitleChar"/>
    <w:qFormat/>
    <w:rsid w:val="00525A83"/>
    <w:pPr>
      <w:jc w:val="center"/>
    </w:pPr>
    <w:rPr>
      <w:rFonts w:ascii="Times New Roman" w:eastAsia="Batang" w:hAnsi="Times New Roman"/>
      <w:b/>
      <w:sz w:val="24"/>
      <w:lang w:val="en-US" w:eastAsia="ko-KR"/>
    </w:rPr>
  </w:style>
  <w:style w:type="paragraph" w:customStyle="1" w:styleId="AgreementHeading1">
    <w:name w:val="Agreement Heading 1"/>
    <w:basedOn w:val="Normal"/>
    <w:next w:val="BlockText"/>
    <w:uiPriority w:val="99"/>
    <w:rsid w:val="00C950FF"/>
    <w:pPr>
      <w:keepNext/>
      <w:numPr>
        <w:numId w:val="3"/>
      </w:numPr>
      <w:spacing w:after="240" w:line="312" w:lineRule="auto"/>
      <w:jc w:val="both"/>
    </w:pPr>
    <w:rPr>
      <w:rFonts w:ascii="Times New Roman" w:hAnsi="Times New Roman Bold"/>
      <w:b/>
      <w:caps/>
      <w:szCs w:val="22"/>
    </w:rPr>
  </w:style>
  <w:style w:type="paragraph" w:customStyle="1" w:styleId="AgreementHeading2Char">
    <w:name w:val="Agreement Heading 2 Char"/>
    <w:basedOn w:val="BodyText"/>
    <w:uiPriority w:val="99"/>
    <w:rsid w:val="00C950FF"/>
    <w:pPr>
      <w:numPr>
        <w:ilvl w:val="1"/>
        <w:numId w:val="3"/>
      </w:numPr>
      <w:tabs>
        <w:tab w:val="clear" w:pos="3402"/>
        <w:tab w:val="clear" w:pos="8222"/>
      </w:tabs>
      <w:spacing w:after="240" w:line="312" w:lineRule="auto"/>
    </w:pPr>
    <w:rPr>
      <w:rFonts w:ascii="Arial" w:eastAsia="SimSun" w:hAnsi="Arial"/>
      <w:sz w:val="22"/>
      <w:szCs w:val="22"/>
    </w:rPr>
  </w:style>
  <w:style w:type="paragraph" w:customStyle="1" w:styleId="AgreementHeading3CharChar">
    <w:name w:val="Agreement Heading 3 Char Char"/>
    <w:basedOn w:val="Normal"/>
    <w:link w:val="AgreementHeading3CharCharChar"/>
    <w:uiPriority w:val="99"/>
    <w:rsid w:val="00C950FF"/>
    <w:pPr>
      <w:numPr>
        <w:ilvl w:val="2"/>
        <w:numId w:val="3"/>
      </w:numPr>
      <w:spacing w:after="240" w:line="312" w:lineRule="auto"/>
      <w:jc w:val="both"/>
    </w:pPr>
    <w:rPr>
      <w:rFonts w:ascii="Arial" w:eastAsia="SimSun" w:hAnsi="Arial"/>
      <w:szCs w:val="22"/>
    </w:rPr>
  </w:style>
  <w:style w:type="paragraph" w:customStyle="1" w:styleId="AgreementHeading4">
    <w:name w:val="Agreement Heading 4"/>
    <w:basedOn w:val="Normal"/>
    <w:uiPriority w:val="99"/>
    <w:rsid w:val="00C950FF"/>
    <w:pPr>
      <w:numPr>
        <w:ilvl w:val="3"/>
        <w:numId w:val="3"/>
      </w:numPr>
      <w:spacing w:after="240" w:line="312" w:lineRule="auto"/>
      <w:jc w:val="both"/>
    </w:pPr>
    <w:rPr>
      <w:rFonts w:ascii="Times New Roman" w:hAnsi="Times New Roman"/>
      <w:szCs w:val="22"/>
    </w:rPr>
  </w:style>
  <w:style w:type="paragraph" w:customStyle="1" w:styleId="AgreementHeading5">
    <w:name w:val="Agreement Heading 5"/>
    <w:basedOn w:val="Normal"/>
    <w:uiPriority w:val="99"/>
    <w:rsid w:val="00C950FF"/>
    <w:pPr>
      <w:numPr>
        <w:ilvl w:val="4"/>
        <w:numId w:val="3"/>
      </w:numPr>
      <w:spacing w:after="240" w:line="312" w:lineRule="auto"/>
      <w:jc w:val="both"/>
    </w:pPr>
    <w:rPr>
      <w:rFonts w:ascii="Times New Roman" w:hAnsi="Times New Roman"/>
      <w:szCs w:val="22"/>
    </w:rPr>
  </w:style>
  <w:style w:type="character" w:customStyle="1" w:styleId="AgreementHeading3CharCharChar">
    <w:name w:val="Agreement Heading 3 Char Char Char"/>
    <w:basedOn w:val="DefaultParagraphFont"/>
    <w:link w:val="AgreementHeading3CharChar"/>
    <w:uiPriority w:val="99"/>
    <w:rsid w:val="00C950FF"/>
    <w:rPr>
      <w:rFonts w:ascii="Arial" w:eastAsia="SimSun" w:hAnsi="Arial"/>
      <w:sz w:val="22"/>
      <w:szCs w:val="22"/>
      <w:lang w:eastAsia="en-US"/>
    </w:rPr>
  </w:style>
  <w:style w:type="paragraph" w:styleId="BlockText">
    <w:name w:val="Block Text"/>
    <w:basedOn w:val="Normal"/>
    <w:rsid w:val="00C950FF"/>
    <w:pPr>
      <w:spacing w:after="120"/>
      <w:ind w:left="1440" w:right="1440"/>
    </w:pPr>
  </w:style>
  <w:style w:type="paragraph" w:styleId="Subtitle">
    <w:name w:val="Subtitle"/>
    <w:basedOn w:val="Normal"/>
    <w:qFormat/>
    <w:rsid w:val="00656755"/>
    <w:pPr>
      <w:autoSpaceDE w:val="0"/>
      <w:autoSpaceDN w:val="0"/>
      <w:adjustRightInd w:val="0"/>
      <w:jc w:val="both"/>
    </w:pPr>
    <w:rPr>
      <w:rFonts w:ascii="Times New Roman" w:hAnsi="Times New Roman"/>
      <w:b/>
      <w:bCs/>
      <w:sz w:val="20"/>
      <w:lang w:val="en-CA"/>
    </w:rPr>
  </w:style>
  <w:style w:type="table" w:styleId="TableGrid">
    <w:name w:val="Table Grid"/>
    <w:basedOn w:val="TableNormal"/>
    <w:uiPriority w:val="59"/>
    <w:rsid w:val="000C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2">
    <w:name w:val="indent12"/>
    <w:basedOn w:val="Normal"/>
    <w:next w:val="Normal"/>
    <w:rsid w:val="00AA05BC"/>
    <w:pPr>
      <w:numPr>
        <w:numId w:val="8"/>
      </w:numPr>
      <w:jc w:val="both"/>
    </w:pPr>
    <w:rPr>
      <w:rFonts w:ascii="Times New Roman" w:hAnsi="Times New Roman"/>
      <w:sz w:val="24"/>
      <w:szCs w:val="20"/>
      <w:lang w:eastAsia="en-GB"/>
    </w:rPr>
  </w:style>
  <w:style w:type="paragraph" w:styleId="NormalWeb">
    <w:name w:val="Normal (Web)"/>
    <w:basedOn w:val="Normal"/>
    <w:uiPriority w:val="99"/>
    <w:rsid w:val="00AA05BC"/>
    <w:pPr>
      <w:spacing w:before="100" w:beforeAutospacing="1" w:after="100" w:afterAutospacing="1"/>
    </w:pPr>
    <w:rPr>
      <w:rFonts w:ascii="Times New Roman" w:hAnsi="Times New Roman"/>
      <w:sz w:val="24"/>
      <w:szCs w:val="19"/>
      <w:lang w:eastAsia="en-GB"/>
    </w:rPr>
  </w:style>
  <w:style w:type="paragraph" w:styleId="FootnoteText">
    <w:name w:val="footnote text"/>
    <w:aliases w:val="ARM footnote Text,Footnote Text Char2,Footnote Text Char11,Footnote Text Char3,Footnote Text Char4,Footnote Text Char5,Footnote Text Char6,Footnote Text Char12,Footnote Text Char21,Footnote Text Char31,Footnote New, Ch"/>
    <w:basedOn w:val="Normal"/>
    <w:link w:val="FootnoteTextChar"/>
    <w:rsid w:val="00AA05BC"/>
    <w:rPr>
      <w:rFonts w:ascii="Times New Roman" w:hAnsi="Times New Roman"/>
      <w:sz w:val="16"/>
      <w:szCs w:val="20"/>
      <w:lang w:eastAsia="en-GB"/>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 Ch Char"/>
    <w:basedOn w:val="DefaultParagraphFont"/>
    <w:link w:val="FootnoteText"/>
    <w:rsid w:val="00AA05BC"/>
    <w:rPr>
      <w:sz w:val="16"/>
    </w:rPr>
  </w:style>
  <w:style w:type="character" w:styleId="FootnoteReference">
    <w:name w:val="footnote reference"/>
    <w:basedOn w:val="DefaultParagraphFont"/>
    <w:rsid w:val="00AA05BC"/>
    <w:rPr>
      <w:vertAlign w:val="superscript"/>
    </w:rPr>
  </w:style>
  <w:style w:type="paragraph" w:styleId="ListParagraph">
    <w:name w:val="List Paragraph"/>
    <w:basedOn w:val="Normal"/>
    <w:qFormat/>
    <w:rsid w:val="004702AA"/>
    <w:pPr>
      <w:ind w:left="720"/>
      <w:contextualSpacing/>
    </w:pPr>
    <w:rPr>
      <w:rFonts w:ascii="Calibri" w:eastAsia="Calibri" w:hAnsi="Calibri"/>
      <w:szCs w:val="22"/>
      <w:lang w:eastAsia="en-GB"/>
    </w:rPr>
  </w:style>
  <w:style w:type="character" w:customStyle="1" w:styleId="Heading2Char">
    <w:name w:val="Heading 2 Char"/>
    <w:basedOn w:val="DefaultParagraphFont"/>
    <w:link w:val="Heading2"/>
    <w:rsid w:val="00B7237E"/>
    <w:rPr>
      <w:rFonts w:ascii="Dresdner Bank AG" w:hAnsi="Dresdner Bank AG"/>
      <w:b/>
      <w:bCs/>
      <w:sz w:val="22"/>
      <w:szCs w:val="24"/>
      <w:lang w:eastAsia="en-US"/>
    </w:rPr>
  </w:style>
  <w:style w:type="paragraph" w:customStyle="1" w:styleId="Default">
    <w:name w:val="Default"/>
    <w:basedOn w:val="Normal"/>
    <w:rsid w:val="00AB1A45"/>
    <w:pPr>
      <w:autoSpaceDE w:val="0"/>
      <w:autoSpaceDN w:val="0"/>
    </w:pPr>
    <w:rPr>
      <w:rFonts w:ascii="Trebuchet MS" w:eastAsiaTheme="minorHAnsi" w:hAnsi="Trebuchet MS"/>
      <w:color w:val="000000"/>
      <w:sz w:val="24"/>
      <w:lang w:eastAsia="en-GB"/>
    </w:rPr>
  </w:style>
  <w:style w:type="character" w:customStyle="1" w:styleId="Heading3Char">
    <w:name w:val="Heading 3 Char"/>
    <w:basedOn w:val="DefaultParagraphFont"/>
    <w:link w:val="Heading3"/>
    <w:rsid w:val="0021526B"/>
    <w:rPr>
      <w:rFonts w:ascii="Dresdner Bank AG" w:hAnsi="Dresdner Bank AG"/>
      <w:b/>
      <w:bCs/>
      <w:szCs w:val="24"/>
      <w:lang w:eastAsia="en-US"/>
    </w:rPr>
  </w:style>
  <w:style w:type="paragraph" w:customStyle="1" w:styleId="Tdec">
    <w:name w:val="Tdec"/>
    <w:basedOn w:val="Normal"/>
    <w:rsid w:val="0021526B"/>
    <w:pPr>
      <w:tabs>
        <w:tab w:val="decimal" w:pos="993"/>
      </w:tabs>
      <w:ind w:right="-6"/>
      <w:jc w:val="both"/>
    </w:pPr>
    <w:rPr>
      <w:rFonts w:ascii="Times New Roman" w:hAnsi="Times New Roman"/>
      <w:sz w:val="20"/>
      <w:szCs w:val="20"/>
      <w:lang w:eastAsia="en-GB"/>
    </w:rPr>
  </w:style>
  <w:style w:type="character" w:customStyle="1" w:styleId="Heading7Char">
    <w:name w:val="Heading 7 Char"/>
    <w:basedOn w:val="DefaultParagraphFont"/>
    <w:link w:val="Heading7"/>
    <w:rsid w:val="00F01D4B"/>
    <w:rPr>
      <w:rFonts w:ascii="Dresdner Bank AG" w:hAnsi="Dresdner Bank AG"/>
      <w:b/>
      <w:bCs/>
      <w:sz w:val="22"/>
      <w:szCs w:val="24"/>
      <w:lang w:eastAsia="en-US"/>
    </w:rPr>
  </w:style>
  <w:style w:type="character" w:styleId="PlaceholderText">
    <w:name w:val="Placeholder Text"/>
    <w:basedOn w:val="DefaultParagraphFont"/>
    <w:uiPriority w:val="99"/>
    <w:semiHidden/>
    <w:rsid w:val="002B4D80"/>
    <w:rPr>
      <w:color w:val="808080"/>
    </w:rPr>
  </w:style>
  <w:style w:type="character" w:customStyle="1" w:styleId="TitleChar">
    <w:name w:val="Title Char"/>
    <w:basedOn w:val="DefaultParagraphFont"/>
    <w:link w:val="Title"/>
    <w:rsid w:val="00693822"/>
    <w:rPr>
      <w:rFonts w:eastAsia="Batang"/>
      <w:b/>
      <w:sz w:val="24"/>
      <w:szCs w:val="24"/>
      <w:lang w:val="en-US" w:eastAsia="ko-KR"/>
    </w:rPr>
  </w:style>
  <w:style w:type="character" w:customStyle="1" w:styleId="BodyTextChar">
    <w:name w:val="Body Text Char"/>
    <w:basedOn w:val="DefaultParagraphFont"/>
    <w:link w:val="BodyText"/>
    <w:rsid w:val="00203B1A"/>
    <w:rPr>
      <w:rFonts w:ascii="Dresdner Bank AG" w:hAnsi="Dresdner Bank AG"/>
      <w:szCs w:val="24"/>
      <w:lang w:eastAsia="en-US"/>
    </w:rPr>
  </w:style>
  <w:style w:type="character" w:customStyle="1" w:styleId="A2">
    <w:name w:val="A2"/>
    <w:uiPriority w:val="99"/>
    <w:rsid w:val="00B44D91"/>
    <w:rPr>
      <w:rFonts w:cs="Scala Sans LF"/>
      <w:color w:val="000000"/>
      <w:sz w:val="17"/>
      <w:szCs w:val="17"/>
    </w:rPr>
  </w:style>
  <w:style w:type="character" w:styleId="Hyperlink">
    <w:name w:val="Hyperlink"/>
    <w:basedOn w:val="DefaultParagraphFont"/>
    <w:rsid w:val="00B44D91"/>
    <w:rPr>
      <w:color w:val="0000FF"/>
      <w:u w:val="single"/>
    </w:rPr>
  </w:style>
  <w:style w:type="character" w:customStyle="1" w:styleId="Heading5Char">
    <w:name w:val="Heading 5 Char"/>
    <w:basedOn w:val="DefaultParagraphFont"/>
    <w:link w:val="Heading5"/>
    <w:rsid w:val="00B44D91"/>
    <w:rPr>
      <w:rFonts w:ascii="Dresdner Bank AG" w:hAnsi="Dresdner Bank AG"/>
      <w:i/>
      <w:iCs/>
      <w:szCs w:val="24"/>
      <w:lang w:eastAsia="en-US"/>
    </w:rPr>
  </w:style>
  <w:style w:type="character" w:customStyle="1" w:styleId="Heading4Char">
    <w:name w:val="Heading 4 Char"/>
    <w:basedOn w:val="DefaultParagraphFont"/>
    <w:link w:val="Heading4"/>
    <w:rsid w:val="00B44D91"/>
    <w:rPr>
      <w:rFonts w:ascii="Dresdner Bank AG" w:hAnsi="Dresdner Bank AG"/>
      <w:b/>
      <w:bCs/>
      <w:szCs w:val="24"/>
      <w:lang w:eastAsia="en-US"/>
    </w:rPr>
  </w:style>
  <w:style w:type="paragraph" w:customStyle="1" w:styleId="hugin">
    <w:name w:val="hugin"/>
    <w:basedOn w:val="Normal"/>
    <w:rsid w:val="00B44D91"/>
    <w:pPr>
      <w:spacing w:before="100" w:beforeAutospacing="1" w:after="100" w:afterAutospacing="1"/>
    </w:pPr>
    <w:rPr>
      <w:rFonts w:ascii="Times New Roman" w:hAnsi="Times New Roman"/>
      <w:sz w:val="24"/>
      <w:lang w:eastAsia="en-GB"/>
    </w:rPr>
  </w:style>
  <w:style w:type="character" w:customStyle="1" w:styleId="Heading6Char">
    <w:name w:val="Heading 6 Char"/>
    <w:basedOn w:val="DefaultParagraphFont"/>
    <w:link w:val="Heading6"/>
    <w:rsid w:val="005A6F0F"/>
    <w:rPr>
      <w:rFonts w:ascii="Dresdner Bank AG" w:hAnsi="Dresdner Bank AG"/>
      <w:i/>
      <w:iCs/>
      <w:szCs w:val="24"/>
      <w:lang w:eastAsia="en-US"/>
    </w:rPr>
  </w:style>
  <w:style w:type="character" w:customStyle="1" w:styleId="Heading1Char">
    <w:name w:val="Heading 1 Char"/>
    <w:basedOn w:val="DefaultParagraphFont"/>
    <w:link w:val="Heading1"/>
    <w:rsid w:val="005A6F0F"/>
    <w:rPr>
      <w:rFonts w:ascii="Dresdner Bank AG" w:hAnsi="Dresdner Bank AG"/>
      <w:b/>
      <w:bCs/>
      <w:sz w:val="22"/>
      <w:szCs w:val="24"/>
      <w:lang w:eastAsia="en-US"/>
    </w:rPr>
  </w:style>
  <w:style w:type="paragraph" w:customStyle="1" w:styleId="Bh">
    <w:name w:val="Bh"/>
    <w:basedOn w:val="Normal"/>
    <w:qFormat/>
    <w:rsid w:val="001F5383"/>
    <w:pPr>
      <w:adjustRightInd w:val="0"/>
      <w:snapToGrid w:val="0"/>
      <w:spacing w:before="60" w:after="60" w:line="240" w:lineRule="atLeast"/>
    </w:pPr>
    <w:rPr>
      <w:rFonts w:ascii="Arial" w:hAnsi="Arial"/>
      <w:b/>
      <w:color w:val="002776"/>
      <w:sz w:val="20"/>
      <w:szCs w:val="18"/>
    </w:rPr>
  </w:style>
  <w:style w:type="character" w:customStyle="1" w:styleId="FooterChar">
    <w:name w:val="Footer Char"/>
    <w:aliases w:val="Footer line 1 Char"/>
    <w:link w:val="Footer"/>
    <w:rsid w:val="001F5383"/>
    <w:rPr>
      <w:rFonts w:ascii="Dresdner Bank AG" w:hAnsi="Dresdner Bank AG"/>
      <w:sz w:val="22"/>
      <w:szCs w:val="24"/>
      <w:lang w:eastAsia="en-US"/>
    </w:rPr>
  </w:style>
  <w:style w:type="paragraph" w:styleId="NoSpacing">
    <w:name w:val="No Spacing"/>
    <w:uiPriority w:val="1"/>
    <w:qFormat/>
    <w:rsid w:val="00916D00"/>
    <w:rPr>
      <w:sz w:val="24"/>
      <w:szCs w:val="24"/>
      <w:lang w:val="en-CA" w:eastAsia="en-US"/>
    </w:rPr>
  </w:style>
  <w:style w:type="paragraph" w:styleId="Revision">
    <w:name w:val="Revision"/>
    <w:hidden/>
    <w:uiPriority w:val="99"/>
    <w:semiHidden/>
    <w:rsid w:val="008A5F83"/>
    <w:rPr>
      <w:rFonts w:ascii="Dresdner Bank AG" w:hAnsi="Dresdner Bank AG"/>
      <w:sz w:val="22"/>
      <w:szCs w:val="24"/>
      <w:lang w:eastAsia="en-US"/>
    </w:rPr>
  </w:style>
  <w:style w:type="character" w:styleId="CommentReference">
    <w:name w:val="annotation reference"/>
    <w:basedOn w:val="DefaultParagraphFont"/>
    <w:rsid w:val="00A04F52"/>
    <w:rPr>
      <w:sz w:val="16"/>
      <w:szCs w:val="16"/>
    </w:rPr>
  </w:style>
  <w:style w:type="table" w:customStyle="1" w:styleId="TableGrid1">
    <w:name w:val="Table Grid1"/>
    <w:basedOn w:val="TableNormal"/>
    <w:next w:val="TableGrid"/>
    <w:uiPriority w:val="59"/>
    <w:rsid w:val="00BC3E19"/>
    <w:rPr>
      <w:rFonts w:eastAsia="PMingLiU"/>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4AB4"/>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41A3C"/>
    <w:rPr>
      <w:rFonts w:ascii="Dresdner Bank AG" w:hAnsi="Dresdner Bank AG"/>
      <w:sz w:val="22"/>
      <w:szCs w:val="24"/>
      <w:lang w:eastAsia="en-US"/>
    </w:rPr>
  </w:style>
  <w:style w:type="table" w:customStyle="1" w:styleId="TableGrid3">
    <w:name w:val="Table Grid3"/>
    <w:basedOn w:val="TableNormal"/>
    <w:next w:val="TableGrid"/>
    <w:uiPriority w:val="59"/>
    <w:rsid w:val="005B66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body">
    <w:name w:val="txtbody"/>
    <w:basedOn w:val="Normal"/>
    <w:rsid w:val="00C10BEA"/>
    <w:pPr>
      <w:spacing w:after="120" w:line="360" w:lineRule="atLeast"/>
    </w:pPr>
    <w:rPr>
      <w:rFonts w:ascii="Times New Roman" w:hAnsi="Times New Roman"/>
      <w:color w:val="333333"/>
      <w:sz w:val="24"/>
      <w:lang w:eastAsia="en-GB"/>
    </w:rPr>
  </w:style>
  <w:style w:type="table" w:customStyle="1" w:styleId="TableGrid4">
    <w:name w:val="Table Grid4"/>
    <w:basedOn w:val="TableNormal"/>
    <w:next w:val="TableGrid"/>
    <w:uiPriority w:val="59"/>
    <w:rsid w:val="00F7741A"/>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7C09"/>
    <w:rPr>
      <w:b/>
      <w:bCs/>
    </w:rPr>
  </w:style>
  <w:style w:type="paragraph" w:styleId="PlainText">
    <w:name w:val="Plain Text"/>
    <w:basedOn w:val="Normal"/>
    <w:link w:val="PlainTextChar"/>
    <w:uiPriority w:val="99"/>
    <w:unhideWhenUsed/>
    <w:rsid w:val="00BD7C09"/>
    <w:rPr>
      <w:rFonts w:ascii="Calibri" w:eastAsiaTheme="minorHAnsi" w:hAnsi="Calibri" w:cs="Consolas"/>
      <w:szCs w:val="21"/>
    </w:rPr>
  </w:style>
  <w:style w:type="character" w:customStyle="1" w:styleId="PlainTextChar">
    <w:name w:val="Plain Text Char"/>
    <w:basedOn w:val="DefaultParagraphFont"/>
    <w:link w:val="PlainText"/>
    <w:uiPriority w:val="99"/>
    <w:rsid w:val="00BD7C09"/>
    <w:rPr>
      <w:rFonts w:ascii="Calibri" w:eastAsiaTheme="minorHAnsi" w:hAnsi="Calibri" w:cs="Consolas"/>
      <w:sz w:val="22"/>
      <w:szCs w:val="21"/>
      <w:lang w:eastAsia="en-US"/>
    </w:rPr>
  </w:style>
  <w:style w:type="character" w:customStyle="1" w:styleId="cm">
    <w:name w:val="cm"/>
    <w:basedOn w:val="DefaultParagraphFont"/>
    <w:rsid w:val="00F91ACC"/>
    <w:rPr>
      <w:rFonts w:ascii="&amp;quot" w:hAnsi="&amp;quot" w:hint="default"/>
      <w:color w:val="0D0D0D"/>
      <w:sz w:val="20"/>
      <w:szCs w:val="20"/>
    </w:rPr>
  </w:style>
  <w:style w:type="character" w:customStyle="1" w:styleId="gmail-m4481404585992787883m1510263026939687720m8426528754955269767gmail-m7713433543983328082gmail-apple-converted-space">
    <w:name w:val="gmail-m_4481404585992787883m_1510263026939687720m_8426528754955269767gmail-m_7713433543983328082gmail-apple-converted-space"/>
    <w:basedOn w:val="DefaultParagraphFont"/>
    <w:rsid w:val="006A6718"/>
  </w:style>
  <w:style w:type="paragraph" w:customStyle="1" w:styleId="p">
    <w:name w:val="p"/>
    <w:basedOn w:val="Normal"/>
    <w:rsid w:val="006F35AB"/>
    <w:pPr>
      <w:spacing w:before="100" w:beforeAutospacing="1" w:after="100" w:afterAutospacing="1"/>
    </w:pPr>
    <w:rPr>
      <w:rFonts w:ascii="Times New Roman" w:hAnsi="Times New Roman"/>
      <w:sz w:val="24"/>
      <w:lang w:eastAsia="en-GB"/>
    </w:rPr>
  </w:style>
  <w:style w:type="character" w:customStyle="1" w:styleId="q">
    <w:name w:val="q"/>
    <w:basedOn w:val="DefaultParagraphFont"/>
    <w:rsid w:val="006F3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AFF"/>
    <w:rPr>
      <w:rFonts w:ascii="Dresdner Bank AG" w:hAnsi="Dresdner Bank AG"/>
      <w:sz w:val="22"/>
      <w:szCs w:val="24"/>
      <w:lang w:eastAsia="en-US"/>
    </w:rPr>
  </w:style>
  <w:style w:type="paragraph" w:styleId="Heading1">
    <w:name w:val="heading 1"/>
    <w:basedOn w:val="Normal"/>
    <w:next w:val="Normal"/>
    <w:link w:val="Heading1Char"/>
    <w:qFormat/>
    <w:rsid w:val="00525A83"/>
    <w:pPr>
      <w:keepNext/>
      <w:jc w:val="center"/>
      <w:outlineLvl w:val="0"/>
    </w:pPr>
    <w:rPr>
      <w:b/>
      <w:bCs/>
    </w:rPr>
  </w:style>
  <w:style w:type="paragraph" w:styleId="Heading2">
    <w:name w:val="heading 2"/>
    <w:basedOn w:val="Normal"/>
    <w:next w:val="Normal"/>
    <w:link w:val="Heading2Char"/>
    <w:qFormat/>
    <w:rsid w:val="00525A83"/>
    <w:pPr>
      <w:keepNext/>
      <w:outlineLvl w:val="1"/>
    </w:pPr>
    <w:rPr>
      <w:b/>
      <w:bCs/>
    </w:rPr>
  </w:style>
  <w:style w:type="paragraph" w:styleId="Heading3">
    <w:name w:val="heading 3"/>
    <w:basedOn w:val="Normal"/>
    <w:next w:val="Normal"/>
    <w:link w:val="Heading3Char"/>
    <w:qFormat/>
    <w:rsid w:val="00525A83"/>
    <w:pPr>
      <w:keepNext/>
      <w:tabs>
        <w:tab w:val="left" w:pos="3402"/>
        <w:tab w:val="right" w:pos="8222"/>
      </w:tabs>
      <w:outlineLvl w:val="2"/>
    </w:pPr>
    <w:rPr>
      <w:b/>
      <w:bCs/>
      <w:sz w:val="20"/>
    </w:rPr>
  </w:style>
  <w:style w:type="paragraph" w:styleId="Heading4">
    <w:name w:val="heading 4"/>
    <w:basedOn w:val="Normal"/>
    <w:next w:val="Normal"/>
    <w:link w:val="Heading4Char"/>
    <w:qFormat/>
    <w:rsid w:val="00525A83"/>
    <w:pPr>
      <w:keepNext/>
      <w:tabs>
        <w:tab w:val="left" w:pos="3402"/>
        <w:tab w:val="right" w:pos="8222"/>
      </w:tabs>
      <w:jc w:val="both"/>
      <w:outlineLvl w:val="3"/>
    </w:pPr>
    <w:rPr>
      <w:b/>
      <w:bCs/>
      <w:sz w:val="20"/>
    </w:rPr>
  </w:style>
  <w:style w:type="paragraph" w:styleId="Heading5">
    <w:name w:val="heading 5"/>
    <w:basedOn w:val="Normal"/>
    <w:next w:val="Normal"/>
    <w:link w:val="Heading5Char"/>
    <w:qFormat/>
    <w:rsid w:val="00525A83"/>
    <w:pPr>
      <w:keepNext/>
      <w:jc w:val="both"/>
      <w:outlineLvl w:val="4"/>
    </w:pPr>
    <w:rPr>
      <w:i/>
      <w:iCs/>
      <w:sz w:val="20"/>
    </w:rPr>
  </w:style>
  <w:style w:type="paragraph" w:styleId="Heading6">
    <w:name w:val="heading 6"/>
    <w:basedOn w:val="Normal"/>
    <w:next w:val="Normal"/>
    <w:link w:val="Heading6Char"/>
    <w:qFormat/>
    <w:rsid w:val="00525A83"/>
    <w:pPr>
      <w:keepNext/>
      <w:outlineLvl w:val="5"/>
    </w:pPr>
    <w:rPr>
      <w:i/>
      <w:iCs/>
      <w:sz w:val="20"/>
    </w:rPr>
  </w:style>
  <w:style w:type="paragraph" w:styleId="Heading7">
    <w:name w:val="heading 7"/>
    <w:basedOn w:val="Normal"/>
    <w:next w:val="Normal"/>
    <w:link w:val="Heading7Char"/>
    <w:qFormat/>
    <w:rsid w:val="00525A83"/>
    <w:pPr>
      <w:keepNext/>
      <w:jc w:val="right"/>
      <w:outlineLvl w:val="6"/>
    </w:pPr>
    <w:rPr>
      <w:b/>
      <w:bCs/>
    </w:rPr>
  </w:style>
  <w:style w:type="paragraph" w:styleId="Heading8">
    <w:name w:val="heading 8"/>
    <w:basedOn w:val="Normal"/>
    <w:next w:val="Normal"/>
    <w:qFormat/>
    <w:rsid w:val="00525A83"/>
    <w:pPr>
      <w:keepNext/>
      <w:ind w:left="720"/>
      <w:jc w:val="both"/>
      <w:outlineLvl w:val="7"/>
    </w:pPr>
    <w:rPr>
      <w:i/>
      <w:iCs/>
      <w:sz w:val="20"/>
    </w:rPr>
  </w:style>
  <w:style w:type="paragraph" w:styleId="Heading9">
    <w:name w:val="heading 9"/>
    <w:basedOn w:val="Normal"/>
    <w:next w:val="Normal"/>
    <w:qFormat/>
    <w:rsid w:val="00525A83"/>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5A83"/>
    <w:pPr>
      <w:tabs>
        <w:tab w:val="center" w:pos="4153"/>
        <w:tab w:val="right" w:pos="8306"/>
      </w:tabs>
    </w:pPr>
  </w:style>
  <w:style w:type="paragraph" w:styleId="Footer">
    <w:name w:val="footer"/>
    <w:aliases w:val="Footer line 1"/>
    <w:basedOn w:val="Normal"/>
    <w:link w:val="FooterChar"/>
    <w:rsid w:val="00525A83"/>
    <w:pPr>
      <w:tabs>
        <w:tab w:val="center" w:pos="4153"/>
        <w:tab w:val="right" w:pos="8306"/>
      </w:tabs>
    </w:pPr>
  </w:style>
  <w:style w:type="character" w:styleId="PageNumber">
    <w:name w:val="page number"/>
    <w:basedOn w:val="DefaultParagraphFont"/>
    <w:rsid w:val="00525A83"/>
  </w:style>
  <w:style w:type="paragraph" w:styleId="ListBullet">
    <w:name w:val="List Bullet"/>
    <w:basedOn w:val="Normal"/>
    <w:autoRedefine/>
    <w:rsid w:val="009278EC"/>
    <w:pPr>
      <w:numPr>
        <w:numId w:val="69"/>
      </w:numPr>
      <w:contextualSpacing/>
    </w:pPr>
    <w:rPr>
      <w:rFonts w:ascii="Times New Roman" w:hAnsi="Times New Roman"/>
      <w:iCs/>
      <w:sz w:val="20"/>
      <w:szCs w:val="20"/>
    </w:rPr>
  </w:style>
  <w:style w:type="paragraph" w:styleId="BodyText">
    <w:name w:val="Body Text"/>
    <w:basedOn w:val="Normal"/>
    <w:link w:val="BodyTextChar"/>
    <w:rsid w:val="00525A83"/>
    <w:pPr>
      <w:tabs>
        <w:tab w:val="left" w:pos="3402"/>
        <w:tab w:val="right" w:pos="8222"/>
      </w:tabs>
      <w:jc w:val="both"/>
    </w:pPr>
    <w:rPr>
      <w:sz w:val="20"/>
    </w:rPr>
  </w:style>
  <w:style w:type="paragraph" w:styleId="BodyTextIndent">
    <w:name w:val="Body Text Indent"/>
    <w:basedOn w:val="Normal"/>
    <w:rsid w:val="00525A83"/>
    <w:pPr>
      <w:ind w:left="720"/>
      <w:jc w:val="both"/>
    </w:pPr>
    <w:rPr>
      <w:sz w:val="20"/>
    </w:rPr>
  </w:style>
  <w:style w:type="paragraph" w:styleId="BodyTextIndent2">
    <w:name w:val="Body Text Indent 2"/>
    <w:basedOn w:val="Normal"/>
    <w:rsid w:val="00525A83"/>
    <w:pPr>
      <w:ind w:left="720"/>
      <w:jc w:val="both"/>
    </w:pPr>
    <w:rPr>
      <w:i/>
      <w:iCs/>
      <w:sz w:val="20"/>
    </w:rPr>
  </w:style>
  <w:style w:type="paragraph" w:styleId="BodyTextIndent3">
    <w:name w:val="Body Text Indent 3"/>
    <w:basedOn w:val="Normal"/>
    <w:rsid w:val="00525A83"/>
    <w:pPr>
      <w:ind w:left="720" w:hanging="720"/>
      <w:jc w:val="both"/>
    </w:pPr>
    <w:rPr>
      <w:sz w:val="20"/>
    </w:rPr>
  </w:style>
  <w:style w:type="paragraph" w:styleId="BodyText2">
    <w:name w:val="Body Text 2"/>
    <w:basedOn w:val="Normal"/>
    <w:rsid w:val="00525A83"/>
    <w:pPr>
      <w:autoSpaceDE w:val="0"/>
      <w:autoSpaceDN w:val="0"/>
      <w:adjustRightInd w:val="0"/>
      <w:jc w:val="both"/>
    </w:pPr>
    <w:rPr>
      <w:rFonts w:ascii="Times New Roman" w:hAnsi="Times New Roman"/>
      <w:color w:val="000000"/>
      <w:szCs w:val="22"/>
      <w:lang w:val="en-US"/>
    </w:rPr>
  </w:style>
  <w:style w:type="paragraph" w:styleId="CommentText">
    <w:name w:val="annotation text"/>
    <w:basedOn w:val="Normal"/>
    <w:semiHidden/>
    <w:rsid w:val="00525A83"/>
    <w:rPr>
      <w:sz w:val="20"/>
      <w:szCs w:val="20"/>
    </w:rPr>
  </w:style>
  <w:style w:type="paragraph" w:styleId="CommentSubject">
    <w:name w:val="annotation subject"/>
    <w:basedOn w:val="CommentText"/>
    <w:next w:val="CommentText"/>
    <w:semiHidden/>
    <w:rsid w:val="00525A83"/>
    <w:rPr>
      <w:rFonts w:ascii="Times New Roman" w:hAnsi="Times New Roman"/>
      <w:b/>
      <w:bCs/>
    </w:rPr>
  </w:style>
  <w:style w:type="paragraph" w:styleId="BalloonText">
    <w:name w:val="Balloon Text"/>
    <w:basedOn w:val="Normal"/>
    <w:semiHidden/>
    <w:rsid w:val="00525A83"/>
    <w:rPr>
      <w:rFonts w:ascii="Tahoma" w:hAnsi="Tahoma" w:cs="Tahoma"/>
      <w:sz w:val="16"/>
      <w:szCs w:val="16"/>
    </w:rPr>
  </w:style>
  <w:style w:type="paragraph" w:styleId="BodyText3">
    <w:name w:val="Body Text 3"/>
    <w:basedOn w:val="Normal"/>
    <w:rsid w:val="00525A83"/>
    <w:pPr>
      <w:spacing w:after="120"/>
    </w:pPr>
    <w:rPr>
      <w:sz w:val="16"/>
      <w:szCs w:val="16"/>
    </w:rPr>
  </w:style>
  <w:style w:type="paragraph" w:styleId="Title">
    <w:name w:val="Title"/>
    <w:basedOn w:val="Normal"/>
    <w:link w:val="TitleChar"/>
    <w:qFormat/>
    <w:rsid w:val="00525A83"/>
    <w:pPr>
      <w:jc w:val="center"/>
    </w:pPr>
    <w:rPr>
      <w:rFonts w:ascii="Times New Roman" w:eastAsia="Batang" w:hAnsi="Times New Roman"/>
      <w:b/>
      <w:sz w:val="24"/>
      <w:lang w:val="en-US" w:eastAsia="ko-KR"/>
    </w:rPr>
  </w:style>
  <w:style w:type="paragraph" w:customStyle="1" w:styleId="AgreementHeading1">
    <w:name w:val="Agreement Heading 1"/>
    <w:basedOn w:val="Normal"/>
    <w:next w:val="BlockText"/>
    <w:uiPriority w:val="99"/>
    <w:rsid w:val="00C950FF"/>
    <w:pPr>
      <w:keepNext/>
      <w:numPr>
        <w:numId w:val="3"/>
      </w:numPr>
      <w:spacing w:after="240" w:line="312" w:lineRule="auto"/>
      <w:jc w:val="both"/>
    </w:pPr>
    <w:rPr>
      <w:rFonts w:ascii="Times New Roman" w:hAnsi="Times New Roman Bold"/>
      <w:b/>
      <w:caps/>
      <w:szCs w:val="22"/>
    </w:rPr>
  </w:style>
  <w:style w:type="paragraph" w:customStyle="1" w:styleId="AgreementHeading2Char">
    <w:name w:val="Agreement Heading 2 Char"/>
    <w:basedOn w:val="BodyText"/>
    <w:uiPriority w:val="99"/>
    <w:rsid w:val="00C950FF"/>
    <w:pPr>
      <w:numPr>
        <w:ilvl w:val="1"/>
        <w:numId w:val="3"/>
      </w:numPr>
      <w:tabs>
        <w:tab w:val="clear" w:pos="3402"/>
        <w:tab w:val="clear" w:pos="8222"/>
      </w:tabs>
      <w:spacing w:after="240" w:line="312" w:lineRule="auto"/>
    </w:pPr>
    <w:rPr>
      <w:rFonts w:ascii="Arial" w:eastAsia="SimSun" w:hAnsi="Arial"/>
      <w:sz w:val="22"/>
      <w:szCs w:val="22"/>
    </w:rPr>
  </w:style>
  <w:style w:type="paragraph" w:customStyle="1" w:styleId="AgreementHeading3CharChar">
    <w:name w:val="Agreement Heading 3 Char Char"/>
    <w:basedOn w:val="Normal"/>
    <w:link w:val="AgreementHeading3CharCharChar"/>
    <w:uiPriority w:val="99"/>
    <w:rsid w:val="00C950FF"/>
    <w:pPr>
      <w:numPr>
        <w:ilvl w:val="2"/>
        <w:numId w:val="3"/>
      </w:numPr>
      <w:spacing w:after="240" w:line="312" w:lineRule="auto"/>
      <w:jc w:val="both"/>
    </w:pPr>
    <w:rPr>
      <w:rFonts w:ascii="Arial" w:eastAsia="SimSun" w:hAnsi="Arial"/>
      <w:szCs w:val="22"/>
    </w:rPr>
  </w:style>
  <w:style w:type="paragraph" w:customStyle="1" w:styleId="AgreementHeading4">
    <w:name w:val="Agreement Heading 4"/>
    <w:basedOn w:val="Normal"/>
    <w:uiPriority w:val="99"/>
    <w:rsid w:val="00C950FF"/>
    <w:pPr>
      <w:numPr>
        <w:ilvl w:val="3"/>
        <w:numId w:val="3"/>
      </w:numPr>
      <w:spacing w:after="240" w:line="312" w:lineRule="auto"/>
      <w:jc w:val="both"/>
    </w:pPr>
    <w:rPr>
      <w:rFonts w:ascii="Times New Roman" w:hAnsi="Times New Roman"/>
      <w:szCs w:val="22"/>
    </w:rPr>
  </w:style>
  <w:style w:type="paragraph" w:customStyle="1" w:styleId="AgreementHeading5">
    <w:name w:val="Agreement Heading 5"/>
    <w:basedOn w:val="Normal"/>
    <w:uiPriority w:val="99"/>
    <w:rsid w:val="00C950FF"/>
    <w:pPr>
      <w:numPr>
        <w:ilvl w:val="4"/>
        <w:numId w:val="3"/>
      </w:numPr>
      <w:spacing w:after="240" w:line="312" w:lineRule="auto"/>
      <w:jc w:val="both"/>
    </w:pPr>
    <w:rPr>
      <w:rFonts w:ascii="Times New Roman" w:hAnsi="Times New Roman"/>
      <w:szCs w:val="22"/>
    </w:rPr>
  </w:style>
  <w:style w:type="character" w:customStyle="1" w:styleId="AgreementHeading3CharCharChar">
    <w:name w:val="Agreement Heading 3 Char Char Char"/>
    <w:basedOn w:val="DefaultParagraphFont"/>
    <w:link w:val="AgreementHeading3CharChar"/>
    <w:uiPriority w:val="99"/>
    <w:rsid w:val="00C950FF"/>
    <w:rPr>
      <w:rFonts w:ascii="Arial" w:eastAsia="SimSun" w:hAnsi="Arial"/>
      <w:sz w:val="22"/>
      <w:szCs w:val="22"/>
      <w:lang w:eastAsia="en-US"/>
    </w:rPr>
  </w:style>
  <w:style w:type="paragraph" w:styleId="BlockText">
    <w:name w:val="Block Text"/>
    <w:basedOn w:val="Normal"/>
    <w:rsid w:val="00C950FF"/>
    <w:pPr>
      <w:spacing w:after="120"/>
      <w:ind w:left="1440" w:right="1440"/>
    </w:pPr>
  </w:style>
  <w:style w:type="paragraph" w:styleId="Subtitle">
    <w:name w:val="Subtitle"/>
    <w:basedOn w:val="Normal"/>
    <w:qFormat/>
    <w:rsid w:val="00656755"/>
    <w:pPr>
      <w:autoSpaceDE w:val="0"/>
      <w:autoSpaceDN w:val="0"/>
      <w:adjustRightInd w:val="0"/>
      <w:jc w:val="both"/>
    </w:pPr>
    <w:rPr>
      <w:rFonts w:ascii="Times New Roman" w:hAnsi="Times New Roman"/>
      <w:b/>
      <w:bCs/>
      <w:sz w:val="20"/>
      <w:lang w:val="en-CA"/>
    </w:rPr>
  </w:style>
  <w:style w:type="table" w:styleId="TableGrid">
    <w:name w:val="Table Grid"/>
    <w:basedOn w:val="TableNormal"/>
    <w:uiPriority w:val="59"/>
    <w:rsid w:val="000C4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2">
    <w:name w:val="indent12"/>
    <w:basedOn w:val="Normal"/>
    <w:next w:val="Normal"/>
    <w:rsid w:val="00AA05BC"/>
    <w:pPr>
      <w:numPr>
        <w:numId w:val="8"/>
      </w:numPr>
      <w:jc w:val="both"/>
    </w:pPr>
    <w:rPr>
      <w:rFonts w:ascii="Times New Roman" w:hAnsi="Times New Roman"/>
      <w:sz w:val="24"/>
      <w:szCs w:val="20"/>
      <w:lang w:eastAsia="en-GB"/>
    </w:rPr>
  </w:style>
  <w:style w:type="paragraph" w:styleId="NormalWeb">
    <w:name w:val="Normal (Web)"/>
    <w:basedOn w:val="Normal"/>
    <w:uiPriority w:val="99"/>
    <w:rsid w:val="00AA05BC"/>
    <w:pPr>
      <w:spacing w:before="100" w:beforeAutospacing="1" w:after="100" w:afterAutospacing="1"/>
    </w:pPr>
    <w:rPr>
      <w:rFonts w:ascii="Times New Roman" w:hAnsi="Times New Roman"/>
      <w:sz w:val="24"/>
      <w:szCs w:val="19"/>
      <w:lang w:eastAsia="en-GB"/>
    </w:rPr>
  </w:style>
  <w:style w:type="paragraph" w:styleId="FootnoteText">
    <w:name w:val="footnote text"/>
    <w:aliases w:val="ARM footnote Text,Footnote Text Char2,Footnote Text Char11,Footnote Text Char3,Footnote Text Char4,Footnote Text Char5,Footnote Text Char6,Footnote Text Char12,Footnote Text Char21,Footnote Text Char31,Footnote New, Ch"/>
    <w:basedOn w:val="Normal"/>
    <w:link w:val="FootnoteTextChar"/>
    <w:rsid w:val="00AA05BC"/>
    <w:rPr>
      <w:rFonts w:ascii="Times New Roman" w:hAnsi="Times New Roman"/>
      <w:sz w:val="16"/>
      <w:szCs w:val="20"/>
      <w:lang w:eastAsia="en-GB"/>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 Ch Char"/>
    <w:basedOn w:val="DefaultParagraphFont"/>
    <w:link w:val="FootnoteText"/>
    <w:rsid w:val="00AA05BC"/>
    <w:rPr>
      <w:sz w:val="16"/>
    </w:rPr>
  </w:style>
  <w:style w:type="character" w:styleId="FootnoteReference">
    <w:name w:val="footnote reference"/>
    <w:basedOn w:val="DefaultParagraphFont"/>
    <w:rsid w:val="00AA05BC"/>
    <w:rPr>
      <w:vertAlign w:val="superscript"/>
    </w:rPr>
  </w:style>
  <w:style w:type="paragraph" w:styleId="ListParagraph">
    <w:name w:val="List Paragraph"/>
    <w:basedOn w:val="Normal"/>
    <w:qFormat/>
    <w:rsid w:val="004702AA"/>
    <w:pPr>
      <w:ind w:left="720"/>
      <w:contextualSpacing/>
    </w:pPr>
    <w:rPr>
      <w:rFonts w:ascii="Calibri" w:eastAsia="Calibri" w:hAnsi="Calibri"/>
      <w:szCs w:val="22"/>
      <w:lang w:eastAsia="en-GB"/>
    </w:rPr>
  </w:style>
  <w:style w:type="character" w:customStyle="1" w:styleId="Heading2Char">
    <w:name w:val="Heading 2 Char"/>
    <w:basedOn w:val="DefaultParagraphFont"/>
    <w:link w:val="Heading2"/>
    <w:rsid w:val="00B7237E"/>
    <w:rPr>
      <w:rFonts w:ascii="Dresdner Bank AG" w:hAnsi="Dresdner Bank AG"/>
      <w:b/>
      <w:bCs/>
      <w:sz w:val="22"/>
      <w:szCs w:val="24"/>
      <w:lang w:eastAsia="en-US"/>
    </w:rPr>
  </w:style>
  <w:style w:type="paragraph" w:customStyle="1" w:styleId="Default">
    <w:name w:val="Default"/>
    <w:basedOn w:val="Normal"/>
    <w:rsid w:val="00AB1A45"/>
    <w:pPr>
      <w:autoSpaceDE w:val="0"/>
      <w:autoSpaceDN w:val="0"/>
    </w:pPr>
    <w:rPr>
      <w:rFonts w:ascii="Trebuchet MS" w:eastAsiaTheme="minorHAnsi" w:hAnsi="Trebuchet MS"/>
      <w:color w:val="000000"/>
      <w:sz w:val="24"/>
      <w:lang w:eastAsia="en-GB"/>
    </w:rPr>
  </w:style>
  <w:style w:type="character" w:customStyle="1" w:styleId="Heading3Char">
    <w:name w:val="Heading 3 Char"/>
    <w:basedOn w:val="DefaultParagraphFont"/>
    <w:link w:val="Heading3"/>
    <w:rsid w:val="0021526B"/>
    <w:rPr>
      <w:rFonts w:ascii="Dresdner Bank AG" w:hAnsi="Dresdner Bank AG"/>
      <w:b/>
      <w:bCs/>
      <w:szCs w:val="24"/>
      <w:lang w:eastAsia="en-US"/>
    </w:rPr>
  </w:style>
  <w:style w:type="paragraph" w:customStyle="1" w:styleId="Tdec">
    <w:name w:val="Tdec"/>
    <w:basedOn w:val="Normal"/>
    <w:rsid w:val="0021526B"/>
    <w:pPr>
      <w:tabs>
        <w:tab w:val="decimal" w:pos="993"/>
      </w:tabs>
      <w:ind w:right="-6"/>
      <w:jc w:val="both"/>
    </w:pPr>
    <w:rPr>
      <w:rFonts w:ascii="Times New Roman" w:hAnsi="Times New Roman"/>
      <w:sz w:val="20"/>
      <w:szCs w:val="20"/>
      <w:lang w:eastAsia="en-GB"/>
    </w:rPr>
  </w:style>
  <w:style w:type="character" w:customStyle="1" w:styleId="Heading7Char">
    <w:name w:val="Heading 7 Char"/>
    <w:basedOn w:val="DefaultParagraphFont"/>
    <w:link w:val="Heading7"/>
    <w:rsid w:val="00F01D4B"/>
    <w:rPr>
      <w:rFonts w:ascii="Dresdner Bank AG" w:hAnsi="Dresdner Bank AG"/>
      <w:b/>
      <w:bCs/>
      <w:sz w:val="22"/>
      <w:szCs w:val="24"/>
      <w:lang w:eastAsia="en-US"/>
    </w:rPr>
  </w:style>
  <w:style w:type="character" w:styleId="PlaceholderText">
    <w:name w:val="Placeholder Text"/>
    <w:basedOn w:val="DefaultParagraphFont"/>
    <w:uiPriority w:val="99"/>
    <w:semiHidden/>
    <w:rsid w:val="002B4D80"/>
    <w:rPr>
      <w:color w:val="808080"/>
    </w:rPr>
  </w:style>
  <w:style w:type="character" w:customStyle="1" w:styleId="TitleChar">
    <w:name w:val="Title Char"/>
    <w:basedOn w:val="DefaultParagraphFont"/>
    <w:link w:val="Title"/>
    <w:rsid w:val="00693822"/>
    <w:rPr>
      <w:rFonts w:eastAsia="Batang"/>
      <w:b/>
      <w:sz w:val="24"/>
      <w:szCs w:val="24"/>
      <w:lang w:val="en-US" w:eastAsia="ko-KR"/>
    </w:rPr>
  </w:style>
  <w:style w:type="character" w:customStyle="1" w:styleId="BodyTextChar">
    <w:name w:val="Body Text Char"/>
    <w:basedOn w:val="DefaultParagraphFont"/>
    <w:link w:val="BodyText"/>
    <w:rsid w:val="00203B1A"/>
    <w:rPr>
      <w:rFonts w:ascii="Dresdner Bank AG" w:hAnsi="Dresdner Bank AG"/>
      <w:szCs w:val="24"/>
      <w:lang w:eastAsia="en-US"/>
    </w:rPr>
  </w:style>
  <w:style w:type="character" w:customStyle="1" w:styleId="A2">
    <w:name w:val="A2"/>
    <w:uiPriority w:val="99"/>
    <w:rsid w:val="00B44D91"/>
    <w:rPr>
      <w:rFonts w:cs="Scala Sans LF"/>
      <w:color w:val="000000"/>
      <w:sz w:val="17"/>
      <w:szCs w:val="17"/>
    </w:rPr>
  </w:style>
  <w:style w:type="character" w:styleId="Hyperlink">
    <w:name w:val="Hyperlink"/>
    <w:basedOn w:val="DefaultParagraphFont"/>
    <w:rsid w:val="00B44D91"/>
    <w:rPr>
      <w:color w:val="0000FF"/>
      <w:u w:val="single"/>
    </w:rPr>
  </w:style>
  <w:style w:type="character" w:customStyle="1" w:styleId="Heading5Char">
    <w:name w:val="Heading 5 Char"/>
    <w:basedOn w:val="DefaultParagraphFont"/>
    <w:link w:val="Heading5"/>
    <w:rsid w:val="00B44D91"/>
    <w:rPr>
      <w:rFonts w:ascii="Dresdner Bank AG" w:hAnsi="Dresdner Bank AG"/>
      <w:i/>
      <w:iCs/>
      <w:szCs w:val="24"/>
      <w:lang w:eastAsia="en-US"/>
    </w:rPr>
  </w:style>
  <w:style w:type="character" w:customStyle="1" w:styleId="Heading4Char">
    <w:name w:val="Heading 4 Char"/>
    <w:basedOn w:val="DefaultParagraphFont"/>
    <w:link w:val="Heading4"/>
    <w:rsid w:val="00B44D91"/>
    <w:rPr>
      <w:rFonts w:ascii="Dresdner Bank AG" w:hAnsi="Dresdner Bank AG"/>
      <w:b/>
      <w:bCs/>
      <w:szCs w:val="24"/>
      <w:lang w:eastAsia="en-US"/>
    </w:rPr>
  </w:style>
  <w:style w:type="paragraph" w:customStyle="1" w:styleId="hugin">
    <w:name w:val="hugin"/>
    <w:basedOn w:val="Normal"/>
    <w:rsid w:val="00B44D91"/>
    <w:pPr>
      <w:spacing w:before="100" w:beforeAutospacing="1" w:after="100" w:afterAutospacing="1"/>
    </w:pPr>
    <w:rPr>
      <w:rFonts w:ascii="Times New Roman" w:hAnsi="Times New Roman"/>
      <w:sz w:val="24"/>
      <w:lang w:eastAsia="en-GB"/>
    </w:rPr>
  </w:style>
  <w:style w:type="character" w:customStyle="1" w:styleId="Heading6Char">
    <w:name w:val="Heading 6 Char"/>
    <w:basedOn w:val="DefaultParagraphFont"/>
    <w:link w:val="Heading6"/>
    <w:rsid w:val="005A6F0F"/>
    <w:rPr>
      <w:rFonts w:ascii="Dresdner Bank AG" w:hAnsi="Dresdner Bank AG"/>
      <w:i/>
      <w:iCs/>
      <w:szCs w:val="24"/>
      <w:lang w:eastAsia="en-US"/>
    </w:rPr>
  </w:style>
  <w:style w:type="character" w:customStyle="1" w:styleId="Heading1Char">
    <w:name w:val="Heading 1 Char"/>
    <w:basedOn w:val="DefaultParagraphFont"/>
    <w:link w:val="Heading1"/>
    <w:rsid w:val="005A6F0F"/>
    <w:rPr>
      <w:rFonts w:ascii="Dresdner Bank AG" w:hAnsi="Dresdner Bank AG"/>
      <w:b/>
      <w:bCs/>
      <w:sz w:val="22"/>
      <w:szCs w:val="24"/>
      <w:lang w:eastAsia="en-US"/>
    </w:rPr>
  </w:style>
  <w:style w:type="paragraph" w:customStyle="1" w:styleId="Bh">
    <w:name w:val="Bh"/>
    <w:basedOn w:val="Normal"/>
    <w:qFormat/>
    <w:rsid w:val="001F5383"/>
    <w:pPr>
      <w:adjustRightInd w:val="0"/>
      <w:snapToGrid w:val="0"/>
      <w:spacing w:before="60" w:after="60" w:line="240" w:lineRule="atLeast"/>
    </w:pPr>
    <w:rPr>
      <w:rFonts w:ascii="Arial" w:hAnsi="Arial"/>
      <w:b/>
      <w:color w:val="002776"/>
      <w:sz w:val="20"/>
      <w:szCs w:val="18"/>
    </w:rPr>
  </w:style>
  <w:style w:type="character" w:customStyle="1" w:styleId="FooterChar">
    <w:name w:val="Footer Char"/>
    <w:aliases w:val="Footer line 1 Char"/>
    <w:link w:val="Footer"/>
    <w:rsid w:val="001F5383"/>
    <w:rPr>
      <w:rFonts w:ascii="Dresdner Bank AG" w:hAnsi="Dresdner Bank AG"/>
      <w:sz w:val="22"/>
      <w:szCs w:val="24"/>
      <w:lang w:eastAsia="en-US"/>
    </w:rPr>
  </w:style>
  <w:style w:type="paragraph" w:styleId="NoSpacing">
    <w:name w:val="No Spacing"/>
    <w:uiPriority w:val="1"/>
    <w:qFormat/>
    <w:rsid w:val="00916D00"/>
    <w:rPr>
      <w:sz w:val="24"/>
      <w:szCs w:val="24"/>
      <w:lang w:val="en-CA" w:eastAsia="en-US"/>
    </w:rPr>
  </w:style>
  <w:style w:type="paragraph" w:styleId="Revision">
    <w:name w:val="Revision"/>
    <w:hidden/>
    <w:uiPriority w:val="99"/>
    <w:semiHidden/>
    <w:rsid w:val="008A5F83"/>
    <w:rPr>
      <w:rFonts w:ascii="Dresdner Bank AG" w:hAnsi="Dresdner Bank AG"/>
      <w:sz w:val="22"/>
      <w:szCs w:val="24"/>
      <w:lang w:eastAsia="en-US"/>
    </w:rPr>
  </w:style>
  <w:style w:type="character" w:styleId="CommentReference">
    <w:name w:val="annotation reference"/>
    <w:basedOn w:val="DefaultParagraphFont"/>
    <w:rsid w:val="00A04F52"/>
    <w:rPr>
      <w:sz w:val="16"/>
      <w:szCs w:val="16"/>
    </w:rPr>
  </w:style>
  <w:style w:type="table" w:customStyle="1" w:styleId="TableGrid1">
    <w:name w:val="Table Grid1"/>
    <w:basedOn w:val="TableNormal"/>
    <w:next w:val="TableGrid"/>
    <w:uiPriority w:val="59"/>
    <w:rsid w:val="00BC3E19"/>
    <w:rPr>
      <w:rFonts w:eastAsia="PMingLiU"/>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4AB4"/>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41A3C"/>
    <w:rPr>
      <w:rFonts w:ascii="Dresdner Bank AG" w:hAnsi="Dresdner Bank AG"/>
      <w:sz w:val="22"/>
      <w:szCs w:val="24"/>
      <w:lang w:eastAsia="en-US"/>
    </w:rPr>
  </w:style>
  <w:style w:type="table" w:customStyle="1" w:styleId="TableGrid3">
    <w:name w:val="Table Grid3"/>
    <w:basedOn w:val="TableNormal"/>
    <w:next w:val="TableGrid"/>
    <w:uiPriority w:val="59"/>
    <w:rsid w:val="005B66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body">
    <w:name w:val="txtbody"/>
    <w:basedOn w:val="Normal"/>
    <w:rsid w:val="00C10BEA"/>
    <w:pPr>
      <w:spacing w:after="120" w:line="360" w:lineRule="atLeast"/>
    </w:pPr>
    <w:rPr>
      <w:rFonts w:ascii="Times New Roman" w:hAnsi="Times New Roman"/>
      <w:color w:val="333333"/>
      <w:sz w:val="24"/>
      <w:lang w:eastAsia="en-GB"/>
    </w:rPr>
  </w:style>
  <w:style w:type="table" w:customStyle="1" w:styleId="TableGrid4">
    <w:name w:val="Table Grid4"/>
    <w:basedOn w:val="TableNormal"/>
    <w:next w:val="TableGrid"/>
    <w:uiPriority w:val="59"/>
    <w:rsid w:val="00F7741A"/>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7C09"/>
    <w:rPr>
      <w:b/>
      <w:bCs/>
    </w:rPr>
  </w:style>
  <w:style w:type="paragraph" w:styleId="PlainText">
    <w:name w:val="Plain Text"/>
    <w:basedOn w:val="Normal"/>
    <w:link w:val="PlainTextChar"/>
    <w:uiPriority w:val="99"/>
    <w:unhideWhenUsed/>
    <w:rsid w:val="00BD7C09"/>
    <w:rPr>
      <w:rFonts w:ascii="Calibri" w:eastAsiaTheme="minorHAnsi" w:hAnsi="Calibri" w:cs="Consolas"/>
      <w:szCs w:val="21"/>
    </w:rPr>
  </w:style>
  <w:style w:type="character" w:customStyle="1" w:styleId="PlainTextChar">
    <w:name w:val="Plain Text Char"/>
    <w:basedOn w:val="DefaultParagraphFont"/>
    <w:link w:val="PlainText"/>
    <w:uiPriority w:val="99"/>
    <w:rsid w:val="00BD7C09"/>
    <w:rPr>
      <w:rFonts w:ascii="Calibri" w:eastAsiaTheme="minorHAnsi" w:hAnsi="Calibri" w:cs="Consolas"/>
      <w:sz w:val="22"/>
      <w:szCs w:val="21"/>
      <w:lang w:eastAsia="en-US"/>
    </w:rPr>
  </w:style>
  <w:style w:type="character" w:customStyle="1" w:styleId="cm">
    <w:name w:val="cm"/>
    <w:basedOn w:val="DefaultParagraphFont"/>
    <w:rsid w:val="00F91ACC"/>
    <w:rPr>
      <w:rFonts w:ascii="&amp;quot" w:hAnsi="&amp;quot" w:hint="default"/>
      <w:color w:val="0D0D0D"/>
      <w:sz w:val="20"/>
      <w:szCs w:val="20"/>
    </w:rPr>
  </w:style>
  <w:style w:type="character" w:customStyle="1" w:styleId="gmail-m4481404585992787883m1510263026939687720m8426528754955269767gmail-m7713433543983328082gmail-apple-converted-space">
    <w:name w:val="gmail-m_4481404585992787883m_1510263026939687720m_8426528754955269767gmail-m_7713433543983328082gmail-apple-converted-space"/>
    <w:basedOn w:val="DefaultParagraphFont"/>
    <w:rsid w:val="006A6718"/>
  </w:style>
  <w:style w:type="paragraph" w:customStyle="1" w:styleId="p">
    <w:name w:val="p"/>
    <w:basedOn w:val="Normal"/>
    <w:rsid w:val="006F35AB"/>
    <w:pPr>
      <w:spacing w:before="100" w:beforeAutospacing="1" w:after="100" w:afterAutospacing="1"/>
    </w:pPr>
    <w:rPr>
      <w:rFonts w:ascii="Times New Roman" w:hAnsi="Times New Roman"/>
      <w:sz w:val="24"/>
      <w:lang w:eastAsia="en-GB"/>
    </w:rPr>
  </w:style>
  <w:style w:type="character" w:customStyle="1" w:styleId="q">
    <w:name w:val="q"/>
    <w:basedOn w:val="DefaultParagraphFont"/>
    <w:rsid w:val="006F3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5676">
      <w:bodyDiv w:val="1"/>
      <w:marLeft w:val="0"/>
      <w:marRight w:val="0"/>
      <w:marTop w:val="0"/>
      <w:marBottom w:val="0"/>
      <w:divBdr>
        <w:top w:val="none" w:sz="0" w:space="0" w:color="auto"/>
        <w:left w:val="none" w:sz="0" w:space="0" w:color="auto"/>
        <w:bottom w:val="none" w:sz="0" w:space="0" w:color="auto"/>
        <w:right w:val="none" w:sz="0" w:space="0" w:color="auto"/>
      </w:divBdr>
    </w:div>
    <w:div w:id="51970540">
      <w:bodyDiv w:val="1"/>
      <w:marLeft w:val="0"/>
      <w:marRight w:val="0"/>
      <w:marTop w:val="0"/>
      <w:marBottom w:val="0"/>
      <w:divBdr>
        <w:top w:val="none" w:sz="0" w:space="0" w:color="auto"/>
        <w:left w:val="none" w:sz="0" w:space="0" w:color="auto"/>
        <w:bottom w:val="none" w:sz="0" w:space="0" w:color="auto"/>
        <w:right w:val="none" w:sz="0" w:space="0" w:color="auto"/>
      </w:divBdr>
    </w:div>
    <w:div w:id="83188974">
      <w:bodyDiv w:val="1"/>
      <w:marLeft w:val="0"/>
      <w:marRight w:val="0"/>
      <w:marTop w:val="0"/>
      <w:marBottom w:val="0"/>
      <w:divBdr>
        <w:top w:val="none" w:sz="0" w:space="0" w:color="auto"/>
        <w:left w:val="none" w:sz="0" w:space="0" w:color="auto"/>
        <w:bottom w:val="none" w:sz="0" w:space="0" w:color="auto"/>
        <w:right w:val="none" w:sz="0" w:space="0" w:color="auto"/>
      </w:divBdr>
    </w:div>
    <w:div w:id="129785775">
      <w:bodyDiv w:val="1"/>
      <w:marLeft w:val="0"/>
      <w:marRight w:val="0"/>
      <w:marTop w:val="0"/>
      <w:marBottom w:val="0"/>
      <w:divBdr>
        <w:top w:val="none" w:sz="0" w:space="0" w:color="auto"/>
        <w:left w:val="none" w:sz="0" w:space="0" w:color="auto"/>
        <w:bottom w:val="none" w:sz="0" w:space="0" w:color="auto"/>
        <w:right w:val="none" w:sz="0" w:space="0" w:color="auto"/>
      </w:divBdr>
    </w:div>
    <w:div w:id="153029199">
      <w:bodyDiv w:val="1"/>
      <w:marLeft w:val="0"/>
      <w:marRight w:val="0"/>
      <w:marTop w:val="0"/>
      <w:marBottom w:val="0"/>
      <w:divBdr>
        <w:top w:val="none" w:sz="0" w:space="0" w:color="auto"/>
        <w:left w:val="none" w:sz="0" w:space="0" w:color="auto"/>
        <w:bottom w:val="none" w:sz="0" w:space="0" w:color="auto"/>
        <w:right w:val="none" w:sz="0" w:space="0" w:color="auto"/>
      </w:divBdr>
    </w:div>
    <w:div w:id="159660832">
      <w:bodyDiv w:val="1"/>
      <w:marLeft w:val="0"/>
      <w:marRight w:val="0"/>
      <w:marTop w:val="0"/>
      <w:marBottom w:val="0"/>
      <w:divBdr>
        <w:top w:val="none" w:sz="0" w:space="0" w:color="auto"/>
        <w:left w:val="none" w:sz="0" w:space="0" w:color="auto"/>
        <w:bottom w:val="none" w:sz="0" w:space="0" w:color="auto"/>
        <w:right w:val="none" w:sz="0" w:space="0" w:color="auto"/>
      </w:divBdr>
    </w:div>
    <w:div w:id="159973851">
      <w:bodyDiv w:val="1"/>
      <w:marLeft w:val="0"/>
      <w:marRight w:val="0"/>
      <w:marTop w:val="0"/>
      <w:marBottom w:val="0"/>
      <w:divBdr>
        <w:top w:val="none" w:sz="0" w:space="0" w:color="auto"/>
        <w:left w:val="none" w:sz="0" w:space="0" w:color="auto"/>
        <w:bottom w:val="none" w:sz="0" w:space="0" w:color="auto"/>
        <w:right w:val="none" w:sz="0" w:space="0" w:color="auto"/>
      </w:divBdr>
    </w:div>
    <w:div w:id="175463124">
      <w:bodyDiv w:val="1"/>
      <w:marLeft w:val="0"/>
      <w:marRight w:val="0"/>
      <w:marTop w:val="0"/>
      <w:marBottom w:val="0"/>
      <w:divBdr>
        <w:top w:val="none" w:sz="0" w:space="0" w:color="auto"/>
        <w:left w:val="none" w:sz="0" w:space="0" w:color="auto"/>
        <w:bottom w:val="none" w:sz="0" w:space="0" w:color="auto"/>
        <w:right w:val="none" w:sz="0" w:space="0" w:color="auto"/>
      </w:divBdr>
    </w:div>
    <w:div w:id="178128568">
      <w:bodyDiv w:val="1"/>
      <w:marLeft w:val="0"/>
      <w:marRight w:val="0"/>
      <w:marTop w:val="0"/>
      <w:marBottom w:val="0"/>
      <w:divBdr>
        <w:top w:val="none" w:sz="0" w:space="0" w:color="auto"/>
        <w:left w:val="none" w:sz="0" w:space="0" w:color="auto"/>
        <w:bottom w:val="none" w:sz="0" w:space="0" w:color="auto"/>
        <w:right w:val="none" w:sz="0" w:space="0" w:color="auto"/>
      </w:divBdr>
    </w:div>
    <w:div w:id="204831502">
      <w:bodyDiv w:val="1"/>
      <w:marLeft w:val="0"/>
      <w:marRight w:val="0"/>
      <w:marTop w:val="0"/>
      <w:marBottom w:val="0"/>
      <w:divBdr>
        <w:top w:val="none" w:sz="0" w:space="0" w:color="auto"/>
        <w:left w:val="none" w:sz="0" w:space="0" w:color="auto"/>
        <w:bottom w:val="none" w:sz="0" w:space="0" w:color="auto"/>
        <w:right w:val="none" w:sz="0" w:space="0" w:color="auto"/>
      </w:divBdr>
    </w:div>
    <w:div w:id="224024862">
      <w:bodyDiv w:val="1"/>
      <w:marLeft w:val="0"/>
      <w:marRight w:val="0"/>
      <w:marTop w:val="0"/>
      <w:marBottom w:val="0"/>
      <w:divBdr>
        <w:top w:val="none" w:sz="0" w:space="0" w:color="auto"/>
        <w:left w:val="none" w:sz="0" w:space="0" w:color="auto"/>
        <w:bottom w:val="none" w:sz="0" w:space="0" w:color="auto"/>
        <w:right w:val="none" w:sz="0" w:space="0" w:color="auto"/>
      </w:divBdr>
    </w:div>
    <w:div w:id="246840697">
      <w:bodyDiv w:val="1"/>
      <w:marLeft w:val="0"/>
      <w:marRight w:val="0"/>
      <w:marTop w:val="0"/>
      <w:marBottom w:val="0"/>
      <w:divBdr>
        <w:top w:val="none" w:sz="0" w:space="0" w:color="auto"/>
        <w:left w:val="none" w:sz="0" w:space="0" w:color="auto"/>
        <w:bottom w:val="none" w:sz="0" w:space="0" w:color="auto"/>
        <w:right w:val="none" w:sz="0" w:space="0" w:color="auto"/>
      </w:divBdr>
    </w:div>
    <w:div w:id="279000672">
      <w:bodyDiv w:val="1"/>
      <w:marLeft w:val="0"/>
      <w:marRight w:val="0"/>
      <w:marTop w:val="0"/>
      <w:marBottom w:val="0"/>
      <w:divBdr>
        <w:top w:val="none" w:sz="0" w:space="0" w:color="auto"/>
        <w:left w:val="none" w:sz="0" w:space="0" w:color="auto"/>
        <w:bottom w:val="none" w:sz="0" w:space="0" w:color="auto"/>
        <w:right w:val="none" w:sz="0" w:space="0" w:color="auto"/>
      </w:divBdr>
    </w:div>
    <w:div w:id="289869314">
      <w:bodyDiv w:val="1"/>
      <w:marLeft w:val="0"/>
      <w:marRight w:val="0"/>
      <w:marTop w:val="0"/>
      <w:marBottom w:val="0"/>
      <w:divBdr>
        <w:top w:val="none" w:sz="0" w:space="0" w:color="auto"/>
        <w:left w:val="none" w:sz="0" w:space="0" w:color="auto"/>
        <w:bottom w:val="none" w:sz="0" w:space="0" w:color="auto"/>
        <w:right w:val="none" w:sz="0" w:space="0" w:color="auto"/>
      </w:divBdr>
    </w:div>
    <w:div w:id="291636738">
      <w:bodyDiv w:val="1"/>
      <w:marLeft w:val="0"/>
      <w:marRight w:val="0"/>
      <w:marTop w:val="0"/>
      <w:marBottom w:val="0"/>
      <w:divBdr>
        <w:top w:val="none" w:sz="0" w:space="0" w:color="auto"/>
        <w:left w:val="none" w:sz="0" w:space="0" w:color="auto"/>
        <w:bottom w:val="none" w:sz="0" w:space="0" w:color="auto"/>
        <w:right w:val="none" w:sz="0" w:space="0" w:color="auto"/>
      </w:divBdr>
    </w:div>
    <w:div w:id="310326368">
      <w:bodyDiv w:val="1"/>
      <w:marLeft w:val="0"/>
      <w:marRight w:val="0"/>
      <w:marTop w:val="0"/>
      <w:marBottom w:val="0"/>
      <w:divBdr>
        <w:top w:val="none" w:sz="0" w:space="0" w:color="auto"/>
        <w:left w:val="none" w:sz="0" w:space="0" w:color="auto"/>
        <w:bottom w:val="none" w:sz="0" w:space="0" w:color="auto"/>
        <w:right w:val="none" w:sz="0" w:space="0" w:color="auto"/>
      </w:divBdr>
    </w:div>
    <w:div w:id="311570384">
      <w:bodyDiv w:val="1"/>
      <w:marLeft w:val="0"/>
      <w:marRight w:val="0"/>
      <w:marTop w:val="0"/>
      <w:marBottom w:val="0"/>
      <w:divBdr>
        <w:top w:val="none" w:sz="0" w:space="0" w:color="auto"/>
        <w:left w:val="none" w:sz="0" w:space="0" w:color="auto"/>
        <w:bottom w:val="none" w:sz="0" w:space="0" w:color="auto"/>
        <w:right w:val="none" w:sz="0" w:space="0" w:color="auto"/>
      </w:divBdr>
    </w:div>
    <w:div w:id="330916694">
      <w:bodyDiv w:val="1"/>
      <w:marLeft w:val="0"/>
      <w:marRight w:val="0"/>
      <w:marTop w:val="0"/>
      <w:marBottom w:val="0"/>
      <w:divBdr>
        <w:top w:val="none" w:sz="0" w:space="0" w:color="auto"/>
        <w:left w:val="none" w:sz="0" w:space="0" w:color="auto"/>
        <w:bottom w:val="none" w:sz="0" w:space="0" w:color="auto"/>
        <w:right w:val="none" w:sz="0" w:space="0" w:color="auto"/>
      </w:divBdr>
    </w:div>
    <w:div w:id="367098821">
      <w:bodyDiv w:val="1"/>
      <w:marLeft w:val="0"/>
      <w:marRight w:val="0"/>
      <w:marTop w:val="0"/>
      <w:marBottom w:val="0"/>
      <w:divBdr>
        <w:top w:val="none" w:sz="0" w:space="0" w:color="auto"/>
        <w:left w:val="none" w:sz="0" w:space="0" w:color="auto"/>
        <w:bottom w:val="none" w:sz="0" w:space="0" w:color="auto"/>
        <w:right w:val="none" w:sz="0" w:space="0" w:color="auto"/>
      </w:divBdr>
    </w:div>
    <w:div w:id="375467438">
      <w:bodyDiv w:val="1"/>
      <w:marLeft w:val="0"/>
      <w:marRight w:val="0"/>
      <w:marTop w:val="0"/>
      <w:marBottom w:val="0"/>
      <w:divBdr>
        <w:top w:val="none" w:sz="0" w:space="0" w:color="auto"/>
        <w:left w:val="none" w:sz="0" w:space="0" w:color="auto"/>
        <w:bottom w:val="none" w:sz="0" w:space="0" w:color="auto"/>
        <w:right w:val="none" w:sz="0" w:space="0" w:color="auto"/>
      </w:divBdr>
    </w:div>
    <w:div w:id="389420475">
      <w:bodyDiv w:val="1"/>
      <w:marLeft w:val="0"/>
      <w:marRight w:val="0"/>
      <w:marTop w:val="0"/>
      <w:marBottom w:val="0"/>
      <w:divBdr>
        <w:top w:val="none" w:sz="0" w:space="0" w:color="auto"/>
        <w:left w:val="none" w:sz="0" w:space="0" w:color="auto"/>
        <w:bottom w:val="none" w:sz="0" w:space="0" w:color="auto"/>
        <w:right w:val="none" w:sz="0" w:space="0" w:color="auto"/>
      </w:divBdr>
    </w:div>
    <w:div w:id="438179728">
      <w:bodyDiv w:val="1"/>
      <w:marLeft w:val="0"/>
      <w:marRight w:val="0"/>
      <w:marTop w:val="0"/>
      <w:marBottom w:val="0"/>
      <w:divBdr>
        <w:top w:val="none" w:sz="0" w:space="0" w:color="auto"/>
        <w:left w:val="none" w:sz="0" w:space="0" w:color="auto"/>
        <w:bottom w:val="none" w:sz="0" w:space="0" w:color="auto"/>
        <w:right w:val="none" w:sz="0" w:space="0" w:color="auto"/>
      </w:divBdr>
    </w:div>
    <w:div w:id="443118639">
      <w:bodyDiv w:val="1"/>
      <w:marLeft w:val="0"/>
      <w:marRight w:val="0"/>
      <w:marTop w:val="0"/>
      <w:marBottom w:val="0"/>
      <w:divBdr>
        <w:top w:val="none" w:sz="0" w:space="0" w:color="auto"/>
        <w:left w:val="none" w:sz="0" w:space="0" w:color="auto"/>
        <w:bottom w:val="none" w:sz="0" w:space="0" w:color="auto"/>
        <w:right w:val="none" w:sz="0" w:space="0" w:color="auto"/>
      </w:divBdr>
    </w:div>
    <w:div w:id="452290498">
      <w:bodyDiv w:val="1"/>
      <w:marLeft w:val="0"/>
      <w:marRight w:val="0"/>
      <w:marTop w:val="0"/>
      <w:marBottom w:val="0"/>
      <w:divBdr>
        <w:top w:val="none" w:sz="0" w:space="0" w:color="auto"/>
        <w:left w:val="none" w:sz="0" w:space="0" w:color="auto"/>
        <w:bottom w:val="none" w:sz="0" w:space="0" w:color="auto"/>
        <w:right w:val="none" w:sz="0" w:space="0" w:color="auto"/>
      </w:divBdr>
    </w:div>
    <w:div w:id="494690264">
      <w:bodyDiv w:val="1"/>
      <w:marLeft w:val="0"/>
      <w:marRight w:val="0"/>
      <w:marTop w:val="0"/>
      <w:marBottom w:val="0"/>
      <w:divBdr>
        <w:top w:val="none" w:sz="0" w:space="0" w:color="auto"/>
        <w:left w:val="none" w:sz="0" w:space="0" w:color="auto"/>
        <w:bottom w:val="none" w:sz="0" w:space="0" w:color="auto"/>
        <w:right w:val="none" w:sz="0" w:space="0" w:color="auto"/>
      </w:divBdr>
    </w:div>
    <w:div w:id="501629898">
      <w:bodyDiv w:val="1"/>
      <w:marLeft w:val="0"/>
      <w:marRight w:val="0"/>
      <w:marTop w:val="0"/>
      <w:marBottom w:val="0"/>
      <w:divBdr>
        <w:top w:val="none" w:sz="0" w:space="0" w:color="auto"/>
        <w:left w:val="none" w:sz="0" w:space="0" w:color="auto"/>
        <w:bottom w:val="none" w:sz="0" w:space="0" w:color="auto"/>
        <w:right w:val="none" w:sz="0" w:space="0" w:color="auto"/>
      </w:divBdr>
    </w:div>
    <w:div w:id="504437067">
      <w:bodyDiv w:val="1"/>
      <w:marLeft w:val="0"/>
      <w:marRight w:val="0"/>
      <w:marTop w:val="0"/>
      <w:marBottom w:val="0"/>
      <w:divBdr>
        <w:top w:val="none" w:sz="0" w:space="0" w:color="auto"/>
        <w:left w:val="none" w:sz="0" w:space="0" w:color="auto"/>
        <w:bottom w:val="none" w:sz="0" w:space="0" w:color="auto"/>
        <w:right w:val="none" w:sz="0" w:space="0" w:color="auto"/>
      </w:divBdr>
    </w:div>
    <w:div w:id="511647540">
      <w:bodyDiv w:val="1"/>
      <w:marLeft w:val="0"/>
      <w:marRight w:val="0"/>
      <w:marTop w:val="0"/>
      <w:marBottom w:val="0"/>
      <w:divBdr>
        <w:top w:val="none" w:sz="0" w:space="0" w:color="auto"/>
        <w:left w:val="none" w:sz="0" w:space="0" w:color="auto"/>
        <w:bottom w:val="none" w:sz="0" w:space="0" w:color="auto"/>
        <w:right w:val="none" w:sz="0" w:space="0" w:color="auto"/>
      </w:divBdr>
    </w:div>
    <w:div w:id="524446783">
      <w:bodyDiv w:val="1"/>
      <w:marLeft w:val="0"/>
      <w:marRight w:val="0"/>
      <w:marTop w:val="0"/>
      <w:marBottom w:val="0"/>
      <w:divBdr>
        <w:top w:val="none" w:sz="0" w:space="0" w:color="auto"/>
        <w:left w:val="none" w:sz="0" w:space="0" w:color="auto"/>
        <w:bottom w:val="none" w:sz="0" w:space="0" w:color="auto"/>
        <w:right w:val="none" w:sz="0" w:space="0" w:color="auto"/>
      </w:divBdr>
    </w:div>
    <w:div w:id="534852811">
      <w:bodyDiv w:val="1"/>
      <w:marLeft w:val="0"/>
      <w:marRight w:val="0"/>
      <w:marTop w:val="0"/>
      <w:marBottom w:val="0"/>
      <w:divBdr>
        <w:top w:val="none" w:sz="0" w:space="0" w:color="auto"/>
        <w:left w:val="none" w:sz="0" w:space="0" w:color="auto"/>
        <w:bottom w:val="none" w:sz="0" w:space="0" w:color="auto"/>
        <w:right w:val="none" w:sz="0" w:space="0" w:color="auto"/>
      </w:divBdr>
    </w:div>
    <w:div w:id="534853592">
      <w:bodyDiv w:val="1"/>
      <w:marLeft w:val="0"/>
      <w:marRight w:val="0"/>
      <w:marTop w:val="0"/>
      <w:marBottom w:val="0"/>
      <w:divBdr>
        <w:top w:val="none" w:sz="0" w:space="0" w:color="auto"/>
        <w:left w:val="none" w:sz="0" w:space="0" w:color="auto"/>
        <w:bottom w:val="none" w:sz="0" w:space="0" w:color="auto"/>
        <w:right w:val="none" w:sz="0" w:space="0" w:color="auto"/>
      </w:divBdr>
    </w:div>
    <w:div w:id="548340206">
      <w:bodyDiv w:val="1"/>
      <w:marLeft w:val="0"/>
      <w:marRight w:val="0"/>
      <w:marTop w:val="0"/>
      <w:marBottom w:val="0"/>
      <w:divBdr>
        <w:top w:val="none" w:sz="0" w:space="0" w:color="auto"/>
        <w:left w:val="none" w:sz="0" w:space="0" w:color="auto"/>
        <w:bottom w:val="none" w:sz="0" w:space="0" w:color="auto"/>
        <w:right w:val="none" w:sz="0" w:space="0" w:color="auto"/>
      </w:divBdr>
    </w:div>
    <w:div w:id="599802353">
      <w:bodyDiv w:val="1"/>
      <w:marLeft w:val="0"/>
      <w:marRight w:val="0"/>
      <w:marTop w:val="0"/>
      <w:marBottom w:val="0"/>
      <w:divBdr>
        <w:top w:val="none" w:sz="0" w:space="0" w:color="auto"/>
        <w:left w:val="none" w:sz="0" w:space="0" w:color="auto"/>
        <w:bottom w:val="none" w:sz="0" w:space="0" w:color="auto"/>
        <w:right w:val="none" w:sz="0" w:space="0" w:color="auto"/>
      </w:divBdr>
    </w:div>
    <w:div w:id="608045116">
      <w:bodyDiv w:val="1"/>
      <w:marLeft w:val="0"/>
      <w:marRight w:val="0"/>
      <w:marTop w:val="0"/>
      <w:marBottom w:val="0"/>
      <w:divBdr>
        <w:top w:val="none" w:sz="0" w:space="0" w:color="auto"/>
        <w:left w:val="none" w:sz="0" w:space="0" w:color="auto"/>
        <w:bottom w:val="none" w:sz="0" w:space="0" w:color="auto"/>
        <w:right w:val="none" w:sz="0" w:space="0" w:color="auto"/>
      </w:divBdr>
    </w:div>
    <w:div w:id="608586395">
      <w:bodyDiv w:val="1"/>
      <w:marLeft w:val="0"/>
      <w:marRight w:val="0"/>
      <w:marTop w:val="0"/>
      <w:marBottom w:val="0"/>
      <w:divBdr>
        <w:top w:val="none" w:sz="0" w:space="0" w:color="auto"/>
        <w:left w:val="none" w:sz="0" w:space="0" w:color="auto"/>
        <w:bottom w:val="none" w:sz="0" w:space="0" w:color="auto"/>
        <w:right w:val="none" w:sz="0" w:space="0" w:color="auto"/>
      </w:divBdr>
    </w:div>
    <w:div w:id="616327793">
      <w:bodyDiv w:val="1"/>
      <w:marLeft w:val="0"/>
      <w:marRight w:val="0"/>
      <w:marTop w:val="0"/>
      <w:marBottom w:val="0"/>
      <w:divBdr>
        <w:top w:val="none" w:sz="0" w:space="0" w:color="auto"/>
        <w:left w:val="none" w:sz="0" w:space="0" w:color="auto"/>
        <w:bottom w:val="none" w:sz="0" w:space="0" w:color="auto"/>
        <w:right w:val="none" w:sz="0" w:space="0" w:color="auto"/>
      </w:divBdr>
    </w:div>
    <w:div w:id="623853248">
      <w:bodyDiv w:val="1"/>
      <w:marLeft w:val="0"/>
      <w:marRight w:val="0"/>
      <w:marTop w:val="0"/>
      <w:marBottom w:val="0"/>
      <w:divBdr>
        <w:top w:val="none" w:sz="0" w:space="0" w:color="auto"/>
        <w:left w:val="none" w:sz="0" w:space="0" w:color="auto"/>
        <w:bottom w:val="none" w:sz="0" w:space="0" w:color="auto"/>
        <w:right w:val="none" w:sz="0" w:space="0" w:color="auto"/>
      </w:divBdr>
    </w:div>
    <w:div w:id="679311566">
      <w:bodyDiv w:val="1"/>
      <w:marLeft w:val="0"/>
      <w:marRight w:val="0"/>
      <w:marTop w:val="0"/>
      <w:marBottom w:val="0"/>
      <w:divBdr>
        <w:top w:val="none" w:sz="0" w:space="0" w:color="auto"/>
        <w:left w:val="none" w:sz="0" w:space="0" w:color="auto"/>
        <w:bottom w:val="none" w:sz="0" w:space="0" w:color="auto"/>
        <w:right w:val="none" w:sz="0" w:space="0" w:color="auto"/>
      </w:divBdr>
    </w:div>
    <w:div w:id="691878499">
      <w:bodyDiv w:val="1"/>
      <w:marLeft w:val="0"/>
      <w:marRight w:val="0"/>
      <w:marTop w:val="0"/>
      <w:marBottom w:val="0"/>
      <w:divBdr>
        <w:top w:val="none" w:sz="0" w:space="0" w:color="auto"/>
        <w:left w:val="none" w:sz="0" w:space="0" w:color="auto"/>
        <w:bottom w:val="none" w:sz="0" w:space="0" w:color="auto"/>
        <w:right w:val="none" w:sz="0" w:space="0" w:color="auto"/>
      </w:divBdr>
    </w:div>
    <w:div w:id="739258207">
      <w:bodyDiv w:val="1"/>
      <w:marLeft w:val="0"/>
      <w:marRight w:val="0"/>
      <w:marTop w:val="0"/>
      <w:marBottom w:val="0"/>
      <w:divBdr>
        <w:top w:val="none" w:sz="0" w:space="0" w:color="auto"/>
        <w:left w:val="none" w:sz="0" w:space="0" w:color="auto"/>
        <w:bottom w:val="none" w:sz="0" w:space="0" w:color="auto"/>
        <w:right w:val="none" w:sz="0" w:space="0" w:color="auto"/>
      </w:divBdr>
    </w:div>
    <w:div w:id="747579933">
      <w:bodyDiv w:val="1"/>
      <w:marLeft w:val="0"/>
      <w:marRight w:val="0"/>
      <w:marTop w:val="0"/>
      <w:marBottom w:val="0"/>
      <w:divBdr>
        <w:top w:val="none" w:sz="0" w:space="0" w:color="auto"/>
        <w:left w:val="none" w:sz="0" w:space="0" w:color="auto"/>
        <w:bottom w:val="none" w:sz="0" w:space="0" w:color="auto"/>
        <w:right w:val="none" w:sz="0" w:space="0" w:color="auto"/>
      </w:divBdr>
    </w:div>
    <w:div w:id="751927043">
      <w:bodyDiv w:val="1"/>
      <w:marLeft w:val="0"/>
      <w:marRight w:val="0"/>
      <w:marTop w:val="0"/>
      <w:marBottom w:val="0"/>
      <w:divBdr>
        <w:top w:val="none" w:sz="0" w:space="0" w:color="auto"/>
        <w:left w:val="none" w:sz="0" w:space="0" w:color="auto"/>
        <w:bottom w:val="none" w:sz="0" w:space="0" w:color="auto"/>
        <w:right w:val="none" w:sz="0" w:space="0" w:color="auto"/>
      </w:divBdr>
    </w:div>
    <w:div w:id="799106650">
      <w:bodyDiv w:val="1"/>
      <w:marLeft w:val="0"/>
      <w:marRight w:val="0"/>
      <w:marTop w:val="0"/>
      <w:marBottom w:val="0"/>
      <w:divBdr>
        <w:top w:val="none" w:sz="0" w:space="0" w:color="auto"/>
        <w:left w:val="none" w:sz="0" w:space="0" w:color="auto"/>
        <w:bottom w:val="none" w:sz="0" w:space="0" w:color="auto"/>
        <w:right w:val="none" w:sz="0" w:space="0" w:color="auto"/>
      </w:divBdr>
    </w:div>
    <w:div w:id="819425890">
      <w:bodyDiv w:val="1"/>
      <w:marLeft w:val="0"/>
      <w:marRight w:val="0"/>
      <w:marTop w:val="0"/>
      <w:marBottom w:val="0"/>
      <w:divBdr>
        <w:top w:val="none" w:sz="0" w:space="0" w:color="auto"/>
        <w:left w:val="none" w:sz="0" w:space="0" w:color="auto"/>
        <w:bottom w:val="none" w:sz="0" w:space="0" w:color="auto"/>
        <w:right w:val="none" w:sz="0" w:space="0" w:color="auto"/>
      </w:divBdr>
    </w:div>
    <w:div w:id="821583723">
      <w:bodyDiv w:val="1"/>
      <w:marLeft w:val="0"/>
      <w:marRight w:val="0"/>
      <w:marTop w:val="0"/>
      <w:marBottom w:val="0"/>
      <w:divBdr>
        <w:top w:val="none" w:sz="0" w:space="0" w:color="auto"/>
        <w:left w:val="none" w:sz="0" w:space="0" w:color="auto"/>
        <w:bottom w:val="none" w:sz="0" w:space="0" w:color="auto"/>
        <w:right w:val="none" w:sz="0" w:space="0" w:color="auto"/>
      </w:divBdr>
    </w:div>
    <w:div w:id="826436768">
      <w:bodyDiv w:val="1"/>
      <w:marLeft w:val="0"/>
      <w:marRight w:val="0"/>
      <w:marTop w:val="0"/>
      <w:marBottom w:val="0"/>
      <w:divBdr>
        <w:top w:val="none" w:sz="0" w:space="0" w:color="auto"/>
        <w:left w:val="none" w:sz="0" w:space="0" w:color="auto"/>
        <w:bottom w:val="none" w:sz="0" w:space="0" w:color="auto"/>
        <w:right w:val="none" w:sz="0" w:space="0" w:color="auto"/>
      </w:divBdr>
    </w:div>
    <w:div w:id="828786505">
      <w:bodyDiv w:val="1"/>
      <w:marLeft w:val="0"/>
      <w:marRight w:val="0"/>
      <w:marTop w:val="0"/>
      <w:marBottom w:val="0"/>
      <w:divBdr>
        <w:top w:val="none" w:sz="0" w:space="0" w:color="auto"/>
        <w:left w:val="none" w:sz="0" w:space="0" w:color="auto"/>
        <w:bottom w:val="none" w:sz="0" w:space="0" w:color="auto"/>
        <w:right w:val="none" w:sz="0" w:space="0" w:color="auto"/>
      </w:divBdr>
    </w:div>
    <w:div w:id="841046134">
      <w:bodyDiv w:val="1"/>
      <w:marLeft w:val="0"/>
      <w:marRight w:val="0"/>
      <w:marTop w:val="0"/>
      <w:marBottom w:val="0"/>
      <w:divBdr>
        <w:top w:val="none" w:sz="0" w:space="0" w:color="auto"/>
        <w:left w:val="none" w:sz="0" w:space="0" w:color="auto"/>
        <w:bottom w:val="none" w:sz="0" w:space="0" w:color="auto"/>
        <w:right w:val="none" w:sz="0" w:space="0" w:color="auto"/>
      </w:divBdr>
    </w:div>
    <w:div w:id="860313720">
      <w:bodyDiv w:val="1"/>
      <w:marLeft w:val="0"/>
      <w:marRight w:val="0"/>
      <w:marTop w:val="0"/>
      <w:marBottom w:val="0"/>
      <w:divBdr>
        <w:top w:val="none" w:sz="0" w:space="0" w:color="auto"/>
        <w:left w:val="none" w:sz="0" w:space="0" w:color="auto"/>
        <w:bottom w:val="none" w:sz="0" w:space="0" w:color="auto"/>
        <w:right w:val="none" w:sz="0" w:space="0" w:color="auto"/>
      </w:divBdr>
    </w:div>
    <w:div w:id="888566088">
      <w:bodyDiv w:val="1"/>
      <w:marLeft w:val="0"/>
      <w:marRight w:val="0"/>
      <w:marTop w:val="0"/>
      <w:marBottom w:val="0"/>
      <w:divBdr>
        <w:top w:val="none" w:sz="0" w:space="0" w:color="auto"/>
        <w:left w:val="none" w:sz="0" w:space="0" w:color="auto"/>
        <w:bottom w:val="none" w:sz="0" w:space="0" w:color="auto"/>
        <w:right w:val="none" w:sz="0" w:space="0" w:color="auto"/>
      </w:divBdr>
    </w:div>
    <w:div w:id="897397394">
      <w:bodyDiv w:val="1"/>
      <w:marLeft w:val="0"/>
      <w:marRight w:val="0"/>
      <w:marTop w:val="0"/>
      <w:marBottom w:val="0"/>
      <w:divBdr>
        <w:top w:val="none" w:sz="0" w:space="0" w:color="auto"/>
        <w:left w:val="none" w:sz="0" w:space="0" w:color="auto"/>
        <w:bottom w:val="none" w:sz="0" w:space="0" w:color="auto"/>
        <w:right w:val="none" w:sz="0" w:space="0" w:color="auto"/>
      </w:divBdr>
    </w:div>
    <w:div w:id="913468132">
      <w:bodyDiv w:val="1"/>
      <w:marLeft w:val="0"/>
      <w:marRight w:val="0"/>
      <w:marTop w:val="0"/>
      <w:marBottom w:val="0"/>
      <w:divBdr>
        <w:top w:val="none" w:sz="0" w:space="0" w:color="auto"/>
        <w:left w:val="none" w:sz="0" w:space="0" w:color="auto"/>
        <w:bottom w:val="none" w:sz="0" w:space="0" w:color="auto"/>
        <w:right w:val="none" w:sz="0" w:space="0" w:color="auto"/>
      </w:divBdr>
    </w:div>
    <w:div w:id="922375308">
      <w:bodyDiv w:val="1"/>
      <w:marLeft w:val="0"/>
      <w:marRight w:val="0"/>
      <w:marTop w:val="0"/>
      <w:marBottom w:val="0"/>
      <w:divBdr>
        <w:top w:val="none" w:sz="0" w:space="0" w:color="auto"/>
        <w:left w:val="none" w:sz="0" w:space="0" w:color="auto"/>
        <w:bottom w:val="none" w:sz="0" w:space="0" w:color="auto"/>
        <w:right w:val="none" w:sz="0" w:space="0" w:color="auto"/>
      </w:divBdr>
    </w:div>
    <w:div w:id="930043739">
      <w:bodyDiv w:val="1"/>
      <w:marLeft w:val="0"/>
      <w:marRight w:val="0"/>
      <w:marTop w:val="0"/>
      <w:marBottom w:val="0"/>
      <w:divBdr>
        <w:top w:val="none" w:sz="0" w:space="0" w:color="auto"/>
        <w:left w:val="none" w:sz="0" w:space="0" w:color="auto"/>
        <w:bottom w:val="none" w:sz="0" w:space="0" w:color="auto"/>
        <w:right w:val="none" w:sz="0" w:space="0" w:color="auto"/>
      </w:divBdr>
    </w:div>
    <w:div w:id="938365562">
      <w:bodyDiv w:val="1"/>
      <w:marLeft w:val="0"/>
      <w:marRight w:val="0"/>
      <w:marTop w:val="0"/>
      <w:marBottom w:val="0"/>
      <w:divBdr>
        <w:top w:val="none" w:sz="0" w:space="0" w:color="auto"/>
        <w:left w:val="none" w:sz="0" w:space="0" w:color="auto"/>
        <w:bottom w:val="none" w:sz="0" w:space="0" w:color="auto"/>
        <w:right w:val="none" w:sz="0" w:space="0" w:color="auto"/>
      </w:divBdr>
    </w:div>
    <w:div w:id="942809972">
      <w:bodyDiv w:val="1"/>
      <w:marLeft w:val="0"/>
      <w:marRight w:val="0"/>
      <w:marTop w:val="0"/>
      <w:marBottom w:val="0"/>
      <w:divBdr>
        <w:top w:val="none" w:sz="0" w:space="0" w:color="auto"/>
        <w:left w:val="none" w:sz="0" w:space="0" w:color="auto"/>
        <w:bottom w:val="none" w:sz="0" w:space="0" w:color="auto"/>
        <w:right w:val="none" w:sz="0" w:space="0" w:color="auto"/>
      </w:divBdr>
    </w:div>
    <w:div w:id="952060335">
      <w:bodyDiv w:val="1"/>
      <w:marLeft w:val="0"/>
      <w:marRight w:val="0"/>
      <w:marTop w:val="0"/>
      <w:marBottom w:val="0"/>
      <w:divBdr>
        <w:top w:val="none" w:sz="0" w:space="0" w:color="auto"/>
        <w:left w:val="none" w:sz="0" w:space="0" w:color="auto"/>
        <w:bottom w:val="none" w:sz="0" w:space="0" w:color="auto"/>
        <w:right w:val="none" w:sz="0" w:space="0" w:color="auto"/>
      </w:divBdr>
    </w:div>
    <w:div w:id="967011693">
      <w:bodyDiv w:val="1"/>
      <w:marLeft w:val="0"/>
      <w:marRight w:val="0"/>
      <w:marTop w:val="0"/>
      <w:marBottom w:val="0"/>
      <w:divBdr>
        <w:top w:val="none" w:sz="0" w:space="0" w:color="auto"/>
        <w:left w:val="none" w:sz="0" w:space="0" w:color="auto"/>
        <w:bottom w:val="none" w:sz="0" w:space="0" w:color="auto"/>
        <w:right w:val="none" w:sz="0" w:space="0" w:color="auto"/>
      </w:divBdr>
    </w:div>
    <w:div w:id="973101736">
      <w:bodyDiv w:val="1"/>
      <w:marLeft w:val="0"/>
      <w:marRight w:val="0"/>
      <w:marTop w:val="0"/>
      <w:marBottom w:val="0"/>
      <w:divBdr>
        <w:top w:val="none" w:sz="0" w:space="0" w:color="auto"/>
        <w:left w:val="none" w:sz="0" w:space="0" w:color="auto"/>
        <w:bottom w:val="none" w:sz="0" w:space="0" w:color="auto"/>
        <w:right w:val="none" w:sz="0" w:space="0" w:color="auto"/>
      </w:divBdr>
    </w:div>
    <w:div w:id="975570599">
      <w:bodyDiv w:val="1"/>
      <w:marLeft w:val="0"/>
      <w:marRight w:val="0"/>
      <w:marTop w:val="0"/>
      <w:marBottom w:val="0"/>
      <w:divBdr>
        <w:top w:val="none" w:sz="0" w:space="0" w:color="auto"/>
        <w:left w:val="none" w:sz="0" w:space="0" w:color="auto"/>
        <w:bottom w:val="none" w:sz="0" w:space="0" w:color="auto"/>
        <w:right w:val="none" w:sz="0" w:space="0" w:color="auto"/>
      </w:divBdr>
    </w:div>
    <w:div w:id="975598639">
      <w:bodyDiv w:val="1"/>
      <w:marLeft w:val="0"/>
      <w:marRight w:val="0"/>
      <w:marTop w:val="0"/>
      <w:marBottom w:val="0"/>
      <w:divBdr>
        <w:top w:val="none" w:sz="0" w:space="0" w:color="auto"/>
        <w:left w:val="none" w:sz="0" w:space="0" w:color="auto"/>
        <w:bottom w:val="none" w:sz="0" w:space="0" w:color="auto"/>
        <w:right w:val="none" w:sz="0" w:space="0" w:color="auto"/>
      </w:divBdr>
    </w:div>
    <w:div w:id="1033926050">
      <w:bodyDiv w:val="1"/>
      <w:marLeft w:val="0"/>
      <w:marRight w:val="0"/>
      <w:marTop w:val="0"/>
      <w:marBottom w:val="0"/>
      <w:divBdr>
        <w:top w:val="none" w:sz="0" w:space="0" w:color="auto"/>
        <w:left w:val="none" w:sz="0" w:space="0" w:color="auto"/>
        <w:bottom w:val="none" w:sz="0" w:space="0" w:color="auto"/>
        <w:right w:val="none" w:sz="0" w:space="0" w:color="auto"/>
      </w:divBdr>
    </w:div>
    <w:div w:id="1066338086">
      <w:bodyDiv w:val="1"/>
      <w:marLeft w:val="0"/>
      <w:marRight w:val="0"/>
      <w:marTop w:val="0"/>
      <w:marBottom w:val="0"/>
      <w:divBdr>
        <w:top w:val="none" w:sz="0" w:space="0" w:color="auto"/>
        <w:left w:val="none" w:sz="0" w:space="0" w:color="auto"/>
        <w:bottom w:val="none" w:sz="0" w:space="0" w:color="auto"/>
        <w:right w:val="none" w:sz="0" w:space="0" w:color="auto"/>
      </w:divBdr>
    </w:div>
    <w:div w:id="1078861894">
      <w:bodyDiv w:val="1"/>
      <w:marLeft w:val="0"/>
      <w:marRight w:val="0"/>
      <w:marTop w:val="0"/>
      <w:marBottom w:val="0"/>
      <w:divBdr>
        <w:top w:val="none" w:sz="0" w:space="0" w:color="auto"/>
        <w:left w:val="none" w:sz="0" w:space="0" w:color="auto"/>
        <w:bottom w:val="none" w:sz="0" w:space="0" w:color="auto"/>
        <w:right w:val="none" w:sz="0" w:space="0" w:color="auto"/>
      </w:divBdr>
    </w:div>
    <w:div w:id="1083141427">
      <w:bodyDiv w:val="1"/>
      <w:marLeft w:val="0"/>
      <w:marRight w:val="0"/>
      <w:marTop w:val="0"/>
      <w:marBottom w:val="0"/>
      <w:divBdr>
        <w:top w:val="none" w:sz="0" w:space="0" w:color="auto"/>
        <w:left w:val="none" w:sz="0" w:space="0" w:color="auto"/>
        <w:bottom w:val="none" w:sz="0" w:space="0" w:color="auto"/>
        <w:right w:val="none" w:sz="0" w:space="0" w:color="auto"/>
      </w:divBdr>
    </w:div>
    <w:div w:id="1110322819">
      <w:bodyDiv w:val="1"/>
      <w:marLeft w:val="0"/>
      <w:marRight w:val="0"/>
      <w:marTop w:val="0"/>
      <w:marBottom w:val="0"/>
      <w:divBdr>
        <w:top w:val="none" w:sz="0" w:space="0" w:color="auto"/>
        <w:left w:val="none" w:sz="0" w:space="0" w:color="auto"/>
        <w:bottom w:val="none" w:sz="0" w:space="0" w:color="auto"/>
        <w:right w:val="none" w:sz="0" w:space="0" w:color="auto"/>
      </w:divBdr>
    </w:div>
    <w:div w:id="1114786717">
      <w:bodyDiv w:val="1"/>
      <w:marLeft w:val="0"/>
      <w:marRight w:val="0"/>
      <w:marTop w:val="0"/>
      <w:marBottom w:val="0"/>
      <w:divBdr>
        <w:top w:val="none" w:sz="0" w:space="0" w:color="auto"/>
        <w:left w:val="none" w:sz="0" w:space="0" w:color="auto"/>
        <w:bottom w:val="none" w:sz="0" w:space="0" w:color="auto"/>
        <w:right w:val="none" w:sz="0" w:space="0" w:color="auto"/>
      </w:divBdr>
    </w:div>
    <w:div w:id="1119030990">
      <w:bodyDiv w:val="1"/>
      <w:marLeft w:val="0"/>
      <w:marRight w:val="0"/>
      <w:marTop w:val="0"/>
      <w:marBottom w:val="0"/>
      <w:divBdr>
        <w:top w:val="none" w:sz="0" w:space="0" w:color="auto"/>
        <w:left w:val="none" w:sz="0" w:space="0" w:color="auto"/>
        <w:bottom w:val="none" w:sz="0" w:space="0" w:color="auto"/>
        <w:right w:val="none" w:sz="0" w:space="0" w:color="auto"/>
      </w:divBdr>
    </w:div>
    <w:div w:id="1124883442">
      <w:bodyDiv w:val="1"/>
      <w:marLeft w:val="0"/>
      <w:marRight w:val="0"/>
      <w:marTop w:val="0"/>
      <w:marBottom w:val="0"/>
      <w:divBdr>
        <w:top w:val="none" w:sz="0" w:space="0" w:color="auto"/>
        <w:left w:val="none" w:sz="0" w:space="0" w:color="auto"/>
        <w:bottom w:val="none" w:sz="0" w:space="0" w:color="auto"/>
        <w:right w:val="none" w:sz="0" w:space="0" w:color="auto"/>
      </w:divBdr>
    </w:div>
    <w:div w:id="1127117335">
      <w:bodyDiv w:val="1"/>
      <w:marLeft w:val="0"/>
      <w:marRight w:val="0"/>
      <w:marTop w:val="0"/>
      <w:marBottom w:val="0"/>
      <w:divBdr>
        <w:top w:val="none" w:sz="0" w:space="0" w:color="auto"/>
        <w:left w:val="none" w:sz="0" w:space="0" w:color="auto"/>
        <w:bottom w:val="none" w:sz="0" w:space="0" w:color="auto"/>
        <w:right w:val="none" w:sz="0" w:space="0" w:color="auto"/>
      </w:divBdr>
    </w:div>
    <w:div w:id="1141774215">
      <w:bodyDiv w:val="1"/>
      <w:marLeft w:val="0"/>
      <w:marRight w:val="0"/>
      <w:marTop w:val="0"/>
      <w:marBottom w:val="0"/>
      <w:divBdr>
        <w:top w:val="none" w:sz="0" w:space="0" w:color="auto"/>
        <w:left w:val="none" w:sz="0" w:space="0" w:color="auto"/>
        <w:bottom w:val="none" w:sz="0" w:space="0" w:color="auto"/>
        <w:right w:val="none" w:sz="0" w:space="0" w:color="auto"/>
      </w:divBdr>
    </w:div>
    <w:div w:id="1153838275">
      <w:bodyDiv w:val="1"/>
      <w:marLeft w:val="0"/>
      <w:marRight w:val="0"/>
      <w:marTop w:val="0"/>
      <w:marBottom w:val="0"/>
      <w:divBdr>
        <w:top w:val="none" w:sz="0" w:space="0" w:color="auto"/>
        <w:left w:val="none" w:sz="0" w:space="0" w:color="auto"/>
        <w:bottom w:val="none" w:sz="0" w:space="0" w:color="auto"/>
        <w:right w:val="none" w:sz="0" w:space="0" w:color="auto"/>
      </w:divBdr>
    </w:div>
    <w:div w:id="1159230210">
      <w:bodyDiv w:val="1"/>
      <w:marLeft w:val="0"/>
      <w:marRight w:val="0"/>
      <w:marTop w:val="0"/>
      <w:marBottom w:val="0"/>
      <w:divBdr>
        <w:top w:val="none" w:sz="0" w:space="0" w:color="auto"/>
        <w:left w:val="none" w:sz="0" w:space="0" w:color="auto"/>
        <w:bottom w:val="none" w:sz="0" w:space="0" w:color="auto"/>
        <w:right w:val="none" w:sz="0" w:space="0" w:color="auto"/>
      </w:divBdr>
    </w:div>
    <w:div w:id="1166481099">
      <w:bodyDiv w:val="1"/>
      <w:marLeft w:val="0"/>
      <w:marRight w:val="0"/>
      <w:marTop w:val="0"/>
      <w:marBottom w:val="0"/>
      <w:divBdr>
        <w:top w:val="none" w:sz="0" w:space="0" w:color="auto"/>
        <w:left w:val="none" w:sz="0" w:space="0" w:color="auto"/>
        <w:bottom w:val="none" w:sz="0" w:space="0" w:color="auto"/>
        <w:right w:val="none" w:sz="0" w:space="0" w:color="auto"/>
      </w:divBdr>
    </w:div>
    <w:div w:id="1170221057">
      <w:bodyDiv w:val="1"/>
      <w:marLeft w:val="0"/>
      <w:marRight w:val="0"/>
      <w:marTop w:val="0"/>
      <w:marBottom w:val="0"/>
      <w:divBdr>
        <w:top w:val="none" w:sz="0" w:space="0" w:color="auto"/>
        <w:left w:val="none" w:sz="0" w:space="0" w:color="auto"/>
        <w:bottom w:val="none" w:sz="0" w:space="0" w:color="auto"/>
        <w:right w:val="none" w:sz="0" w:space="0" w:color="auto"/>
      </w:divBdr>
    </w:div>
    <w:div w:id="1179349537">
      <w:bodyDiv w:val="1"/>
      <w:marLeft w:val="0"/>
      <w:marRight w:val="0"/>
      <w:marTop w:val="0"/>
      <w:marBottom w:val="0"/>
      <w:divBdr>
        <w:top w:val="none" w:sz="0" w:space="0" w:color="auto"/>
        <w:left w:val="none" w:sz="0" w:space="0" w:color="auto"/>
        <w:bottom w:val="none" w:sz="0" w:space="0" w:color="auto"/>
        <w:right w:val="none" w:sz="0" w:space="0" w:color="auto"/>
      </w:divBdr>
    </w:div>
    <w:div w:id="1261569238">
      <w:bodyDiv w:val="1"/>
      <w:marLeft w:val="0"/>
      <w:marRight w:val="0"/>
      <w:marTop w:val="0"/>
      <w:marBottom w:val="0"/>
      <w:divBdr>
        <w:top w:val="none" w:sz="0" w:space="0" w:color="auto"/>
        <w:left w:val="none" w:sz="0" w:space="0" w:color="auto"/>
        <w:bottom w:val="none" w:sz="0" w:space="0" w:color="auto"/>
        <w:right w:val="none" w:sz="0" w:space="0" w:color="auto"/>
      </w:divBdr>
    </w:div>
    <w:div w:id="1287077891">
      <w:bodyDiv w:val="1"/>
      <w:marLeft w:val="0"/>
      <w:marRight w:val="0"/>
      <w:marTop w:val="0"/>
      <w:marBottom w:val="0"/>
      <w:divBdr>
        <w:top w:val="none" w:sz="0" w:space="0" w:color="auto"/>
        <w:left w:val="none" w:sz="0" w:space="0" w:color="auto"/>
        <w:bottom w:val="none" w:sz="0" w:space="0" w:color="auto"/>
        <w:right w:val="none" w:sz="0" w:space="0" w:color="auto"/>
      </w:divBdr>
    </w:div>
    <w:div w:id="1295139621">
      <w:bodyDiv w:val="1"/>
      <w:marLeft w:val="0"/>
      <w:marRight w:val="0"/>
      <w:marTop w:val="0"/>
      <w:marBottom w:val="0"/>
      <w:divBdr>
        <w:top w:val="none" w:sz="0" w:space="0" w:color="auto"/>
        <w:left w:val="none" w:sz="0" w:space="0" w:color="auto"/>
        <w:bottom w:val="none" w:sz="0" w:space="0" w:color="auto"/>
        <w:right w:val="none" w:sz="0" w:space="0" w:color="auto"/>
      </w:divBdr>
    </w:div>
    <w:div w:id="1300837437">
      <w:bodyDiv w:val="1"/>
      <w:marLeft w:val="0"/>
      <w:marRight w:val="0"/>
      <w:marTop w:val="0"/>
      <w:marBottom w:val="0"/>
      <w:divBdr>
        <w:top w:val="none" w:sz="0" w:space="0" w:color="auto"/>
        <w:left w:val="none" w:sz="0" w:space="0" w:color="auto"/>
        <w:bottom w:val="none" w:sz="0" w:space="0" w:color="auto"/>
        <w:right w:val="none" w:sz="0" w:space="0" w:color="auto"/>
      </w:divBdr>
    </w:div>
    <w:div w:id="1308587205">
      <w:bodyDiv w:val="1"/>
      <w:marLeft w:val="0"/>
      <w:marRight w:val="0"/>
      <w:marTop w:val="0"/>
      <w:marBottom w:val="0"/>
      <w:divBdr>
        <w:top w:val="none" w:sz="0" w:space="0" w:color="auto"/>
        <w:left w:val="none" w:sz="0" w:space="0" w:color="auto"/>
        <w:bottom w:val="none" w:sz="0" w:space="0" w:color="auto"/>
        <w:right w:val="none" w:sz="0" w:space="0" w:color="auto"/>
      </w:divBdr>
    </w:div>
    <w:div w:id="1308709018">
      <w:bodyDiv w:val="1"/>
      <w:marLeft w:val="0"/>
      <w:marRight w:val="0"/>
      <w:marTop w:val="0"/>
      <w:marBottom w:val="0"/>
      <w:divBdr>
        <w:top w:val="none" w:sz="0" w:space="0" w:color="auto"/>
        <w:left w:val="none" w:sz="0" w:space="0" w:color="auto"/>
        <w:bottom w:val="none" w:sz="0" w:space="0" w:color="auto"/>
        <w:right w:val="none" w:sz="0" w:space="0" w:color="auto"/>
      </w:divBdr>
    </w:div>
    <w:div w:id="1345939824">
      <w:bodyDiv w:val="1"/>
      <w:marLeft w:val="0"/>
      <w:marRight w:val="0"/>
      <w:marTop w:val="0"/>
      <w:marBottom w:val="0"/>
      <w:divBdr>
        <w:top w:val="none" w:sz="0" w:space="0" w:color="auto"/>
        <w:left w:val="none" w:sz="0" w:space="0" w:color="auto"/>
        <w:bottom w:val="none" w:sz="0" w:space="0" w:color="auto"/>
        <w:right w:val="none" w:sz="0" w:space="0" w:color="auto"/>
      </w:divBdr>
    </w:div>
    <w:div w:id="1354305318">
      <w:bodyDiv w:val="1"/>
      <w:marLeft w:val="0"/>
      <w:marRight w:val="0"/>
      <w:marTop w:val="0"/>
      <w:marBottom w:val="0"/>
      <w:divBdr>
        <w:top w:val="none" w:sz="0" w:space="0" w:color="auto"/>
        <w:left w:val="none" w:sz="0" w:space="0" w:color="auto"/>
        <w:bottom w:val="none" w:sz="0" w:space="0" w:color="auto"/>
        <w:right w:val="none" w:sz="0" w:space="0" w:color="auto"/>
      </w:divBdr>
    </w:div>
    <w:div w:id="1358434725">
      <w:bodyDiv w:val="1"/>
      <w:marLeft w:val="0"/>
      <w:marRight w:val="0"/>
      <w:marTop w:val="0"/>
      <w:marBottom w:val="0"/>
      <w:divBdr>
        <w:top w:val="none" w:sz="0" w:space="0" w:color="auto"/>
        <w:left w:val="none" w:sz="0" w:space="0" w:color="auto"/>
        <w:bottom w:val="none" w:sz="0" w:space="0" w:color="auto"/>
        <w:right w:val="none" w:sz="0" w:space="0" w:color="auto"/>
      </w:divBdr>
    </w:div>
    <w:div w:id="1360938235">
      <w:bodyDiv w:val="1"/>
      <w:marLeft w:val="0"/>
      <w:marRight w:val="0"/>
      <w:marTop w:val="0"/>
      <w:marBottom w:val="0"/>
      <w:divBdr>
        <w:top w:val="none" w:sz="0" w:space="0" w:color="auto"/>
        <w:left w:val="none" w:sz="0" w:space="0" w:color="auto"/>
        <w:bottom w:val="none" w:sz="0" w:space="0" w:color="auto"/>
        <w:right w:val="none" w:sz="0" w:space="0" w:color="auto"/>
      </w:divBdr>
    </w:div>
    <w:div w:id="1364744091">
      <w:bodyDiv w:val="1"/>
      <w:marLeft w:val="0"/>
      <w:marRight w:val="0"/>
      <w:marTop w:val="0"/>
      <w:marBottom w:val="0"/>
      <w:divBdr>
        <w:top w:val="none" w:sz="0" w:space="0" w:color="auto"/>
        <w:left w:val="none" w:sz="0" w:space="0" w:color="auto"/>
        <w:bottom w:val="none" w:sz="0" w:space="0" w:color="auto"/>
        <w:right w:val="none" w:sz="0" w:space="0" w:color="auto"/>
      </w:divBdr>
    </w:div>
    <w:div w:id="1381318609">
      <w:bodyDiv w:val="1"/>
      <w:marLeft w:val="0"/>
      <w:marRight w:val="0"/>
      <w:marTop w:val="0"/>
      <w:marBottom w:val="0"/>
      <w:divBdr>
        <w:top w:val="none" w:sz="0" w:space="0" w:color="auto"/>
        <w:left w:val="none" w:sz="0" w:space="0" w:color="auto"/>
        <w:bottom w:val="none" w:sz="0" w:space="0" w:color="auto"/>
        <w:right w:val="none" w:sz="0" w:space="0" w:color="auto"/>
      </w:divBdr>
    </w:div>
    <w:div w:id="1408961964">
      <w:bodyDiv w:val="1"/>
      <w:marLeft w:val="0"/>
      <w:marRight w:val="0"/>
      <w:marTop w:val="0"/>
      <w:marBottom w:val="0"/>
      <w:divBdr>
        <w:top w:val="none" w:sz="0" w:space="0" w:color="auto"/>
        <w:left w:val="none" w:sz="0" w:space="0" w:color="auto"/>
        <w:bottom w:val="none" w:sz="0" w:space="0" w:color="auto"/>
        <w:right w:val="none" w:sz="0" w:space="0" w:color="auto"/>
      </w:divBdr>
    </w:div>
    <w:div w:id="1428770943">
      <w:bodyDiv w:val="1"/>
      <w:marLeft w:val="0"/>
      <w:marRight w:val="0"/>
      <w:marTop w:val="0"/>
      <w:marBottom w:val="0"/>
      <w:divBdr>
        <w:top w:val="none" w:sz="0" w:space="0" w:color="auto"/>
        <w:left w:val="none" w:sz="0" w:space="0" w:color="auto"/>
        <w:bottom w:val="none" w:sz="0" w:space="0" w:color="auto"/>
        <w:right w:val="none" w:sz="0" w:space="0" w:color="auto"/>
      </w:divBdr>
    </w:div>
    <w:div w:id="1443646494">
      <w:bodyDiv w:val="1"/>
      <w:marLeft w:val="0"/>
      <w:marRight w:val="0"/>
      <w:marTop w:val="0"/>
      <w:marBottom w:val="0"/>
      <w:divBdr>
        <w:top w:val="none" w:sz="0" w:space="0" w:color="auto"/>
        <w:left w:val="none" w:sz="0" w:space="0" w:color="auto"/>
        <w:bottom w:val="none" w:sz="0" w:space="0" w:color="auto"/>
        <w:right w:val="none" w:sz="0" w:space="0" w:color="auto"/>
      </w:divBdr>
    </w:div>
    <w:div w:id="1480145274">
      <w:bodyDiv w:val="1"/>
      <w:marLeft w:val="0"/>
      <w:marRight w:val="0"/>
      <w:marTop w:val="0"/>
      <w:marBottom w:val="0"/>
      <w:divBdr>
        <w:top w:val="none" w:sz="0" w:space="0" w:color="auto"/>
        <w:left w:val="none" w:sz="0" w:space="0" w:color="auto"/>
        <w:bottom w:val="none" w:sz="0" w:space="0" w:color="auto"/>
        <w:right w:val="none" w:sz="0" w:space="0" w:color="auto"/>
      </w:divBdr>
    </w:div>
    <w:div w:id="1496216804">
      <w:bodyDiv w:val="1"/>
      <w:marLeft w:val="0"/>
      <w:marRight w:val="0"/>
      <w:marTop w:val="0"/>
      <w:marBottom w:val="0"/>
      <w:divBdr>
        <w:top w:val="none" w:sz="0" w:space="0" w:color="auto"/>
        <w:left w:val="none" w:sz="0" w:space="0" w:color="auto"/>
        <w:bottom w:val="none" w:sz="0" w:space="0" w:color="auto"/>
        <w:right w:val="none" w:sz="0" w:space="0" w:color="auto"/>
      </w:divBdr>
    </w:div>
    <w:div w:id="1517691808">
      <w:bodyDiv w:val="1"/>
      <w:marLeft w:val="0"/>
      <w:marRight w:val="0"/>
      <w:marTop w:val="0"/>
      <w:marBottom w:val="0"/>
      <w:divBdr>
        <w:top w:val="none" w:sz="0" w:space="0" w:color="auto"/>
        <w:left w:val="none" w:sz="0" w:space="0" w:color="auto"/>
        <w:bottom w:val="none" w:sz="0" w:space="0" w:color="auto"/>
        <w:right w:val="none" w:sz="0" w:space="0" w:color="auto"/>
      </w:divBdr>
    </w:div>
    <w:div w:id="1517765864">
      <w:bodyDiv w:val="1"/>
      <w:marLeft w:val="0"/>
      <w:marRight w:val="0"/>
      <w:marTop w:val="0"/>
      <w:marBottom w:val="0"/>
      <w:divBdr>
        <w:top w:val="none" w:sz="0" w:space="0" w:color="auto"/>
        <w:left w:val="none" w:sz="0" w:space="0" w:color="auto"/>
        <w:bottom w:val="none" w:sz="0" w:space="0" w:color="auto"/>
        <w:right w:val="none" w:sz="0" w:space="0" w:color="auto"/>
      </w:divBdr>
    </w:div>
    <w:div w:id="1525023140">
      <w:bodyDiv w:val="1"/>
      <w:marLeft w:val="0"/>
      <w:marRight w:val="0"/>
      <w:marTop w:val="0"/>
      <w:marBottom w:val="0"/>
      <w:divBdr>
        <w:top w:val="none" w:sz="0" w:space="0" w:color="auto"/>
        <w:left w:val="none" w:sz="0" w:space="0" w:color="auto"/>
        <w:bottom w:val="none" w:sz="0" w:space="0" w:color="auto"/>
        <w:right w:val="none" w:sz="0" w:space="0" w:color="auto"/>
      </w:divBdr>
      <w:divsChild>
        <w:div w:id="70660108">
          <w:marLeft w:val="0"/>
          <w:marRight w:val="0"/>
          <w:marTop w:val="0"/>
          <w:marBottom w:val="0"/>
          <w:divBdr>
            <w:top w:val="none" w:sz="0" w:space="0" w:color="auto"/>
            <w:left w:val="none" w:sz="0" w:space="0" w:color="auto"/>
            <w:bottom w:val="none" w:sz="0" w:space="0" w:color="auto"/>
            <w:right w:val="none" w:sz="0" w:space="0" w:color="auto"/>
          </w:divBdr>
        </w:div>
      </w:divsChild>
    </w:div>
    <w:div w:id="1537043034">
      <w:bodyDiv w:val="1"/>
      <w:marLeft w:val="0"/>
      <w:marRight w:val="0"/>
      <w:marTop w:val="0"/>
      <w:marBottom w:val="0"/>
      <w:divBdr>
        <w:top w:val="none" w:sz="0" w:space="0" w:color="auto"/>
        <w:left w:val="none" w:sz="0" w:space="0" w:color="auto"/>
        <w:bottom w:val="none" w:sz="0" w:space="0" w:color="auto"/>
        <w:right w:val="none" w:sz="0" w:space="0" w:color="auto"/>
      </w:divBdr>
    </w:div>
    <w:div w:id="1591891246">
      <w:bodyDiv w:val="1"/>
      <w:marLeft w:val="0"/>
      <w:marRight w:val="0"/>
      <w:marTop w:val="0"/>
      <w:marBottom w:val="0"/>
      <w:divBdr>
        <w:top w:val="none" w:sz="0" w:space="0" w:color="auto"/>
        <w:left w:val="none" w:sz="0" w:space="0" w:color="auto"/>
        <w:bottom w:val="none" w:sz="0" w:space="0" w:color="auto"/>
        <w:right w:val="none" w:sz="0" w:space="0" w:color="auto"/>
      </w:divBdr>
    </w:div>
    <w:div w:id="1604075354">
      <w:bodyDiv w:val="1"/>
      <w:marLeft w:val="0"/>
      <w:marRight w:val="0"/>
      <w:marTop w:val="0"/>
      <w:marBottom w:val="0"/>
      <w:divBdr>
        <w:top w:val="none" w:sz="0" w:space="0" w:color="auto"/>
        <w:left w:val="none" w:sz="0" w:space="0" w:color="auto"/>
        <w:bottom w:val="none" w:sz="0" w:space="0" w:color="auto"/>
        <w:right w:val="none" w:sz="0" w:space="0" w:color="auto"/>
      </w:divBdr>
    </w:div>
    <w:div w:id="1612741430">
      <w:bodyDiv w:val="1"/>
      <w:marLeft w:val="0"/>
      <w:marRight w:val="0"/>
      <w:marTop w:val="0"/>
      <w:marBottom w:val="0"/>
      <w:divBdr>
        <w:top w:val="none" w:sz="0" w:space="0" w:color="auto"/>
        <w:left w:val="none" w:sz="0" w:space="0" w:color="auto"/>
        <w:bottom w:val="none" w:sz="0" w:space="0" w:color="auto"/>
        <w:right w:val="none" w:sz="0" w:space="0" w:color="auto"/>
      </w:divBdr>
    </w:div>
    <w:div w:id="1632788198">
      <w:bodyDiv w:val="1"/>
      <w:marLeft w:val="0"/>
      <w:marRight w:val="0"/>
      <w:marTop w:val="0"/>
      <w:marBottom w:val="0"/>
      <w:divBdr>
        <w:top w:val="none" w:sz="0" w:space="0" w:color="auto"/>
        <w:left w:val="none" w:sz="0" w:space="0" w:color="auto"/>
        <w:bottom w:val="none" w:sz="0" w:space="0" w:color="auto"/>
        <w:right w:val="none" w:sz="0" w:space="0" w:color="auto"/>
      </w:divBdr>
    </w:div>
    <w:div w:id="1637104955">
      <w:bodyDiv w:val="1"/>
      <w:marLeft w:val="0"/>
      <w:marRight w:val="0"/>
      <w:marTop w:val="0"/>
      <w:marBottom w:val="0"/>
      <w:divBdr>
        <w:top w:val="none" w:sz="0" w:space="0" w:color="auto"/>
        <w:left w:val="none" w:sz="0" w:space="0" w:color="auto"/>
        <w:bottom w:val="none" w:sz="0" w:space="0" w:color="auto"/>
        <w:right w:val="none" w:sz="0" w:space="0" w:color="auto"/>
      </w:divBdr>
    </w:div>
    <w:div w:id="1649742033">
      <w:bodyDiv w:val="1"/>
      <w:marLeft w:val="0"/>
      <w:marRight w:val="0"/>
      <w:marTop w:val="0"/>
      <w:marBottom w:val="0"/>
      <w:divBdr>
        <w:top w:val="none" w:sz="0" w:space="0" w:color="auto"/>
        <w:left w:val="none" w:sz="0" w:space="0" w:color="auto"/>
        <w:bottom w:val="none" w:sz="0" w:space="0" w:color="auto"/>
        <w:right w:val="none" w:sz="0" w:space="0" w:color="auto"/>
      </w:divBdr>
    </w:div>
    <w:div w:id="1669748720">
      <w:bodyDiv w:val="1"/>
      <w:marLeft w:val="0"/>
      <w:marRight w:val="0"/>
      <w:marTop w:val="0"/>
      <w:marBottom w:val="0"/>
      <w:divBdr>
        <w:top w:val="none" w:sz="0" w:space="0" w:color="auto"/>
        <w:left w:val="none" w:sz="0" w:space="0" w:color="auto"/>
        <w:bottom w:val="none" w:sz="0" w:space="0" w:color="auto"/>
        <w:right w:val="none" w:sz="0" w:space="0" w:color="auto"/>
      </w:divBdr>
    </w:div>
    <w:div w:id="1681161049">
      <w:bodyDiv w:val="1"/>
      <w:marLeft w:val="0"/>
      <w:marRight w:val="0"/>
      <w:marTop w:val="0"/>
      <w:marBottom w:val="0"/>
      <w:divBdr>
        <w:top w:val="none" w:sz="0" w:space="0" w:color="auto"/>
        <w:left w:val="none" w:sz="0" w:space="0" w:color="auto"/>
        <w:bottom w:val="none" w:sz="0" w:space="0" w:color="auto"/>
        <w:right w:val="none" w:sz="0" w:space="0" w:color="auto"/>
      </w:divBdr>
    </w:div>
    <w:div w:id="1687713753">
      <w:bodyDiv w:val="1"/>
      <w:marLeft w:val="0"/>
      <w:marRight w:val="0"/>
      <w:marTop w:val="0"/>
      <w:marBottom w:val="0"/>
      <w:divBdr>
        <w:top w:val="none" w:sz="0" w:space="0" w:color="auto"/>
        <w:left w:val="none" w:sz="0" w:space="0" w:color="auto"/>
        <w:bottom w:val="none" w:sz="0" w:space="0" w:color="auto"/>
        <w:right w:val="none" w:sz="0" w:space="0" w:color="auto"/>
      </w:divBdr>
    </w:div>
    <w:div w:id="1700082718">
      <w:bodyDiv w:val="1"/>
      <w:marLeft w:val="0"/>
      <w:marRight w:val="0"/>
      <w:marTop w:val="0"/>
      <w:marBottom w:val="0"/>
      <w:divBdr>
        <w:top w:val="none" w:sz="0" w:space="0" w:color="auto"/>
        <w:left w:val="none" w:sz="0" w:space="0" w:color="auto"/>
        <w:bottom w:val="none" w:sz="0" w:space="0" w:color="auto"/>
        <w:right w:val="none" w:sz="0" w:space="0" w:color="auto"/>
      </w:divBdr>
    </w:div>
    <w:div w:id="1724912388">
      <w:bodyDiv w:val="1"/>
      <w:marLeft w:val="0"/>
      <w:marRight w:val="0"/>
      <w:marTop w:val="0"/>
      <w:marBottom w:val="0"/>
      <w:divBdr>
        <w:top w:val="none" w:sz="0" w:space="0" w:color="auto"/>
        <w:left w:val="none" w:sz="0" w:space="0" w:color="auto"/>
        <w:bottom w:val="none" w:sz="0" w:space="0" w:color="auto"/>
        <w:right w:val="none" w:sz="0" w:space="0" w:color="auto"/>
      </w:divBdr>
    </w:div>
    <w:div w:id="1725325104">
      <w:bodyDiv w:val="1"/>
      <w:marLeft w:val="0"/>
      <w:marRight w:val="0"/>
      <w:marTop w:val="0"/>
      <w:marBottom w:val="0"/>
      <w:divBdr>
        <w:top w:val="none" w:sz="0" w:space="0" w:color="auto"/>
        <w:left w:val="none" w:sz="0" w:space="0" w:color="auto"/>
        <w:bottom w:val="none" w:sz="0" w:space="0" w:color="auto"/>
        <w:right w:val="none" w:sz="0" w:space="0" w:color="auto"/>
      </w:divBdr>
    </w:div>
    <w:div w:id="1740906594">
      <w:bodyDiv w:val="1"/>
      <w:marLeft w:val="0"/>
      <w:marRight w:val="0"/>
      <w:marTop w:val="0"/>
      <w:marBottom w:val="0"/>
      <w:divBdr>
        <w:top w:val="none" w:sz="0" w:space="0" w:color="auto"/>
        <w:left w:val="none" w:sz="0" w:space="0" w:color="auto"/>
        <w:bottom w:val="none" w:sz="0" w:space="0" w:color="auto"/>
        <w:right w:val="none" w:sz="0" w:space="0" w:color="auto"/>
      </w:divBdr>
    </w:div>
    <w:div w:id="1741488272">
      <w:bodyDiv w:val="1"/>
      <w:marLeft w:val="0"/>
      <w:marRight w:val="0"/>
      <w:marTop w:val="0"/>
      <w:marBottom w:val="0"/>
      <w:divBdr>
        <w:top w:val="none" w:sz="0" w:space="0" w:color="auto"/>
        <w:left w:val="none" w:sz="0" w:space="0" w:color="auto"/>
        <w:bottom w:val="none" w:sz="0" w:space="0" w:color="auto"/>
        <w:right w:val="none" w:sz="0" w:space="0" w:color="auto"/>
      </w:divBdr>
    </w:div>
    <w:div w:id="1756898844">
      <w:bodyDiv w:val="1"/>
      <w:marLeft w:val="0"/>
      <w:marRight w:val="0"/>
      <w:marTop w:val="0"/>
      <w:marBottom w:val="0"/>
      <w:divBdr>
        <w:top w:val="none" w:sz="0" w:space="0" w:color="auto"/>
        <w:left w:val="none" w:sz="0" w:space="0" w:color="auto"/>
        <w:bottom w:val="none" w:sz="0" w:space="0" w:color="auto"/>
        <w:right w:val="none" w:sz="0" w:space="0" w:color="auto"/>
      </w:divBdr>
    </w:div>
    <w:div w:id="1761026500">
      <w:bodyDiv w:val="1"/>
      <w:marLeft w:val="0"/>
      <w:marRight w:val="0"/>
      <w:marTop w:val="0"/>
      <w:marBottom w:val="0"/>
      <w:divBdr>
        <w:top w:val="none" w:sz="0" w:space="0" w:color="auto"/>
        <w:left w:val="none" w:sz="0" w:space="0" w:color="auto"/>
        <w:bottom w:val="none" w:sz="0" w:space="0" w:color="auto"/>
        <w:right w:val="none" w:sz="0" w:space="0" w:color="auto"/>
      </w:divBdr>
    </w:div>
    <w:div w:id="1769306861">
      <w:bodyDiv w:val="1"/>
      <w:marLeft w:val="0"/>
      <w:marRight w:val="0"/>
      <w:marTop w:val="0"/>
      <w:marBottom w:val="0"/>
      <w:divBdr>
        <w:top w:val="none" w:sz="0" w:space="0" w:color="auto"/>
        <w:left w:val="none" w:sz="0" w:space="0" w:color="auto"/>
        <w:bottom w:val="none" w:sz="0" w:space="0" w:color="auto"/>
        <w:right w:val="none" w:sz="0" w:space="0" w:color="auto"/>
      </w:divBdr>
    </w:div>
    <w:div w:id="1773276380">
      <w:bodyDiv w:val="1"/>
      <w:marLeft w:val="0"/>
      <w:marRight w:val="0"/>
      <w:marTop w:val="0"/>
      <w:marBottom w:val="0"/>
      <w:divBdr>
        <w:top w:val="none" w:sz="0" w:space="0" w:color="auto"/>
        <w:left w:val="none" w:sz="0" w:space="0" w:color="auto"/>
        <w:bottom w:val="none" w:sz="0" w:space="0" w:color="auto"/>
        <w:right w:val="none" w:sz="0" w:space="0" w:color="auto"/>
      </w:divBdr>
    </w:div>
    <w:div w:id="1802922359">
      <w:bodyDiv w:val="1"/>
      <w:marLeft w:val="0"/>
      <w:marRight w:val="0"/>
      <w:marTop w:val="0"/>
      <w:marBottom w:val="0"/>
      <w:divBdr>
        <w:top w:val="none" w:sz="0" w:space="0" w:color="auto"/>
        <w:left w:val="none" w:sz="0" w:space="0" w:color="auto"/>
        <w:bottom w:val="none" w:sz="0" w:space="0" w:color="auto"/>
        <w:right w:val="none" w:sz="0" w:space="0" w:color="auto"/>
      </w:divBdr>
      <w:divsChild>
        <w:div w:id="236597040">
          <w:marLeft w:val="0"/>
          <w:marRight w:val="0"/>
          <w:marTop w:val="0"/>
          <w:marBottom w:val="0"/>
          <w:divBdr>
            <w:top w:val="none" w:sz="0" w:space="0" w:color="auto"/>
            <w:left w:val="none" w:sz="0" w:space="0" w:color="auto"/>
            <w:bottom w:val="none" w:sz="0" w:space="0" w:color="auto"/>
            <w:right w:val="none" w:sz="0" w:space="0" w:color="auto"/>
          </w:divBdr>
          <w:divsChild>
            <w:div w:id="1892230594">
              <w:marLeft w:val="0"/>
              <w:marRight w:val="0"/>
              <w:marTop w:val="0"/>
              <w:marBottom w:val="0"/>
              <w:divBdr>
                <w:top w:val="none" w:sz="0" w:space="0" w:color="auto"/>
                <w:left w:val="none" w:sz="0" w:space="0" w:color="auto"/>
                <w:bottom w:val="none" w:sz="0" w:space="0" w:color="auto"/>
                <w:right w:val="none" w:sz="0" w:space="0" w:color="auto"/>
              </w:divBdr>
              <w:divsChild>
                <w:div w:id="860363731">
                  <w:marLeft w:val="0"/>
                  <w:marRight w:val="0"/>
                  <w:marTop w:val="0"/>
                  <w:marBottom w:val="0"/>
                  <w:divBdr>
                    <w:top w:val="none" w:sz="0" w:space="0" w:color="auto"/>
                    <w:left w:val="none" w:sz="0" w:space="0" w:color="auto"/>
                    <w:bottom w:val="none" w:sz="0" w:space="0" w:color="auto"/>
                    <w:right w:val="none" w:sz="0" w:space="0" w:color="auto"/>
                  </w:divBdr>
                  <w:divsChild>
                    <w:div w:id="766654966">
                      <w:marLeft w:val="0"/>
                      <w:marRight w:val="0"/>
                      <w:marTop w:val="0"/>
                      <w:marBottom w:val="0"/>
                      <w:divBdr>
                        <w:top w:val="none" w:sz="0" w:space="0" w:color="auto"/>
                        <w:left w:val="none" w:sz="0" w:space="0" w:color="auto"/>
                        <w:bottom w:val="none" w:sz="0" w:space="0" w:color="auto"/>
                        <w:right w:val="none" w:sz="0" w:space="0" w:color="auto"/>
                      </w:divBdr>
                      <w:divsChild>
                        <w:div w:id="40255830">
                          <w:marLeft w:val="0"/>
                          <w:marRight w:val="0"/>
                          <w:marTop w:val="0"/>
                          <w:marBottom w:val="0"/>
                          <w:divBdr>
                            <w:top w:val="none" w:sz="0" w:space="0" w:color="auto"/>
                            <w:left w:val="none" w:sz="0" w:space="0" w:color="auto"/>
                            <w:bottom w:val="none" w:sz="0" w:space="0" w:color="auto"/>
                            <w:right w:val="none" w:sz="0" w:space="0" w:color="auto"/>
                          </w:divBdr>
                          <w:divsChild>
                            <w:div w:id="19010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85671">
      <w:bodyDiv w:val="1"/>
      <w:marLeft w:val="0"/>
      <w:marRight w:val="0"/>
      <w:marTop w:val="0"/>
      <w:marBottom w:val="0"/>
      <w:divBdr>
        <w:top w:val="none" w:sz="0" w:space="0" w:color="auto"/>
        <w:left w:val="none" w:sz="0" w:space="0" w:color="auto"/>
        <w:bottom w:val="none" w:sz="0" w:space="0" w:color="auto"/>
        <w:right w:val="none" w:sz="0" w:space="0" w:color="auto"/>
      </w:divBdr>
    </w:div>
    <w:div w:id="1887140881">
      <w:bodyDiv w:val="1"/>
      <w:marLeft w:val="0"/>
      <w:marRight w:val="0"/>
      <w:marTop w:val="0"/>
      <w:marBottom w:val="0"/>
      <w:divBdr>
        <w:top w:val="none" w:sz="0" w:space="0" w:color="auto"/>
        <w:left w:val="none" w:sz="0" w:space="0" w:color="auto"/>
        <w:bottom w:val="none" w:sz="0" w:space="0" w:color="auto"/>
        <w:right w:val="none" w:sz="0" w:space="0" w:color="auto"/>
      </w:divBdr>
    </w:div>
    <w:div w:id="1893467850">
      <w:bodyDiv w:val="1"/>
      <w:marLeft w:val="0"/>
      <w:marRight w:val="0"/>
      <w:marTop w:val="0"/>
      <w:marBottom w:val="0"/>
      <w:divBdr>
        <w:top w:val="none" w:sz="0" w:space="0" w:color="auto"/>
        <w:left w:val="none" w:sz="0" w:space="0" w:color="auto"/>
        <w:bottom w:val="none" w:sz="0" w:space="0" w:color="auto"/>
        <w:right w:val="none" w:sz="0" w:space="0" w:color="auto"/>
      </w:divBdr>
    </w:div>
    <w:div w:id="1919248089">
      <w:bodyDiv w:val="1"/>
      <w:marLeft w:val="0"/>
      <w:marRight w:val="0"/>
      <w:marTop w:val="0"/>
      <w:marBottom w:val="0"/>
      <w:divBdr>
        <w:top w:val="none" w:sz="0" w:space="0" w:color="auto"/>
        <w:left w:val="none" w:sz="0" w:space="0" w:color="auto"/>
        <w:bottom w:val="none" w:sz="0" w:space="0" w:color="auto"/>
        <w:right w:val="none" w:sz="0" w:space="0" w:color="auto"/>
      </w:divBdr>
    </w:div>
    <w:div w:id="1932426804">
      <w:bodyDiv w:val="1"/>
      <w:marLeft w:val="0"/>
      <w:marRight w:val="0"/>
      <w:marTop w:val="0"/>
      <w:marBottom w:val="0"/>
      <w:divBdr>
        <w:top w:val="none" w:sz="0" w:space="0" w:color="auto"/>
        <w:left w:val="none" w:sz="0" w:space="0" w:color="auto"/>
        <w:bottom w:val="none" w:sz="0" w:space="0" w:color="auto"/>
        <w:right w:val="none" w:sz="0" w:space="0" w:color="auto"/>
      </w:divBdr>
    </w:div>
    <w:div w:id="1936547137">
      <w:bodyDiv w:val="1"/>
      <w:marLeft w:val="0"/>
      <w:marRight w:val="0"/>
      <w:marTop w:val="0"/>
      <w:marBottom w:val="0"/>
      <w:divBdr>
        <w:top w:val="none" w:sz="0" w:space="0" w:color="auto"/>
        <w:left w:val="none" w:sz="0" w:space="0" w:color="auto"/>
        <w:bottom w:val="none" w:sz="0" w:space="0" w:color="auto"/>
        <w:right w:val="none" w:sz="0" w:space="0" w:color="auto"/>
      </w:divBdr>
    </w:div>
    <w:div w:id="1958020176">
      <w:bodyDiv w:val="1"/>
      <w:marLeft w:val="0"/>
      <w:marRight w:val="0"/>
      <w:marTop w:val="0"/>
      <w:marBottom w:val="0"/>
      <w:divBdr>
        <w:top w:val="none" w:sz="0" w:space="0" w:color="auto"/>
        <w:left w:val="none" w:sz="0" w:space="0" w:color="auto"/>
        <w:bottom w:val="none" w:sz="0" w:space="0" w:color="auto"/>
        <w:right w:val="none" w:sz="0" w:space="0" w:color="auto"/>
      </w:divBdr>
    </w:div>
    <w:div w:id="1973241453">
      <w:bodyDiv w:val="1"/>
      <w:marLeft w:val="0"/>
      <w:marRight w:val="0"/>
      <w:marTop w:val="0"/>
      <w:marBottom w:val="0"/>
      <w:divBdr>
        <w:top w:val="none" w:sz="0" w:space="0" w:color="auto"/>
        <w:left w:val="none" w:sz="0" w:space="0" w:color="auto"/>
        <w:bottom w:val="none" w:sz="0" w:space="0" w:color="auto"/>
        <w:right w:val="none" w:sz="0" w:space="0" w:color="auto"/>
      </w:divBdr>
    </w:div>
    <w:div w:id="1989895521">
      <w:bodyDiv w:val="1"/>
      <w:marLeft w:val="0"/>
      <w:marRight w:val="0"/>
      <w:marTop w:val="0"/>
      <w:marBottom w:val="0"/>
      <w:divBdr>
        <w:top w:val="none" w:sz="0" w:space="0" w:color="auto"/>
        <w:left w:val="none" w:sz="0" w:space="0" w:color="auto"/>
        <w:bottom w:val="none" w:sz="0" w:space="0" w:color="auto"/>
        <w:right w:val="none" w:sz="0" w:space="0" w:color="auto"/>
      </w:divBdr>
    </w:div>
    <w:div w:id="2009864094">
      <w:bodyDiv w:val="1"/>
      <w:marLeft w:val="0"/>
      <w:marRight w:val="0"/>
      <w:marTop w:val="0"/>
      <w:marBottom w:val="0"/>
      <w:divBdr>
        <w:top w:val="none" w:sz="0" w:space="0" w:color="auto"/>
        <w:left w:val="none" w:sz="0" w:space="0" w:color="auto"/>
        <w:bottom w:val="none" w:sz="0" w:space="0" w:color="auto"/>
        <w:right w:val="none" w:sz="0" w:space="0" w:color="auto"/>
      </w:divBdr>
    </w:div>
    <w:div w:id="2010673252">
      <w:bodyDiv w:val="1"/>
      <w:marLeft w:val="0"/>
      <w:marRight w:val="0"/>
      <w:marTop w:val="0"/>
      <w:marBottom w:val="0"/>
      <w:divBdr>
        <w:top w:val="none" w:sz="0" w:space="0" w:color="auto"/>
        <w:left w:val="none" w:sz="0" w:space="0" w:color="auto"/>
        <w:bottom w:val="none" w:sz="0" w:space="0" w:color="auto"/>
        <w:right w:val="none" w:sz="0" w:space="0" w:color="auto"/>
      </w:divBdr>
    </w:div>
    <w:div w:id="2025328331">
      <w:bodyDiv w:val="1"/>
      <w:marLeft w:val="0"/>
      <w:marRight w:val="0"/>
      <w:marTop w:val="0"/>
      <w:marBottom w:val="0"/>
      <w:divBdr>
        <w:top w:val="none" w:sz="0" w:space="0" w:color="auto"/>
        <w:left w:val="none" w:sz="0" w:space="0" w:color="auto"/>
        <w:bottom w:val="none" w:sz="0" w:space="0" w:color="auto"/>
        <w:right w:val="none" w:sz="0" w:space="0" w:color="auto"/>
      </w:divBdr>
    </w:div>
    <w:div w:id="2030327782">
      <w:bodyDiv w:val="1"/>
      <w:marLeft w:val="0"/>
      <w:marRight w:val="0"/>
      <w:marTop w:val="0"/>
      <w:marBottom w:val="0"/>
      <w:divBdr>
        <w:top w:val="none" w:sz="0" w:space="0" w:color="auto"/>
        <w:left w:val="none" w:sz="0" w:space="0" w:color="auto"/>
        <w:bottom w:val="none" w:sz="0" w:space="0" w:color="auto"/>
        <w:right w:val="none" w:sz="0" w:space="0" w:color="auto"/>
      </w:divBdr>
    </w:div>
    <w:div w:id="2031642173">
      <w:bodyDiv w:val="1"/>
      <w:marLeft w:val="0"/>
      <w:marRight w:val="0"/>
      <w:marTop w:val="0"/>
      <w:marBottom w:val="0"/>
      <w:divBdr>
        <w:top w:val="none" w:sz="0" w:space="0" w:color="auto"/>
        <w:left w:val="none" w:sz="0" w:space="0" w:color="auto"/>
        <w:bottom w:val="none" w:sz="0" w:space="0" w:color="auto"/>
        <w:right w:val="none" w:sz="0" w:space="0" w:color="auto"/>
      </w:divBdr>
    </w:div>
    <w:div w:id="2061857974">
      <w:bodyDiv w:val="1"/>
      <w:marLeft w:val="0"/>
      <w:marRight w:val="0"/>
      <w:marTop w:val="0"/>
      <w:marBottom w:val="0"/>
      <w:divBdr>
        <w:top w:val="none" w:sz="0" w:space="0" w:color="auto"/>
        <w:left w:val="none" w:sz="0" w:space="0" w:color="auto"/>
        <w:bottom w:val="none" w:sz="0" w:space="0" w:color="auto"/>
        <w:right w:val="none" w:sz="0" w:space="0" w:color="auto"/>
      </w:divBdr>
    </w:div>
    <w:div w:id="2064482150">
      <w:bodyDiv w:val="1"/>
      <w:marLeft w:val="0"/>
      <w:marRight w:val="0"/>
      <w:marTop w:val="0"/>
      <w:marBottom w:val="0"/>
      <w:divBdr>
        <w:top w:val="none" w:sz="0" w:space="0" w:color="auto"/>
        <w:left w:val="none" w:sz="0" w:space="0" w:color="auto"/>
        <w:bottom w:val="none" w:sz="0" w:space="0" w:color="auto"/>
        <w:right w:val="none" w:sz="0" w:space="0" w:color="auto"/>
      </w:divBdr>
    </w:div>
    <w:div w:id="2067416396">
      <w:bodyDiv w:val="1"/>
      <w:marLeft w:val="0"/>
      <w:marRight w:val="0"/>
      <w:marTop w:val="0"/>
      <w:marBottom w:val="0"/>
      <w:divBdr>
        <w:top w:val="none" w:sz="0" w:space="0" w:color="auto"/>
        <w:left w:val="none" w:sz="0" w:space="0" w:color="auto"/>
        <w:bottom w:val="none" w:sz="0" w:space="0" w:color="auto"/>
        <w:right w:val="none" w:sz="0" w:space="0" w:color="auto"/>
      </w:divBdr>
    </w:div>
    <w:div w:id="2069841128">
      <w:bodyDiv w:val="1"/>
      <w:marLeft w:val="0"/>
      <w:marRight w:val="0"/>
      <w:marTop w:val="0"/>
      <w:marBottom w:val="0"/>
      <w:divBdr>
        <w:top w:val="none" w:sz="0" w:space="0" w:color="auto"/>
        <w:left w:val="none" w:sz="0" w:space="0" w:color="auto"/>
        <w:bottom w:val="none" w:sz="0" w:space="0" w:color="auto"/>
        <w:right w:val="none" w:sz="0" w:space="0" w:color="auto"/>
      </w:divBdr>
    </w:div>
    <w:div w:id="2089570623">
      <w:bodyDiv w:val="1"/>
      <w:marLeft w:val="0"/>
      <w:marRight w:val="0"/>
      <w:marTop w:val="0"/>
      <w:marBottom w:val="0"/>
      <w:divBdr>
        <w:top w:val="none" w:sz="0" w:space="0" w:color="auto"/>
        <w:left w:val="none" w:sz="0" w:space="0" w:color="auto"/>
        <w:bottom w:val="none" w:sz="0" w:space="0" w:color="auto"/>
        <w:right w:val="none" w:sz="0" w:space="0" w:color="auto"/>
      </w:divBdr>
    </w:div>
    <w:div w:id="2096395281">
      <w:bodyDiv w:val="1"/>
      <w:marLeft w:val="0"/>
      <w:marRight w:val="0"/>
      <w:marTop w:val="0"/>
      <w:marBottom w:val="0"/>
      <w:divBdr>
        <w:top w:val="none" w:sz="0" w:space="0" w:color="auto"/>
        <w:left w:val="none" w:sz="0" w:space="0" w:color="auto"/>
        <w:bottom w:val="none" w:sz="0" w:space="0" w:color="auto"/>
        <w:right w:val="none" w:sz="0" w:space="0" w:color="auto"/>
      </w:divBdr>
    </w:div>
    <w:div w:id="2115207112">
      <w:bodyDiv w:val="1"/>
      <w:marLeft w:val="0"/>
      <w:marRight w:val="0"/>
      <w:marTop w:val="0"/>
      <w:marBottom w:val="0"/>
      <w:divBdr>
        <w:top w:val="none" w:sz="0" w:space="0" w:color="auto"/>
        <w:left w:val="none" w:sz="0" w:space="0" w:color="auto"/>
        <w:bottom w:val="none" w:sz="0" w:space="0" w:color="auto"/>
        <w:right w:val="none" w:sz="0" w:space="0" w:color="auto"/>
      </w:divBdr>
    </w:div>
    <w:div w:id="2120680674">
      <w:bodyDiv w:val="1"/>
      <w:marLeft w:val="0"/>
      <w:marRight w:val="0"/>
      <w:marTop w:val="0"/>
      <w:marBottom w:val="0"/>
      <w:divBdr>
        <w:top w:val="none" w:sz="0" w:space="0" w:color="auto"/>
        <w:left w:val="none" w:sz="0" w:space="0" w:color="auto"/>
        <w:bottom w:val="none" w:sz="0" w:space="0" w:color="auto"/>
        <w:right w:val="none" w:sz="0" w:space="0" w:color="auto"/>
      </w:divBdr>
    </w:div>
    <w:div w:id="21248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middlefield.co.uk/mcit.htm" TargetMode="External"/><Relationship Id="rId26" Type="http://schemas.openxmlformats.org/officeDocument/2006/relationships/hyperlink" Target="http://www.middlefield.co.uk/mcit.htm"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theaic.co.uk" TargetMode="External"/><Relationship Id="rId25" Type="http://schemas.openxmlformats.org/officeDocument/2006/relationships/hyperlink" Target="mailto:fundservicesgsy@jtcgroup.com" TargetMode="External"/><Relationship Id="rId2" Type="http://schemas.openxmlformats.org/officeDocument/2006/relationships/numbering" Target="numbering.xml"/><Relationship Id="rId16" Type="http://schemas.openxmlformats.org/officeDocument/2006/relationships/hyperlink" Target="http://www.frc.org.uk"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middlefield.co.uk/mcit.htm" TargetMode="External"/><Relationship Id="rId5" Type="http://schemas.openxmlformats.org/officeDocument/2006/relationships/settings" Target="settings.xml"/><Relationship Id="rId15" Type="http://schemas.openxmlformats.org/officeDocument/2006/relationships/hyperlink" Target="mailto:fundservicesgsy@jtcgroup.com" TargetMode="External"/><Relationship Id="rId23" Type="http://schemas.openxmlformats.org/officeDocument/2006/relationships/hyperlink" Target="http://www.frc.org.uk/auditorsresponsibilities"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fundservicesgsy@jtcgroup.com" TargetMode="External"/><Relationship Id="rId4" Type="http://schemas.microsoft.com/office/2007/relationships/stylesWithEffects" Target="stylesWithEffects.xml"/><Relationship Id="rId9" Type="http://schemas.openxmlformats.org/officeDocument/2006/relationships/hyperlink" Target="http://www.morningstar.co.uk/uk/nsm" TargetMode="External"/><Relationship Id="rId14" Type="http://schemas.openxmlformats.org/officeDocument/2006/relationships/chart" Target="charts/chart1.xml"/><Relationship Id="rId22" Type="http://schemas.openxmlformats.org/officeDocument/2006/relationships/hyperlink" Target="http://www.frc.org.uk/auditorsresponsibilities" TargetMode="External"/><Relationship Id="rId27" Type="http://schemas.openxmlformats.org/officeDocument/2006/relationships/header" Target="head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vorsc\AppData\Local\Microsoft\Windows\Temporary%20Internet%20Files\Content.Outlook\1E6PSQ2Z\Defensive%20Shift%20Backup%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'Defensive chart'!$A$27</c:f>
              <c:strCache>
                <c:ptCount val="1"/>
                <c:pt idx="0">
                  <c:v>Real Estate</c:v>
                </c:pt>
              </c:strCache>
            </c:strRef>
          </c:tx>
          <c:spPr>
            <a:solidFill>
              <a:schemeClr val="accent1">
                <a:lumMod val="50000"/>
              </a:schemeClr>
            </a:solidFill>
          </c:spPr>
          <c:invertIfNegative val="0"/>
          <c:dPt>
            <c:idx val="0"/>
            <c:invertIfNegative val="0"/>
            <c:bubble3D val="0"/>
          </c:dPt>
          <c:dPt>
            <c:idx val="3"/>
            <c:invertIfNegative val="0"/>
            <c:bubble3D val="0"/>
            <c:spPr>
              <a:solidFill>
                <a:schemeClr val="accent1">
                  <a:lumMod val="50000"/>
                </a:schemeClr>
              </a:solidFill>
            </c:spPr>
          </c:dPt>
          <c:dLbls>
            <c:txPr>
              <a:bodyPr/>
              <a:lstStyle/>
              <a:p>
                <a:pPr>
                  <a:defRPr sz="800">
                    <a:solidFill>
                      <a:schemeClr val="bg1">
                        <a:lumMod val="75000"/>
                      </a:schemeClr>
                    </a:solidFill>
                  </a:defRPr>
                </a:pPr>
                <a:endParaRPr lang="en-US"/>
              </a:p>
            </c:txPr>
            <c:showLegendKey val="0"/>
            <c:showVal val="1"/>
            <c:showCatName val="0"/>
            <c:showSerName val="0"/>
            <c:showPercent val="0"/>
            <c:showBubbleSize val="0"/>
            <c:showLeaderLines val="0"/>
          </c:dLbls>
          <c:cat>
            <c:numRef>
              <c:f>'Defensive chart'!$B$25:$C$25</c:f>
              <c:numCache>
                <c:formatCode>General</c:formatCode>
                <c:ptCount val="2"/>
                <c:pt idx="0">
                  <c:v>2017</c:v>
                </c:pt>
                <c:pt idx="1">
                  <c:v>2018</c:v>
                </c:pt>
              </c:numCache>
            </c:numRef>
          </c:cat>
          <c:val>
            <c:numRef>
              <c:f>'Defensive chart'!$B$27:$C$27</c:f>
              <c:numCache>
                <c:formatCode>0%</c:formatCode>
                <c:ptCount val="2"/>
                <c:pt idx="0">
                  <c:v>0.221</c:v>
                </c:pt>
                <c:pt idx="1">
                  <c:v>0.2</c:v>
                </c:pt>
              </c:numCache>
            </c:numRef>
          </c:val>
        </c:ser>
        <c:ser>
          <c:idx val="1"/>
          <c:order val="1"/>
          <c:tx>
            <c:strRef>
              <c:f>'Defensive chart'!$A$28</c:f>
              <c:strCache>
                <c:ptCount val="1"/>
                <c:pt idx="0">
                  <c:v>Pipelines</c:v>
                </c:pt>
              </c:strCache>
            </c:strRef>
          </c:tx>
          <c:spPr>
            <a:solidFill>
              <a:schemeClr val="accent1">
                <a:lumMod val="75000"/>
              </a:schemeClr>
            </a:solidFill>
          </c:spPr>
          <c:invertIfNegative val="0"/>
          <c:dLbls>
            <c:dLbl>
              <c:idx val="0"/>
              <c:layout>
                <c:manualLayout>
                  <c:x val="8.3331146106736653E-3"/>
                  <c:y val="4.6296296296296294E-3"/>
                </c:manualLayout>
              </c:layout>
              <c:showLegendKey val="0"/>
              <c:showVal val="1"/>
              <c:showCatName val="0"/>
              <c:showSerName val="0"/>
              <c:showPercent val="0"/>
              <c:showBubbleSize val="0"/>
            </c:dLbl>
            <c:dLbl>
              <c:idx val="1"/>
              <c:layout>
                <c:manualLayout>
                  <c:x val="2.7777777777777779E-3"/>
                  <c:y val="-4.6296296296296294E-3"/>
                </c:manualLayout>
              </c:layout>
              <c:showLegendKey val="0"/>
              <c:showVal val="1"/>
              <c:showCatName val="0"/>
              <c:showSerName val="0"/>
              <c:showPercent val="0"/>
              <c:showBubbleSize val="0"/>
            </c:dLbl>
            <c:txPr>
              <a:bodyPr/>
              <a:lstStyle/>
              <a:p>
                <a:pPr>
                  <a:defRPr sz="800">
                    <a:solidFill>
                      <a:schemeClr val="bg1">
                        <a:lumMod val="75000"/>
                      </a:schemeClr>
                    </a:solidFill>
                  </a:defRPr>
                </a:pPr>
                <a:endParaRPr lang="en-US"/>
              </a:p>
            </c:txPr>
            <c:showLegendKey val="0"/>
            <c:showVal val="1"/>
            <c:showCatName val="0"/>
            <c:showSerName val="0"/>
            <c:showPercent val="0"/>
            <c:showBubbleSize val="0"/>
            <c:showLeaderLines val="0"/>
          </c:dLbls>
          <c:cat>
            <c:numRef>
              <c:f>'Defensive chart'!$B$25:$C$25</c:f>
              <c:numCache>
                <c:formatCode>General</c:formatCode>
                <c:ptCount val="2"/>
                <c:pt idx="0">
                  <c:v>2017</c:v>
                </c:pt>
                <c:pt idx="1">
                  <c:v>2018</c:v>
                </c:pt>
              </c:numCache>
            </c:numRef>
          </c:cat>
          <c:val>
            <c:numRef>
              <c:f>'Defensive chart'!$B$28:$C$28</c:f>
              <c:numCache>
                <c:formatCode>0%</c:formatCode>
                <c:ptCount val="2"/>
                <c:pt idx="0">
                  <c:v>0.16500000000000001</c:v>
                </c:pt>
                <c:pt idx="1">
                  <c:v>0.17699999999999999</c:v>
                </c:pt>
              </c:numCache>
            </c:numRef>
          </c:val>
        </c:ser>
        <c:ser>
          <c:idx val="2"/>
          <c:order val="2"/>
          <c:tx>
            <c:strRef>
              <c:f>'Defensive chart'!$A$29</c:f>
              <c:strCache>
                <c:ptCount val="1"/>
                <c:pt idx="0">
                  <c:v>Utilities</c:v>
                </c:pt>
              </c:strCache>
            </c:strRef>
          </c:tx>
          <c:spPr>
            <a:solidFill>
              <a:schemeClr val="tx2">
                <a:lumMod val="60000"/>
                <a:lumOff val="40000"/>
              </a:schemeClr>
            </a:solidFill>
          </c:spPr>
          <c:invertIfNegative val="0"/>
          <c:dLbls>
            <c:dLbl>
              <c:idx val="0"/>
              <c:layout>
                <c:manualLayout>
                  <c:x val="2.7771287966489823E-3"/>
                  <c:y val="0"/>
                </c:manualLayout>
              </c:layout>
              <c:showLegendKey val="0"/>
              <c:showVal val="1"/>
              <c:showCatName val="0"/>
              <c:showSerName val="0"/>
              <c:showPercent val="0"/>
              <c:showBubbleSize val="0"/>
            </c:dLbl>
            <c:dLbl>
              <c:idx val="1"/>
              <c:layout>
                <c:manualLayout>
                  <c:x val="5.5555555555555558E-3"/>
                  <c:y val="1.3888888888888973E-2"/>
                </c:manualLayout>
              </c:layout>
              <c:showLegendKey val="0"/>
              <c:showVal val="1"/>
              <c:showCatName val="0"/>
              <c:showSerName val="0"/>
              <c:showPercent val="0"/>
              <c:showBubbleSize val="0"/>
            </c:dLbl>
            <c:txPr>
              <a:bodyPr/>
              <a:lstStyle/>
              <a:p>
                <a:pPr>
                  <a:defRPr sz="800">
                    <a:solidFill>
                      <a:sysClr val="windowText" lastClr="000000"/>
                    </a:solidFill>
                  </a:defRPr>
                </a:pPr>
                <a:endParaRPr lang="en-US"/>
              </a:p>
            </c:txPr>
            <c:showLegendKey val="0"/>
            <c:showVal val="1"/>
            <c:showCatName val="0"/>
            <c:showSerName val="0"/>
            <c:showPercent val="0"/>
            <c:showBubbleSize val="0"/>
            <c:showLeaderLines val="0"/>
          </c:dLbls>
          <c:cat>
            <c:numRef>
              <c:f>'Defensive chart'!$B$25:$C$25</c:f>
              <c:numCache>
                <c:formatCode>General</c:formatCode>
                <c:ptCount val="2"/>
                <c:pt idx="0">
                  <c:v>2017</c:v>
                </c:pt>
                <c:pt idx="1">
                  <c:v>2018</c:v>
                </c:pt>
              </c:numCache>
            </c:numRef>
          </c:cat>
          <c:val>
            <c:numRef>
              <c:f>'Defensive chart'!$B$29:$C$29</c:f>
              <c:numCache>
                <c:formatCode>0%</c:formatCode>
                <c:ptCount val="2"/>
                <c:pt idx="0">
                  <c:v>5.2999999999999999E-2</c:v>
                </c:pt>
                <c:pt idx="1">
                  <c:v>0.13700000000000001</c:v>
                </c:pt>
              </c:numCache>
            </c:numRef>
          </c:val>
        </c:ser>
        <c:ser>
          <c:idx val="3"/>
          <c:order val="3"/>
          <c:tx>
            <c:strRef>
              <c:f>'Defensive chart'!$A$30</c:f>
              <c:strCache>
                <c:ptCount val="1"/>
                <c:pt idx="0">
                  <c:v>Healthcare</c:v>
                </c:pt>
              </c:strCache>
            </c:strRef>
          </c:tx>
          <c:spPr>
            <a:solidFill>
              <a:schemeClr val="accent1">
                <a:lumMod val="60000"/>
                <a:lumOff val="40000"/>
              </a:schemeClr>
            </a:solidFill>
          </c:spPr>
          <c:invertIfNegative val="0"/>
          <c:dLbls>
            <c:dLbl>
              <c:idx val="0"/>
              <c:layout>
                <c:manualLayout>
                  <c:x val="2.7879423032047507E-3"/>
                  <c:y val="-7.2907553226757634E-7"/>
                </c:manualLayout>
              </c:layout>
              <c:showLegendKey val="0"/>
              <c:showVal val="1"/>
              <c:showCatName val="0"/>
              <c:showSerName val="0"/>
              <c:showPercent val="0"/>
              <c:showBubbleSize val="0"/>
            </c:dLbl>
            <c:dLbl>
              <c:idx val="1"/>
              <c:layout>
                <c:manualLayout>
                  <c:x val="2.7766912812812552E-3"/>
                  <c:y val="4.6296296296296294E-3"/>
                </c:manualLayout>
              </c:layout>
              <c:showLegendKey val="0"/>
              <c:showVal val="1"/>
              <c:showCatName val="0"/>
              <c:showSerName val="0"/>
              <c:showPercent val="0"/>
              <c:showBubbleSize val="0"/>
            </c:dLbl>
            <c:txPr>
              <a:bodyPr/>
              <a:lstStyle/>
              <a:p>
                <a:pPr>
                  <a:defRPr sz="800">
                    <a:solidFill>
                      <a:sysClr val="windowText" lastClr="000000"/>
                    </a:solidFill>
                  </a:defRPr>
                </a:pPr>
                <a:endParaRPr lang="en-US"/>
              </a:p>
            </c:txPr>
            <c:showLegendKey val="0"/>
            <c:showVal val="1"/>
            <c:showCatName val="0"/>
            <c:showSerName val="0"/>
            <c:showPercent val="0"/>
            <c:showBubbleSize val="0"/>
            <c:showLeaderLines val="0"/>
          </c:dLbls>
          <c:cat>
            <c:numRef>
              <c:f>'Defensive chart'!$B$25:$C$25</c:f>
              <c:numCache>
                <c:formatCode>General</c:formatCode>
                <c:ptCount val="2"/>
                <c:pt idx="0">
                  <c:v>2017</c:v>
                </c:pt>
                <c:pt idx="1">
                  <c:v>2018</c:v>
                </c:pt>
              </c:numCache>
            </c:numRef>
          </c:cat>
          <c:val>
            <c:numRef>
              <c:f>'Defensive chart'!$B$30:$C$30</c:f>
              <c:numCache>
                <c:formatCode>0%</c:formatCode>
                <c:ptCount val="2"/>
                <c:pt idx="0">
                  <c:v>2.7E-2</c:v>
                </c:pt>
                <c:pt idx="1">
                  <c:v>6.0999999999999999E-2</c:v>
                </c:pt>
              </c:numCache>
            </c:numRef>
          </c:val>
        </c:ser>
        <c:dLbls>
          <c:showLegendKey val="0"/>
          <c:showVal val="1"/>
          <c:showCatName val="0"/>
          <c:showSerName val="0"/>
          <c:showPercent val="0"/>
          <c:showBubbleSize val="0"/>
        </c:dLbls>
        <c:gapWidth val="190"/>
        <c:overlap val="100"/>
        <c:axId val="256270336"/>
        <c:axId val="256271872"/>
      </c:barChart>
      <c:catAx>
        <c:axId val="256270336"/>
        <c:scaling>
          <c:orientation val="minMax"/>
        </c:scaling>
        <c:delete val="0"/>
        <c:axPos val="b"/>
        <c:numFmt formatCode="General" sourceLinked="1"/>
        <c:majorTickMark val="out"/>
        <c:minorTickMark val="none"/>
        <c:tickLblPos val="nextTo"/>
        <c:crossAx val="256271872"/>
        <c:crosses val="autoZero"/>
        <c:auto val="1"/>
        <c:lblAlgn val="ctr"/>
        <c:lblOffset val="100"/>
        <c:noMultiLvlLbl val="0"/>
      </c:catAx>
      <c:valAx>
        <c:axId val="256271872"/>
        <c:scaling>
          <c:orientation val="minMax"/>
        </c:scaling>
        <c:delete val="0"/>
        <c:axPos val="l"/>
        <c:numFmt formatCode="0%" sourceLinked="0"/>
        <c:majorTickMark val="out"/>
        <c:minorTickMark val="none"/>
        <c:tickLblPos val="nextTo"/>
        <c:crossAx val="256270336"/>
        <c:crosses val="autoZero"/>
        <c:crossBetween val="between"/>
      </c:valAx>
    </c:plotArea>
    <c:legend>
      <c:legendPos val="r"/>
      <c:layout/>
      <c:overlay val="0"/>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801224641242034E-2"/>
          <c:y val="9.4853647238570635E-2"/>
          <c:w val="0.93412074684953328"/>
          <c:h val="0.80295950660488424"/>
        </c:manualLayout>
      </c:layout>
      <c:ofPieChart>
        <c:ofPieType val="bar"/>
        <c:varyColors val="1"/>
        <c:ser>
          <c:idx val="0"/>
          <c:order val="0"/>
          <c:tx>
            <c:strRef>
              <c:f>Sheet1!$B$2</c:f>
              <c:strCache>
                <c:ptCount val="1"/>
                <c:pt idx="0">
                  <c:v>Benchmark</c:v>
                </c:pt>
              </c:strCache>
            </c:strRef>
          </c:tx>
          <c:spPr>
            <a:solidFill>
              <a:srgbClr val="012169"/>
            </a:solidFill>
            <a:ln w="12700"/>
          </c:spPr>
          <c:dPt>
            <c:idx val="0"/>
            <c:bubble3D val="0"/>
            <c:spPr>
              <a:solidFill>
                <a:srgbClr val="86BC25"/>
              </a:solidFill>
              <a:ln w="12700">
                <a:solidFill>
                  <a:schemeClr val="lt1"/>
                </a:solidFill>
              </a:ln>
              <a:effectLst/>
            </c:spPr>
            <c:extLst xmlns:c16r2="http://schemas.microsoft.com/office/drawing/2015/06/chart">
              <c:ext xmlns:c16="http://schemas.microsoft.com/office/drawing/2014/chart" uri="{C3380CC4-5D6E-409C-BE32-E72D297353CC}">
                <c16:uniqueId val="{00000001-9A4E-4062-AD1A-B7F11C538413}"/>
              </c:ext>
            </c:extLst>
          </c:dPt>
          <c:dPt>
            <c:idx val="1"/>
            <c:bubble3D val="0"/>
            <c:spPr>
              <a:solidFill>
                <a:srgbClr val="012169"/>
              </a:solidFill>
              <a:ln w="12700">
                <a:solidFill>
                  <a:schemeClr val="lt1"/>
                </a:solidFill>
              </a:ln>
              <a:effectLst/>
            </c:spPr>
            <c:extLst xmlns:c16r2="http://schemas.microsoft.com/office/drawing/2015/06/chart">
              <c:ext xmlns:c16="http://schemas.microsoft.com/office/drawing/2014/chart" uri="{C3380CC4-5D6E-409C-BE32-E72D297353CC}">
                <c16:uniqueId val="{00000003-9A4E-4062-AD1A-B7F11C538413}"/>
              </c:ext>
            </c:extLst>
          </c:dPt>
          <c:dPt>
            <c:idx val="2"/>
            <c:bubble3D val="0"/>
            <c:spPr>
              <a:solidFill>
                <a:srgbClr val="62B5E5"/>
              </a:solidFill>
              <a:ln w="12700">
                <a:solidFill>
                  <a:schemeClr val="lt1"/>
                </a:solidFill>
              </a:ln>
              <a:effectLst/>
            </c:spPr>
            <c:extLst xmlns:c16r2="http://schemas.microsoft.com/office/drawing/2015/06/chart">
              <c:ext xmlns:c16="http://schemas.microsoft.com/office/drawing/2014/chart" uri="{C3380CC4-5D6E-409C-BE32-E72D297353CC}">
                <c16:uniqueId val="{00000005-9A4E-4062-AD1A-B7F11C538413}"/>
              </c:ext>
            </c:extLst>
          </c:dPt>
          <c:dPt>
            <c:idx val="3"/>
            <c:bubble3D val="0"/>
            <c:spPr>
              <a:solidFill>
                <a:srgbClr val="012169"/>
              </a:solidFill>
              <a:ln w="12700">
                <a:solidFill>
                  <a:schemeClr val="lt1"/>
                </a:solidFill>
              </a:ln>
              <a:effectLst/>
            </c:spPr>
            <c:extLst xmlns:c16r2="http://schemas.microsoft.com/office/drawing/2015/06/chart">
              <c:ext xmlns:c16="http://schemas.microsoft.com/office/drawing/2014/chart" uri="{C3380CC4-5D6E-409C-BE32-E72D297353CC}">
                <c16:uniqueId val="{00000007-9A4E-4062-AD1A-B7F11C538413}"/>
              </c:ext>
            </c:extLst>
          </c:dPt>
          <c:dPt>
            <c:idx val="4"/>
            <c:bubble3D val="0"/>
            <c:spPr>
              <a:solidFill>
                <a:srgbClr val="0097A9"/>
              </a:solidFill>
              <a:ln w="12700">
                <a:solidFill>
                  <a:schemeClr val="lt1"/>
                </a:solidFill>
              </a:ln>
              <a:effectLst/>
            </c:spPr>
            <c:extLst xmlns:c16r2="http://schemas.microsoft.com/office/drawing/2015/06/chart">
              <c:ext xmlns:c16="http://schemas.microsoft.com/office/drawing/2014/chart" uri="{C3380CC4-5D6E-409C-BE32-E72D297353CC}">
                <c16:uniqueId val="{00000009-9A4E-4062-AD1A-B7F11C538413}"/>
              </c:ext>
            </c:extLst>
          </c:dPt>
          <c:dPt>
            <c:idx val="5"/>
            <c:bubble3D val="0"/>
            <c:spPr>
              <a:solidFill>
                <a:srgbClr val="012169"/>
              </a:solidFill>
              <a:ln w="12700">
                <a:solidFill>
                  <a:schemeClr val="lt1"/>
                </a:solidFill>
              </a:ln>
              <a:effectLst/>
            </c:spPr>
            <c:extLst xmlns:c16r2="http://schemas.microsoft.com/office/drawing/2015/06/chart">
              <c:ext xmlns:c16="http://schemas.microsoft.com/office/drawing/2014/chart" uri="{C3380CC4-5D6E-409C-BE32-E72D297353CC}">
                <c16:uniqueId val="{0000000B-9A4E-4062-AD1A-B7F11C538413}"/>
              </c:ext>
            </c:extLst>
          </c:dPt>
          <c:dLbls>
            <c:dLbl>
              <c:idx val="0"/>
              <c:layout/>
              <c:tx>
                <c:rich>
                  <a:bodyPr/>
                  <a:lstStyle/>
                  <a:p>
                    <a:fld id="{9440B8E9-34B0-49CC-B142-5F6AAE1EEDDB}" type="CELLRANGE">
                      <a:rPr lang="en-US"/>
                      <a:pPr/>
                      <a:t>[CELLRANGE]</a:t>
                    </a:fld>
                    <a:endParaRPr lang="en-GB"/>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1-9A4E-4062-AD1A-B7F11C538413}"/>
                </c:ext>
              </c:extLst>
            </c:dLbl>
            <c:dLbl>
              <c:idx val="1"/>
              <c:layout/>
              <c:tx>
                <c:rich>
                  <a:bodyPr/>
                  <a:lstStyle/>
                  <a:p>
                    <a:fld id="{1696F87E-B03A-42D4-AEBA-611FD1DED536}" type="CELLRANGE">
                      <a:rPr lang="en-GB"/>
                      <a:pPr/>
                      <a:t>[CELLRANGE]</a:t>
                    </a:fld>
                    <a:endParaRPr lang="en-GB"/>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9A4E-4062-AD1A-B7F11C538413}"/>
                </c:ext>
              </c:extLst>
            </c:dLbl>
            <c:dLbl>
              <c:idx val="2"/>
              <c:layout/>
              <c:tx>
                <c:rich>
                  <a:bodyPr/>
                  <a:lstStyle/>
                  <a:p>
                    <a:fld id="{A0BECACD-EEF2-41D9-8793-FCEDD4EF565D}" type="CELLRANGE">
                      <a:rPr lang="en-US"/>
                      <a:pPr/>
                      <a:t>[CELLRANGE]</a:t>
                    </a:fld>
                    <a:endParaRPr lang="en-GB"/>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5-9A4E-4062-AD1A-B7F11C538413}"/>
                </c:ext>
              </c:extLst>
            </c:dLbl>
            <c:dLbl>
              <c:idx val="3"/>
              <c:layout/>
              <c:tx>
                <c:rich>
                  <a:bodyPr/>
                  <a:lstStyle/>
                  <a:p>
                    <a:fld id="{79E0D0A4-2154-4CBA-97AD-29B30CF2B2A6}" type="CELLRANGE">
                      <a:rPr lang="en-GB"/>
                      <a:pPr/>
                      <a:t>[CELLRANGE]</a:t>
                    </a:fld>
                    <a:endParaRPr lang="en-GB"/>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7-9A4E-4062-AD1A-B7F11C538413}"/>
                </c:ext>
              </c:extLst>
            </c:dLbl>
            <c:dLbl>
              <c:idx val="4"/>
              <c:layout>
                <c:manualLayout>
                  <c:x val="8.3256923435970701E-3"/>
                  <c:y val="7.9346741028908999E-2"/>
                </c:manualLayout>
              </c:layout>
              <c:tx>
                <c:rich>
                  <a:bodyPr/>
                  <a:lstStyle/>
                  <a:p>
                    <a:fld id="{C8F9636B-41AD-466E-91E6-4CDECEE064BD}" type="CELLRANGE">
                      <a:rPr lang="en-US"/>
                      <a:pPr/>
                      <a:t>[CELLRANGE]</a:t>
                    </a:fld>
                    <a:endParaRPr lang="en-GB"/>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9-9A4E-4062-AD1A-B7F11C538413}"/>
                </c:ext>
              </c:extLst>
            </c:dLbl>
            <c:dLbl>
              <c:idx val="5"/>
              <c:layout/>
              <c:tx>
                <c:rich>
                  <a:bodyPr/>
                  <a:lstStyle/>
                  <a:p>
                    <a:endParaRPr lang="en-US"/>
                  </a:p>
                </c:rich>
              </c:tx>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9A4E-4062-AD1A-B7F11C5384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showDataLabelsRange val="1"/>
              </c:ext>
            </c:extLst>
          </c:dLbls>
          <c:cat>
            <c:strRef>
              <c:f>Sheet1!$A$3:$A$7</c:f>
              <c:strCache>
                <c:ptCount val="5"/>
                <c:pt idx="0">
                  <c:v>Net Asset Value</c:v>
                </c:pt>
                <c:pt idx="1">
                  <c:v>Materiality</c:v>
                </c:pt>
                <c:pt idx="2">
                  <c:v>Component materiality range</c:v>
                </c:pt>
                <c:pt idx="3">
                  <c:v> </c:v>
                </c:pt>
                <c:pt idx="4">
                  <c:v>Audit Committee reporting threshold</c:v>
                </c:pt>
              </c:strCache>
            </c:strRef>
          </c:cat>
          <c:val>
            <c:numRef>
              <c:f>Sheet1!$B$3:$B$7</c:f>
              <c:numCache>
                <c:formatCode>0.00</c:formatCode>
                <c:ptCount val="5"/>
                <c:pt idx="0">
                  <c:v>101.15</c:v>
                </c:pt>
                <c:pt idx="1">
                  <c:v>0.96899999999999997</c:v>
                </c:pt>
                <c:pt idx="2">
                  <c:v>0</c:v>
                </c:pt>
                <c:pt idx="3">
                  <c:v>0</c:v>
                </c:pt>
                <c:pt idx="4">
                  <c:v>5.0999999999999997E-2</c:v>
                </c:pt>
              </c:numCache>
            </c:numRef>
          </c:val>
          <c:extLst xmlns:c16r2="http://schemas.microsoft.com/office/drawing/2015/06/chart">
            <c:ext xmlns:c15="http://schemas.microsoft.com/office/drawing/2012/chart" uri="{02D57815-91ED-43cb-92C2-25804820EDAC}">
              <c15:datalabelsRange>
                <c15:f>Sheet1!$C$3:$C$7</c15:f>
                <c15:dlblRangeCache>
                  <c:ptCount val="5"/>
                  <c:pt idx="0">
                    <c:v>Net Asset Value £102.17m</c:v>
                  </c:pt>
                  <c:pt idx="1">
                    <c:v>Materiality £1.02m</c:v>
                  </c:pt>
                  <c:pt idx="3">
                    <c:v> </c:v>
                  </c:pt>
                  <c:pt idx="4">
                    <c:v>Audit Committee reporting threshold £0.051m</c:v>
                  </c:pt>
                </c15:dlblRangeCache>
              </c15:datalabelsRange>
            </c:ext>
            <c:ext xmlns:c16="http://schemas.microsoft.com/office/drawing/2014/chart" uri="{C3380CC4-5D6E-409C-BE32-E72D297353CC}">
              <c16:uniqueId val="{0000000C-9A4E-4062-AD1A-B7F11C538413}"/>
            </c:ext>
          </c:extLst>
        </c:ser>
        <c:ser>
          <c:idx val="1"/>
          <c:order val="1"/>
          <c:tx>
            <c:strRef>
              <c:f>Sheet1!$C$2</c:f>
              <c:strCache>
                <c:ptCount val="1"/>
                <c:pt idx="0">
                  <c:v>Labels for the graphic</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E-9A4E-4062-AD1A-B7F11C53841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10-9A4E-4062-AD1A-B7F11C53841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12-9A4E-4062-AD1A-B7F11C53841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4-9A4E-4062-AD1A-B7F11C53841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6-9A4E-4062-AD1A-B7F11C538413}"/>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18-9A4E-4062-AD1A-B7F11C5384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Sheet1!$A$3:$A$7</c:f>
              <c:strCache>
                <c:ptCount val="5"/>
                <c:pt idx="0">
                  <c:v>Net Asset Value</c:v>
                </c:pt>
                <c:pt idx="1">
                  <c:v>Materiality</c:v>
                </c:pt>
                <c:pt idx="2">
                  <c:v>Component materiality range</c:v>
                </c:pt>
                <c:pt idx="3">
                  <c:v> </c:v>
                </c:pt>
                <c:pt idx="4">
                  <c:v>Audit Committee reporting threshold</c:v>
                </c:pt>
              </c:strCache>
            </c:strRef>
          </c:cat>
          <c:val>
            <c:numRef>
              <c:f>Sheet1!$C$3:$C$7</c:f>
              <c:numCache>
                <c:formatCode>General</c:formatCode>
                <c:ptCount val="5"/>
                <c:pt idx="0">
                  <c:v>0</c:v>
                </c:pt>
                <c:pt idx="1">
                  <c:v>0</c:v>
                </c:pt>
                <c:pt idx="3">
                  <c:v>0</c:v>
                </c:pt>
                <c:pt idx="4">
                  <c:v>0</c:v>
                </c:pt>
              </c:numCache>
            </c:numRef>
          </c:val>
          <c:extLst xmlns:c16r2="http://schemas.microsoft.com/office/drawing/2015/06/chart">
            <c:ext xmlns:c16="http://schemas.microsoft.com/office/drawing/2014/chart" uri="{C3380CC4-5D6E-409C-BE32-E72D297353CC}">
              <c16:uniqueId val="{00000019-9A4E-4062-AD1A-B7F11C538413}"/>
            </c:ext>
          </c:extLst>
        </c:ser>
        <c:dLbls>
          <c:showLegendKey val="0"/>
          <c:showVal val="1"/>
          <c:showCatName val="0"/>
          <c:showSerName val="0"/>
          <c:showPercent val="0"/>
          <c:showBubbleSize val="0"/>
          <c:showLeaderLines val="1"/>
        </c:dLbls>
        <c:gapWidth val="100"/>
        <c:splitType val="cust"/>
        <c:custSplit>
          <c:secondPiePt val="1"/>
          <c:secondPiePt val="2"/>
          <c:secondPiePt val="3"/>
          <c:secondPiePt val="4"/>
        </c:custSplit>
        <c:secondPieSize val="75"/>
        <c:serLines>
          <c:spPr>
            <a:ln w="9525" cap="flat" cmpd="sng" algn="ctr">
              <a:solidFill>
                <a:schemeClr val="tx1">
                  <a:lumMod val="35000"/>
                  <a:lumOff val="65000"/>
                </a:schemeClr>
              </a:solidFill>
              <a:round/>
            </a:ln>
            <a:effectLst/>
          </c:spPr>
        </c:serLines>
      </c:ofPieChart>
      <c:spPr>
        <a:noFill/>
        <a:ln w="25400">
          <a:noFill/>
        </a:ln>
        <a:effectLst/>
      </c:spPr>
    </c:plotArea>
    <c:legend>
      <c:legendPos val="b"/>
      <c:legendEntry>
        <c:idx val="2"/>
        <c:delete val="1"/>
      </c:legendEntry>
      <c:legendEntry>
        <c:idx val="3"/>
        <c:delete val="1"/>
      </c:legendEntry>
      <c:legendEntry>
        <c:idx val="4"/>
        <c:delete val="1"/>
      </c:legendEntry>
      <c:layout>
        <c:manualLayout>
          <c:xMode val="edge"/>
          <c:yMode val="edge"/>
          <c:x val="1.0090709080155143E-2"/>
          <c:y val="0.64865249923870016"/>
          <c:w val="0.21092870814148454"/>
          <c:h val="0.296098881976769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0.53989</cdr:x>
      <cdr:y>0.10052</cdr:y>
    </cdr:from>
    <cdr:to>
      <cdr:x>0.725</cdr:x>
      <cdr:y>0.19097</cdr:y>
    </cdr:to>
    <cdr:sp macro="" textlink="">
      <cdr:nvSpPr>
        <cdr:cNvPr id="2" name="TextBox 8"/>
        <cdr:cNvSpPr txBox="1"/>
      </cdr:nvSpPr>
      <cdr:spPr>
        <a:xfrm xmlns:a="http://schemas.openxmlformats.org/drawingml/2006/main">
          <a:off x="2468373" y="275737"/>
          <a:ext cx="846327" cy="248138"/>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CA" sz="800" b="1"/>
            <a:t>Total 58%</a:t>
          </a:r>
        </a:p>
      </cdr:txBody>
    </cdr:sp>
  </cdr:relSizeAnchor>
</c:userShapes>
</file>

<file path=word/drawings/drawing2.xml><?xml version="1.0" encoding="utf-8"?>
<c:userShapes xmlns:c="http://schemas.openxmlformats.org/drawingml/2006/chart">
  <cdr:relSizeAnchor xmlns:cdr="http://schemas.openxmlformats.org/drawingml/2006/chartDrawing">
    <cdr:from>
      <cdr:x>0.00144</cdr:x>
      <cdr:y>0.01093</cdr:y>
    </cdr:from>
    <cdr:to>
      <cdr:x>1</cdr:x>
      <cdr:y>1</cdr:y>
    </cdr:to>
    <cdr:pic>
      <cdr:nvPicPr>
        <cdr:cNvPr id="2" name="chart"/>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5731510" cy="183896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6AE5-7101-433B-B1E2-8852446A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68</Pages>
  <Words>32277</Words>
  <Characters>176885</Characters>
  <Application>Microsoft Office Word</Application>
  <DocSecurity>0</DocSecurity>
  <Lines>1474</Lines>
  <Paragraphs>417</Paragraphs>
  <ScaleCrop>false</ScaleCrop>
  <HeadingPairs>
    <vt:vector size="2" baseType="variant">
      <vt:variant>
        <vt:lpstr>Title</vt:lpstr>
      </vt:variant>
      <vt:variant>
        <vt:i4>1</vt:i4>
      </vt:variant>
    </vt:vector>
  </HeadingPairs>
  <TitlesOfParts>
    <vt:vector size="1" baseType="lpstr">
      <vt:lpstr>MIDDLEFIELD CANADIAN INCOME TRUSTS INVESTMENT COMPANY PCC</vt:lpstr>
    </vt:vector>
  </TitlesOfParts>
  <Company>Kleinwort Benson CI</Company>
  <LinksUpToDate>false</LinksUpToDate>
  <CharactersWithSpaces>208745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MIDDLEFIELD CANADIAN INCOME TRUSTS INVESTMENT COMPANY PCC</dc:title>
  <dc:creator>ISS</dc:creator>
  <cp:lastModifiedBy>marra</cp:lastModifiedBy>
  <cp:revision>12</cp:revision>
  <cp:lastPrinted>2019-04-11T15:50:00Z</cp:lastPrinted>
  <dcterms:created xsi:type="dcterms:W3CDTF">2019-04-12T07:11:00Z</dcterms:created>
  <dcterms:modified xsi:type="dcterms:W3CDTF">2019-04-12T13:39:00Z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lassification">
    <vt:lpwstr>Level U: Unclassified</vt:lpwstr>
  </property>
</Properties>
</file>