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14:paraId="77629CB9" w14:textId="77777777" w:rsidTr="003E0DFA">
        <w:tc>
          <w:tcPr>
            <w:tcW w:w="5912" w:type="dxa"/>
          </w:tcPr>
          <w:p w14:paraId="34DC02C2" w14:textId="6009A967" w:rsidR="00675301" w:rsidRPr="004C2C20" w:rsidRDefault="0076616B" w:rsidP="00BE2908">
            <w:pPr>
              <w:pStyle w:val="Eivli"/>
              <w:rPr>
                <w:rFonts w:ascii="FoundrySterling-Medium" w:hAnsi="FoundrySterling-Medium"/>
                <w:color w:val="404040"/>
                <w:sz w:val="24"/>
                <w:szCs w:val="24"/>
              </w:rPr>
            </w:pPr>
            <w:r>
              <w:rPr>
                <w:rFonts w:ascii="FoundrySterling-Medium" w:eastAsia="FoundrySterling-Medium" w:hAnsi="FoundrySterling-Medium" w:cs="FoundrySterling-Medium"/>
                <w:color w:val="404040"/>
                <w:sz w:val="24"/>
                <w:szCs w:val="24"/>
                <w:lang w:val="en-GB" w:bidi="en-GB"/>
              </w:rPr>
              <w:t>Interim report 1–3/2020</w:t>
            </w:r>
          </w:p>
        </w:tc>
      </w:tr>
    </w:tbl>
    <w:p w14:paraId="1D2353A7" w14:textId="77777777" w:rsidR="00675301" w:rsidRPr="009B45AE" w:rsidRDefault="0018426A" w:rsidP="00535890">
      <w:pPr>
        <w:rPr>
          <w:szCs w:val="24"/>
        </w:rPr>
      </w:pPr>
      <w:r>
        <w:rPr>
          <w:noProof/>
          <w:lang w:val="en-GB" w:bidi="en-GB"/>
        </w:rPr>
        <w:drawing>
          <wp:anchor distT="0" distB="0" distL="114300" distR="114300" simplePos="0" relativeHeight="251658240" behindDoc="1" locked="0" layoutInCell="1" allowOverlap="1" wp14:anchorId="7C267A98" wp14:editId="6B3A1A3E">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lang w:val="en-GB" w:bidi="en-GB"/>
        </w:rPr>
        <w:drawing>
          <wp:anchor distT="0" distB="0" distL="114300" distR="114300" simplePos="0" relativeHeight="251657216" behindDoc="0" locked="1" layoutInCell="1" allowOverlap="1" wp14:anchorId="2F0DB4A3" wp14:editId="3BD78B49">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eastAsia="FoundrySterling-Book" w:hAnsi="FoundrySterling-Book" w:cs="FoundrySterling-Book"/>
          <w:szCs w:val="24"/>
          <w:lang w:val="en-GB" w:bidi="en-GB"/>
        </w:rPr>
        <w:br w:type="page"/>
      </w:r>
      <w:bookmarkStart w:id="0" w:name="_Hlk496291757"/>
      <w:r w:rsidR="00675301">
        <w:rPr>
          <w:rFonts w:ascii="FoundrySterling-Book" w:eastAsia="FoundrySterling-Book" w:hAnsi="FoundrySterling-Book" w:cs="FoundrySterling-Book"/>
          <w:b/>
          <w:szCs w:val="24"/>
          <w:lang w:val="en-GB" w:bidi="en-GB"/>
        </w:rPr>
        <w:lastRenderedPageBreak/>
        <w:t>Tulikivi Corporation</w:t>
      </w:r>
      <w:r w:rsidR="00675301">
        <w:rPr>
          <w:rFonts w:ascii="FoundrySterling-Book" w:eastAsia="FoundrySterling-Book" w:hAnsi="FoundrySterling-Book" w:cs="FoundrySterling-Book"/>
          <w:b/>
          <w:szCs w:val="24"/>
          <w:lang w:val="en-GB" w:bidi="en-GB"/>
        </w:rPr>
        <w:tab/>
      </w:r>
      <w:r w:rsidR="00675301">
        <w:rPr>
          <w:rFonts w:ascii="FoundrySterling-Book" w:eastAsia="FoundrySterling-Book" w:hAnsi="FoundrySterling-Book" w:cs="FoundrySterling-Book"/>
          <w:b/>
          <w:szCs w:val="24"/>
          <w:lang w:val="en-GB" w:bidi="en-GB"/>
        </w:rPr>
        <w:tab/>
      </w:r>
      <w:r w:rsidR="00675301">
        <w:rPr>
          <w:rFonts w:ascii="FoundrySterling-Book" w:eastAsia="FoundrySterling-Book" w:hAnsi="FoundrySterling-Book" w:cs="FoundrySterling-Book"/>
          <w:b/>
          <w:szCs w:val="24"/>
          <w:lang w:val="en-GB" w:bidi="en-GB"/>
        </w:rPr>
        <w:tab/>
      </w:r>
    </w:p>
    <w:p w14:paraId="6F4CFD9D" w14:textId="6839D0CA" w:rsidR="00B13033" w:rsidRPr="00A5206E" w:rsidRDefault="0076616B" w:rsidP="00DE7695">
      <w:pPr>
        <w:rPr>
          <w:rFonts w:ascii="FoundrySterling-Book" w:hAnsi="FoundrySterling-Book"/>
          <w:b/>
          <w:szCs w:val="24"/>
        </w:rPr>
      </w:pPr>
      <w:r>
        <w:rPr>
          <w:rFonts w:ascii="FoundrySterling-Book" w:eastAsia="FoundrySterling-Book" w:hAnsi="FoundrySterling-Book" w:cs="FoundrySterling-Book"/>
          <w:b/>
          <w:szCs w:val="24"/>
          <w:lang w:val="en-GB" w:bidi="en-GB"/>
        </w:rPr>
        <w:t>Interim report 1–3/2020: Net sales and operating profit on the previous year’s level</w:t>
      </w:r>
    </w:p>
    <w:p w14:paraId="77AA68F7" w14:textId="5EAA87F8" w:rsidR="00675301" w:rsidRPr="00D93EC1" w:rsidRDefault="0076616B" w:rsidP="00EE64C7">
      <w:pPr>
        <w:outlineLvl w:val="0"/>
        <w:rPr>
          <w:rFonts w:ascii="FoundrySterling-Book" w:hAnsi="FoundrySterling-Book"/>
          <w:b/>
          <w:szCs w:val="24"/>
        </w:rPr>
      </w:pPr>
      <w:r w:rsidRPr="00A5206E">
        <w:rPr>
          <w:rFonts w:ascii="FoundrySterling-Book" w:eastAsia="FoundrySterling-Book" w:hAnsi="FoundrySterling-Book" w:cs="FoundrySterling-Book"/>
          <w:b/>
          <w:szCs w:val="24"/>
          <w:lang w:val="en-GB" w:bidi="en-GB"/>
        </w:rPr>
        <w:t>8 May 2020 at 1 pm</w:t>
      </w:r>
    </w:p>
    <w:p w14:paraId="5F89D286" w14:textId="77777777" w:rsidR="00675301" w:rsidRPr="00D93EC1" w:rsidRDefault="00675301" w:rsidP="00EE64C7">
      <w:pPr>
        <w:outlineLvl w:val="0"/>
        <w:rPr>
          <w:rFonts w:ascii="FoundrySterling-Book" w:hAnsi="FoundrySterling-Book"/>
          <w:szCs w:val="24"/>
        </w:rPr>
      </w:pPr>
    </w:p>
    <w:p w14:paraId="4F1D64C6" w14:textId="7DE8156F" w:rsidR="004A6A61" w:rsidRPr="003F4400" w:rsidRDefault="00675301" w:rsidP="004A6A61">
      <w:pPr>
        <w:rPr>
          <w:rFonts w:ascii="FoundrySterling-Book" w:hAnsi="FoundrySterling-Book"/>
          <w:szCs w:val="24"/>
        </w:rPr>
      </w:pPr>
      <w:r w:rsidRPr="00D93EC1">
        <w:rPr>
          <w:rFonts w:ascii="FoundrySterling-Book" w:eastAsia="FoundrySterling-Book" w:hAnsi="FoundrySterling-Book" w:cs="FoundrySterling-Book"/>
          <w:szCs w:val="24"/>
          <w:lang w:val="en-GB" w:bidi="en-GB"/>
        </w:rPr>
        <w:t>- The Tulikivi Group’s first-quarter net sales were EUR 5.7 million (EUR 5.8 million, 1–3/2019).</w:t>
      </w:r>
    </w:p>
    <w:p w14:paraId="144BBF36" w14:textId="7107DA86" w:rsidR="004172A1" w:rsidRPr="00D93EC1" w:rsidRDefault="002521C8" w:rsidP="004172A1">
      <w:pPr>
        <w:rPr>
          <w:rFonts w:ascii="FoundrySterling-Book" w:hAnsi="FoundrySterling-Book"/>
          <w:szCs w:val="24"/>
        </w:rPr>
      </w:pPr>
      <w:r>
        <w:rPr>
          <w:rFonts w:ascii="FoundrySterling-Book" w:eastAsia="FoundrySterling-Book" w:hAnsi="FoundrySterling-Book" w:cs="FoundrySterling-Book"/>
          <w:szCs w:val="24"/>
          <w:lang w:val="en-GB" w:bidi="en-GB"/>
        </w:rPr>
        <w:t xml:space="preserve">- The Tulikivi Group’s first-quarter operating profit was EUR -0.5 (-0.7) million and the profit before taxes was EUR -0.7 (-0.9) million. </w:t>
      </w:r>
    </w:p>
    <w:p w14:paraId="35AFEB01" w14:textId="576DA9BA" w:rsidR="00675301" w:rsidRPr="003F4400" w:rsidRDefault="00675301" w:rsidP="00EE64C7">
      <w:pPr>
        <w:rPr>
          <w:rFonts w:ascii="FoundrySterling-Book" w:hAnsi="FoundrySterling-Book"/>
          <w:szCs w:val="24"/>
        </w:rPr>
      </w:pPr>
      <w:r w:rsidRPr="003F4400">
        <w:rPr>
          <w:rFonts w:ascii="FoundrySterling-Book" w:eastAsia="FoundrySterling-Book" w:hAnsi="FoundrySterling-Book" w:cs="FoundrySterling-Book"/>
          <w:szCs w:val="24"/>
          <w:lang w:val="en-GB" w:bidi="en-GB"/>
        </w:rPr>
        <w:t>- Net cash flow from operating activities in the first quarter was EUR 0.1 (0.1) million.</w:t>
      </w:r>
    </w:p>
    <w:p w14:paraId="38D74E7E" w14:textId="657F7484" w:rsidR="005309EB" w:rsidRPr="00A5206E" w:rsidRDefault="00675301" w:rsidP="005309EB">
      <w:pPr>
        <w:rPr>
          <w:rFonts w:ascii="FoundrySterling-Book" w:hAnsi="FoundrySterling-Book"/>
          <w:szCs w:val="24"/>
        </w:rPr>
      </w:pPr>
      <w:r w:rsidRPr="002122A4">
        <w:rPr>
          <w:rFonts w:ascii="FoundrySterling-Book" w:eastAsia="FoundrySterling-Book" w:hAnsi="FoundrySterling-Book" w:cs="FoundrySterling-Book"/>
          <w:szCs w:val="24"/>
          <w:lang w:val="en-GB" w:bidi="en-GB"/>
        </w:rPr>
        <w:t>- Order books at the end of the review period stood at EUR 4.4 (4.5) million.</w:t>
      </w:r>
    </w:p>
    <w:p w14:paraId="5AF195F0" w14:textId="39916429" w:rsidR="0008432B" w:rsidRPr="00A5206E" w:rsidRDefault="0008432B" w:rsidP="005309EB">
      <w:pPr>
        <w:rPr>
          <w:rFonts w:ascii="FoundrySterling-Book" w:hAnsi="FoundrySterling-Book" w:cs="Courier New"/>
          <w:szCs w:val="24"/>
        </w:rPr>
      </w:pPr>
      <w:r w:rsidRPr="00A5206E">
        <w:rPr>
          <w:rFonts w:ascii="FoundrySterling-Book" w:eastAsia="FoundrySterling-Book" w:hAnsi="FoundrySterling-Book" w:cs="Courier New"/>
          <w:szCs w:val="24"/>
          <w:lang w:val="en-GB" w:bidi="en-GB"/>
        </w:rPr>
        <w:t>- Nordic Talc Oy was established for exploiting the talc reserves in Suomussalmi.</w:t>
      </w:r>
    </w:p>
    <w:p w14:paraId="74AD7315" w14:textId="365CCD9B" w:rsidR="002374C2" w:rsidRDefault="00675301" w:rsidP="0080316A">
      <w:pPr>
        <w:pStyle w:val="HTML-esimuotoiltu"/>
        <w:rPr>
          <w:rFonts w:ascii="FoundrySterling-Book" w:hAnsi="FoundrySterling-Book" w:cs="Courier New"/>
          <w:sz w:val="24"/>
          <w:szCs w:val="24"/>
        </w:rPr>
      </w:pPr>
      <w:r w:rsidRPr="00A5206E">
        <w:rPr>
          <w:rFonts w:ascii="FoundrySterling-Book" w:eastAsia="FoundrySterling-Book" w:hAnsi="FoundrySterling-Book" w:cs="Courier New"/>
          <w:sz w:val="24"/>
          <w:szCs w:val="24"/>
          <w:lang w:val="en-GB" w:bidi="en-GB"/>
        </w:rPr>
        <w:t>- Future outlook: Net sales are expected to amount to EUR 27–29 million in 2020, and the comparable operating profit is expected to be positive.</w:t>
      </w:r>
    </w:p>
    <w:p w14:paraId="2148928B" w14:textId="77777777" w:rsidR="0074174C" w:rsidRPr="002374C2" w:rsidRDefault="0074174C" w:rsidP="0080316A">
      <w:pPr>
        <w:pStyle w:val="HTML-esimuotoiltu"/>
        <w:rPr>
          <w:rFonts w:ascii="FoundrySterling-Book" w:hAnsi="FoundrySterling-Book" w:cs="Courier New"/>
          <w:sz w:val="24"/>
          <w:szCs w:val="24"/>
        </w:rPr>
      </w:pPr>
    </w:p>
    <w:bookmarkEnd w:id="0"/>
    <w:p w14:paraId="79329A69" w14:textId="7BA4D08E" w:rsidR="00E219D4" w:rsidRDefault="00E219D4" w:rsidP="00535890">
      <w:pPr>
        <w:autoSpaceDE w:val="0"/>
        <w:autoSpaceDN w:val="0"/>
        <w:adjustRightInd w:val="0"/>
        <w:rPr>
          <w:rFonts w:ascii="FoundrySterling-Book" w:hAnsi="FoundrySterling-Book" w:cs="Helv"/>
          <w:szCs w:val="24"/>
        </w:rPr>
      </w:pPr>
    </w:p>
    <w:p w14:paraId="7CE1CCD8" w14:textId="3DE0C3F2" w:rsidR="00022F86" w:rsidRDefault="0074174C" w:rsidP="00535890">
      <w:pPr>
        <w:autoSpaceDE w:val="0"/>
        <w:autoSpaceDN w:val="0"/>
        <w:adjustRightInd w:val="0"/>
        <w:rPr>
          <w:rFonts w:ascii="FoundrySterling-Book" w:hAnsi="FoundrySterling-Book" w:cs="Helv"/>
          <w:szCs w:val="24"/>
        </w:rPr>
      </w:pPr>
      <w:r w:rsidRPr="0074174C">
        <w:rPr>
          <w:noProof/>
          <w:lang w:val="en-GB" w:bidi="en-GB"/>
        </w:rPr>
        <w:drawing>
          <wp:inline distT="0" distB="0" distL="0" distR="0" wp14:anchorId="72C9F546" wp14:editId="50DFD78B">
            <wp:extent cx="6120130" cy="20383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038350"/>
                    </a:xfrm>
                    <a:prstGeom prst="rect">
                      <a:avLst/>
                    </a:prstGeom>
                  </pic:spPr>
                </pic:pic>
              </a:graphicData>
            </a:graphic>
          </wp:inline>
        </w:drawing>
      </w:r>
    </w:p>
    <w:p w14:paraId="78167C22" w14:textId="77777777" w:rsidR="00022F86" w:rsidRDefault="00022F86" w:rsidP="00535890">
      <w:pPr>
        <w:autoSpaceDE w:val="0"/>
        <w:autoSpaceDN w:val="0"/>
        <w:adjustRightInd w:val="0"/>
        <w:rPr>
          <w:rFonts w:ascii="FoundrySterling-Book" w:hAnsi="FoundrySterling-Book" w:cs="Helv"/>
          <w:szCs w:val="24"/>
        </w:rPr>
      </w:pPr>
    </w:p>
    <w:p w14:paraId="035F8F74" w14:textId="77777777" w:rsidR="006C63A3" w:rsidRDefault="006C63A3" w:rsidP="00535890">
      <w:pPr>
        <w:autoSpaceDE w:val="0"/>
        <w:autoSpaceDN w:val="0"/>
        <w:adjustRightInd w:val="0"/>
        <w:rPr>
          <w:rFonts w:ascii="FoundrySterling-Book" w:hAnsi="FoundrySterling-Book" w:cs="Helv"/>
          <w:szCs w:val="24"/>
        </w:rPr>
      </w:pPr>
    </w:p>
    <w:p w14:paraId="5C403FD8" w14:textId="77777777" w:rsidR="00675301" w:rsidRPr="0065435C" w:rsidRDefault="00675301" w:rsidP="00EE64C7">
      <w:pPr>
        <w:rPr>
          <w:rFonts w:ascii="FoundrySterling-Book" w:hAnsi="FoundrySterling-Book" w:cs="Courier New"/>
          <w:b/>
          <w:color w:val="000000"/>
          <w:szCs w:val="24"/>
        </w:rPr>
      </w:pPr>
      <w:r w:rsidRPr="0065435C">
        <w:rPr>
          <w:rFonts w:ascii="FoundrySterling-Book" w:eastAsia="FoundrySterling-Book" w:hAnsi="FoundrySterling-Book" w:cs="Courier New"/>
          <w:b/>
          <w:szCs w:val="24"/>
          <w:lang w:val="en-GB" w:bidi="en-GB"/>
        </w:rPr>
        <w:t>Comments by Heikki Vauhkonen, Managing Director:</w:t>
      </w:r>
    </w:p>
    <w:p w14:paraId="043972C9" w14:textId="77777777" w:rsidR="00022F86" w:rsidRDefault="00022F86" w:rsidP="0027603B">
      <w:pPr>
        <w:rPr>
          <w:rFonts w:ascii="FoundrySterling-Book" w:hAnsi="FoundrySterling-Book"/>
          <w:highlight w:val="yellow"/>
        </w:rPr>
      </w:pPr>
      <w:bookmarkStart w:id="1" w:name="_Hlk16236626"/>
      <w:bookmarkStart w:id="2" w:name="_Hlk480747137"/>
    </w:p>
    <w:p w14:paraId="3AF25E9D" w14:textId="084FFD58" w:rsidR="0027603B" w:rsidRPr="00802AF9" w:rsidRDefault="00E0270A" w:rsidP="0027603B">
      <w:pPr>
        <w:rPr>
          <w:rFonts w:ascii="FoundrySterling-Book" w:hAnsi="FoundrySterling-Book"/>
        </w:rPr>
      </w:pPr>
      <w:r w:rsidRPr="00A5206E">
        <w:rPr>
          <w:rFonts w:ascii="FoundrySterling-Book" w:eastAsia="FoundrySterling-Book" w:hAnsi="FoundrySterling-Book" w:cs="FoundrySterling-Book"/>
          <w:lang w:val="en-GB" w:bidi="en-GB"/>
        </w:rPr>
        <w:t xml:space="preserve">Net sales in the first quarter were at a low level, in line with normal seasonality in the sector. Net sales grew in Finland, but the restrictions imposed in Central Europe because of the Covid-19 pandemic postponed deliveries somewhat, due to which net sales fell slightly from the previous year’s figure. The sales margin improved in the first quarter due to price increases and measures improving productivity. Fixed costs decreased as planned in the review period. </w:t>
      </w:r>
    </w:p>
    <w:p w14:paraId="37946EF1" w14:textId="77777777" w:rsidR="00871D36" w:rsidRDefault="00871D36" w:rsidP="0027603B">
      <w:pPr>
        <w:autoSpaceDE w:val="0"/>
        <w:autoSpaceDN w:val="0"/>
        <w:spacing w:after="240"/>
        <w:rPr>
          <w:rFonts w:ascii="FoundrySterling-Book" w:eastAsia="FoundrySterling-Book" w:hAnsi="FoundrySterling-Book" w:cs="FoundrySterling-Book"/>
          <w:lang w:val="en-GB" w:bidi="en-GB"/>
        </w:rPr>
      </w:pPr>
    </w:p>
    <w:p w14:paraId="7C7538E7" w14:textId="77D8146C" w:rsidR="0027603B" w:rsidRPr="00802AF9" w:rsidRDefault="0027603B" w:rsidP="0027603B">
      <w:pPr>
        <w:autoSpaceDE w:val="0"/>
        <w:autoSpaceDN w:val="0"/>
        <w:spacing w:after="240"/>
        <w:rPr>
          <w:rFonts w:ascii="FoundrySterling-Book" w:hAnsi="FoundrySterling-Book"/>
        </w:rPr>
      </w:pPr>
      <w:r w:rsidRPr="00802AF9">
        <w:rPr>
          <w:rFonts w:ascii="FoundrySterling-Book" w:eastAsia="FoundrySterling-Book" w:hAnsi="FoundrySterling-Book" w:cs="FoundrySterling-Book"/>
          <w:lang w:val="en-GB" w:bidi="en-GB"/>
        </w:rPr>
        <w:t>Net sales from fireplaces grew in Finland as a result of higher renovation sales and redesigned product ranges. The sales of fireplaces for new buildings were slightly lower than in the previous year. We are continuing our efforts to enhance sales efficiency in Finland to further increase renovation sales. The sales of saunas and interior decoration stone products have developed favourably in the first months of the year.</w:t>
      </w:r>
    </w:p>
    <w:p w14:paraId="33D6ECE2" w14:textId="524A5487" w:rsidR="00C80A9B" w:rsidRPr="00802AF9" w:rsidRDefault="0027603B" w:rsidP="0027603B">
      <w:pPr>
        <w:autoSpaceDE w:val="0"/>
        <w:autoSpaceDN w:val="0"/>
        <w:spacing w:after="240"/>
        <w:rPr>
          <w:rFonts w:ascii="FoundrySterling-Book" w:hAnsi="FoundrySterling-Book"/>
        </w:rPr>
      </w:pPr>
      <w:r w:rsidRPr="00802AF9">
        <w:rPr>
          <w:rFonts w:ascii="FoundrySterling-Book" w:eastAsia="FoundrySterling-Book" w:hAnsi="FoundrySterling-Book" w:cs="FoundrySterling-Book"/>
          <w:lang w:val="en-GB" w:bidi="en-GB"/>
        </w:rPr>
        <w:lastRenderedPageBreak/>
        <w:t>In the first quarter, net sales continued to develop favourably in the largest export countries, Germany and Russia.</w:t>
      </w:r>
    </w:p>
    <w:p w14:paraId="0842DF80" w14:textId="041B6112" w:rsidR="0027603B" w:rsidRPr="00A5206E" w:rsidRDefault="00BF0A96" w:rsidP="00BA1EAD">
      <w:pPr>
        <w:autoSpaceDE w:val="0"/>
        <w:autoSpaceDN w:val="0"/>
        <w:spacing w:after="240"/>
        <w:rPr>
          <w:rFonts w:ascii="FoundrySterling-Book" w:hAnsi="FoundrySterling-Book" w:cs="FoundrySterling-Book"/>
          <w:szCs w:val="24"/>
        </w:rPr>
      </w:pPr>
      <w:r w:rsidRPr="00802AF9">
        <w:rPr>
          <w:rFonts w:ascii="FoundrySterling-Book" w:eastAsia="FoundrySterling-Book" w:hAnsi="FoundrySterling-Book" w:cs="FoundrySterling-Book"/>
          <w:color w:val="000000"/>
          <w:szCs w:val="24"/>
          <w:lang w:val="en-GB" w:bidi="en-GB"/>
        </w:rPr>
        <w:t>Tulikivi’s order books at the end of the review period amounted to EUR 4.4 (4.4) million. In the first quarter, the company’s order intake was EUR 7.3 (7.2) million.</w:t>
      </w:r>
    </w:p>
    <w:p w14:paraId="599B89D6" w14:textId="309083B6" w:rsidR="002144EB" w:rsidRPr="00A5206E" w:rsidRDefault="00C602FB" w:rsidP="00BA1EAD">
      <w:pPr>
        <w:autoSpaceDE w:val="0"/>
        <w:autoSpaceDN w:val="0"/>
        <w:spacing w:after="240"/>
        <w:rPr>
          <w:rFonts w:ascii="FoundrySterling-Book" w:hAnsi="FoundrySterling-Book" w:cs="FoundrySterling-Book"/>
          <w:szCs w:val="24"/>
        </w:rPr>
      </w:pPr>
      <w:r w:rsidRPr="00A5206E">
        <w:rPr>
          <w:rFonts w:ascii="FoundrySterling-Book" w:eastAsia="FoundrySterling-Book" w:hAnsi="FoundrySterling-Book" w:cs="FoundrySterling-Book"/>
          <w:szCs w:val="24"/>
          <w:lang w:val="en-GB" w:bidi="en-GB"/>
        </w:rPr>
        <w:t xml:space="preserve">The Covid-19 pandemic will decrease second-quarter sales particularly in France, Belgium, Italy and Germany, where curfews have prevented dealers from conducting sales for the past several weeks. Similarly, the Covid-19 pandemic has had an impact on other markets, where the activities and movement of people have been restricted. </w:t>
      </w:r>
    </w:p>
    <w:p w14:paraId="04423AF5" w14:textId="7B5BF462" w:rsidR="002144EB" w:rsidRPr="00802AF9" w:rsidRDefault="002144EB" w:rsidP="00BA1EAD">
      <w:pPr>
        <w:autoSpaceDE w:val="0"/>
        <w:autoSpaceDN w:val="0"/>
        <w:spacing w:after="240"/>
        <w:rPr>
          <w:rFonts w:ascii="FoundrySterling-Book" w:hAnsi="FoundrySterling-Book" w:cs="FoundrySterling-Book"/>
          <w:szCs w:val="24"/>
        </w:rPr>
      </w:pPr>
      <w:r w:rsidRPr="00A5206E">
        <w:rPr>
          <w:rFonts w:ascii="FoundrySterling-Book" w:eastAsia="FoundrySterling-Book" w:hAnsi="FoundrySterling-Book" w:cs="FoundrySterling-Book"/>
          <w:szCs w:val="24"/>
          <w:lang w:val="en-GB" w:bidi="en-GB"/>
        </w:rPr>
        <w:t xml:space="preserve">In Finland, the effects of the Covid-19 pandemic have so far been more moderate. In part, the impact has even been positive as households have increased renovation projects, but on the other hand, cancellations of fairs and marketing events have made it more difficult to acquire new customers. Tulikivi has put more resources than before into digital marketing in 2020. </w:t>
      </w:r>
    </w:p>
    <w:p w14:paraId="447923CE" w14:textId="4378F279" w:rsidR="005F3A33" w:rsidRPr="00802AF9" w:rsidRDefault="002144EB" w:rsidP="00BA1EAD">
      <w:pPr>
        <w:autoSpaceDE w:val="0"/>
        <w:autoSpaceDN w:val="0"/>
        <w:spacing w:after="240"/>
        <w:rPr>
          <w:rFonts w:ascii="FoundrySterling-Book" w:hAnsi="FoundrySterling-Book" w:cs="FoundrySterling-Book"/>
          <w:szCs w:val="24"/>
        </w:rPr>
      </w:pPr>
      <w:r w:rsidRPr="00802AF9">
        <w:rPr>
          <w:rFonts w:ascii="FoundrySterling-Book" w:eastAsia="FoundrySterling-Book" w:hAnsi="FoundrySterling-Book" w:cs="FoundrySterling-Book"/>
          <w:szCs w:val="24"/>
          <w:lang w:val="en-GB" w:bidi="en-GB"/>
        </w:rPr>
        <w:t>In the long term, it is expected that the number of new buildings will decrease but the number of renovation projects in homes and holiday homes will increase. The sales trend will be impacted by the severity of the economic crisis arising from the coronavirus crisis as well as the effectiveness of stimulus measures.</w:t>
      </w:r>
    </w:p>
    <w:p w14:paraId="12BFE78D" w14:textId="486E7980" w:rsidR="00BA1EAD" w:rsidRPr="00802AF9" w:rsidRDefault="005F3A33" w:rsidP="00BA1EAD">
      <w:pPr>
        <w:autoSpaceDE w:val="0"/>
        <w:autoSpaceDN w:val="0"/>
        <w:spacing w:after="240"/>
        <w:rPr>
          <w:rFonts w:ascii="FoundrySterling-Book" w:hAnsi="FoundrySterling-Book" w:cs="FoundrySterling-Book"/>
          <w:szCs w:val="24"/>
        </w:rPr>
      </w:pPr>
      <w:r w:rsidRPr="00802AF9">
        <w:rPr>
          <w:rFonts w:ascii="FoundrySterling-Book" w:eastAsia="FoundrySterling-Book" w:hAnsi="FoundrySterling-Book" w:cs="FoundrySterling-Book"/>
          <w:szCs w:val="24"/>
          <w:lang w:val="en-GB" w:bidi="en-GB"/>
        </w:rPr>
        <w:t xml:space="preserve">Due to the uncertainty in net sales, operations have been adjusted by laying off production and office staff and postponing development projects.   </w:t>
      </w:r>
    </w:p>
    <w:p w14:paraId="70099AFF" w14:textId="39DA1F4E" w:rsidR="00954CA4" w:rsidRPr="00020554" w:rsidRDefault="00954CA4" w:rsidP="00954CA4">
      <w:pPr>
        <w:rPr>
          <w:rFonts w:ascii="FoundrySterling-Book" w:hAnsi="FoundrySterling-Book"/>
        </w:rPr>
      </w:pPr>
      <w:r w:rsidRPr="00020554">
        <w:rPr>
          <w:rFonts w:ascii="FoundrySterling-Book" w:eastAsia="FoundrySterling-Book" w:hAnsi="FoundrySterling-Book" w:cs="FoundrySterling-Book"/>
          <w:lang w:val="en-GB" w:bidi="en-GB"/>
        </w:rPr>
        <w:t>In March 2020, the Board of Directors of Tulikivi Corporation decided to establish Nordic Talc Oy. The company’s objective is the industrial exploitation of Tulikivi’s talc deposits in the Suomussalmi mining district. At the same time, an advisory board of professionals in the field of industrial minerals and mining was appointed for Nordic Talc Oy. It includes Jan Ekblom, Mikael von Hertzen, Eeva Ruokonen and Tarmo Tuominen.</w:t>
      </w:r>
    </w:p>
    <w:p w14:paraId="07D176D8" w14:textId="77777777" w:rsidR="00954CA4" w:rsidRPr="00020554" w:rsidRDefault="00954CA4" w:rsidP="00954CA4">
      <w:pPr>
        <w:rPr>
          <w:rFonts w:ascii="FoundrySterling-Book" w:hAnsi="FoundrySterling-Book"/>
        </w:rPr>
      </w:pPr>
    </w:p>
    <w:p w14:paraId="18D1B599" w14:textId="0DD68D69" w:rsidR="00954CA4" w:rsidRPr="00954CA4" w:rsidRDefault="006774FA" w:rsidP="00954CA4">
      <w:pPr>
        <w:rPr>
          <w:rFonts w:ascii="FoundrySterling-Book" w:hAnsi="FoundrySterling-Book"/>
        </w:rPr>
      </w:pPr>
      <w:r w:rsidRPr="00020554">
        <w:rPr>
          <w:rFonts w:ascii="FoundrySterling-Book" w:eastAsia="FoundrySterling-Book" w:hAnsi="FoundrySterling-Book" w:cs="FoundrySterling-Book"/>
          <w:lang w:val="en-GB" w:bidi="en-GB"/>
        </w:rPr>
        <w:t>Currently the company is planning a feasibility study of the Suomussalmi talc project, the purpose of which is to further specify the project's profitability, environmental and mining plans for industrial operations. At the same time, Tulikivi is exploring opportunities to attract outside financing and investors to start and develop Nordic Talc Oy’s operations for industrial exploitation.</w:t>
      </w:r>
    </w:p>
    <w:p w14:paraId="5290919B" w14:textId="2AF54BB5" w:rsidR="002A60DC" w:rsidRDefault="002A60DC" w:rsidP="00BF0A96">
      <w:pPr>
        <w:rPr>
          <w:rFonts w:ascii="FoundrySterling-Book" w:hAnsi="FoundrySterling-Book" w:cs="Arial"/>
        </w:rPr>
      </w:pPr>
    </w:p>
    <w:p w14:paraId="013B4897" w14:textId="77777777" w:rsidR="00022F86" w:rsidRDefault="00022F86" w:rsidP="00BF0A96">
      <w:pPr>
        <w:rPr>
          <w:rFonts w:ascii="FoundrySterling-Book" w:hAnsi="FoundrySterling-Book" w:cs="Arial"/>
        </w:rPr>
      </w:pPr>
    </w:p>
    <w:bookmarkEnd w:id="1"/>
    <w:bookmarkEnd w:id="2"/>
    <w:p w14:paraId="0AAEEE3F" w14:textId="77777777" w:rsidR="00871D36" w:rsidRDefault="00871D36" w:rsidP="00EE64C7">
      <w:pPr>
        <w:outlineLvl w:val="0"/>
        <w:rPr>
          <w:rFonts w:ascii="FoundrySterling-Book" w:eastAsia="FoundrySterling-Book" w:hAnsi="FoundrySterling-Book" w:cs="FoundrySterling-Book"/>
          <w:b/>
          <w:szCs w:val="24"/>
          <w:lang w:val="en-GB" w:bidi="en-GB"/>
        </w:rPr>
      </w:pPr>
    </w:p>
    <w:p w14:paraId="56927333" w14:textId="77777777" w:rsidR="00871D36" w:rsidRDefault="00871D36" w:rsidP="00EE64C7">
      <w:pPr>
        <w:outlineLvl w:val="0"/>
        <w:rPr>
          <w:rFonts w:ascii="FoundrySterling-Book" w:eastAsia="FoundrySterling-Book" w:hAnsi="FoundrySterling-Book" w:cs="FoundrySterling-Book"/>
          <w:b/>
          <w:szCs w:val="24"/>
          <w:lang w:val="en-GB" w:bidi="en-GB"/>
        </w:rPr>
      </w:pPr>
    </w:p>
    <w:p w14:paraId="5FD687D2" w14:textId="77777777" w:rsidR="00871D36" w:rsidRDefault="00871D36" w:rsidP="00EE64C7">
      <w:pPr>
        <w:outlineLvl w:val="0"/>
        <w:rPr>
          <w:rFonts w:ascii="FoundrySterling-Book" w:eastAsia="FoundrySterling-Book" w:hAnsi="FoundrySterling-Book" w:cs="FoundrySterling-Book"/>
          <w:b/>
          <w:szCs w:val="24"/>
          <w:lang w:val="en-GB" w:bidi="en-GB"/>
        </w:rPr>
      </w:pPr>
    </w:p>
    <w:p w14:paraId="6B07AEEA" w14:textId="77777777" w:rsidR="00871D36" w:rsidRDefault="00871D36" w:rsidP="00EE64C7">
      <w:pPr>
        <w:outlineLvl w:val="0"/>
        <w:rPr>
          <w:rFonts w:ascii="FoundrySterling-Book" w:eastAsia="FoundrySterling-Book" w:hAnsi="FoundrySterling-Book" w:cs="FoundrySterling-Book"/>
          <w:b/>
          <w:szCs w:val="24"/>
          <w:lang w:val="en-GB" w:bidi="en-GB"/>
        </w:rPr>
      </w:pPr>
    </w:p>
    <w:p w14:paraId="206CE3F5" w14:textId="77777777" w:rsidR="00871D36" w:rsidRDefault="00871D36" w:rsidP="00EE64C7">
      <w:pPr>
        <w:outlineLvl w:val="0"/>
        <w:rPr>
          <w:rFonts w:ascii="FoundrySterling-Book" w:eastAsia="FoundrySterling-Book" w:hAnsi="FoundrySterling-Book" w:cs="FoundrySterling-Book"/>
          <w:b/>
          <w:szCs w:val="24"/>
          <w:lang w:val="en-GB" w:bidi="en-GB"/>
        </w:rPr>
      </w:pPr>
    </w:p>
    <w:p w14:paraId="0BEBEEEE" w14:textId="77777777" w:rsidR="00871D36" w:rsidRDefault="00871D36" w:rsidP="00EE64C7">
      <w:pPr>
        <w:outlineLvl w:val="0"/>
        <w:rPr>
          <w:rFonts w:ascii="FoundrySterling-Book" w:eastAsia="FoundrySterling-Book" w:hAnsi="FoundrySterling-Book" w:cs="FoundrySterling-Book"/>
          <w:b/>
          <w:szCs w:val="24"/>
          <w:lang w:val="en-GB" w:bidi="en-GB"/>
        </w:rPr>
      </w:pPr>
    </w:p>
    <w:p w14:paraId="34DE8579" w14:textId="0C71FC62" w:rsidR="00675301" w:rsidRPr="000A364B" w:rsidRDefault="00004AA5" w:rsidP="00EE64C7">
      <w:pPr>
        <w:outlineLvl w:val="0"/>
        <w:rPr>
          <w:rFonts w:ascii="FoundrySterling-Book" w:hAnsi="FoundrySterling-Book"/>
          <w:b/>
          <w:szCs w:val="24"/>
        </w:rPr>
      </w:pPr>
      <w:r>
        <w:rPr>
          <w:rFonts w:ascii="FoundrySterling-Book" w:eastAsia="FoundrySterling-Book" w:hAnsi="FoundrySterling-Book" w:cs="FoundrySterling-Book"/>
          <w:b/>
          <w:szCs w:val="24"/>
          <w:lang w:val="en-GB" w:bidi="en-GB"/>
        </w:rPr>
        <w:lastRenderedPageBreak/>
        <w:t>Interim report 1–3/2020</w:t>
      </w:r>
    </w:p>
    <w:p w14:paraId="57B34A2C" w14:textId="77777777" w:rsidR="00675301" w:rsidRPr="000A364B" w:rsidRDefault="00675301" w:rsidP="00EE64C7">
      <w:pPr>
        <w:outlineLvl w:val="0"/>
        <w:rPr>
          <w:rFonts w:ascii="FoundrySterling-Book" w:hAnsi="FoundrySterling-Book"/>
          <w:b/>
          <w:szCs w:val="24"/>
        </w:rPr>
      </w:pPr>
    </w:p>
    <w:p w14:paraId="14316450" w14:textId="77777777" w:rsidR="00675301" w:rsidRPr="000A364B" w:rsidRDefault="00675301" w:rsidP="00EE64C7">
      <w:pPr>
        <w:outlineLvl w:val="0"/>
        <w:rPr>
          <w:rFonts w:ascii="FoundrySterling-Book" w:hAnsi="FoundrySterling-Book"/>
          <w:b/>
          <w:szCs w:val="24"/>
        </w:rPr>
      </w:pPr>
      <w:bookmarkStart w:id="3" w:name="_Hlk7434522"/>
      <w:r w:rsidRPr="000A364B">
        <w:rPr>
          <w:rFonts w:ascii="FoundrySterling-Book" w:eastAsia="FoundrySterling-Book" w:hAnsi="FoundrySterling-Book" w:cs="FoundrySterling-Book"/>
          <w:b/>
          <w:szCs w:val="24"/>
          <w:lang w:val="en-GB" w:bidi="en-GB"/>
        </w:rPr>
        <w:t xml:space="preserve">Operating environment </w:t>
      </w:r>
    </w:p>
    <w:bookmarkEnd w:id="3"/>
    <w:p w14:paraId="45E1FADF" w14:textId="77777777" w:rsidR="00675301" w:rsidRPr="00D23911" w:rsidRDefault="00675301" w:rsidP="00EE64C7">
      <w:pPr>
        <w:rPr>
          <w:rFonts w:ascii="FoundrySterling-Book" w:hAnsi="FoundrySterling-Book" w:cs="Courier"/>
          <w:color w:val="000000"/>
          <w:szCs w:val="24"/>
        </w:rPr>
      </w:pPr>
    </w:p>
    <w:p w14:paraId="675F732C" w14:textId="3BB1A8D8" w:rsidR="00670F82" w:rsidRPr="008701CC" w:rsidRDefault="00670F82" w:rsidP="00670F82">
      <w:pPr>
        <w:autoSpaceDE w:val="0"/>
        <w:autoSpaceDN w:val="0"/>
        <w:spacing w:after="240"/>
        <w:rPr>
          <w:rFonts w:ascii="FoundrySterling-Book" w:hAnsi="FoundrySterling-Book"/>
          <w:color w:val="000000"/>
          <w:sz w:val="22"/>
        </w:rPr>
      </w:pPr>
      <w:bookmarkStart w:id="4" w:name="_Hlk7434511"/>
      <w:r w:rsidRPr="00BB414A">
        <w:rPr>
          <w:rFonts w:ascii="FoundrySterling-Book" w:eastAsia="FoundrySterling-Book" w:hAnsi="FoundrySterling-Book" w:cs="FoundrySterling-Book"/>
          <w:color w:val="000000"/>
          <w:lang w:val="en-GB" w:bidi="en-GB"/>
        </w:rPr>
        <w:t xml:space="preserve">In Finland, low-rise housing construction and the renovation of fireplaces have stabilised at a lower level than before. The reduction in consumer confidence as a result of the Covid-19 pandemic may weaken the demand for Tulikivi products. </w:t>
      </w:r>
    </w:p>
    <w:p w14:paraId="53D25F1C" w14:textId="1B01BED7" w:rsidR="00670F82" w:rsidRPr="008701CC" w:rsidRDefault="00670F82" w:rsidP="00670F82">
      <w:pPr>
        <w:autoSpaceDE w:val="0"/>
        <w:autoSpaceDN w:val="0"/>
        <w:spacing w:after="240"/>
        <w:rPr>
          <w:rFonts w:ascii="FoundrySterling-Book" w:hAnsi="FoundrySterling-Book"/>
          <w:color w:val="000000"/>
        </w:rPr>
      </w:pPr>
      <w:r w:rsidRPr="008701CC">
        <w:rPr>
          <w:rFonts w:ascii="FoundrySterling-Book" w:eastAsia="FoundrySterling-Book" w:hAnsi="FoundrySterling-Book" w:cs="FoundrySterling-Book"/>
          <w:color w:val="000000"/>
          <w:lang w:val="en-GB" w:bidi="en-GB"/>
        </w:rPr>
        <w:t xml:space="preserve">In the EU area, the volume of low-rise housing construction and the demand for fireplaces are at the same level as in previous years. Demand may be affected by the Covid-19 pandemic, by country-specific construction and emissions regulations and by investment subsidies. Demand for Tulikivi products is growing in Russia, but is dependent on the exchange rate of the rouble.  </w:t>
      </w:r>
    </w:p>
    <w:p w14:paraId="4897A63D" w14:textId="7C7B0D0A" w:rsidR="00670F82" w:rsidRDefault="00670F82" w:rsidP="00670F82">
      <w:pPr>
        <w:autoSpaceDE w:val="0"/>
        <w:autoSpaceDN w:val="0"/>
        <w:spacing w:after="240"/>
        <w:rPr>
          <w:rFonts w:ascii="FoundrySterling-Book" w:hAnsi="FoundrySterling-Book"/>
          <w:color w:val="000000"/>
        </w:rPr>
      </w:pPr>
      <w:r w:rsidRPr="008701CC">
        <w:rPr>
          <w:rFonts w:ascii="FoundrySterling-Book" w:eastAsia="FoundrySterling-Book" w:hAnsi="FoundrySterling-Book" w:cs="FoundrySterling-Book"/>
          <w:color w:val="000000"/>
          <w:lang w:val="en-GB" w:bidi="en-GB"/>
        </w:rPr>
        <w:t>Rising consumer energy prices are increasing consumers’ interest in alternative heating solutions in the long term.</w:t>
      </w:r>
    </w:p>
    <w:bookmarkEnd w:id="4"/>
    <w:p w14:paraId="151EA355" w14:textId="77777777" w:rsidR="005F3373" w:rsidRPr="003F4400" w:rsidRDefault="005F3373" w:rsidP="00EE64C7">
      <w:pPr>
        <w:outlineLvl w:val="0"/>
        <w:rPr>
          <w:rFonts w:ascii="FoundrySterling-Book" w:hAnsi="FoundrySterling-Book"/>
          <w:b/>
          <w:szCs w:val="24"/>
        </w:rPr>
      </w:pPr>
    </w:p>
    <w:p w14:paraId="536CB823" w14:textId="77777777" w:rsidR="00675301" w:rsidRPr="003F4400" w:rsidRDefault="00675301" w:rsidP="00EE64C7">
      <w:pPr>
        <w:outlineLvl w:val="0"/>
        <w:rPr>
          <w:rFonts w:ascii="FoundrySterling-Book" w:hAnsi="FoundrySterling-Book"/>
          <w:b/>
          <w:szCs w:val="24"/>
        </w:rPr>
      </w:pPr>
      <w:r w:rsidRPr="003F4400">
        <w:rPr>
          <w:rFonts w:ascii="FoundrySterling-Book" w:eastAsia="FoundrySterling-Book" w:hAnsi="FoundrySterling-Book" w:cs="FoundrySterling-Book"/>
          <w:b/>
          <w:szCs w:val="24"/>
          <w:lang w:val="en-GB" w:bidi="en-GB"/>
        </w:rPr>
        <w:t>Net sales and result</w:t>
      </w:r>
    </w:p>
    <w:p w14:paraId="0CE102C4" w14:textId="77777777" w:rsidR="00675301" w:rsidRPr="003F4400" w:rsidRDefault="00675301" w:rsidP="00EE64C7">
      <w:pPr>
        <w:rPr>
          <w:rFonts w:ascii="FoundrySterling-Book" w:hAnsi="FoundrySterling-Book"/>
          <w:szCs w:val="24"/>
        </w:rPr>
      </w:pPr>
    </w:p>
    <w:p w14:paraId="49F86390" w14:textId="692DC26E" w:rsidR="004F6637" w:rsidRPr="008701CC" w:rsidRDefault="002F24F1" w:rsidP="004F6637">
      <w:pPr>
        <w:rPr>
          <w:rFonts w:ascii="FoundrySterling-Book" w:hAnsi="FoundrySterling-Book"/>
        </w:rPr>
      </w:pPr>
      <w:r w:rsidRPr="003F4400">
        <w:rPr>
          <w:rFonts w:ascii="FoundrySterling-Book" w:eastAsia="FoundrySterling-Book" w:hAnsi="FoundrySterling-Book" w:cs="FoundrySterling-Book"/>
          <w:lang w:val="en-GB" w:bidi="en-GB"/>
        </w:rPr>
        <w:t xml:space="preserve">The Tulikivi Group’s first-quarter net sales totalled EUR 5.7 million (EUR 5.8 million, 1–3/2019). Net sales in the first quarter were at a low level, in line with normal seasonality in the sector. Net sales grew in Finland, but the restrictions imposed in Central Europe because of the Covid-19 pandemic postponed deliveries somewhat, due to which net sales fell slightly from the previous year’s figure. </w:t>
      </w:r>
    </w:p>
    <w:p w14:paraId="22AF00CD" w14:textId="0E78943A" w:rsidR="009D5EDF" w:rsidRPr="00660A47" w:rsidRDefault="00906034" w:rsidP="0049354E">
      <w:pPr>
        <w:pStyle w:val="sc-1kqvxer-0"/>
        <w:rPr>
          <w:rFonts w:ascii="FoundrySterling-Book" w:hAnsi="FoundrySterling-Book"/>
        </w:rPr>
      </w:pPr>
      <w:r w:rsidRPr="008701CC">
        <w:rPr>
          <w:rFonts w:ascii="FoundrySterling-Book" w:eastAsia="FoundrySterling-Book" w:hAnsi="FoundrySterling-Book" w:cs="FoundrySterling-Book"/>
          <w:lang w:val="en-GB" w:bidi="en-GB"/>
        </w:rPr>
        <w:t xml:space="preserve">The Tulikivi Group’s first-quarter operating result was EUR -0.5 (-0.7) million and the profit before taxes was EUR -0.7 (-0.9) million. The sales margin improved in the first quarter due to price increases and measures improving productivity. Fixed costs decreased as planned in the review period. The first half of the year has usually been weaker in the industry than the second, in terms of both net sales and operating profit. </w:t>
      </w:r>
    </w:p>
    <w:p w14:paraId="182E435F" w14:textId="19C08CA7" w:rsidR="00DB253B" w:rsidRDefault="0065435C" w:rsidP="00DB253B">
      <w:pPr>
        <w:autoSpaceDE w:val="0"/>
        <w:autoSpaceDN w:val="0"/>
        <w:spacing w:after="240"/>
        <w:rPr>
          <w:rFonts w:ascii="FoundrySterling-Book" w:hAnsi="FoundrySterling-Book" w:cs="FoundrySterling-Book"/>
          <w:color w:val="000000"/>
          <w:szCs w:val="24"/>
        </w:rPr>
      </w:pPr>
      <w:r w:rsidRPr="00EC511D">
        <w:rPr>
          <w:rFonts w:ascii="FoundrySterling-Book" w:eastAsia="FoundrySterling-Book" w:hAnsi="FoundrySterling-Book" w:cs="FoundrySterling-Book"/>
          <w:color w:val="000000"/>
          <w:szCs w:val="24"/>
          <w:lang w:val="en-GB" w:bidi="en-GB"/>
        </w:rPr>
        <w:t xml:space="preserve">Tulikivi’s order books at the end of the review period amounted to EUR 4.4 (4.5) million. In the first quarter, the company’s order intake was EUR 7.3 (7.2) million. </w:t>
      </w:r>
    </w:p>
    <w:p w14:paraId="212A2470" w14:textId="77777777" w:rsidR="004F6637" w:rsidRPr="00020554" w:rsidRDefault="00675301" w:rsidP="004F6637">
      <w:pPr>
        <w:autoSpaceDE w:val="0"/>
        <w:autoSpaceDN w:val="0"/>
        <w:spacing w:after="240"/>
        <w:rPr>
          <w:rFonts w:ascii="FoundrySterling-Book" w:hAnsi="FoundrySterling-Book"/>
        </w:rPr>
      </w:pPr>
      <w:bookmarkStart w:id="5" w:name="_Hlk480824626"/>
      <w:r w:rsidRPr="00906034">
        <w:rPr>
          <w:rFonts w:ascii="FoundrySterling-Book" w:eastAsia="FoundrySterling-Book" w:hAnsi="FoundrySterling-Book" w:cs="FoundrySterling-Book"/>
          <w:szCs w:val="24"/>
          <w:lang w:val="en-GB" w:bidi="en-GB"/>
        </w:rPr>
        <w:t>Net sales in Finland in the review period were EUR 2.6 (2.4) million, or 44.6% (41.9%) of total net sales. Net sales from fireplaces grew in Finland as a result of higher renovation sales and redesigned product ranges. The sales of fireplaces for new buildings were slightly lower than in the previous year. We are continuing our efforts to enhance sales efficiency in Finland to further increase renovation sales. The sales of saunas and interior decoration stone products have developed favourably in the first months of the year.</w:t>
      </w:r>
    </w:p>
    <w:p w14:paraId="4D955F16" w14:textId="7B8C2BEE" w:rsidR="004D6290" w:rsidRPr="005E0C10" w:rsidRDefault="00675301" w:rsidP="004D6290">
      <w:pPr>
        <w:autoSpaceDE w:val="0"/>
        <w:autoSpaceDN w:val="0"/>
        <w:spacing w:after="240"/>
        <w:rPr>
          <w:rFonts w:ascii="FoundrySterling-Book" w:hAnsi="FoundrySterling-Book"/>
        </w:rPr>
      </w:pPr>
      <w:r w:rsidRPr="00020554">
        <w:rPr>
          <w:rFonts w:ascii="FoundrySterling-Book" w:eastAsia="FoundrySterling-Book" w:hAnsi="FoundrySterling-Book" w:cs="FoundrySterling-Book"/>
          <w:szCs w:val="24"/>
          <w:lang w:val="en-GB" w:bidi="en-GB"/>
        </w:rPr>
        <w:lastRenderedPageBreak/>
        <w:t xml:space="preserve">Net sales in export markets in the review period were EUR 3.1 (3.4) million, or 55.4% (58.1%) of total net sales. The principal export countries were Germany, Russia, France, Sweden and </w:t>
      </w:r>
      <w:bookmarkStart w:id="6" w:name="_Hlk480747252"/>
      <w:bookmarkEnd w:id="5"/>
      <w:r w:rsidRPr="00020554">
        <w:rPr>
          <w:rFonts w:ascii="FoundrySterling-Book" w:eastAsia="FoundrySterling-Book" w:hAnsi="FoundrySterling-Book" w:cs="FoundrySterling-Book"/>
          <w:szCs w:val="24"/>
          <w:lang w:val="en-GB" w:bidi="en-GB"/>
        </w:rPr>
        <w:t xml:space="preserve">Denmark. In the first quarter, net sales continued to develop favourably in the largest export countries, Germany and Russia. The good reception of our new Pielinen collection among customers had a positive effect on our net sales in Germany. In Russia, our revamped collections have enabled a stronger focus in sales on the premium market. The new Karelia and Pielinen fireplace collections continued to significantly increase dealers’ and consumers’ interest in Tulikivi products in Central Europe and Russia. This has enabled us to open new dealer locations and reactivate old ones.  Thanks to these collections, Tulikivi has further strengthened its market position in exports.  </w:t>
      </w:r>
    </w:p>
    <w:p w14:paraId="1ACD2F93" w14:textId="24812186" w:rsidR="00071718" w:rsidRPr="00710E04" w:rsidRDefault="00BB414A" w:rsidP="00071718">
      <w:pPr>
        <w:autoSpaceDE w:val="0"/>
        <w:autoSpaceDN w:val="0"/>
        <w:spacing w:after="240"/>
        <w:rPr>
          <w:rFonts w:ascii="FoundrySterling-Book" w:hAnsi="FoundrySterling-Book"/>
        </w:rPr>
      </w:pPr>
      <w:r w:rsidRPr="005E0C10">
        <w:rPr>
          <w:rFonts w:ascii="FoundrySterling-Book" w:eastAsia="FoundrySterling-Book" w:hAnsi="FoundrySterling-Book" w:cs="FoundrySterling-Book"/>
          <w:lang w:val="en-GB" w:bidi="en-GB"/>
        </w:rPr>
        <w:t xml:space="preserve">The products in the Karelia and Pielinen fireplace collections are based on modern Scandinavian design and feature a new soapstone surface finish technique. The Pielinen products are compact and easy to install. They are particularly well suited for the Central European market and for markets where there is no expertise in installing heat-retaining fireplaces.   </w:t>
      </w:r>
    </w:p>
    <w:p w14:paraId="38BE20CA" w14:textId="021A7AAB" w:rsidR="00011E7E" w:rsidRPr="002253AF" w:rsidRDefault="00011E7E" w:rsidP="00011E7E">
      <w:pPr>
        <w:rPr>
          <w:rFonts w:ascii="FoundrySterling-Book" w:hAnsi="FoundrySterling-Book"/>
        </w:rPr>
      </w:pPr>
      <w:r w:rsidRPr="00306D25">
        <w:rPr>
          <w:rFonts w:ascii="FoundrySterling-Book" w:eastAsia="FoundrySterling-Book" w:hAnsi="FoundrySterling-Book" w:cs="FoundrySterling-Book"/>
          <w:lang w:val="en-GB" w:bidi="en-GB"/>
        </w:rPr>
        <w:t>The highly successful development work on the Karelia and Pielinen collections provides us with an opportunity to increase our market share in euros and our profitability in both Finland and exports in 2020.</w:t>
      </w:r>
    </w:p>
    <w:p w14:paraId="2B12C173" w14:textId="77777777" w:rsidR="00011E7E" w:rsidRDefault="00011E7E" w:rsidP="00980CFF">
      <w:pPr>
        <w:rPr>
          <w:rFonts w:ascii="FoundrySterling-Book" w:hAnsi="FoundrySterling-Book"/>
          <w:highlight w:val="yellow"/>
        </w:rPr>
      </w:pPr>
    </w:p>
    <w:bookmarkEnd w:id="6"/>
    <w:p w14:paraId="61D2C63D" w14:textId="77777777" w:rsidR="00071718" w:rsidRDefault="00071718" w:rsidP="00EE64C7">
      <w:pPr>
        <w:outlineLvl w:val="0"/>
        <w:rPr>
          <w:rFonts w:ascii="FoundrySterling-Book" w:hAnsi="FoundrySterling-Book"/>
          <w:b/>
          <w:szCs w:val="24"/>
        </w:rPr>
      </w:pPr>
    </w:p>
    <w:p w14:paraId="6E0C0433" w14:textId="77777777" w:rsidR="00675301" w:rsidRPr="00BC5122" w:rsidRDefault="00675301" w:rsidP="00EE64C7">
      <w:pPr>
        <w:outlineLvl w:val="0"/>
        <w:rPr>
          <w:rFonts w:ascii="FoundrySterling-Book" w:hAnsi="FoundrySterling-Book"/>
          <w:b/>
          <w:szCs w:val="24"/>
        </w:rPr>
      </w:pPr>
      <w:r w:rsidRPr="00A34A70">
        <w:rPr>
          <w:rFonts w:ascii="FoundrySterling-Book" w:eastAsia="FoundrySterling-Book" w:hAnsi="FoundrySterling-Book" w:cs="FoundrySterling-Book"/>
          <w:b/>
          <w:szCs w:val="24"/>
          <w:lang w:val="en-GB" w:bidi="en-GB"/>
        </w:rPr>
        <w:t>Financing</w:t>
      </w:r>
    </w:p>
    <w:p w14:paraId="5E0A03E6" w14:textId="77777777" w:rsidR="0094333F" w:rsidRDefault="0094333F" w:rsidP="005D2A83">
      <w:pPr>
        <w:jc w:val="both"/>
        <w:rPr>
          <w:rFonts w:ascii="FoundrySterling-Book" w:hAnsi="FoundrySterling-Book"/>
          <w:szCs w:val="24"/>
        </w:rPr>
      </w:pPr>
    </w:p>
    <w:p w14:paraId="414473A2" w14:textId="74803768" w:rsidR="009A68A9" w:rsidRPr="00BF0EEB" w:rsidRDefault="009A68A9" w:rsidP="009A68A9">
      <w:pPr>
        <w:jc w:val="both"/>
        <w:rPr>
          <w:rFonts w:ascii="FoundrySterling-Book" w:hAnsi="FoundrySterling-Book"/>
          <w:szCs w:val="24"/>
        </w:rPr>
      </w:pPr>
      <w:r w:rsidRPr="00BF0EEB">
        <w:rPr>
          <w:rFonts w:ascii="FoundrySterling-Book" w:eastAsia="FoundrySterling-Book" w:hAnsi="FoundrySterling-Book" w:cs="FoundrySterling-Book"/>
          <w:szCs w:val="24"/>
          <w:lang w:val="en-GB" w:bidi="en-GB"/>
        </w:rPr>
        <w:t xml:space="preserve">Net cash flow from operating activities in the first quarter was EUR 0.1 (0.1) million. Working capital decreased by EUR 0.2 (0.3) million in January–March 2020. Working capital totalled EUR 0.4 (0.9) million at the end of the review period.  </w:t>
      </w:r>
    </w:p>
    <w:p w14:paraId="7A14E8F6" w14:textId="77777777" w:rsidR="0054512C" w:rsidRPr="00906034" w:rsidRDefault="0054512C" w:rsidP="005D2A83">
      <w:pPr>
        <w:jc w:val="both"/>
        <w:rPr>
          <w:rFonts w:ascii="FoundrySterling-Book" w:hAnsi="FoundrySterling-Book"/>
          <w:szCs w:val="24"/>
        </w:rPr>
      </w:pPr>
    </w:p>
    <w:p w14:paraId="0F3A20C7" w14:textId="7C004970" w:rsidR="0039292B" w:rsidRPr="00BF0EEB" w:rsidRDefault="00004AA5" w:rsidP="007158D2">
      <w:pPr>
        <w:jc w:val="both"/>
        <w:rPr>
          <w:rFonts w:ascii="FoundrySterling-Book" w:hAnsi="FoundrySterling-Book"/>
          <w:szCs w:val="24"/>
        </w:rPr>
      </w:pPr>
      <w:r>
        <w:rPr>
          <w:rFonts w:ascii="FoundrySterling-Book" w:eastAsia="FoundrySterling-Book" w:hAnsi="FoundrySterling-Book" w:cs="FoundrySterling-Book"/>
          <w:szCs w:val="24"/>
          <w:lang w:val="en-GB" w:bidi="en-GB"/>
        </w:rPr>
        <w:t>Loan repayments totalled EUR 0.1 (0.0) million in the review period. At the end of the review period, MFI loans and working capital loans totalled EUR 15.5 (15.4) million, and net financial expenses during the period were EUR 0.2 (0.2) million. The equity ratio at the end of the review period was 21.6% (24.2%). The ratio of interest-bearing net debt to equity, or gearing, was 219.7% (174.5%). The current ratio was 0.4 (0.4), and equity per share was EUR 0.12 (0.14). At the end of the review period, the Group’s cash and other liquid assets came to EUR 0.9 (0.6) million.</w:t>
      </w:r>
    </w:p>
    <w:p w14:paraId="44082C10" w14:textId="2C41FC67" w:rsidR="0039292B" w:rsidRDefault="0039292B" w:rsidP="007158D2">
      <w:pPr>
        <w:jc w:val="both"/>
        <w:rPr>
          <w:rFonts w:ascii="FoundrySterling-Book" w:hAnsi="FoundrySterling-Book"/>
          <w:szCs w:val="24"/>
          <w:highlight w:val="yellow"/>
        </w:rPr>
      </w:pPr>
    </w:p>
    <w:p w14:paraId="73D5D741" w14:textId="54FFDA90" w:rsidR="004848EF" w:rsidRPr="00BF0EEB" w:rsidRDefault="00323D66" w:rsidP="004848EF">
      <w:pPr>
        <w:rPr>
          <w:rFonts w:ascii="FoundrySterling-Book" w:hAnsi="FoundrySterling-Book"/>
          <w:szCs w:val="24"/>
        </w:rPr>
      </w:pPr>
      <w:r w:rsidRPr="00E50AEB">
        <w:rPr>
          <w:rFonts w:ascii="FoundrySterling-Book" w:eastAsia="FoundrySterling-Book" w:hAnsi="FoundrySterling-Book" w:cs="Arial"/>
          <w:color w:val="191919"/>
          <w:szCs w:val="24"/>
          <w:lang w:val="en-GB" w:bidi="en-GB"/>
        </w:rPr>
        <w:t xml:space="preserve">On 20 December 2019, Tulikivi Corporation signed a financing agreement with its finance providers concerning the 2019–2020 repayment programme in ratio to the finance providers’ exposures. The agreement also includes loan covenants given to the finance providers. </w:t>
      </w:r>
      <w:r w:rsidR="007115CA" w:rsidRPr="00E50AEB">
        <w:rPr>
          <w:rFonts w:ascii="FoundrySterling-Book" w:eastAsia="FoundrySterling-Book" w:hAnsi="FoundrySterling-Book" w:cstheme="minorBidi"/>
          <w:lang w:val="en-GB" w:bidi="en-GB"/>
        </w:rPr>
        <w:t xml:space="preserve">The company is in compliance with the covenants of the financing agreement according to the situation on 31 March 2020. </w:t>
      </w:r>
      <w:r w:rsidRPr="00E50AEB">
        <w:rPr>
          <w:rFonts w:ascii="FoundrySterling-Book" w:eastAsia="FoundrySterling-Book" w:hAnsi="FoundrySterling-Book" w:cs="Arial"/>
          <w:color w:val="191919"/>
          <w:szCs w:val="24"/>
          <w:lang w:val="en-GB" w:bidi="en-GB"/>
        </w:rPr>
        <w:t xml:space="preserve">Otherwise, the </w:t>
      </w:r>
      <w:r w:rsidR="00BF0A34" w:rsidRPr="00D23911">
        <w:rPr>
          <w:rFonts w:ascii="FoundrySterling-Book" w:eastAsia="FoundrySterling-Book" w:hAnsi="FoundrySterling-Book" w:cs="FoundrySterling-Book"/>
          <w:szCs w:val="24"/>
          <w:lang w:val="en-GB" w:bidi="en-GB"/>
        </w:rPr>
        <w:t xml:space="preserve">loans will mature fully on 28 February 2021, due to which they are classified as current financial liabilities. The company has also agreed with its finance providers that it will commence financing negotiations on the repayment programme for 2021 </w:t>
      </w:r>
      <w:r w:rsidR="00BF0A34" w:rsidRPr="00D23911">
        <w:rPr>
          <w:rFonts w:ascii="FoundrySterling-Book" w:eastAsia="FoundrySterling-Book" w:hAnsi="FoundrySterling-Book" w:cs="FoundrySterling-Book"/>
          <w:szCs w:val="24"/>
          <w:lang w:val="en-GB" w:bidi="en-GB"/>
        </w:rPr>
        <w:lastRenderedPageBreak/>
        <w:t xml:space="preserve">and subsequent years and its terms no later than 30 September 2020 and complete the negotiations by 31 December 2020. </w:t>
      </w:r>
    </w:p>
    <w:p w14:paraId="7A7CB316" w14:textId="767FD149" w:rsidR="00323D66" w:rsidRPr="008701CC" w:rsidRDefault="00323D66" w:rsidP="007158D2">
      <w:pPr>
        <w:jc w:val="both"/>
        <w:rPr>
          <w:rFonts w:ascii="FoundrySterling-Book" w:hAnsi="FoundrySterling-Book"/>
          <w:szCs w:val="24"/>
        </w:rPr>
      </w:pPr>
    </w:p>
    <w:p w14:paraId="7A41317A" w14:textId="4291B0F1" w:rsidR="00FE7C32" w:rsidRPr="00DF7327" w:rsidRDefault="00FE7C32" w:rsidP="00FE7C32">
      <w:pPr>
        <w:pStyle w:val="HTML-esimuotoiltu"/>
        <w:rPr>
          <w:rFonts w:ascii="FoundrySterling-Book" w:hAnsi="FoundrySterling-Book" w:cs="Courier New"/>
          <w:sz w:val="24"/>
          <w:szCs w:val="24"/>
        </w:rPr>
      </w:pPr>
      <w:r w:rsidRPr="008701CC">
        <w:rPr>
          <w:rFonts w:ascii="FoundrySterling-Book" w:eastAsia="FoundrySterling-Book" w:hAnsi="FoundrySterling-Book" w:cs="Courier New"/>
          <w:sz w:val="24"/>
          <w:szCs w:val="24"/>
          <w:lang w:val="en-GB" w:bidi="en-GB"/>
        </w:rPr>
        <w:t>The parent company’s equity was EUR -0.1 million (consolidated equity EUR 7.0 million) at the end of the review period, while share capital was EUR 6.3 million (consolidated share capital EUR 6.3 million). An external expert has prepared an appraisal of the fair value of the machinery in Suomussalmi, according to which the difference between the probable current price and the book value of the machinery and equipment at the Suomussalmi factory is EUR 1.4 million. This has been accounted for as an addition to equity, as referred to in chapter 20, section 23(2) of the Limited Liability Companies Act. When the addition is taken into account, the equity of the parent company is positive, and therefore the negative equity has not been recorded in the Trade Register.</w:t>
      </w:r>
    </w:p>
    <w:p w14:paraId="32141287" w14:textId="06CDF67A" w:rsidR="00FE7C32" w:rsidRDefault="00FE7C32" w:rsidP="00EE64C7">
      <w:pPr>
        <w:rPr>
          <w:rFonts w:ascii="FoundrySterling-Book" w:hAnsi="FoundrySterling-Book"/>
          <w:szCs w:val="24"/>
        </w:rPr>
      </w:pPr>
    </w:p>
    <w:p w14:paraId="0B5ABCBA" w14:textId="77777777" w:rsidR="00E92BEA" w:rsidRDefault="00E92BEA" w:rsidP="00EE64C7">
      <w:pPr>
        <w:rPr>
          <w:rFonts w:ascii="FoundrySterling-Book" w:hAnsi="FoundrySterling-Book"/>
          <w:szCs w:val="24"/>
        </w:rPr>
      </w:pPr>
    </w:p>
    <w:p w14:paraId="6D79B554" w14:textId="77777777" w:rsidR="00675301" w:rsidRPr="003F4400" w:rsidRDefault="00675301" w:rsidP="00EE64C7">
      <w:pPr>
        <w:rPr>
          <w:rFonts w:ascii="FoundrySterling-Book" w:hAnsi="FoundrySterling-Book"/>
          <w:b/>
          <w:szCs w:val="24"/>
        </w:rPr>
      </w:pPr>
      <w:r w:rsidRPr="003F4400">
        <w:rPr>
          <w:rFonts w:ascii="FoundrySterling-Book" w:eastAsia="FoundrySterling-Book" w:hAnsi="FoundrySterling-Book" w:cs="FoundrySterling-Book"/>
          <w:b/>
          <w:szCs w:val="24"/>
          <w:lang w:val="en-GB" w:bidi="en-GB"/>
        </w:rPr>
        <w:t xml:space="preserve">Investments and product development </w:t>
      </w:r>
    </w:p>
    <w:p w14:paraId="712E38FF" w14:textId="77777777" w:rsidR="00555950" w:rsidRPr="003F4400" w:rsidRDefault="00555950" w:rsidP="00EE64C7">
      <w:pPr>
        <w:rPr>
          <w:rFonts w:ascii="FoundrySterling-Book" w:hAnsi="FoundrySterling-Book"/>
          <w:b/>
          <w:szCs w:val="24"/>
        </w:rPr>
      </w:pPr>
    </w:p>
    <w:p w14:paraId="04B0454B" w14:textId="538782D6" w:rsidR="004D6290" w:rsidRPr="0059257F" w:rsidRDefault="00675301" w:rsidP="004D6290">
      <w:pPr>
        <w:autoSpaceDE w:val="0"/>
        <w:autoSpaceDN w:val="0"/>
        <w:spacing w:after="240"/>
        <w:rPr>
          <w:rFonts w:ascii="FoundrySterling-Book" w:hAnsi="FoundrySterling-Book"/>
        </w:rPr>
      </w:pPr>
      <w:bookmarkStart w:id="7" w:name="_Hlk16171952"/>
      <w:r w:rsidRPr="00850202">
        <w:rPr>
          <w:rFonts w:ascii="FoundrySterling-Book" w:eastAsia="FoundrySterling-Book" w:hAnsi="FoundrySterling-Book" w:cs="FoundrySterling-Book"/>
          <w:szCs w:val="24"/>
          <w:lang w:val="en-GB" w:bidi="en-GB"/>
        </w:rPr>
        <w:t>The Group’s investments totalled EUR 0.1 (0.2) million during the review period</w:t>
      </w:r>
      <w:bookmarkEnd w:id="7"/>
      <w:r w:rsidRPr="00850202">
        <w:rPr>
          <w:rFonts w:ascii="FoundrySterling-Book" w:eastAsia="FoundrySterling-Book" w:hAnsi="FoundrySterling-Book" w:cs="FoundrySterling-Book"/>
          <w:szCs w:val="24"/>
          <w:lang w:val="en-GB" w:bidi="en-GB"/>
        </w:rPr>
        <w:t>. The Karelia collection was complemented with the Petro model, which has an L door, and the Pielinen collection was expanded with a compact convection fireplace with a C door. The new models have been well received in the market.</w:t>
      </w:r>
    </w:p>
    <w:p w14:paraId="577F8D1D" w14:textId="37368713" w:rsidR="004E3A1C" w:rsidRPr="00BC5122" w:rsidRDefault="004E3A1C" w:rsidP="004E3A1C">
      <w:pPr>
        <w:rPr>
          <w:rFonts w:ascii="FoundrySterling-Book" w:hAnsi="FoundrySterling-Book" w:cs="Helv"/>
          <w:color w:val="000000"/>
          <w:szCs w:val="24"/>
        </w:rPr>
      </w:pPr>
      <w:bookmarkStart w:id="8" w:name="_Hlk505090573"/>
      <w:r w:rsidRPr="0059257F">
        <w:rPr>
          <w:rFonts w:ascii="FoundrySterling-Book" w:eastAsia="FoundrySterling-Book" w:hAnsi="FoundrySterling-Book" w:cs="FoundrySterling-Book"/>
          <w:szCs w:val="24"/>
          <w:lang w:val="en-GB" w:bidi="en-GB"/>
        </w:rPr>
        <w:t>Research and development expenditure in the review period was EUR 0.2 (0.2) million, or 3.0% (3.4%) of net sales. EUR 0.1 (0.1) million of this was capitalised on the balance sheet.</w:t>
      </w:r>
      <w:bookmarkEnd w:id="8"/>
    </w:p>
    <w:p w14:paraId="535588D2" w14:textId="77777777" w:rsidR="00917225" w:rsidRDefault="00917225" w:rsidP="0048404F">
      <w:pPr>
        <w:autoSpaceDE w:val="0"/>
        <w:autoSpaceDN w:val="0"/>
        <w:rPr>
          <w:rFonts w:ascii="FoundrySterling-Book" w:hAnsi="FoundrySterling-Book" w:cs="Calibri"/>
          <w:b/>
          <w:szCs w:val="24"/>
        </w:rPr>
      </w:pPr>
    </w:p>
    <w:p w14:paraId="12936260" w14:textId="77777777" w:rsidR="00722ABA" w:rsidRDefault="00722ABA" w:rsidP="0048404F">
      <w:pPr>
        <w:autoSpaceDE w:val="0"/>
        <w:autoSpaceDN w:val="0"/>
        <w:rPr>
          <w:rFonts w:ascii="FoundrySterling-Book" w:hAnsi="FoundrySterling-Book" w:cs="Calibri"/>
          <w:b/>
          <w:szCs w:val="24"/>
        </w:rPr>
      </w:pPr>
    </w:p>
    <w:p w14:paraId="1AE44A48" w14:textId="77777777" w:rsidR="00D3019B" w:rsidRPr="00D3019B" w:rsidRDefault="00D3019B" w:rsidP="0048404F">
      <w:pPr>
        <w:autoSpaceDE w:val="0"/>
        <w:autoSpaceDN w:val="0"/>
        <w:rPr>
          <w:rFonts w:ascii="FoundrySterling-Book" w:hAnsi="FoundrySterling-Book" w:cs="Calibri"/>
          <w:b/>
          <w:szCs w:val="24"/>
        </w:rPr>
      </w:pPr>
      <w:r w:rsidRPr="00D3019B">
        <w:rPr>
          <w:rFonts w:ascii="FoundrySterling-Book" w:eastAsia="FoundrySterling-Book" w:hAnsi="FoundrySterling-Book" w:cs="Calibri"/>
          <w:b/>
          <w:szCs w:val="24"/>
          <w:lang w:val="en-GB" w:bidi="en-GB"/>
        </w:rPr>
        <w:t>Suomussalmi talc reserves</w:t>
      </w:r>
    </w:p>
    <w:p w14:paraId="65ACAFC4" w14:textId="53ED75EF" w:rsidR="00C26F6A" w:rsidRPr="00B77833" w:rsidRDefault="00B77833" w:rsidP="00C26F6A">
      <w:pPr>
        <w:pStyle w:val="sc-1kqvxer-0"/>
        <w:rPr>
          <w:rFonts w:ascii="FoundrySterling-Book" w:hAnsi="FoundrySterling-Book"/>
        </w:rPr>
      </w:pPr>
      <w:r w:rsidRPr="00B77833">
        <w:rPr>
          <w:rFonts w:ascii="FoundrySterling-Book" w:eastAsia="FoundrySterling-Book" w:hAnsi="FoundrySterling-Book" w:cs="FoundrySterling-Book"/>
          <w:lang w:val="en-GB" w:bidi="en-GB"/>
        </w:rPr>
        <w:t>On 27 March 2020, Tulikivi announced that the Board of Directors of Tulikivi Corporation decided on 26 March 2020 to establish Nordic Talc Oy. The company’s objective is the industrial exploitation of Tulikivi’s talc deposits in the Suomussalmi mining district. In the first stage, the objective is to plan and implement a feasibility study of the Suomussalmi talc project, the purpose of which is to further specify the project’s profitability, environmental and mining plans for industrial operations. At the same time, Tulikivi is exploring opportunities to attract outside financing and investors to start and develop Nordic Talc Oy’s operations for industrial exploitation.</w:t>
      </w:r>
    </w:p>
    <w:p w14:paraId="30659E85" w14:textId="5CCFAB8A" w:rsidR="000F1005" w:rsidRPr="00B77833" w:rsidRDefault="00C26F6A" w:rsidP="000F1005">
      <w:pPr>
        <w:pStyle w:val="sc-1kqvxer-0"/>
        <w:rPr>
          <w:rFonts w:ascii="FoundrySterling-Book" w:hAnsi="FoundrySterling-Book"/>
        </w:rPr>
      </w:pPr>
      <w:r w:rsidRPr="00B77833">
        <w:rPr>
          <w:rFonts w:ascii="FoundrySterling-Book" w:eastAsia="FoundrySterling-Book" w:hAnsi="FoundrySterling-Book" w:cs="FoundrySterling-Book"/>
          <w:lang w:val="en-GB" w:bidi="en-GB"/>
        </w:rPr>
        <w:t xml:space="preserve">The Board of Directors of Tulikivi Corporation has appointed an advisory board for Nordic Talc Oy composed of professionals in the field of industrial minerals and mining. It includes Jan Ekblom, Mikael von Hertzen, Eeva Ruokonen and Tarmo Tuominen. The advisory board will be responsible for supporting the planning of a commercial product portfolio, logistics and industrial processes. </w:t>
      </w:r>
    </w:p>
    <w:p w14:paraId="2588DB49" w14:textId="7330DF65" w:rsidR="00C26F6A" w:rsidRPr="008701CC" w:rsidRDefault="00C26F6A" w:rsidP="00C26F6A">
      <w:pPr>
        <w:pStyle w:val="sc-1kqvxer-0"/>
        <w:rPr>
          <w:rFonts w:ascii="FoundrySterling-Book" w:hAnsi="FoundrySterling-Book"/>
        </w:rPr>
      </w:pPr>
      <w:r w:rsidRPr="00B77833">
        <w:rPr>
          <w:rFonts w:ascii="FoundrySterling-Book" w:eastAsia="FoundrySterling-Book" w:hAnsi="FoundrySterling-Book" w:cs="FoundrySterling-Book"/>
          <w:lang w:val="en-GB" w:bidi="en-GB"/>
        </w:rPr>
        <w:t xml:space="preserve">The JORC-compliant mineral deposit estimate completed in autumn 2019 confirmed that the talc deposit in the Suomussalmi mining district is significant on a European scale. Based on surveys performed, it is estimated that the deposit can be utilised profitably. </w:t>
      </w:r>
    </w:p>
    <w:p w14:paraId="024C04C9" w14:textId="68DFE538" w:rsidR="009D5EDF" w:rsidRPr="00657EB3" w:rsidRDefault="009D5EDF" w:rsidP="009D5EDF">
      <w:pPr>
        <w:rPr>
          <w:rFonts w:ascii="FoundrySterling-Book" w:hAnsi="FoundrySterling-Book" w:cs="Arial"/>
          <w:color w:val="000000"/>
          <w:szCs w:val="24"/>
        </w:rPr>
      </w:pPr>
      <w:r w:rsidRPr="008701CC">
        <w:rPr>
          <w:rFonts w:ascii="FoundrySterling-Book" w:eastAsia="FoundrySterling-Book" w:hAnsi="FoundrySterling-Book" w:cs="Arial"/>
          <w:color w:val="000000"/>
          <w:szCs w:val="24"/>
          <w:lang w:val="en-GB" w:bidi="en-GB"/>
        </w:rPr>
        <w:t>It is too early to evaluate whether the project will be carried out or to estimate its financial impacts.</w:t>
      </w:r>
    </w:p>
    <w:p w14:paraId="396048BE" w14:textId="77777777" w:rsidR="009D5EDF" w:rsidRDefault="009D5EDF" w:rsidP="009D5EDF">
      <w:pPr>
        <w:autoSpaceDE w:val="0"/>
        <w:autoSpaceDN w:val="0"/>
        <w:adjustRightInd w:val="0"/>
        <w:rPr>
          <w:rFonts w:ascii="FoundrySterling-Book" w:hAnsi="FoundrySterling-Book"/>
          <w:b/>
          <w:szCs w:val="24"/>
        </w:rPr>
      </w:pPr>
    </w:p>
    <w:p w14:paraId="4F3B8116" w14:textId="38D411F8" w:rsidR="004848EF" w:rsidRDefault="004848EF" w:rsidP="00E57ED7">
      <w:pPr>
        <w:autoSpaceDE w:val="0"/>
        <w:autoSpaceDN w:val="0"/>
        <w:adjustRightInd w:val="0"/>
        <w:rPr>
          <w:rFonts w:ascii="FoundrySterling-Book" w:hAnsi="FoundrySterling-Book"/>
          <w:b/>
          <w:szCs w:val="24"/>
        </w:rPr>
      </w:pPr>
    </w:p>
    <w:p w14:paraId="6E7B1DBF" w14:textId="77777777" w:rsidR="00675301" w:rsidRPr="00BC5122" w:rsidRDefault="00675301" w:rsidP="00EE64C7">
      <w:pPr>
        <w:outlineLvl w:val="0"/>
        <w:rPr>
          <w:rFonts w:ascii="FoundrySterling-Book" w:hAnsi="FoundrySterling-Book"/>
          <w:b/>
          <w:szCs w:val="24"/>
        </w:rPr>
      </w:pPr>
      <w:r w:rsidRPr="00BC5122">
        <w:rPr>
          <w:rFonts w:ascii="FoundrySterling-Book" w:eastAsia="FoundrySterling-Book" w:hAnsi="FoundrySterling-Book" w:cs="FoundrySterling-Book"/>
          <w:b/>
          <w:szCs w:val="24"/>
          <w:lang w:val="en-GB" w:bidi="en-GB"/>
        </w:rPr>
        <w:t>Personnel</w:t>
      </w:r>
    </w:p>
    <w:p w14:paraId="04311AE2" w14:textId="77777777" w:rsidR="00675301" w:rsidRPr="00BC5122" w:rsidRDefault="00675301" w:rsidP="00EE64C7">
      <w:pPr>
        <w:autoSpaceDE w:val="0"/>
        <w:autoSpaceDN w:val="0"/>
        <w:adjustRightInd w:val="0"/>
        <w:rPr>
          <w:rFonts w:ascii="FoundrySterling-Book" w:hAnsi="FoundrySterling-Book" w:cs="FoundrySterling-Book"/>
          <w:szCs w:val="24"/>
          <w:lang w:eastAsia="en-US"/>
        </w:rPr>
      </w:pPr>
    </w:p>
    <w:p w14:paraId="6AE0F231" w14:textId="03FB19B1" w:rsidR="007C170A" w:rsidRDefault="00F20440" w:rsidP="00A53136">
      <w:pPr>
        <w:rPr>
          <w:rFonts w:ascii="FoundrySterling-Book" w:hAnsi="FoundrySterling-Book" w:cs="FoundrySterling-Book"/>
          <w:szCs w:val="24"/>
          <w:lang w:eastAsia="en-US"/>
        </w:rPr>
      </w:pPr>
      <w:bookmarkStart w:id="9" w:name="_Hlk512195547"/>
      <w:r w:rsidRPr="00BC5122">
        <w:rPr>
          <w:rFonts w:ascii="FoundrySterling-Book" w:eastAsia="FoundrySterling-Book" w:hAnsi="FoundrySterling-Book" w:cs="FoundrySterling-Book"/>
          <w:szCs w:val="24"/>
          <w:lang w:val="en-GB" w:bidi="en-GB"/>
        </w:rPr>
        <w:t>The Group had an average of 180 (184) employees in the review period. Salaries and bonuses during the review period totalled EUR 1.9 (1.9) million.</w:t>
      </w:r>
      <w:bookmarkEnd w:id="9"/>
      <w:r w:rsidRPr="00BC5122">
        <w:rPr>
          <w:rFonts w:ascii="FoundrySterling-Book" w:eastAsia="FoundrySterling-Book" w:hAnsi="FoundrySterling-Book" w:cs="FoundrySterling-Book"/>
          <w:szCs w:val="24"/>
          <w:lang w:val="en-GB" w:bidi="en-GB"/>
        </w:rPr>
        <w:t xml:space="preserve"> The number of personnel will be adjusted through lay-offs in accordance with the level of demand. </w:t>
      </w:r>
    </w:p>
    <w:p w14:paraId="096732C2" w14:textId="5712E10A" w:rsidR="00E92BEA" w:rsidRDefault="00E92BEA" w:rsidP="00EE64C7">
      <w:pPr>
        <w:outlineLvl w:val="0"/>
        <w:rPr>
          <w:rFonts w:ascii="FoundrySterling-Book" w:hAnsi="FoundrySterling-Book"/>
          <w:b/>
          <w:szCs w:val="24"/>
        </w:rPr>
      </w:pPr>
    </w:p>
    <w:p w14:paraId="0A502F0D" w14:textId="4129C736" w:rsidR="00E92BEA" w:rsidRDefault="00E92BEA" w:rsidP="00EE64C7">
      <w:pPr>
        <w:outlineLvl w:val="0"/>
        <w:rPr>
          <w:rFonts w:ascii="FoundrySterling-Book" w:hAnsi="FoundrySterling-Book"/>
          <w:b/>
          <w:szCs w:val="24"/>
        </w:rPr>
      </w:pPr>
    </w:p>
    <w:p w14:paraId="1D36FE31" w14:textId="77777777" w:rsidR="00675301" w:rsidRPr="009B45AE" w:rsidRDefault="00675301" w:rsidP="00EE64C7">
      <w:pPr>
        <w:outlineLvl w:val="0"/>
        <w:rPr>
          <w:rFonts w:ascii="FoundrySterling-Book" w:hAnsi="FoundrySterling-Book"/>
          <w:b/>
          <w:szCs w:val="24"/>
        </w:rPr>
      </w:pPr>
      <w:r w:rsidRPr="009B45AE">
        <w:rPr>
          <w:rFonts w:ascii="FoundrySterling-Book" w:eastAsia="FoundrySterling-Book" w:hAnsi="FoundrySterling-Book" w:cs="FoundrySterling-Book"/>
          <w:b/>
          <w:szCs w:val="24"/>
          <w:lang w:val="en-GB" w:bidi="en-GB"/>
        </w:rPr>
        <w:t>Annual General Meeting</w:t>
      </w:r>
    </w:p>
    <w:p w14:paraId="27939DC8" w14:textId="2A3033A0" w:rsidR="00B17011" w:rsidRPr="00B65728" w:rsidRDefault="00B17011" w:rsidP="00B17011">
      <w:pPr>
        <w:spacing w:before="100" w:beforeAutospacing="1" w:after="100" w:afterAutospacing="1"/>
        <w:rPr>
          <w:rFonts w:ascii="FoundrySterling-Book" w:hAnsi="FoundrySterling-Book"/>
          <w:szCs w:val="24"/>
        </w:rPr>
      </w:pPr>
      <w:r w:rsidRPr="00D6345D">
        <w:rPr>
          <w:rFonts w:ascii="FoundrySterling-Book" w:eastAsia="FoundrySterling-Book" w:hAnsi="FoundrySterling-Book" w:cs="FoundrySterling-Book"/>
          <w:szCs w:val="24"/>
          <w:lang w:val="en-GB" w:bidi="en-GB"/>
        </w:rPr>
        <w:t>On 20 March 2020, Tulikivi announced that the Annual General Meeting of Tulikivi Corporation planned to be held on 22 April 2020 will be postponed to a later date. Tulikivi Corporation takes the threat of the coronavirus (Covid-19) seriously and has, based on the development of the situation and the guidance of the Finnish Government, cancelled the Annual General Meeting that was scheduled for 22 April 2020. On 16 March 2020, the Finnish Government announced that public gatherings will be limited to a maximum of ten persons. In accordance with the Finnish Government’s guidance, Tulikivi’s Board of Directors decided that the Annual General Meeting will not be held due to the prevailing exceptional circumstances. Tulikivi wants to ensure a safe meeting environment both for its shareholders and employees. Tulikivi’s Board of Directors will convene the Annual General Meeting at a later stage.</w:t>
      </w:r>
    </w:p>
    <w:p w14:paraId="7AD6B2DF" w14:textId="00B4A1AE" w:rsidR="00675301" w:rsidRPr="00E32574" w:rsidRDefault="00C752A7" w:rsidP="00EE64C7">
      <w:pPr>
        <w:outlineLvl w:val="0"/>
        <w:rPr>
          <w:rFonts w:ascii="FoundrySterling-Book" w:hAnsi="FoundrySterling-Book"/>
          <w:szCs w:val="24"/>
        </w:rPr>
      </w:pPr>
      <w:r w:rsidRPr="00E32574">
        <w:rPr>
          <w:rFonts w:ascii="FoundrySterling-Book" w:eastAsia="FoundrySterling-Book" w:hAnsi="FoundrySterling-Book" w:cs="FoundrySterling-Book"/>
          <w:szCs w:val="24"/>
          <w:lang w:val="en-GB" w:bidi="en-GB"/>
        </w:rPr>
        <w:t xml:space="preserve">The Annual General Meeting of Tulikivi Corporation held on 24 April 2019 resolved not to distribute a dividend for the 2018 financial year. Jaakko Aspara, Liudmila Niemi, Markku Rönkkö, Reijo Svanborg, Jyrki Tähtinen and Heikki Vauhkonen were elected as members of the Board of Directors. The Board elected Jyrki Tähtinen as its Chair. The auditor appointed was KPMG Oy Ab, Authorised Public Accountants, with Kirsi Jantunen, APA, as principal auditor. </w:t>
      </w:r>
    </w:p>
    <w:p w14:paraId="19990063" w14:textId="77777777" w:rsidR="00C9522A" w:rsidRPr="007F253F" w:rsidRDefault="00C9522A" w:rsidP="00E12394">
      <w:pPr>
        <w:outlineLvl w:val="0"/>
        <w:rPr>
          <w:rFonts w:ascii="FoundrySterling-Book" w:hAnsi="FoundrySterling-Book"/>
          <w:b/>
          <w:szCs w:val="24"/>
          <w:highlight w:val="yellow"/>
        </w:rPr>
      </w:pPr>
    </w:p>
    <w:p w14:paraId="5879EF32" w14:textId="77777777" w:rsidR="0008613E" w:rsidRPr="00E32574" w:rsidRDefault="0008613E" w:rsidP="00EE64C7">
      <w:pPr>
        <w:rPr>
          <w:rFonts w:ascii="FoundrySterling-Book" w:hAnsi="FoundrySterling-Book" w:cs="Courier New"/>
          <w:szCs w:val="24"/>
        </w:rPr>
      </w:pPr>
      <w:r w:rsidRPr="00E32574">
        <w:rPr>
          <w:rFonts w:ascii="FoundrySterling-Book" w:eastAsia="FoundrySterling-Book" w:hAnsi="FoundrySterling-Book" w:cs="Courier New"/>
          <w:szCs w:val="24"/>
          <w:lang w:val="en-GB" w:bidi="en-GB"/>
        </w:rPr>
        <w:t xml:space="preserve">The Annual General Meeting authorised the Board of Directors to decide on issuing new shares and on assigning Tulikivi Corporation shares held by the company in accordance with the proposals of the Board. Tulikivi can issue new shares or assign treasury shares as follows: a maximum of 15,656,622 Series A shares and a maximum of 2,304,750 Series K shares. </w:t>
      </w:r>
    </w:p>
    <w:p w14:paraId="58DA3139" w14:textId="77777777" w:rsidR="0008613E" w:rsidRPr="00E32574" w:rsidRDefault="0008613E" w:rsidP="00EE64C7">
      <w:pPr>
        <w:rPr>
          <w:rFonts w:ascii="FoundrySterling-Book" w:hAnsi="FoundrySterling-Book" w:cs="Courier New"/>
          <w:szCs w:val="24"/>
        </w:rPr>
      </w:pPr>
    </w:p>
    <w:p w14:paraId="459F2C4D" w14:textId="77777777" w:rsidR="0008613E" w:rsidRPr="00E32574" w:rsidRDefault="0008613E" w:rsidP="00EE64C7">
      <w:pPr>
        <w:rPr>
          <w:rFonts w:ascii="FoundrySterling-Book" w:hAnsi="FoundrySterling-Book" w:cs="Courier New"/>
          <w:szCs w:val="24"/>
        </w:rPr>
      </w:pPr>
      <w:r w:rsidRPr="00E32574">
        <w:rPr>
          <w:rFonts w:ascii="FoundrySterling-Book" w:eastAsia="FoundrySterling-Book" w:hAnsi="FoundrySterling-Book" w:cs="Courier New"/>
          <w:szCs w:val="24"/>
          <w:lang w:val="en-GB" w:bidi="en-GB"/>
        </w:rPr>
        <w:t>The authorisation includes the right to decide on a directed rights issue, deviating from the shareholders’ right of pre-emption, provided that there is a compelling financial reason for the company. The authorisation also includes the right to decide on a bonus issue to the company itself, where the number of shares issued to the company is no more than one tenth of the total number of the company’s shares.</w:t>
      </w:r>
    </w:p>
    <w:p w14:paraId="06736296" w14:textId="77777777" w:rsidR="0008613E" w:rsidRPr="00E32574" w:rsidRDefault="0008613E" w:rsidP="00EE64C7">
      <w:pPr>
        <w:rPr>
          <w:rFonts w:ascii="FoundrySterling-Book" w:hAnsi="FoundrySterling-Book" w:cs="Courier New"/>
          <w:szCs w:val="24"/>
        </w:rPr>
      </w:pPr>
    </w:p>
    <w:p w14:paraId="1399DB74" w14:textId="497C92B3" w:rsidR="0008613E" w:rsidRPr="0008613E" w:rsidRDefault="0008613E" w:rsidP="00EE64C7">
      <w:pPr>
        <w:rPr>
          <w:rFonts w:ascii="FoundrySterling-Book" w:hAnsi="FoundrySterling-Book" w:cs="Courier New"/>
          <w:szCs w:val="24"/>
        </w:rPr>
      </w:pPr>
      <w:r w:rsidRPr="00E32574">
        <w:rPr>
          <w:rFonts w:ascii="FoundrySterling-Book" w:eastAsia="FoundrySterling-Book" w:hAnsi="FoundrySterling-Book" w:cs="Courier New"/>
          <w:szCs w:val="24"/>
          <w:lang w:val="en-GB" w:bidi="en-GB"/>
        </w:rPr>
        <w:t>The authorisation also includes the right to issue special rights referred to in chapter 10, section 1 of the Limited Liability Companies Act, which would give entitlement to Tulikivi shares against payment or by setting off a receivable. The authorisation includes the right to pay the company’s share remuneration. The Board is authorised to decide on other matters concerning share issues. The authorisation is valid until the 2020 Annual General Meeting.</w:t>
      </w:r>
    </w:p>
    <w:p w14:paraId="5C002946" w14:textId="6FAD709C" w:rsidR="003F4400" w:rsidRDefault="003F4400" w:rsidP="00EE64C7">
      <w:pPr>
        <w:rPr>
          <w:rFonts w:ascii="FoundrySterling-Book" w:hAnsi="FoundrySterling-Book" w:cs="Courier New"/>
          <w:b/>
          <w:szCs w:val="24"/>
        </w:rPr>
      </w:pPr>
    </w:p>
    <w:p w14:paraId="6BC60AA7" w14:textId="77777777" w:rsidR="00B17011" w:rsidRDefault="00B17011" w:rsidP="00EE64C7">
      <w:pPr>
        <w:rPr>
          <w:rFonts w:ascii="FoundrySterling-Book" w:hAnsi="FoundrySterling-Book" w:cs="Courier New"/>
          <w:b/>
          <w:szCs w:val="24"/>
        </w:rPr>
      </w:pPr>
    </w:p>
    <w:p w14:paraId="0D3C37C7" w14:textId="77777777" w:rsidR="00675301" w:rsidRPr="009B45AE" w:rsidRDefault="00675301" w:rsidP="00EE64C7">
      <w:pPr>
        <w:rPr>
          <w:rFonts w:ascii="FoundrySterling-Book" w:hAnsi="FoundrySterling-Book" w:cs="Courier New"/>
          <w:b/>
          <w:szCs w:val="24"/>
        </w:rPr>
      </w:pPr>
      <w:r w:rsidRPr="009B45AE">
        <w:rPr>
          <w:rFonts w:ascii="FoundrySterling-Book" w:eastAsia="FoundrySterling-Book" w:hAnsi="FoundrySterling-Book" w:cs="Courier New"/>
          <w:b/>
          <w:szCs w:val="24"/>
          <w:lang w:val="en-GB" w:bidi="en-GB"/>
        </w:rPr>
        <w:t>Treasury shares</w:t>
      </w:r>
    </w:p>
    <w:p w14:paraId="5A347C7F" w14:textId="77777777" w:rsidR="00675301" w:rsidRPr="009B45AE" w:rsidRDefault="00675301" w:rsidP="00EE64C7">
      <w:pPr>
        <w:rPr>
          <w:rStyle w:val="HTML-kirjoituskone"/>
          <w:rFonts w:ascii="FoundrySterling-Book" w:hAnsi="FoundrySterling-Book" w:cs="Courier New"/>
          <w:sz w:val="24"/>
          <w:szCs w:val="24"/>
        </w:rPr>
      </w:pPr>
    </w:p>
    <w:p w14:paraId="2A98FE9D" w14:textId="521463A1"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eastAsia="FoundrySterling-Book" w:hAnsi="FoundrySterling-Book" w:cs="Courier New"/>
          <w:sz w:val="24"/>
          <w:szCs w:val="24"/>
          <w:lang w:val="en-GB" w:bidi="en-GB"/>
        </w:rPr>
        <w:t xml:space="preserve">The company did not purchase or assign any treasury shares during the review period. At the end of the review period, the total number of Tulikivi shares held by the company was 124,200 Series A shares, corresponding to 0.2% of the company’s share capital and 0.1% of all voting rights. </w:t>
      </w:r>
    </w:p>
    <w:p w14:paraId="4A6C84C8" w14:textId="42EE028D" w:rsidR="004A226B" w:rsidRDefault="004A226B" w:rsidP="00EE64C7">
      <w:pPr>
        <w:rPr>
          <w:rFonts w:ascii="FoundrySterling-Book" w:hAnsi="FoundrySterling-Book"/>
          <w:b/>
          <w:szCs w:val="24"/>
        </w:rPr>
      </w:pPr>
    </w:p>
    <w:p w14:paraId="402ECBE4" w14:textId="77777777" w:rsidR="00FE7C32" w:rsidRDefault="00FE7C32" w:rsidP="00EE64C7">
      <w:pPr>
        <w:rPr>
          <w:rFonts w:ascii="FoundrySterling-Book" w:hAnsi="FoundrySterling-Book"/>
          <w:b/>
          <w:szCs w:val="24"/>
        </w:rPr>
      </w:pPr>
    </w:p>
    <w:p w14:paraId="637CA5C4" w14:textId="77777777" w:rsidR="00675301" w:rsidRPr="00C6214A" w:rsidRDefault="00675301" w:rsidP="00EE64C7">
      <w:pPr>
        <w:rPr>
          <w:rFonts w:ascii="FoundrySterling-Book" w:hAnsi="FoundrySterling-Book"/>
          <w:b/>
          <w:szCs w:val="24"/>
        </w:rPr>
      </w:pPr>
      <w:r w:rsidRPr="00C6214A">
        <w:rPr>
          <w:rFonts w:ascii="FoundrySterling-Book" w:eastAsia="FoundrySterling-Book" w:hAnsi="FoundrySterling-Book" w:cs="FoundrySterling-Book"/>
          <w:b/>
          <w:szCs w:val="24"/>
          <w:lang w:val="en-GB" w:bidi="en-GB"/>
        </w:rPr>
        <w:t>Near-term risks and uncertainties</w:t>
      </w:r>
    </w:p>
    <w:p w14:paraId="3FF0494A" w14:textId="77777777" w:rsidR="00675301" w:rsidRPr="00C6214A" w:rsidRDefault="00675301" w:rsidP="00EE64C7">
      <w:pPr>
        <w:rPr>
          <w:rFonts w:ascii="FoundrySterling-Book" w:hAnsi="FoundrySterling-Book" w:cs="Courier New"/>
          <w:szCs w:val="24"/>
        </w:rPr>
      </w:pPr>
    </w:p>
    <w:p w14:paraId="003863BE" w14:textId="0D936938" w:rsidR="00321593" w:rsidRPr="0028051D" w:rsidRDefault="00FE51E9" w:rsidP="00EE64C7">
      <w:pPr>
        <w:rPr>
          <w:rFonts w:ascii="FoundrySterling-Book" w:hAnsi="FoundrySterling-Book" w:cs="Courier New"/>
          <w:szCs w:val="24"/>
        </w:rPr>
      </w:pPr>
      <w:r w:rsidRPr="0038355F">
        <w:rPr>
          <w:rFonts w:ascii="FoundrySterling-Book" w:eastAsia="FoundrySterling-Book" w:hAnsi="FoundrySterling-Book" w:cs="Courier New"/>
          <w:szCs w:val="24"/>
          <w:lang w:val="en-GB" w:bidi="en-GB"/>
        </w:rPr>
        <w:t>The Group’s most significant risk is a decline in net sales in the principal market areas. New construction and renovation projects affect the sales of Tulikivi products in Finland. The political and economic uncertainty in Central Europe and Russia are having an effect on the demand for Tulikivi’s products.</w:t>
      </w:r>
    </w:p>
    <w:p w14:paraId="0E572AEC" w14:textId="77777777" w:rsidR="006858E5" w:rsidRPr="0028051D" w:rsidRDefault="006858E5" w:rsidP="00EE64C7">
      <w:pPr>
        <w:rPr>
          <w:rFonts w:ascii="FoundrySterling-Book" w:hAnsi="FoundrySterling-Book" w:cs="Courier New"/>
          <w:szCs w:val="24"/>
        </w:rPr>
      </w:pPr>
    </w:p>
    <w:p w14:paraId="41164A5F" w14:textId="5601420D" w:rsidR="00830187" w:rsidRPr="0038355F" w:rsidRDefault="00CC66BF" w:rsidP="00830187">
      <w:pPr>
        <w:rPr>
          <w:rFonts w:ascii="FoundrySterling-Book" w:hAnsi="FoundrySterling-Book"/>
          <w:szCs w:val="24"/>
        </w:rPr>
      </w:pPr>
      <w:r w:rsidRPr="0028051D">
        <w:rPr>
          <w:rFonts w:ascii="FoundrySterling-Book" w:eastAsia="FoundrySterling-Book" w:hAnsi="FoundrySterling-Book" w:cs="Courier New"/>
          <w:szCs w:val="24"/>
          <w:lang w:val="en-GB" w:bidi="en-GB"/>
        </w:rPr>
        <w:t xml:space="preserve">Improving the Group’s financing position and securing the continuity of financing require an improvement in profitability. If the company’s business operations and result do not develop as planned, the repayment of its loans may create a greater burden on the company’s cash flow than anticipated. There is also a risk of breach of the loan covenants and that the talc project will not succeed. A further risk is that the company will not succeed in negotiating a sufficient repayment programme and terms with its financiers. If the profitability of the business does not improve as planned, there is also a risk of the company being forced to recognise impairment on its business operations and to reduce the amount of deferred tax assets on its balance sheet. </w:t>
      </w:r>
    </w:p>
    <w:p w14:paraId="0F2FEDEC" w14:textId="77777777" w:rsidR="00614006" w:rsidRPr="0038355F" w:rsidRDefault="00614006" w:rsidP="00EE64C7">
      <w:pPr>
        <w:rPr>
          <w:rFonts w:ascii="FoundrySterling-Book" w:hAnsi="FoundrySterling-Book" w:cs="Courier New"/>
          <w:szCs w:val="24"/>
        </w:rPr>
      </w:pPr>
    </w:p>
    <w:p w14:paraId="3CC72065" w14:textId="77777777" w:rsidR="00C21C22" w:rsidRPr="0038355F" w:rsidRDefault="000C0AEA" w:rsidP="000C0AEA">
      <w:pPr>
        <w:rPr>
          <w:rFonts w:ascii="FoundrySterling-Book" w:hAnsi="FoundrySterling-Book" w:cs="Courier New"/>
          <w:szCs w:val="24"/>
        </w:rPr>
      </w:pPr>
      <w:r w:rsidRPr="0038355F">
        <w:rPr>
          <w:rFonts w:ascii="FoundrySterling-Book" w:eastAsia="FoundrySterling-Book" w:hAnsi="FoundrySterling-Book" w:cs="Courier New"/>
          <w:szCs w:val="24"/>
          <w:lang w:val="en-GB" w:bidi="en-GB"/>
        </w:rPr>
        <w:t>With regard to the company’s foreign currency risk, the most significant currencies are the Russian rouble and the US dollar. About 90% of the company’s cash flow is in euros, meaning that the company’s exposure to foreign currency risks is low. A weakening of currencies may have an adverse effect on the sales margin.</w:t>
      </w:r>
    </w:p>
    <w:p w14:paraId="3E329C3B" w14:textId="77777777" w:rsidR="00C21C22" w:rsidRPr="0038355F" w:rsidRDefault="00C21C22" w:rsidP="000C0AEA">
      <w:pPr>
        <w:rPr>
          <w:rFonts w:ascii="FoundrySterling-Book" w:hAnsi="FoundrySterling-Book" w:cs="Courier New"/>
          <w:szCs w:val="24"/>
        </w:rPr>
      </w:pPr>
    </w:p>
    <w:p w14:paraId="51102E54" w14:textId="31D30096" w:rsidR="0098238D" w:rsidRPr="0098238D" w:rsidRDefault="0098238D" w:rsidP="0098238D">
      <w:pPr>
        <w:pStyle w:val="Eivli"/>
        <w:rPr>
          <w:rFonts w:ascii="FoundrySterling-Book" w:hAnsi="FoundrySterling-Book" w:cs="AGaramond-Regular"/>
          <w:sz w:val="24"/>
          <w:szCs w:val="24"/>
        </w:rPr>
      </w:pPr>
      <w:r w:rsidRPr="000C0C48">
        <w:rPr>
          <w:rFonts w:ascii="FoundrySterling-Book" w:eastAsia="FoundrySterling-Book" w:hAnsi="FoundrySterling-Book" w:cs="AGaramond-Regular"/>
          <w:sz w:val="24"/>
          <w:szCs w:val="24"/>
          <w:lang w:val="en-GB" w:bidi="en-GB"/>
        </w:rPr>
        <w:t>The Covid-19 pandemic could have an impact on the company’s market environment, employees and business. The overall financial impact on Tulikivi’s operations depends on the scale and duration of the Covid-19 pandemic, which cannot be estimated precisely at this stage. The Board of Directors and management are closely monitoring the progress of the Covid-19 pandemic and will update their assessment of its impact as the situation progresses.</w:t>
      </w:r>
    </w:p>
    <w:p w14:paraId="0C6382AE" w14:textId="77777777" w:rsidR="0098238D" w:rsidRDefault="0098238D" w:rsidP="000C0AEA">
      <w:pPr>
        <w:rPr>
          <w:rFonts w:ascii="FoundrySterling-Book" w:hAnsi="FoundrySterling-Book" w:cs="Courier New"/>
          <w:szCs w:val="24"/>
        </w:rPr>
      </w:pPr>
    </w:p>
    <w:p w14:paraId="36A05F99" w14:textId="6788F673" w:rsidR="000C0AEA" w:rsidRPr="00C6214A" w:rsidRDefault="00C21C22" w:rsidP="000C0AEA">
      <w:pPr>
        <w:rPr>
          <w:rFonts w:ascii="FoundrySterling-Book" w:hAnsi="FoundrySterling-Book" w:cs="Courier New"/>
          <w:szCs w:val="24"/>
        </w:rPr>
      </w:pPr>
      <w:r w:rsidRPr="0038355F">
        <w:rPr>
          <w:rFonts w:ascii="FoundrySterling-Book" w:eastAsia="FoundrySterling-Book" w:hAnsi="FoundrySterling-Book" w:cs="Courier New"/>
          <w:szCs w:val="24"/>
          <w:lang w:val="en-GB" w:bidi="en-GB"/>
        </w:rPr>
        <w:t>The risks are described in more detail on page 84 of the Annual Report 2019.</w:t>
      </w:r>
    </w:p>
    <w:p w14:paraId="60284CD9" w14:textId="77777777" w:rsidR="001F2A4C" w:rsidRDefault="001F2A4C" w:rsidP="00EE64C7">
      <w:pPr>
        <w:autoSpaceDE w:val="0"/>
        <w:autoSpaceDN w:val="0"/>
        <w:adjustRightInd w:val="0"/>
        <w:rPr>
          <w:rFonts w:ascii="FoundrySterling-Book" w:hAnsi="FoundrySterling-Book"/>
          <w:b/>
          <w:szCs w:val="24"/>
        </w:rPr>
      </w:pPr>
    </w:p>
    <w:p w14:paraId="24B1FABA" w14:textId="77777777" w:rsidR="00231093" w:rsidRDefault="00231093" w:rsidP="00231093">
      <w:pPr>
        <w:rPr>
          <w:rFonts w:ascii="FoundrySterling-Book" w:hAnsi="FoundrySterling-Book"/>
          <w:b/>
          <w:bCs/>
          <w:szCs w:val="24"/>
          <w:highlight w:val="yellow"/>
        </w:rPr>
      </w:pPr>
    </w:p>
    <w:p w14:paraId="01AF8CF1" w14:textId="2A5110EA" w:rsidR="00231093" w:rsidRPr="00231093" w:rsidRDefault="00ED0FD5" w:rsidP="00231093">
      <w:pPr>
        <w:rPr>
          <w:rFonts w:ascii="FoundrySterling-Book" w:hAnsi="FoundrySterling-Book"/>
          <w:b/>
          <w:bCs/>
          <w:szCs w:val="24"/>
        </w:rPr>
      </w:pPr>
      <w:r>
        <w:rPr>
          <w:rFonts w:ascii="FoundrySterling-Book" w:eastAsia="FoundrySterling-Book" w:hAnsi="FoundrySterling-Book" w:cs="FoundrySterling-Book"/>
          <w:b/>
          <w:szCs w:val="24"/>
          <w:lang w:val="en-GB" w:bidi="en-GB"/>
        </w:rPr>
        <w:t>Events after the review period</w:t>
      </w:r>
    </w:p>
    <w:p w14:paraId="46BEA1CA" w14:textId="77777777" w:rsidR="00231093" w:rsidRPr="005652F6" w:rsidRDefault="00231093" w:rsidP="00231093">
      <w:pPr>
        <w:rPr>
          <w:rFonts w:ascii="FoundrySterling-Book" w:hAnsi="FoundrySterling-Book"/>
          <w:szCs w:val="24"/>
          <w:highlight w:val="yellow"/>
        </w:rPr>
      </w:pPr>
    </w:p>
    <w:p w14:paraId="6A6D5F0C" w14:textId="6C710971" w:rsidR="00802AF9" w:rsidRPr="00802AF9" w:rsidRDefault="000F445C" w:rsidP="00802AF9">
      <w:pPr>
        <w:autoSpaceDE w:val="0"/>
        <w:autoSpaceDN w:val="0"/>
        <w:spacing w:after="240"/>
        <w:rPr>
          <w:rFonts w:ascii="FoundrySterling-Book" w:hAnsi="FoundrySterling-Book" w:cs="FoundrySterling-Book"/>
          <w:szCs w:val="24"/>
        </w:rPr>
      </w:pPr>
      <w:r w:rsidRPr="000C0C48">
        <w:rPr>
          <w:rFonts w:ascii="FoundrySterling-Book" w:eastAsia="FoundrySterling-Book" w:hAnsi="FoundrySterling-Book" w:cs="FoundrySterling-Book"/>
          <w:szCs w:val="24"/>
          <w:lang w:val="en-GB" w:bidi="en-GB"/>
        </w:rPr>
        <w:t xml:space="preserve">As a consequence of the Covid-19 pandemic, the company’s order intake especially from Cental Europe has fallen in April and May, and therefore the company updated its outlook for 2020 on 6 May 2020. </w:t>
      </w:r>
    </w:p>
    <w:p w14:paraId="26E32C3C" w14:textId="6B644E22" w:rsidR="00802AF9" w:rsidRPr="00802AF9" w:rsidRDefault="00802AF9" w:rsidP="00802AF9">
      <w:pPr>
        <w:autoSpaceDE w:val="0"/>
        <w:autoSpaceDN w:val="0"/>
        <w:spacing w:after="240"/>
        <w:rPr>
          <w:rFonts w:ascii="FoundrySterling-Book" w:hAnsi="FoundrySterling-Book" w:cs="FoundrySterling-Book"/>
          <w:szCs w:val="24"/>
        </w:rPr>
      </w:pPr>
      <w:r w:rsidRPr="00802AF9">
        <w:rPr>
          <w:rFonts w:ascii="FoundrySterling-Book" w:eastAsia="FoundrySterling-Book" w:hAnsi="FoundrySterling-Book" w:cs="FoundrySterling-Book"/>
          <w:szCs w:val="24"/>
          <w:lang w:val="en-GB" w:bidi="en-GB"/>
        </w:rPr>
        <w:t xml:space="preserve">Due to the uncertainty in net sales, operations have been adjusted by laying off production and office staff and postponing development projects.   </w:t>
      </w:r>
    </w:p>
    <w:p w14:paraId="2E4C1569" w14:textId="5FC1304A" w:rsidR="00802AF9" w:rsidRDefault="00802AF9" w:rsidP="00802AF9">
      <w:pPr>
        <w:pStyle w:val="Merkittyluettelo"/>
        <w:rPr>
          <w:rFonts w:ascii="FoundrySterling-Book" w:hAnsi="FoundrySterling-Book"/>
          <w:sz w:val="24"/>
          <w:szCs w:val="24"/>
        </w:rPr>
      </w:pPr>
      <w:r w:rsidRPr="008E6AD1">
        <w:rPr>
          <w:rFonts w:ascii="FoundrySterling-Book" w:eastAsia="FoundrySterling-Book" w:hAnsi="FoundrySterling-Book" w:cs="FoundrySterling-Book"/>
          <w:sz w:val="24"/>
          <w:szCs w:val="24"/>
          <w:lang w:val="en-GB" w:bidi="en-GB"/>
        </w:rPr>
        <w:t>The Board of Directors and management are closely monitoring the progress of the Covid-19 pandemic and will update their assessment of its impact as the situation progresses.</w:t>
      </w:r>
    </w:p>
    <w:p w14:paraId="0E740607" w14:textId="77777777" w:rsidR="003050CE" w:rsidRPr="005652F6" w:rsidRDefault="003050CE" w:rsidP="00802AF9">
      <w:pPr>
        <w:pStyle w:val="Merkittyluettelo"/>
        <w:rPr>
          <w:rFonts w:ascii="FoundrySterling-Book" w:hAnsi="FoundrySterling-Book"/>
          <w:sz w:val="24"/>
          <w:szCs w:val="24"/>
        </w:rPr>
      </w:pPr>
    </w:p>
    <w:p w14:paraId="3F1D7441" w14:textId="77777777" w:rsidR="00675301" w:rsidRPr="00C6214A" w:rsidRDefault="00675301" w:rsidP="00EE64C7">
      <w:pPr>
        <w:autoSpaceDE w:val="0"/>
        <w:autoSpaceDN w:val="0"/>
        <w:adjustRightInd w:val="0"/>
        <w:rPr>
          <w:rFonts w:ascii="FoundrySterling-Book" w:hAnsi="FoundrySterling-Book"/>
          <w:b/>
          <w:szCs w:val="24"/>
        </w:rPr>
      </w:pPr>
      <w:r w:rsidRPr="00C6214A">
        <w:rPr>
          <w:rFonts w:ascii="FoundrySterling-Book" w:eastAsia="FoundrySterling-Book" w:hAnsi="FoundrySterling-Book" w:cs="FoundrySterling-Book"/>
          <w:b/>
          <w:szCs w:val="24"/>
          <w:lang w:val="en-GB" w:bidi="en-GB"/>
        </w:rPr>
        <w:t>Future outlook</w:t>
      </w:r>
    </w:p>
    <w:p w14:paraId="6801B35C" w14:textId="1B70B621" w:rsidR="009F7AAB" w:rsidRPr="00D416FF" w:rsidRDefault="00675301" w:rsidP="009F7AAB">
      <w:pPr>
        <w:pStyle w:val="HTML-esimuotoiltu"/>
        <w:rPr>
          <w:rFonts w:ascii="FoundrySterling-Book" w:hAnsi="FoundrySterling-Book" w:cs="FoundrySterling-Book"/>
          <w:sz w:val="24"/>
          <w:szCs w:val="24"/>
          <w:lang w:eastAsia="en-US"/>
        </w:rPr>
      </w:pPr>
      <w:r w:rsidRPr="00C6214A">
        <w:rPr>
          <w:rFonts w:ascii="FoundrySterling-Book" w:eastAsia="FoundrySterling-Book" w:hAnsi="FoundrySterling-Book" w:cs="FoundrySterling-Book"/>
          <w:b/>
          <w:sz w:val="24"/>
          <w:szCs w:val="24"/>
          <w:lang w:val="en-GB" w:bidi="en-GB"/>
        </w:rPr>
        <w:br/>
      </w:r>
      <w:r w:rsidR="009F7AAB" w:rsidRPr="00F96B2D">
        <w:rPr>
          <w:rFonts w:ascii="FoundrySterling-Book" w:eastAsia="FoundrySterling-Book" w:hAnsi="FoundrySterling-Book" w:cs="Courier New"/>
          <w:sz w:val="24"/>
          <w:szCs w:val="24"/>
          <w:lang w:val="en-GB" w:bidi="en-GB"/>
        </w:rPr>
        <w:t>Net sales in 2020 are expected to be between EUR 27 and 29 million, and the comparable operating profit is expected to be positive.</w:t>
      </w:r>
    </w:p>
    <w:p w14:paraId="244AB0C8" w14:textId="77777777" w:rsidR="001B28B5" w:rsidRPr="00D416FF" w:rsidRDefault="001B28B5" w:rsidP="00464074">
      <w:pPr>
        <w:pStyle w:val="HTML-esimuotoiltu"/>
        <w:rPr>
          <w:rFonts w:ascii="FoundrySterling-Book" w:hAnsi="FoundrySterling-Book" w:cs="FoundrySterling-Book"/>
          <w:sz w:val="24"/>
          <w:szCs w:val="24"/>
          <w:lang w:eastAsia="en-US"/>
        </w:rPr>
      </w:pPr>
    </w:p>
    <w:p w14:paraId="606CB2C2" w14:textId="77777777" w:rsidR="002E770A" w:rsidRDefault="002E770A" w:rsidP="00EE64C7">
      <w:pPr>
        <w:rPr>
          <w:rFonts w:ascii="FoundrySterling-Book" w:hAnsi="FoundrySterling-Book"/>
          <w:szCs w:val="24"/>
        </w:rPr>
      </w:pPr>
    </w:p>
    <w:p w14:paraId="4512AEF8" w14:textId="08E01F71" w:rsidR="00992FE0" w:rsidRDefault="0074174C" w:rsidP="00EE64C7">
      <w:pPr>
        <w:rPr>
          <w:rFonts w:ascii="FoundrySterling-Book" w:hAnsi="FoundrySterling-Book"/>
          <w:szCs w:val="24"/>
        </w:rPr>
      </w:pPr>
      <w:r w:rsidRPr="0074174C">
        <w:rPr>
          <w:noProof/>
          <w:lang w:val="en-GB" w:bidi="en-GB"/>
        </w:rPr>
        <w:drawing>
          <wp:inline distT="0" distB="0" distL="0" distR="0" wp14:anchorId="1922F903" wp14:editId="523B9ACA">
            <wp:extent cx="6120130" cy="5424170"/>
            <wp:effectExtent l="0" t="0" r="0" b="508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424170"/>
                    </a:xfrm>
                    <a:prstGeom prst="rect">
                      <a:avLst/>
                    </a:prstGeom>
                  </pic:spPr>
                </pic:pic>
              </a:graphicData>
            </a:graphic>
          </wp:inline>
        </w:drawing>
      </w:r>
    </w:p>
    <w:p w14:paraId="14F5BC09" w14:textId="07F6C96A" w:rsidR="006C63A3" w:rsidRDefault="006C63A3" w:rsidP="00EE64C7">
      <w:pPr>
        <w:rPr>
          <w:rFonts w:ascii="FoundrySterling-Book" w:hAnsi="FoundrySterling-Book"/>
          <w:szCs w:val="24"/>
        </w:rPr>
      </w:pPr>
    </w:p>
    <w:p w14:paraId="2199A40D" w14:textId="1E375793" w:rsidR="006C63A3" w:rsidRDefault="006C63A3" w:rsidP="00EE64C7">
      <w:pPr>
        <w:rPr>
          <w:rFonts w:ascii="FoundrySterling-Book" w:hAnsi="FoundrySterling-Book"/>
          <w:szCs w:val="24"/>
        </w:rPr>
      </w:pPr>
    </w:p>
    <w:p w14:paraId="4C275581" w14:textId="22A07A1C" w:rsidR="006C63A3" w:rsidRDefault="0074174C" w:rsidP="00EE64C7">
      <w:pPr>
        <w:rPr>
          <w:rFonts w:ascii="FoundrySterling-Book" w:hAnsi="FoundrySterling-Book"/>
          <w:szCs w:val="24"/>
        </w:rPr>
      </w:pPr>
      <w:r w:rsidRPr="0074174C">
        <w:rPr>
          <w:noProof/>
          <w:lang w:val="en-GB" w:bidi="en-GB"/>
        </w:rPr>
        <w:drawing>
          <wp:inline distT="0" distB="0" distL="0" distR="0" wp14:anchorId="0179485C" wp14:editId="279705F9">
            <wp:extent cx="6120130" cy="4227830"/>
            <wp:effectExtent l="0" t="0" r="0" b="127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4227830"/>
                    </a:xfrm>
                    <a:prstGeom prst="rect">
                      <a:avLst/>
                    </a:prstGeom>
                  </pic:spPr>
                </pic:pic>
              </a:graphicData>
            </a:graphic>
          </wp:inline>
        </w:drawing>
      </w:r>
    </w:p>
    <w:p w14:paraId="78CF288C" w14:textId="77777777" w:rsidR="00675301" w:rsidRDefault="00675301" w:rsidP="0035527C">
      <w:pPr>
        <w:rPr>
          <w:noProof/>
        </w:rPr>
      </w:pPr>
    </w:p>
    <w:p w14:paraId="3E537580" w14:textId="77777777" w:rsidR="001F229B" w:rsidRPr="00BD29F1" w:rsidRDefault="001F229B" w:rsidP="0035527C">
      <w:pPr>
        <w:rPr>
          <w:noProof/>
          <w:szCs w:val="24"/>
        </w:rPr>
      </w:pPr>
    </w:p>
    <w:p w14:paraId="22CF860B" w14:textId="77777777" w:rsidR="00675301" w:rsidRPr="009B45AE" w:rsidRDefault="00675301" w:rsidP="0035527C">
      <w:pPr>
        <w:rPr>
          <w:rFonts w:ascii="FoundrySterling-Book" w:hAnsi="FoundrySterling-Book"/>
          <w:b/>
          <w:szCs w:val="24"/>
        </w:rPr>
      </w:pPr>
    </w:p>
    <w:p w14:paraId="0E5625F9" w14:textId="77777777" w:rsidR="00675301" w:rsidRPr="009B45AE" w:rsidRDefault="00675301" w:rsidP="0035527C">
      <w:pPr>
        <w:rPr>
          <w:rFonts w:ascii="FoundrySterling-Book" w:hAnsi="FoundrySterling-Book"/>
          <w:b/>
          <w:szCs w:val="24"/>
        </w:rPr>
      </w:pPr>
    </w:p>
    <w:p w14:paraId="19FB69FF" w14:textId="068F0896" w:rsidR="00675301" w:rsidRPr="00BD29F1" w:rsidRDefault="00675301" w:rsidP="009B45AE">
      <w:pPr>
        <w:tabs>
          <w:tab w:val="right" w:pos="4820"/>
          <w:tab w:val="right" w:pos="5954"/>
          <w:tab w:val="right" w:pos="7088"/>
          <w:tab w:val="right" w:pos="8080"/>
          <w:tab w:val="right" w:pos="9639"/>
        </w:tabs>
        <w:outlineLvl w:val="0"/>
        <w:rPr>
          <w:noProof/>
          <w:szCs w:val="24"/>
        </w:rPr>
      </w:pPr>
    </w:p>
    <w:p w14:paraId="5D1E1960" w14:textId="77777777" w:rsidR="00675301" w:rsidRDefault="00675301" w:rsidP="009B45AE">
      <w:pPr>
        <w:tabs>
          <w:tab w:val="right" w:pos="4820"/>
          <w:tab w:val="right" w:pos="5954"/>
          <w:tab w:val="right" w:pos="7088"/>
          <w:tab w:val="right" w:pos="8080"/>
          <w:tab w:val="right" w:pos="9639"/>
        </w:tabs>
        <w:rPr>
          <w:noProof/>
        </w:rPr>
      </w:pPr>
    </w:p>
    <w:p w14:paraId="66C06B7D" w14:textId="0680AE52" w:rsidR="001F229B" w:rsidRDefault="001F229B" w:rsidP="009B45AE">
      <w:pPr>
        <w:tabs>
          <w:tab w:val="right" w:pos="4820"/>
          <w:tab w:val="right" w:pos="5954"/>
          <w:tab w:val="right" w:pos="7088"/>
          <w:tab w:val="right" w:pos="8080"/>
          <w:tab w:val="right" w:pos="9639"/>
        </w:tabs>
        <w:rPr>
          <w:noProof/>
        </w:rPr>
      </w:pPr>
    </w:p>
    <w:p w14:paraId="11AC397D" w14:textId="7E1811DC" w:rsidR="004E1F1C" w:rsidRDefault="0074174C" w:rsidP="009B45AE">
      <w:pPr>
        <w:tabs>
          <w:tab w:val="right" w:pos="4820"/>
          <w:tab w:val="right" w:pos="5954"/>
          <w:tab w:val="right" w:pos="7088"/>
          <w:tab w:val="right" w:pos="8080"/>
          <w:tab w:val="right" w:pos="9639"/>
        </w:tabs>
        <w:rPr>
          <w:noProof/>
        </w:rPr>
      </w:pPr>
      <w:r w:rsidRPr="0074174C">
        <w:rPr>
          <w:noProof/>
          <w:lang w:val="en-GB" w:bidi="en-GB"/>
        </w:rPr>
        <w:drawing>
          <wp:inline distT="0" distB="0" distL="0" distR="0" wp14:anchorId="7C723096" wp14:editId="70CA575E">
            <wp:extent cx="6120130" cy="3578225"/>
            <wp:effectExtent l="0" t="0" r="0" b="3175"/>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578225"/>
                    </a:xfrm>
                    <a:prstGeom prst="rect">
                      <a:avLst/>
                    </a:prstGeom>
                  </pic:spPr>
                </pic:pic>
              </a:graphicData>
            </a:graphic>
          </wp:inline>
        </w:drawing>
      </w:r>
    </w:p>
    <w:p w14:paraId="7EE87EA9" w14:textId="4904DDF9" w:rsidR="001F229B" w:rsidRPr="007717FA" w:rsidRDefault="001F229B" w:rsidP="009B45AE">
      <w:pPr>
        <w:tabs>
          <w:tab w:val="right" w:pos="4820"/>
          <w:tab w:val="right" w:pos="5954"/>
          <w:tab w:val="right" w:pos="7088"/>
          <w:tab w:val="right" w:pos="8080"/>
          <w:tab w:val="right" w:pos="9639"/>
        </w:tabs>
        <w:rPr>
          <w:szCs w:val="24"/>
        </w:rPr>
      </w:pPr>
    </w:p>
    <w:p w14:paraId="38501AF2" w14:textId="7A86A402" w:rsidR="00675301" w:rsidRDefault="0074174C" w:rsidP="009B45AE">
      <w:pPr>
        <w:tabs>
          <w:tab w:val="right" w:pos="4820"/>
          <w:tab w:val="right" w:pos="5954"/>
          <w:tab w:val="right" w:pos="7088"/>
          <w:tab w:val="right" w:pos="8080"/>
          <w:tab w:val="right" w:pos="9639"/>
        </w:tabs>
        <w:rPr>
          <w:noProof/>
        </w:rPr>
      </w:pPr>
      <w:r w:rsidRPr="0074174C">
        <w:rPr>
          <w:noProof/>
          <w:lang w:val="en-GB" w:bidi="en-GB"/>
        </w:rPr>
        <w:drawing>
          <wp:inline distT="0" distB="0" distL="0" distR="0" wp14:anchorId="1A4EC7AE" wp14:editId="6269F13F">
            <wp:extent cx="6120130" cy="520192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5201920"/>
                    </a:xfrm>
                    <a:prstGeom prst="rect">
                      <a:avLst/>
                    </a:prstGeom>
                  </pic:spPr>
                </pic:pic>
              </a:graphicData>
            </a:graphic>
          </wp:inline>
        </w:drawing>
      </w:r>
    </w:p>
    <w:p w14:paraId="167DCAF7" w14:textId="77777777" w:rsidR="0074174C" w:rsidRDefault="0074174C" w:rsidP="009B45AE">
      <w:pPr>
        <w:tabs>
          <w:tab w:val="right" w:pos="4820"/>
          <w:tab w:val="right" w:pos="5954"/>
          <w:tab w:val="right" w:pos="7088"/>
          <w:tab w:val="right" w:pos="8080"/>
          <w:tab w:val="right" w:pos="8931"/>
          <w:tab w:val="right" w:pos="9639"/>
        </w:tabs>
        <w:rPr>
          <w:noProof/>
        </w:rPr>
      </w:pPr>
    </w:p>
    <w:p w14:paraId="2FD7BA68" w14:textId="573E9242" w:rsidR="00FF7DDE" w:rsidRDefault="0074174C" w:rsidP="009B45AE">
      <w:pPr>
        <w:tabs>
          <w:tab w:val="right" w:pos="4820"/>
          <w:tab w:val="right" w:pos="5954"/>
          <w:tab w:val="right" w:pos="7088"/>
          <w:tab w:val="right" w:pos="8080"/>
          <w:tab w:val="right" w:pos="8931"/>
          <w:tab w:val="right" w:pos="9639"/>
        </w:tabs>
        <w:rPr>
          <w:noProof/>
        </w:rPr>
      </w:pPr>
      <w:r w:rsidRPr="0074174C">
        <w:rPr>
          <w:noProof/>
          <w:lang w:val="en-GB" w:bidi="en-GB"/>
        </w:rPr>
        <w:drawing>
          <wp:inline distT="0" distB="0" distL="0" distR="0" wp14:anchorId="58259405" wp14:editId="0C91FA5E">
            <wp:extent cx="6120130" cy="204660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046605"/>
                    </a:xfrm>
                    <a:prstGeom prst="rect">
                      <a:avLst/>
                    </a:prstGeom>
                  </pic:spPr>
                </pic:pic>
              </a:graphicData>
            </a:graphic>
          </wp:inline>
        </w:drawing>
      </w:r>
    </w:p>
    <w:p w14:paraId="3E1A7E18" w14:textId="72E0292A" w:rsidR="00FF7DDE" w:rsidRDefault="00FF7DDE" w:rsidP="009B45AE">
      <w:pPr>
        <w:tabs>
          <w:tab w:val="right" w:pos="4820"/>
          <w:tab w:val="right" w:pos="5954"/>
          <w:tab w:val="right" w:pos="7088"/>
          <w:tab w:val="right" w:pos="8080"/>
          <w:tab w:val="right" w:pos="8931"/>
          <w:tab w:val="right" w:pos="9639"/>
        </w:tabs>
        <w:rPr>
          <w:noProof/>
        </w:rPr>
      </w:pPr>
    </w:p>
    <w:p w14:paraId="1C981C62" w14:textId="77777777" w:rsidR="0074174C" w:rsidRDefault="0074174C" w:rsidP="009B45AE">
      <w:pPr>
        <w:tabs>
          <w:tab w:val="right" w:pos="4820"/>
          <w:tab w:val="right" w:pos="5954"/>
          <w:tab w:val="right" w:pos="7088"/>
          <w:tab w:val="right" w:pos="8080"/>
          <w:tab w:val="right" w:pos="8931"/>
          <w:tab w:val="right" w:pos="9639"/>
        </w:tabs>
        <w:rPr>
          <w:noProof/>
        </w:rPr>
      </w:pPr>
    </w:p>
    <w:p w14:paraId="53704920" w14:textId="31A2D08F" w:rsidR="00824A1C" w:rsidRDefault="0074174C" w:rsidP="009B45AE">
      <w:pPr>
        <w:tabs>
          <w:tab w:val="right" w:pos="4820"/>
          <w:tab w:val="right" w:pos="5954"/>
          <w:tab w:val="right" w:pos="7088"/>
          <w:tab w:val="right" w:pos="8080"/>
          <w:tab w:val="right" w:pos="8931"/>
          <w:tab w:val="right" w:pos="9639"/>
        </w:tabs>
        <w:rPr>
          <w:noProof/>
        </w:rPr>
      </w:pPr>
      <w:r w:rsidRPr="0074174C">
        <w:rPr>
          <w:noProof/>
          <w:lang w:val="en-GB" w:bidi="en-GB"/>
        </w:rPr>
        <w:drawing>
          <wp:inline distT="0" distB="0" distL="0" distR="0" wp14:anchorId="4E27BC5D" wp14:editId="49528271">
            <wp:extent cx="6120130" cy="4401185"/>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4401185"/>
                    </a:xfrm>
                    <a:prstGeom prst="rect">
                      <a:avLst/>
                    </a:prstGeom>
                  </pic:spPr>
                </pic:pic>
              </a:graphicData>
            </a:graphic>
          </wp:inline>
        </w:drawing>
      </w:r>
    </w:p>
    <w:p w14:paraId="7F280FD1" w14:textId="7B77CACD" w:rsidR="002A37C7" w:rsidRDefault="002A37C7" w:rsidP="009B45AE">
      <w:pPr>
        <w:tabs>
          <w:tab w:val="right" w:pos="4820"/>
          <w:tab w:val="right" w:pos="5954"/>
          <w:tab w:val="right" w:pos="7088"/>
          <w:tab w:val="right" w:pos="8080"/>
          <w:tab w:val="right" w:pos="8931"/>
          <w:tab w:val="right" w:pos="9639"/>
        </w:tabs>
        <w:rPr>
          <w:noProof/>
        </w:rPr>
      </w:pPr>
    </w:p>
    <w:p w14:paraId="59984054" w14:textId="77777777" w:rsidR="0074174C" w:rsidRDefault="0074174C" w:rsidP="00C5163A">
      <w:pPr>
        <w:rPr>
          <w:rFonts w:ascii="FoundrySterling-Book" w:hAnsi="FoundrySterling-Book"/>
          <w:szCs w:val="24"/>
        </w:rPr>
      </w:pPr>
    </w:p>
    <w:p w14:paraId="3AA85A63" w14:textId="77777777" w:rsidR="0074174C" w:rsidRDefault="0074174C" w:rsidP="00C5163A">
      <w:pPr>
        <w:rPr>
          <w:rFonts w:ascii="FoundrySterling-Book" w:hAnsi="FoundrySterling-Book"/>
          <w:szCs w:val="24"/>
        </w:rPr>
      </w:pPr>
    </w:p>
    <w:p w14:paraId="63656B56" w14:textId="40E8B659" w:rsidR="00675301" w:rsidRPr="00536AD7" w:rsidRDefault="00675301" w:rsidP="00C5163A">
      <w:pPr>
        <w:rPr>
          <w:rFonts w:ascii="FoundrySterling-Book" w:hAnsi="FoundrySterling-Book"/>
          <w:szCs w:val="24"/>
        </w:rPr>
      </w:pPr>
      <w:r>
        <w:rPr>
          <w:rFonts w:ascii="FoundrySterling-Book" w:eastAsia="FoundrySterling-Book" w:hAnsi="FoundrySterling-Book" w:cs="FoundrySterling-Book"/>
          <w:szCs w:val="24"/>
          <w:lang w:val="en-GB" w:bidi="en-GB"/>
        </w:rPr>
        <w:t xml:space="preserve">Notes to the financial statements </w:t>
      </w:r>
    </w:p>
    <w:p w14:paraId="44D3A17A" w14:textId="77777777" w:rsidR="00675301" w:rsidRDefault="00675301" w:rsidP="00C5163A">
      <w:pPr>
        <w:rPr>
          <w:rFonts w:ascii="FoundrySterling-Book" w:hAnsi="FoundrySterling-Book"/>
          <w:szCs w:val="24"/>
        </w:rPr>
      </w:pPr>
    </w:p>
    <w:p w14:paraId="05E699FE" w14:textId="18DA2141" w:rsidR="00FA0462" w:rsidRDefault="00CD03D3" w:rsidP="00C5163A">
      <w:pPr>
        <w:rPr>
          <w:rFonts w:ascii="FoundrySterling-Book" w:hAnsi="FoundrySterling-Book"/>
          <w:szCs w:val="24"/>
        </w:rPr>
      </w:pPr>
      <w:r>
        <w:rPr>
          <w:rFonts w:ascii="FoundrySterling-Book" w:eastAsia="FoundrySterling-Book" w:hAnsi="FoundrySterling-Book" w:cs="FoundrySterling-Book"/>
          <w:szCs w:val="24"/>
          <w:lang w:val="en-GB" w:bidi="en-GB"/>
        </w:rPr>
        <w:t>The information presented in the interim report is unaudited.</w:t>
      </w:r>
    </w:p>
    <w:p w14:paraId="7AAE627D" w14:textId="77777777" w:rsidR="00FA0462" w:rsidRDefault="00FA0462" w:rsidP="00C5163A">
      <w:pPr>
        <w:rPr>
          <w:rFonts w:ascii="FoundrySterling-Book" w:hAnsi="FoundrySterling-Book"/>
          <w:szCs w:val="24"/>
        </w:rPr>
      </w:pPr>
    </w:p>
    <w:p w14:paraId="0F053E9D" w14:textId="3457B813" w:rsidR="00675301" w:rsidRDefault="009B47E5" w:rsidP="005D4722">
      <w:pPr>
        <w:rPr>
          <w:rFonts w:ascii="FoundrySterling-Book" w:hAnsi="FoundrySterling-Book"/>
          <w:szCs w:val="24"/>
        </w:rPr>
      </w:pPr>
      <w:r w:rsidRPr="00D06E55">
        <w:rPr>
          <w:rFonts w:ascii="FoundrySterling-Book" w:eastAsia="FoundrySterling-Book" w:hAnsi="FoundrySterling-Book" w:cs="FoundrySterling-Book"/>
          <w:szCs w:val="24"/>
          <w:lang w:val="en-GB" w:bidi="en-GB"/>
        </w:rPr>
        <w:t xml:space="preserve">This interim report has been prepared in accordance with the standard IAS 34 </w:t>
      </w:r>
      <w:r w:rsidRPr="00D06E55">
        <w:rPr>
          <w:rFonts w:ascii="FoundrySterling-Book" w:eastAsia="FoundrySterling-Book" w:hAnsi="FoundrySterling-Book" w:cs="FoundrySterling-Book"/>
          <w:i/>
          <w:szCs w:val="24"/>
          <w:lang w:val="en-GB" w:bidi="en-GB"/>
        </w:rPr>
        <w:t>Interim Financial Reporting</w:t>
      </w:r>
      <w:r w:rsidRPr="00D06E55">
        <w:rPr>
          <w:rFonts w:ascii="FoundrySterling-Book" w:eastAsia="FoundrySterling-Book" w:hAnsi="FoundrySterling-Book" w:cs="FoundrySterling-Book"/>
          <w:szCs w:val="24"/>
          <w:lang w:val="en-GB" w:bidi="en-GB"/>
        </w:rPr>
        <w:t xml:space="preserve">. The company adopted the IFRS 16 Leases standard on 1 January 2019. Under the standard, a lessee will recognise assets and liabilities based on the right of use on its balance sheet. The company applied some of the recognition exemptions allowed by the standard, according to which short-term leases and leases where the underlying asset has a low value are not recognised on the balance sheet. The impact of IFRS 16 Leases on the opening balance sheet of 2019 was EUR 1.5 million, of which EUR 0.9 million were non-current and EUR 0.6 million were current liabilities. The balance sheet value of assets recognised under Buildings increased by EUR 1.4 million and that of assets under Machinery and Equipment by EUR 0.1 million. </w:t>
      </w:r>
      <w:bookmarkStart w:id="10" w:name="_Hlk1054096"/>
      <w:bookmarkStart w:id="11" w:name="_Hlk32852369"/>
      <w:r w:rsidRPr="00D06E55">
        <w:rPr>
          <w:rFonts w:ascii="FoundrySterling-Book" w:eastAsia="FoundrySterling-Book" w:hAnsi="FoundrySterling-Book" w:cs="FoundrySterling-Book"/>
          <w:szCs w:val="24"/>
          <w:lang w:val="en-GB" w:bidi="en-GB"/>
        </w:rPr>
        <w:t>Leasing costs decreased by EUR 0.8 million and depreciation increased by EUR 0.7 million during the financial year 2019 due to the impact of IFRS 16, and hence IFRS 16 had no significant impact on profit or loss in 2019</w:t>
      </w:r>
      <w:bookmarkEnd w:id="10"/>
      <w:r w:rsidRPr="00D06E55">
        <w:rPr>
          <w:rFonts w:ascii="FoundrySterling-Book" w:eastAsia="FoundrySterling-Book" w:hAnsi="FoundrySterling-Book" w:cs="FoundrySterling-Book"/>
          <w:szCs w:val="24"/>
          <w:lang w:val="en-GB" w:bidi="en-GB"/>
        </w:rPr>
        <w:t xml:space="preserve">. </w:t>
      </w:r>
      <w:bookmarkEnd w:id="11"/>
      <w:r w:rsidRPr="00D06E55">
        <w:rPr>
          <w:rFonts w:ascii="FoundrySterling-Book" w:eastAsia="FoundrySterling-Book" w:hAnsi="FoundrySterling-Book" w:cs="FoundrySterling-Book"/>
          <w:szCs w:val="24"/>
          <w:lang w:val="en-GB" w:bidi="en-GB"/>
        </w:rPr>
        <w:t>The company chose the simplified approach in the transition to the standard, and thus the comparative figures for the previous year were not adjusted. The IFRS 16 lease liability in the balance sheet was EUR 1.5 million as at 31 December 2019 and EUR 1.4 million as at 31 March 2020. The weighted average discount rate for lease liabilities under IFRS 16 was 3.0%. Otherwise, Tulikivi has applied the same IFRS accounting principles in this interim report release as in its previous consolidated financial statements. The key figures presented in the financial statements release have been calculated using the same formulas as the latest financial statements for 2019. As there no longer were non-recurring expenses in this or the previous review period, no key figures based on non-recurring expenses are presented. The formulas are presented on page 88 of the Annual Report 2019.</w:t>
      </w:r>
    </w:p>
    <w:p w14:paraId="393D4884" w14:textId="3B8AB47E" w:rsidR="00F01EFC" w:rsidRDefault="00F01EFC"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14:paraId="533B0948" w14:textId="77777777" w:rsidR="007F76D9" w:rsidRDefault="007F76D9"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14:paraId="5C9620BC" w14:textId="333814D9" w:rsidR="009B0163" w:rsidRDefault="0074174C"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74174C">
        <w:rPr>
          <w:noProof/>
          <w:lang w:val="en-GB" w:bidi="en-GB"/>
        </w:rPr>
        <w:drawing>
          <wp:inline distT="0" distB="0" distL="0" distR="0" wp14:anchorId="0984A17A" wp14:editId="4002A892">
            <wp:extent cx="6120130" cy="854075"/>
            <wp:effectExtent l="0" t="0" r="0" b="3175"/>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854075"/>
                    </a:xfrm>
                    <a:prstGeom prst="rect">
                      <a:avLst/>
                    </a:prstGeom>
                  </pic:spPr>
                </pic:pic>
              </a:graphicData>
            </a:graphic>
          </wp:inline>
        </w:drawing>
      </w:r>
    </w:p>
    <w:p w14:paraId="705FADCD" w14:textId="26A13A4B" w:rsidR="009B0163" w:rsidRDefault="009B0163"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14:paraId="1246141C" w14:textId="77777777" w:rsidR="009B0163" w:rsidRDefault="009B0163"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14:paraId="43EBB1B6" w14:textId="10AC09B1" w:rsidR="003D5159" w:rsidRDefault="0074174C"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74174C">
        <w:rPr>
          <w:noProof/>
          <w:lang w:val="en-GB" w:bidi="en-GB"/>
        </w:rPr>
        <w:drawing>
          <wp:inline distT="0" distB="0" distL="0" distR="0" wp14:anchorId="32FC86A5" wp14:editId="28A953CA">
            <wp:extent cx="6120130" cy="854075"/>
            <wp:effectExtent l="0" t="0" r="0" b="317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854075"/>
                    </a:xfrm>
                    <a:prstGeom prst="rect">
                      <a:avLst/>
                    </a:prstGeom>
                  </pic:spPr>
                </pic:pic>
              </a:graphicData>
            </a:graphic>
          </wp:inline>
        </w:drawing>
      </w:r>
    </w:p>
    <w:p w14:paraId="45B7188F" w14:textId="3599295D" w:rsidR="00D65AB6" w:rsidRDefault="00D65AB6"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p>
    <w:p w14:paraId="54A1C254" w14:textId="77777777" w:rsidR="00D65AB6" w:rsidRDefault="00D65AB6"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14:paraId="440D616B" w14:textId="2F1BB2A9" w:rsidR="00675301" w:rsidRPr="00536AD7" w:rsidRDefault="00F45139"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643130">
        <w:rPr>
          <w:rFonts w:ascii="FoundrySterling-Book" w:eastAsia="FoundrySterling-Book" w:hAnsi="FoundrySterling-Book" w:cs="Courier New"/>
          <w:color w:val="000000"/>
          <w:szCs w:val="24"/>
          <w:lang w:val="en-GB" w:bidi="en-GB"/>
        </w:rPr>
        <w:t xml:space="preserve">Available-for-sale financial assets are investments in unlisted shares. They are valued at acquisition cost because their fair value cannot be reliably determined. </w:t>
      </w:r>
    </w:p>
    <w:p w14:paraId="505F1897" w14:textId="39AC5D5F" w:rsidR="006B62DC" w:rsidRDefault="006B62DC" w:rsidP="00C5163A">
      <w:pPr>
        <w:rPr>
          <w:szCs w:val="24"/>
        </w:rPr>
      </w:pPr>
    </w:p>
    <w:p w14:paraId="2486DB15" w14:textId="77777777" w:rsidR="00385A41" w:rsidRDefault="00385A41" w:rsidP="00C5163A">
      <w:pPr>
        <w:rPr>
          <w:szCs w:val="24"/>
        </w:rPr>
      </w:pPr>
    </w:p>
    <w:p w14:paraId="6B3F4713" w14:textId="659FF28A" w:rsidR="00D06E55" w:rsidRDefault="0074174C" w:rsidP="00C5163A">
      <w:pPr>
        <w:rPr>
          <w:szCs w:val="24"/>
        </w:rPr>
      </w:pPr>
      <w:r w:rsidRPr="0074174C">
        <w:rPr>
          <w:noProof/>
          <w:lang w:val="en-GB" w:bidi="en-GB"/>
        </w:rPr>
        <w:drawing>
          <wp:inline distT="0" distB="0" distL="0" distR="0" wp14:anchorId="44288EE5" wp14:editId="6807352E">
            <wp:extent cx="6120130" cy="2810510"/>
            <wp:effectExtent l="0" t="0" r="0" b="889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2810510"/>
                    </a:xfrm>
                    <a:prstGeom prst="rect">
                      <a:avLst/>
                    </a:prstGeom>
                  </pic:spPr>
                </pic:pic>
              </a:graphicData>
            </a:graphic>
          </wp:inline>
        </w:drawing>
      </w:r>
    </w:p>
    <w:p w14:paraId="3D38AEF7" w14:textId="7E7E0CCC" w:rsidR="00F90136" w:rsidRDefault="00F90136" w:rsidP="00C5163A">
      <w:pPr>
        <w:rPr>
          <w:szCs w:val="24"/>
        </w:rPr>
      </w:pPr>
    </w:p>
    <w:p w14:paraId="75968528" w14:textId="51937392" w:rsidR="00675301" w:rsidRDefault="00675301" w:rsidP="00C5163A">
      <w:pPr>
        <w:rPr>
          <w:noProof/>
        </w:rPr>
      </w:pPr>
    </w:p>
    <w:p w14:paraId="20C57751" w14:textId="77777777" w:rsidR="00871D36" w:rsidRDefault="00871D36" w:rsidP="00C5163A">
      <w:pPr>
        <w:rPr>
          <w:noProof/>
        </w:rPr>
      </w:pPr>
    </w:p>
    <w:p w14:paraId="4C94514D" w14:textId="16F1581B" w:rsidR="00F90136" w:rsidRDefault="0074174C" w:rsidP="00C5163A">
      <w:pPr>
        <w:rPr>
          <w:szCs w:val="24"/>
        </w:rPr>
      </w:pPr>
      <w:r w:rsidRPr="0074174C">
        <w:rPr>
          <w:noProof/>
          <w:lang w:val="en-GB" w:bidi="en-GB"/>
        </w:rPr>
        <w:drawing>
          <wp:inline distT="0" distB="0" distL="0" distR="0" wp14:anchorId="43CDBD5B" wp14:editId="46530AE3">
            <wp:extent cx="6120130" cy="2117090"/>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117090"/>
                    </a:xfrm>
                    <a:prstGeom prst="rect">
                      <a:avLst/>
                    </a:prstGeom>
                  </pic:spPr>
                </pic:pic>
              </a:graphicData>
            </a:graphic>
          </wp:inline>
        </w:drawing>
      </w:r>
    </w:p>
    <w:p w14:paraId="189ABCCB" w14:textId="77777777" w:rsidR="00721E1B" w:rsidRDefault="00721E1B"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14:paraId="03498454" w14:textId="77777777" w:rsidR="000411F4" w:rsidRDefault="000411F4"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14:paraId="48F433CC" w14:textId="77777777" w:rsidR="00871D36" w:rsidRDefault="00871D36" w:rsidP="00C5163A">
      <w:pPr>
        <w:tabs>
          <w:tab w:val="right" w:pos="4820"/>
          <w:tab w:val="right" w:pos="5954"/>
          <w:tab w:val="right" w:pos="7088"/>
          <w:tab w:val="right" w:pos="8080"/>
          <w:tab w:val="right" w:pos="8931"/>
          <w:tab w:val="right" w:pos="9639"/>
        </w:tabs>
        <w:jc w:val="both"/>
        <w:rPr>
          <w:rFonts w:ascii="FoundrySterling-Book" w:eastAsia="FoundrySterling-Book" w:hAnsi="FoundrySterling-Book" w:cs="Courier New"/>
          <w:color w:val="000000"/>
          <w:szCs w:val="24"/>
          <w:lang w:val="en-GB" w:bidi="en-GB"/>
        </w:rPr>
      </w:pPr>
    </w:p>
    <w:p w14:paraId="0864BB2A" w14:textId="77777777" w:rsidR="00871D36" w:rsidRDefault="00871D36" w:rsidP="00C5163A">
      <w:pPr>
        <w:tabs>
          <w:tab w:val="right" w:pos="4820"/>
          <w:tab w:val="right" w:pos="5954"/>
          <w:tab w:val="right" w:pos="7088"/>
          <w:tab w:val="right" w:pos="8080"/>
          <w:tab w:val="right" w:pos="8931"/>
          <w:tab w:val="right" w:pos="9639"/>
        </w:tabs>
        <w:jc w:val="both"/>
        <w:rPr>
          <w:rFonts w:ascii="FoundrySterling-Book" w:eastAsia="FoundrySterling-Book" w:hAnsi="FoundrySterling-Book" w:cs="Courier New"/>
          <w:color w:val="000000"/>
          <w:szCs w:val="24"/>
          <w:lang w:val="en-GB" w:bidi="en-GB"/>
        </w:rPr>
      </w:pPr>
    </w:p>
    <w:p w14:paraId="3666300E" w14:textId="1B6CDE9A"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5F0D5A">
        <w:rPr>
          <w:rFonts w:ascii="FoundrySterling-Book" w:eastAsia="FoundrySterling-Book" w:hAnsi="FoundrySterling-Book" w:cs="Courier New"/>
          <w:color w:val="000000"/>
          <w:szCs w:val="24"/>
          <w:lang w:val="en-GB" w:bidi="en-GB"/>
        </w:rPr>
        <w:t xml:space="preserve">Share capital   </w:t>
      </w:r>
    </w:p>
    <w:p w14:paraId="094E6302" w14:textId="77777777"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Share capital by share series</w:t>
      </w:r>
    </w:p>
    <w:p w14:paraId="1F38E6A5" w14:textId="77777777"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t>Shares,</w:t>
      </w:r>
      <w:r w:rsidRPr="005F0D5A">
        <w:rPr>
          <w:rFonts w:ascii="FoundrySterling-Book" w:eastAsia="FoundrySterling-Book" w:hAnsi="FoundrySterling-Book" w:cs="Courier New"/>
          <w:color w:val="000000"/>
          <w:szCs w:val="24"/>
          <w:lang w:val="en-GB" w:bidi="en-GB"/>
        </w:rPr>
        <w:tab/>
        <w:t xml:space="preserve">Percentage, </w:t>
      </w:r>
      <w:r w:rsidRPr="005F0D5A">
        <w:rPr>
          <w:rFonts w:ascii="FoundrySterling-Book" w:eastAsia="FoundrySterling-Book" w:hAnsi="FoundrySterling-Book" w:cs="Courier New"/>
          <w:color w:val="000000"/>
          <w:szCs w:val="24"/>
          <w:lang w:val="en-GB" w:bidi="en-GB"/>
        </w:rPr>
        <w:tab/>
        <w:t xml:space="preserve">Percentage, </w:t>
      </w:r>
      <w:r w:rsidRPr="005F0D5A">
        <w:rPr>
          <w:rFonts w:ascii="FoundrySterling-Book" w:eastAsia="FoundrySterling-Book" w:hAnsi="FoundrySterling-Book" w:cs="Courier New"/>
          <w:color w:val="000000"/>
          <w:szCs w:val="24"/>
          <w:lang w:val="en-GB" w:bidi="en-GB"/>
        </w:rPr>
        <w:tab/>
        <w:t>Percentage,</w:t>
      </w:r>
    </w:p>
    <w:p w14:paraId="64F51424" w14:textId="77777777"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t>number</w:t>
      </w:r>
      <w:r w:rsidRPr="005F0D5A">
        <w:rPr>
          <w:rFonts w:ascii="FoundrySterling-Book" w:eastAsia="FoundrySterling-Book" w:hAnsi="FoundrySterling-Book" w:cs="Courier New"/>
          <w:color w:val="000000"/>
          <w:szCs w:val="24"/>
          <w:lang w:val="en-GB" w:bidi="en-GB"/>
        </w:rPr>
        <w:tab/>
        <w:t>%</w:t>
      </w:r>
      <w:r w:rsidRPr="005F0D5A">
        <w:rPr>
          <w:rFonts w:ascii="FoundrySterling-Book" w:eastAsia="FoundrySterling-Book" w:hAnsi="FoundrySterling-Book" w:cs="Courier New"/>
          <w:color w:val="000000"/>
          <w:szCs w:val="24"/>
          <w:lang w:val="en-GB" w:bidi="en-GB"/>
        </w:rPr>
        <w:tab/>
        <w:t>%</w:t>
      </w:r>
      <w:r w:rsidRPr="005F0D5A">
        <w:rPr>
          <w:rFonts w:ascii="FoundrySterling-Book" w:eastAsia="FoundrySterling-Book" w:hAnsi="FoundrySterling-Book" w:cs="Courier New"/>
          <w:color w:val="000000"/>
          <w:szCs w:val="24"/>
          <w:lang w:val="en-GB" w:bidi="en-GB"/>
        </w:rPr>
        <w:tab/>
        <w:t>EUR</w:t>
      </w:r>
    </w:p>
    <w:p w14:paraId="29129EDE" w14:textId="77777777"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sha-</w:t>
      </w:r>
      <w:r w:rsidRPr="005F0D5A">
        <w:rPr>
          <w:rFonts w:ascii="FoundrySterling-Book" w:eastAsia="FoundrySterling-Book" w:hAnsi="FoundrySterling-Book" w:cs="Courier New"/>
          <w:color w:val="000000"/>
          <w:szCs w:val="24"/>
          <w:lang w:val="en-GB" w:bidi="en-GB"/>
        </w:rPr>
        <w:tab/>
        <w:t>votes</w:t>
      </w:r>
      <w:r w:rsidRPr="005F0D5A">
        <w:rPr>
          <w:rFonts w:ascii="FoundrySterling-Book" w:eastAsia="FoundrySterling-Book" w:hAnsi="FoundrySterling-Book" w:cs="Courier New"/>
          <w:color w:val="000000"/>
          <w:szCs w:val="24"/>
          <w:lang w:val="en-GB" w:bidi="en-GB"/>
        </w:rPr>
        <w:tab/>
        <w:t>share</w:t>
      </w:r>
    </w:p>
    <w:p w14:paraId="4A6572CE" w14:textId="77777777"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res</w:t>
      </w:r>
      <w:r w:rsidRPr="005F0D5A">
        <w:rPr>
          <w:rFonts w:ascii="FoundrySterling-Book" w:eastAsia="FoundrySterling-Book" w:hAnsi="FoundrySterling-Book" w:cs="Courier New"/>
          <w:color w:val="000000"/>
          <w:szCs w:val="24"/>
          <w:lang w:val="en-GB" w:bidi="en-GB"/>
        </w:rPr>
        <w:tab/>
      </w:r>
      <w:r w:rsidRPr="005F0D5A">
        <w:rPr>
          <w:rFonts w:ascii="FoundrySterling-Book" w:eastAsia="FoundrySterling-Book" w:hAnsi="FoundrySterling-Book" w:cs="Courier New"/>
          <w:color w:val="000000"/>
          <w:szCs w:val="24"/>
          <w:lang w:val="en-GB" w:bidi="en-GB"/>
        </w:rPr>
        <w:tab/>
        <w:t>capital</w:t>
      </w:r>
    </w:p>
    <w:p w14:paraId="30F21F9B" w14:textId="77777777"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Series K shares (10 votes)</w:t>
      </w:r>
      <w:r w:rsidRPr="005F0D5A">
        <w:rPr>
          <w:rFonts w:ascii="FoundrySterling-Book" w:eastAsia="FoundrySterling-Book" w:hAnsi="FoundrySterling-Book" w:cs="Courier New"/>
          <w:color w:val="000000"/>
          <w:szCs w:val="24"/>
          <w:lang w:val="en-GB" w:bidi="en-GB"/>
        </w:rPr>
        <w:tab/>
        <w:t>7,682,500</w:t>
      </w:r>
      <w:r w:rsidRPr="005F0D5A">
        <w:rPr>
          <w:rFonts w:ascii="FoundrySterling-Book" w:eastAsia="FoundrySterling-Book" w:hAnsi="FoundrySterling-Book" w:cs="Courier New"/>
          <w:color w:val="000000"/>
          <w:szCs w:val="24"/>
          <w:lang w:val="en-GB" w:bidi="en-GB"/>
        </w:rPr>
        <w:tab/>
        <w:t>12.8</w:t>
      </w:r>
      <w:r w:rsidRPr="005F0D5A">
        <w:rPr>
          <w:rFonts w:ascii="FoundrySterling-Book" w:eastAsia="FoundrySterling-Book" w:hAnsi="FoundrySterling-Book" w:cs="Courier New"/>
          <w:color w:val="000000"/>
          <w:szCs w:val="24"/>
          <w:lang w:val="en-GB" w:bidi="en-GB"/>
        </w:rPr>
        <w:tab/>
        <w:t>59.5</w:t>
      </w:r>
      <w:r w:rsidRPr="005F0D5A">
        <w:rPr>
          <w:rFonts w:ascii="FoundrySterling-Book" w:eastAsia="FoundrySterling-Book" w:hAnsi="FoundrySterling-Book" w:cs="Courier New"/>
          <w:color w:val="000000"/>
          <w:szCs w:val="24"/>
          <w:lang w:val="en-GB" w:bidi="en-GB"/>
        </w:rPr>
        <w:tab/>
        <w:t xml:space="preserve"> 810,255</w:t>
      </w:r>
    </w:p>
    <w:p w14:paraId="53B33DD2" w14:textId="77777777"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Series A shares (1 vote)</w:t>
      </w:r>
      <w:r w:rsidRPr="005F0D5A">
        <w:rPr>
          <w:rFonts w:ascii="FoundrySterling-Book" w:eastAsia="FoundrySterling-Book" w:hAnsi="FoundrySterling-Book" w:cs="Courier New"/>
          <w:color w:val="000000"/>
          <w:szCs w:val="24"/>
          <w:lang w:val="en-GB" w:bidi="en-GB"/>
        </w:rPr>
        <w:tab/>
        <w:t>52,188,743</w:t>
      </w:r>
      <w:r w:rsidRPr="005F0D5A">
        <w:rPr>
          <w:rFonts w:ascii="FoundrySterling-Book" w:eastAsia="FoundrySterling-Book" w:hAnsi="FoundrySterling-Book" w:cs="Courier New"/>
          <w:color w:val="000000"/>
          <w:szCs w:val="24"/>
          <w:lang w:val="en-GB" w:bidi="en-GB"/>
        </w:rPr>
        <w:tab/>
        <w:t>87.2</w:t>
      </w:r>
      <w:r w:rsidRPr="005F0D5A">
        <w:rPr>
          <w:rFonts w:ascii="FoundrySterling-Book" w:eastAsia="FoundrySterling-Book" w:hAnsi="FoundrySterling-Book" w:cs="Courier New"/>
          <w:color w:val="000000"/>
          <w:szCs w:val="24"/>
          <w:lang w:val="en-GB" w:bidi="en-GB"/>
        </w:rPr>
        <w:tab/>
        <w:t>40.5</w:t>
      </w:r>
      <w:r w:rsidRPr="005F0D5A">
        <w:rPr>
          <w:rFonts w:ascii="FoundrySterling-Book" w:eastAsia="FoundrySterling-Book" w:hAnsi="FoundrySterling-Book" w:cs="Courier New"/>
          <w:color w:val="000000"/>
          <w:szCs w:val="24"/>
          <w:lang w:val="en-GB" w:bidi="en-GB"/>
        </w:rPr>
        <w:tab/>
        <w:t>5,504,220</w:t>
      </w:r>
    </w:p>
    <w:p w14:paraId="1E578A31" w14:textId="2C5FB436"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eastAsia="FoundrySterling-Book" w:hAnsi="FoundrySterling-Book" w:cs="Courier New"/>
          <w:color w:val="000000"/>
          <w:szCs w:val="24"/>
          <w:lang w:val="en-GB" w:bidi="en-GB"/>
        </w:rPr>
        <w:t>Total, 31 March 2020</w:t>
      </w:r>
      <w:r w:rsidRPr="005F0D5A">
        <w:rPr>
          <w:rFonts w:ascii="FoundrySterling-Book" w:eastAsia="FoundrySterling-Book" w:hAnsi="FoundrySterling-Book" w:cs="Courier New"/>
          <w:color w:val="000000"/>
          <w:szCs w:val="24"/>
          <w:lang w:val="en-GB" w:bidi="en-GB"/>
        </w:rPr>
        <w:tab/>
        <w:t>59,871,243</w:t>
      </w:r>
      <w:r w:rsidRPr="005F0D5A">
        <w:rPr>
          <w:rFonts w:ascii="FoundrySterling-Book" w:eastAsia="FoundrySterling-Book" w:hAnsi="FoundrySterling-Book" w:cs="Courier New"/>
          <w:color w:val="000000"/>
          <w:szCs w:val="24"/>
          <w:lang w:val="en-GB" w:bidi="en-GB"/>
        </w:rPr>
        <w:tab/>
        <w:t>100.0</w:t>
      </w:r>
      <w:r w:rsidRPr="005F0D5A">
        <w:rPr>
          <w:rFonts w:ascii="FoundrySterling-Book" w:eastAsia="FoundrySterling-Book" w:hAnsi="FoundrySterling-Book" w:cs="Courier New"/>
          <w:color w:val="000000"/>
          <w:szCs w:val="24"/>
          <w:lang w:val="en-GB" w:bidi="en-GB"/>
        </w:rPr>
        <w:tab/>
        <w:t>100.0</w:t>
      </w:r>
      <w:r w:rsidRPr="005F0D5A">
        <w:rPr>
          <w:rFonts w:ascii="FoundrySterling-Book" w:eastAsia="FoundrySterling-Book" w:hAnsi="FoundrySterling-Book" w:cs="Courier New"/>
          <w:color w:val="000000"/>
          <w:szCs w:val="24"/>
          <w:lang w:val="en-GB" w:bidi="en-GB"/>
        </w:rPr>
        <w:tab/>
        <w:t>6,314,475</w:t>
      </w:r>
    </w:p>
    <w:p w14:paraId="1F5D38AB" w14:textId="77777777"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14:paraId="5653BACE" w14:textId="77777777" w:rsidR="00675301" w:rsidRDefault="00675301" w:rsidP="00C5163A">
      <w:pPr>
        <w:rPr>
          <w:rFonts w:ascii="FoundrySterling-Book" w:hAnsi="FoundrySterling-Book"/>
          <w:szCs w:val="24"/>
        </w:rPr>
      </w:pPr>
    </w:p>
    <w:p w14:paraId="65326400" w14:textId="3A591ED1"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eastAsia="FoundrySterling-Book" w:hAnsi="FoundrySterling-Book" w:cs="FoundrySterling-Book"/>
          <w:szCs w:val="24"/>
          <w:lang w:val="en-GB" w:bidi="en-GB"/>
        </w:rPr>
        <w:t>There have been no changes in Tulikivi Corporation’s share capital during the review period. According to the Articles of Association, the dividend paid on Series A shares must be EUR 0.0017 higher than the dividend paid on Series K shares. The A share is listed on the Nasdaq Helsinki. At the end of the review period, the company held 124,200 Series A shares.</w:t>
      </w:r>
    </w:p>
    <w:p w14:paraId="593334CE" w14:textId="77777777" w:rsidR="00BE6299" w:rsidRDefault="00BE6299" w:rsidP="00C5163A">
      <w:pPr>
        <w:jc w:val="both"/>
        <w:rPr>
          <w:rFonts w:ascii="FoundrySterling-Book" w:hAnsi="FoundrySterling-Book"/>
          <w:szCs w:val="24"/>
        </w:rPr>
      </w:pPr>
    </w:p>
    <w:p w14:paraId="1C7DB6C1" w14:textId="02B9C5E0" w:rsidR="00675301" w:rsidRPr="00F8047F" w:rsidRDefault="00675301" w:rsidP="00C5163A">
      <w:pPr>
        <w:jc w:val="both"/>
        <w:rPr>
          <w:rFonts w:ascii="FoundrySterling-Book" w:hAnsi="FoundrySterling-Book"/>
          <w:b/>
          <w:szCs w:val="24"/>
        </w:rPr>
      </w:pPr>
      <w:r w:rsidRPr="00F8047F">
        <w:rPr>
          <w:rFonts w:ascii="FoundrySterling-Book" w:eastAsia="FoundrySterling-Book" w:hAnsi="FoundrySterling-Book" w:cs="FoundrySterling-Book"/>
          <w:szCs w:val="24"/>
          <w:lang w:val="en-GB" w:bidi="en-GB"/>
        </w:rPr>
        <w:t xml:space="preserve">Related party transactions </w:t>
      </w:r>
    </w:p>
    <w:p w14:paraId="1DD8BD84" w14:textId="78711994" w:rsidR="00675301" w:rsidRPr="003F4F15" w:rsidRDefault="00D17F7E" w:rsidP="00C5163A">
      <w:pPr>
        <w:tabs>
          <w:tab w:val="right" w:pos="5670"/>
          <w:tab w:val="right" w:pos="7371"/>
        </w:tabs>
        <w:jc w:val="both"/>
        <w:rPr>
          <w:rFonts w:ascii="FoundrySterling-Book" w:hAnsi="FoundrySterling-Book"/>
          <w:szCs w:val="24"/>
        </w:rPr>
      </w:pPr>
      <w:r>
        <w:rPr>
          <w:rFonts w:ascii="FoundrySterling-Book" w:eastAsia="FoundrySterling-Book" w:hAnsi="FoundrySterling-Book" w:cs="FoundrySterling-Book"/>
          <w:szCs w:val="24"/>
          <w:lang w:val="en-GB" w:bidi="en-GB"/>
        </w:rPr>
        <w:t>There were no transactions with related parties during the review period.</w:t>
      </w:r>
    </w:p>
    <w:p w14:paraId="1EEB3BA9" w14:textId="77777777" w:rsidR="00675301" w:rsidRDefault="00C21778" w:rsidP="00C5163A">
      <w:pPr>
        <w:rPr>
          <w:rFonts w:ascii="FoundrySterling-Book" w:hAnsi="FoundrySterling-Book"/>
          <w:szCs w:val="24"/>
        </w:rPr>
      </w:pP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r>
        <w:rPr>
          <w:rFonts w:ascii="FoundrySterling-Book" w:eastAsia="FoundrySterling-Book" w:hAnsi="FoundrySterling-Book" w:cs="FoundrySterling-Book"/>
          <w:szCs w:val="24"/>
          <w:lang w:val="en-GB" w:bidi="en-GB"/>
        </w:rPr>
        <w:tab/>
      </w:r>
    </w:p>
    <w:p w14:paraId="157A1AE5" w14:textId="506E9978" w:rsidR="00675301" w:rsidRPr="00EE03C6" w:rsidRDefault="00675301" w:rsidP="00536AD7">
      <w:pPr>
        <w:pStyle w:val="Leipteksti3"/>
        <w:tabs>
          <w:tab w:val="right" w:pos="5954"/>
        </w:tabs>
        <w:rPr>
          <w:rFonts w:ascii="FoundrySterling-Book" w:hAnsi="FoundrySterling-Book"/>
          <w:sz w:val="24"/>
          <w:szCs w:val="24"/>
        </w:rPr>
      </w:pPr>
      <w:bookmarkStart w:id="12" w:name="_Hlk442906"/>
      <w:r w:rsidRPr="00EE03C6">
        <w:rPr>
          <w:rFonts w:ascii="FoundrySterling-Book" w:eastAsia="FoundrySterling-Book" w:hAnsi="FoundrySterling-Book" w:cs="FoundrySterling-Book"/>
          <w:sz w:val="24"/>
          <w:szCs w:val="24"/>
          <w:lang w:val="en-GB" w:bidi="en-GB"/>
        </w:rPr>
        <w:t>Management benefits (EUR 1,000)</w:t>
      </w:r>
      <w:r w:rsidRPr="00EE03C6">
        <w:rPr>
          <w:rFonts w:ascii="FoundrySterling-Book" w:eastAsia="FoundrySterling-Book" w:hAnsi="FoundrySterling-Book" w:cs="FoundrySterling-Book"/>
          <w:sz w:val="24"/>
          <w:szCs w:val="24"/>
          <w:lang w:val="en-GB" w:bidi="en-GB"/>
        </w:rPr>
        <w:tab/>
      </w:r>
      <w:r w:rsidRPr="00EE03C6">
        <w:rPr>
          <w:rFonts w:ascii="FoundrySterling-Book" w:eastAsia="FoundrySterling-Book" w:hAnsi="FoundrySterling-Book" w:cs="FoundrySterling-Book"/>
          <w:sz w:val="24"/>
          <w:szCs w:val="24"/>
          <w:lang w:val="en-GB" w:bidi="en-GB"/>
        </w:rPr>
        <w:tab/>
      </w:r>
    </w:p>
    <w:p w14:paraId="08667BD7" w14:textId="01629C74" w:rsidR="00675301" w:rsidRPr="00EE03C6" w:rsidRDefault="00015F27" w:rsidP="007E4575">
      <w:pPr>
        <w:pStyle w:val="Leipteksti3"/>
        <w:tabs>
          <w:tab w:val="right" w:pos="5954"/>
          <w:tab w:val="right" w:pos="6946"/>
          <w:tab w:val="right" w:pos="8364"/>
        </w:tabs>
        <w:ind w:left="5216"/>
        <w:rPr>
          <w:rFonts w:ascii="FoundrySterling-Book" w:hAnsi="FoundrySterling-Book"/>
          <w:sz w:val="24"/>
          <w:szCs w:val="24"/>
        </w:rPr>
      </w:pPr>
      <w:r w:rsidRPr="00EE03C6">
        <w:rPr>
          <w:rFonts w:ascii="FoundrySterling-Book" w:eastAsia="FoundrySterling-Book" w:hAnsi="FoundrySterling-Book" w:cs="FoundrySterling-Book"/>
          <w:sz w:val="24"/>
          <w:szCs w:val="24"/>
          <w:lang w:val="en-GB" w:bidi="en-GB"/>
        </w:rPr>
        <w:tab/>
        <w:t xml:space="preserve">     </w:t>
      </w:r>
      <w:r w:rsidRPr="00EE03C6">
        <w:rPr>
          <w:rFonts w:ascii="FoundrySterling-Book" w:eastAsia="FoundrySterling-Book" w:hAnsi="FoundrySterling-Book" w:cs="FoundrySterling-Book"/>
          <w:sz w:val="24"/>
          <w:szCs w:val="24"/>
          <w:lang w:val="en-GB" w:bidi="en-GB"/>
        </w:rPr>
        <w:tab/>
        <w:t xml:space="preserve"> 1–3/20</w:t>
      </w:r>
      <w:r w:rsidRPr="00EE03C6">
        <w:rPr>
          <w:rFonts w:ascii="FoundrySterling-Book" w:eastAsia="FoundrySterling-Book" w:hAnsi="FoundrySterling-Book" w:cs="FoundrySterling-Book"/>
          <w:sz w:val="24"/>
          <w:szCs w:val="24"/>
          <w:lang w:val="en-GB" w:bidi="en-GB"/>
        </w:rPr>
        <w:tab/>
        <w:t xml:space="preserve">   1–3/19</w:t>
      </w:r>
    </w:p>
    <w:p w14:paraId="5EA9A6DE" w14:textId="2A934A6F" w:rsidR="00675301" w:rsidRPr="00EE03C6" w:rsidRDefault="00675301" w:rsidP="00CF1A95">
      <w:pPr>
        <w:pStyle w:val="Leipteksti3"/>
        <w:tabs>
          <w:tab w:val="right" w:pos="5954"/>
          <w:tab w:val="right" w:pos="6946"/>
          <w:tab w:val="right" w:pos="8364"/>
        </w:tabs>
        <w:rPr>
          <w:rFonts w:ascii="FoundrySterling-Book" w:hAnsi="FoundrySterling-Book" w:cs="Courier New"/>
          <w:b/>
          <w:szCs w:val="24"/>
        </w:rPr>
      </w:pPr>
      <w:r w:rsidRPr="00EE03C6">
        <w:rPr>
          <w:rFonts w:ascii="FoundrySterling-Book" w:eastAsia="FoundrySterling-Book" w:hAnsi="FoundrySterling-Book" w:cs="FoundrySterling-Book"/>
          <w:sz w:val="24"/>
          <w:szCs w:val="24"/>
          <w:lang w:val="en-GB" w:bidi="en-GB"/>
        </w:rPr>
        <w:t xml:space="preserve">Board members’ and Managing Director’s </w:t>
      </w:r>
      <w:r w:rsidRPr="00EE03C6">
        <w:rPr>
          <w:rFonts w:ascii="FoundrySterling-Book" w:eastAsia="FoundrySterling-Book" w:hAnsi="FoundrySterling-Book" w:cs="FoundrySterling-Book"/>
          <w:sz w:val="24"/>
          <w:szCs w:val="24"/>
          <w:lang w:val="en-GB" w:bidi="en-GB"/>
        </w:rPr>
        <w:br/>
        <w:t>salaries and other short-term</w:t>
      </w:r>
      <w:r w:rsidRPr="00EE03C6">
        <w:rPr>
          <w:rFonts w:ascii="FoundrySterling-Book" w:eastAsia="FoundrySterling-Book" w:hAnsi="FoundrySterling-Book" w:cs="FoundrySterling-Book"/>
          <w:sz w:val="24"/>
          <w:szCs w:val="24"/>
          <w:lang w:val="en-GB" w:bidi="en-GB"/>
        </w:rPr>
        <w:br/>
        <w:t>employee benefits</w:t>
      </w:r>
      <w:r w:rsidRPr="00EE03C6">
        <w:rPr>
          <w:rFonts w:ascii="FoundrySterling-Book" w:eastAsia="FoundrySterling-Book" w:hAnsi="FoundrySterling-Book" w:cs="FoundrySterling-Book"/>
          <w:sz w:val="24"/>
          <w:szCs w:val="24"/>
          <w:lang w:val="en-GB" w:bidi="en-GB"/>
        </w:rPr>
        <w:tab/>
        <w:t xml:space="preserve">   </w:t>
      </w:r>
      <w:r w:rsidRPr="00EE03C6">
        <w:rPr>
          <w:rFonts w:ascii="FoundrySterling-Book" w:eastAsia="FoundrySterling-Book" w:hAnsi="FoundrySterling-Book" w:cs="FoundrySterling-Book"/>
          <w:sz w:val="24"/>
          <w:szCs w:val="24"/>
          <w:lang w:val="en-GB" w:bidi="en-GB"/>
        </w:rPr>
        <w:tab/>
        <w:t>75</w:t>
      </w:r>
      <w:r w:rsidRPr="00EE03C6">
        <w:rPr>
          <w:rFonts w:ascii="FoundrySterling-Book" w:eastAsia="FoundrySterling-Book" w:hAnsi="FoundrySterling-Book" w:cs="FoundrySterling-Book"/>
          <w:sz w:val="24"/>
          <w:szCs w:val="24"/>
          <w:lang w:val="en-GB" w:bidi="en-GB"/>
        </w:rPr>
        <w:tab/>
        <w:t>75</w:t>
      </w:r>
    </w:p>
    <w:bookmarkEnd w:id="12"/>
    <w:p w14:paraId="34BB67B9" w14:textId="77777777" w:rsidR="00F01EFC" w:rsidRPr="00EE03C6" w:rsidRDefault="00F01EFC"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14:paraId="5B45E5CD" w14:textId="5207EEAB" w:rsidR="00675301" w:rsidRPr="005E337F"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 xml:space="preserve">Principal shareholders on 31 March 2020 </w:t>
      </w:r>
    </w:p>
    <w:p w14:paraId="238DD4B2" w14:textId="77777777" w:rsidR="00F063E9" w:rsidRPr="005E337F"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14:paraId="132587BC" w14:textId="77777777" w:rsidR="00675301" w:rsidRPr="005E337F"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Name of shareholder</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Shares</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Percentage</w:t>
      </w:r>
    </w:p>
    <w:p w14:paraId="21D4ED53" w14:textId="77777777" w:rsidR="00675301" w:rsidRPr="005E337F"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of votes</w:t>
      </w:r>
    </w:p>
    <w:p w14:paraId="00A13B35" w14:textId="77777777" w:rsidR="00675301" w:rsidRPr="005E337F" w:rsidRDefault="00675301"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Heikki Vauhkonen</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6,873,839</w:t>
      </w:r>
      <w:r w:rsidRPr="005E337F">
        <w:rPr>
          <w:rFonts w:ascii="FoundrySterling-Book" w:eastAsia="FoundrySterling-Book" w:hAnsi="FoundrySterling-Book" w:cs="Courier New"/>
          <w:szCs w:val="24"/>
          <w:lang w:val="en-GB" w:bidi="en-GB"/>
        </w:rPr>
        <w:tab/>
        <w:t>45.9%</w:t>
      </w:r>
    </w:p>
    <w:p w14:paraId="4469209E" w14:textId="77777777" w:rsidR="00266BD6" w:rsidRPr="005E337F"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Elo Mutual Pension Insurance Company</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4,545,454</w:t>
      </w:r>
      <w:r w:rsidRPr="005E337F">
        <w:rPr>
          <w:rFonts w:ascii="FoundrySterling-Book" w:eastAsia="FoundrySterling-Book" w:hAnsi="FoundrySterling-Book" w:cs="Courier New"/>
          <w:szCs w:val="24"/>
          <w:lang w:val="en-GB" w:bidi="en-GB"/>
        </w:rPr>
        <w:tab/>
        <w:t>3.5%</w:t>
      </w:r>
    </w:p>
    <w:p w14:paraId="1015285E" w14:textId="527F18A5" w:rsidR="00675301" w:rsidRPr="005E337F" w:rsidRDefault="007B3108"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Ilmarinen Mutual Pension Insurance Company</w:t>
      </w:r>
      <w:r w:rsidRPr="005E337F">
        <w:rPr>
          <w:rFonts w:ascii="FoundrySterling-Book" w:eastAsia="FoundrySterling-Book" w:hAnsi="FoundrySterling-Book" w:cs="Courier New"/>
          <w:szCs w:val="24"/>
          <w:lang w:val="en-GB" w:bidi="en-GB"/>
        </w:rPr>
        <w:tab/>
        <w:t>3,420,951</w:t>
      </w:r>
      <w:r w:rsidRPr="005E337F">
        <w:rPr>
          <w:rFonts w:ascii="FoundrySterling-Book" w:eastAsia="FoundrySterling-Book" w:hAnsi="FoundrySterling-Book" w:cs="Courier New"/>
          <w:szCs w:val="24"/>
          <w:lang w:val="en-GB" w:bidi="en-GB"/>
        </w:rPr>
        <w:tab/>
        <w:t>2.7%</w:t>
      </w:r>
    </w:p>
    <w:p w14:paraId="16BA4A5C" w14:textId="77777777" w:rsidR="00266BD6" w:rsidRPr="005E337F"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Eliisa Elo</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3,108,536</w:t>
      </w:r>
      <w:r w:rsidRPr="005E337F">
        <w:rPr>
          <w:rFonts w:ascii="FoundrySterling-Book" w:eastAsia="FoundrySterling-Book" w:hAnsi="FoundrySterling-Book" w:cs="Courier New"/>
          <w:szCs w:val="24"/>
          <w:lang w:val="en-GB" w:bidi="en-GB"/>
        </w:rPr>
        <w:tab/>
        <w:t>5.7%</w:t>
      </w:r>
    </w:p>
    <w:p w14:paraId="03C36558" w14:textId="77777777" w:rsidR="00D6722B" w:rsidRPr="005E337F" w:rsidRDefault="007B40B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Jouko Toivanen</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2,531,259</w:t>
      </w:r>
      <w:r w:rsidRPr="005E337F">
        <w:rPr>
          <w:rFonts w:ascii="FoundrySterling-Book" w:eastAsia="FoundrySterling-Book" w:hAnsi="FoundrySterling-Book" w:cs="Courier New"/>
          <w:szCs w:val="24"/>
          <w:lang w:val="en-GB" w:bidi="en-GB"/>
        </w:rPr>
        <w:tab/>
        <w:t>2.7%</w:t>
      </w:r>
    </w:p>
    <w:p w14:paraId="7A13A41A" w14:textId="77777777" w:rsidR="00093B9D" w:rsidRPr="005E337F" w:rsidRDefault="00093B9D"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Finnish Cultural Foundation</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2,258,181</w:t>
      </w:r>
      <w:r w:rsidRPr="005E337F">
        <w:rPr>
          <w:rFonts w:ascii="FoundrySterling-Book" w:eastAsia="FoundrySterling-Book" w:hAnsi="FoundrySterling-Book" w:cs="Courier New"/>
          <w:szCs w:val="24"/>
          <w:lang w:val="en-GB" w:bidi="en-GB"/>
        </w:rPr>
        <w:tab/>
        <w:t>2.4%</w:t>
      </w:r>
    </w:p>
    <w:p w14:paraId="5E8B700E" w14:textId="77777777" w:rsidR="00675301" w:rsidRPr="005E337F"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Susanna Mutanen</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1,643,800</w:t>
      </w:r>
      <w:r w:rsidRPr="005E337F">
        <w:rPr>
          <w:rFonts w:ascii="FoundrySterling-Book" w:eastAsia="FoundrySterling-Book" w:hAnsi="FoundrySterling-Book" w:cs="Courier New"/>
          <w:szCs w:val="24"/>
          <w:lang w:val="en-GB" w:bidi="en-GB"/>
        </w:rPr>
        <w:tab/>
        <w:t>6.8%</w:t>
      </w:r>
    </w:p>
    <w:p w14:paraId="2656B79B" w14:textId="77777777" w:rsidR="00795422" w:rsidRPr="005E337F" w:rsidRDefault="0079542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Fennia Mutual Insurance Company</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1,515,151</w:t>
      </w:r>
      <w:r w:rsidRPr="005E337F">
        <w:rPr>
          <w:rFonts w:ascii="FoundrySterling-Book" w:eastAsia="FoundrySterling-Book" w:hAnsi="FoundrySterling-Book" w:cs="Courier New"/>
          <w:szCs w:val="24"/>
          <w:lang w:val="en-GB" w:bidi="en-GB"/>
        </w:rPr>
        <w:tab/>
        <w:t>1.2%</w:t>
      </w:r>
    </w:p>
    <w:p w14:paraId="67CE8C13" w14:textId="32B02984" w:rsidR="00512331" w:rsidRPr="005E337F" w:rsidRDefault="00D6722B"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Jarkko Nikkola</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1,380,000</w:t>
      </w:r>
      <w:r w:rsidRPr="005E337F">
        <w:rPr>
          <w:rFonts w:ascii="FoundrySterling-Book" w:eastAsia="FoundrySterling-Book" w:hAnsi="FoundrySterling-Book" w:cs="Courier New"/>
          <w:szCs w:val="24"/>
          <w:lang w:val="en-GB" w:bidi="en-GB"/>
        </w:rPr>
        <w:tab/>
        <w:t>1.1%</w:t>
      </w:r>
    </w:p>
    <w:p w14:paraId="79E09BC7" w14:textId="064558FC" w:rsidR="00657EB3" w:rsidRPr="005E337F" w:rsidRDefault="005E33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5E337F">
        <w:rPr>
          <w:rFonts w:ascii="FoundrySterling-Book" w:eastAsia="FoundrySterling-Book" w:hAnsi="FoundrySterling-Book" w:cs="Courier New"/>
          <w:szCs w:val="24"/>
          <w:lang w:val="en-GB" w:bidi="en-GB"/>
        </w:rPr>
        <w:t>Mikko Vauhkonen</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 xml:space="preserve"> 741,300</w:t>
      </w:r>
      <w:r w:rsidRPr="005E337F">
        <w:rPr>
          <w:rFonts w:ascii="FoundrySterling-Book" w:eastAsia="FoundrySterling-Book" w:hAnsi="FoundrySterling-Book" w:cs="Courier New"/>
          <w:szCs w:val="24"/>
          <w:lang w:val="en-GB" w:bidi="en-GB"/>
        </w:rPr>
        <w:tab/>
        <w:t>3.4%</w:t>
      </w:r>
      <w:r w:rsidRPr="005E337F">
        <w:rPr>
          <w:rFonts w:ascii="FoundrySterling-Book" w:eastAsia="FoundrySterling-Book" w:hAnsi="FoundrySterling-Book" w:cs="Courier New"/>
          <w:szCs w:val="24"/>
          <w:lang w:val="en-GB" w:bidi="en-GB"/>
        </w:rPr>
        <w:tab/>
      </w:r>
    </w:p>
    <w:p w14:paraId="38C50A31" w14:textId="7B20FA6B" w:rsidR="00675301" w:rsidRPr="00A21F5D" w:rsidRDefault="00675301" w:rsidP="00C5163A">
      <w:pPr>
        <w:tabs>
          <w:tab w:val="right" w:pos="4820"/>
          <w:tab w:val="right" w:pos="7088"/>
          <w:tab w:val="right" w:pos="9000"/>
          <w:tab w:val="right" w:pos="9639"/>
        </w:tabs>
        <w:jc w:val="both"/>
        <w:rPr>
          <w:rFonts w:ascii="FoundrySterling-Book" w:hAnsi="FoundrySterling-Book" w:cs="Courier New"/>
          <w:color w:val="FF0000"/>
          <w:szCs w:val="24"/>
        </w:rPr>
      </w:pPr>
      <w:r w:rsidRPr="005E337F">
        <w:rPr>
          <w:rFonts w:ascii="FoundrySterling-Book" w:eastAsia="FoundrySterling-Book" w:hAnsi="FoundrySterling-Book" w:cs="Courier New"/>
          <w:szCs w:val="24"/>
          <w:lang w:val="en-GB" w:bidi="en-GB"/>
        </w:rPr>
        <w:t xml:space="preserve">      Others</w:t>
      </w:r>
      <w:r w:rsidRPr="005E337F">
        <w:rPr>
          <w:rFonts w:ascii="FoundrySterling-Book" w:eastAsia="FoundrySterling-Book" w:hAnsi="FoundrySterling-Book" w:cs="Courier New"/>
          <w:szCs w:val="24"/>
          <w:lang w:val="en-GB" w:bidi="en-GB"/>
        </w:rPr>
        <w:tab/>
      </w:r>
      <w:r w:rsidRPr="005E337F">
        <w:rPr>
          <w:rFonts w:ascii="FoundrySterling-Book" w:eastAsia="FoundrySterling-Book" w:hAnsi="FoundrySterling-Book" w:cs="Courier New"/>
          <w:szCs w:val="24"/>
          <w:lang w:val="en-GB" w:bidi="en-GB"/>
        </w:rPr>
        <w:tab/>
        <w:t>31,854,262</w:t>
      </w:r>
      <w:r w:rsidRPr="005E337F">
        <w:rPr>
          <w:rFonts w:ascii="FoundrySterling-Book" w:eastAsia="FoundrySterling-Book" w:hAnsi="FoundrySterling-Book" w:cs="Courier New"/>
          <w:szCs w:val="24"/>
          <w:lang w:val="en-GB" w:bidi="en-GB"/>
        </w:rPr>
        <w:tab/>
        <w:t>24.6%</w:t>
      </w:r>
    </w:p>
    <w:p w14:paraId="7A24DF07" w14:textId="77777777" w:rsidR="00CA18A5" w:rsidRPr="00A21F5D" w:rsidRDefault="00CA18A5" w:rsidP="00C5163A">
      <w:pPr>
        <w:tabs>
          <w:tab w:val="right" w:pos="5103"/>
          <w:tab w:val="right" w:pos="6237"/>
          <w:tab w:val="right" w:pos="7371"/>
          <w:tab w:val="right" w:pos="8505"/>
        </w:tabs>
        <w:rPr>
          <w:rFonts w:ascii="FoundrySterling-Book" w:hAnsi="FoundrySterling-Book" w:cs="Courier New"/>
          <w:szCs w:val="24"/>
        </w:rPr>
      </w:pPr>
    </w:p>
    <w:p w14:paraId="1651CC20" w14:textId="77777777" w:rsidR="00F01EFC" w:rsidRPr="00A21F5D" w:rsidRDefault="00F01EFC" w:rsidP="00C5163A">
      <w:pPr>
        <w:tabs>
          <w:tab w:val="right" w:pos="5103"/>
          <w:tab w:val="right" w:pos="6237"/>
          <w:tab w:val="right" w:pos="7371"/>
          <w:tab w:val="right" w:pos="8505"/>
        </w:tabs>
        <w:rPr>
          <w:rFonts w:ascii="FoundrySterling-Book" w:hAnsi="FoundrySterling-Book" w:cs="Courier New"/>
          <w:szCs w:val="24"/>
        </w:rPr>
      </w:pPr>
    </w:p>
    <w:p w14:paraId="738CF897" w14:textId="5F246FE9"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313459">
        <w:rPr>
          <w:rFonts w:ascii="FoundrySterling-Book" w:eastAsia="FoundrySterling-Book" w:hAnsi="FoundrySterling-Book" w:cs="Courier New"/>
          <w:szCs w:val="24"/>
          <w:lang w:val="en-GB" w:bidi="en-GB"/>
        </w:rPr>
        <w:t xml:space="preserve">The companies included in the Group are the parent company Tulikivi Corporation; Nordic Talc Oy; Tulikivi U.S., Inc., in the United States; and OOO Tulikivi in Russia. Group companies also include Tulikivi GmbH and The New Alberene Stone Company, Inc., which are dormant. </w:t>
      </w:r>
    </w:p>
    <w:p w14:paraId="13BEDC71" w14:textId="5ED9374A"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14:paraId="4E2B0C3D" w14:textId="77777777" w:rsidR="001D504A" w:rsidRDefault="001D504A" w:rsidP="00C5163A">
      <w:pPr>
        <w:tabs>
          <w:tab w:val="right" w:pos="5103"/>
          <w:tab w:val="right" w:pos="6237"/>
          <w:tab w:val="right" w:pos="7371"/>
          <w:tab w:val="right" w:pos="8505"/>
        </w:tabs>
        <w:jc w:val="both"/>
        <w:outlineLvl w:val="0"/>
        <w:rPr>
          <w:rFonts w:ascii="FoundrySterling-Book" w:hAnsi="FoundrySterling-Book" w:cs="Courier New"/>
          <w:szCs w:val="24"/>
        </w:rPr>
      </w:pPr>
    </w:p>
    <w:p w14:paraId="1C1BA755" w14:textId="77777777"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TULIKIVI CORPORATION</w:t>
      </w:r>
    </w:p>
    <w:p w14:paraId="70F50F06" w14:textId="77777777" w:rsidR="002A60DC" w:rsidRDefault="002A60DC" w:rsidP="00C5163A">
      <w:pPr>
        <w:ind w:left="1304" w:hanging="1304"/>
        <w:outlineLvl w:val="0"/>
        <w:rPr>
          <w:rFonts w:ascii="FoundrySterling-Book" w:hAnsi="FoundrySterling-Book" w:cs="Courier New"/>
          <w:szCs w:val="24"/>
        </w:rPr>
      </w:pPr>
    </w:p>
    <w:p w14:paraId="51E781FA" w14:textId="077364F7"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Board of Directors</w:t>
      </w:r>
    </w:p>
    <w:p w14:paraId="39722BDD" w14:textId="77777777" w:rsidR="00675301" w:rsidRPr="00536AD7" w:rsidRDefault="00675301" w:rsidP="00C5163A">
      <w:pPr>
        <w:ind w:left="1304" w:hanging="1304"/>
        <w:outlineLvl w:val="0"/>
        <w:rPr>
          <w:rFonts w:ascii="FoundrySterling-Book" w:hAnsi="FoundrySterling-Book" w:cs="Courier New"/>
          <w:szCs w:val="24"/>
        </w:rPr>
      </w:pPr>
    </w:p>
    <w:p w14:paraId="6C09812B" w14:textId="77777777"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Distribution: Nasdaq Helsinki</w:t>
      </w:r>
    </w:p>
    <w:p w14:paraId="43AD3E30" w14:textId="77777777"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eastAsia="FoundrySterling-Book" w:hAnsi="FoundrySterling-Book" w:cs="Courier New"/>
          <w:szCs w:val="24"/>
          <w:lang w:val="en-GB" w:bidi="en-GB"/>
        </w:rPr>
        <w:t>Key media</w:t>
      </w:r>
    </w:p>
    <w:p w14:paraId="6837A31B" w14:textId="77777777" w:rsidR="00675301" w:rsidRPr="00536AD7" w:rsidRDefault="00660DFE" w:rsidP="00C5163A">
      <w:pPr>
        <w:ind w:left="1304" w:hanging="1304"/>
        <w:outlineLvl w:val="0"/>
        <w:rPr>
          <w:rFonts w:ascii="FoundrySterling-Book" w:hAnsi="FoundrySterling-Book" w:cs="Courier New"/>
          <w:szCs w:val="24"/>
        </w:rPr>
      </w:pPr>
      <w:r>
        <w:rPr>
          <w:rFonts w:ascii="FoundrySterling-Book" w:eastAsia="FoundrySterling-Book" w:hAnsi="FoundrySterling-Book" w:cs="Courier New"/>
          <w:szCs w:val="24"/>
          <w:lang w:val="en-GB" w:bidi="en-GB"/>
        </w:rPr>
        <w:t>www.tulikivi.com</w:t>
      </w:r>
    </w:p>
    <w:p w14:paraId="397943B0" w14:textId="77777777" w:rsidR="00675301" w:rsidRPr="00536AD7" w:rsidRDefault="005F0D5A" w:rsidP="005F0D5A">
      <w:pPr>
        <w:ind w:left="1304" w:hanging="1304"/>
        <w:outlineLvl w:val="0"/>
        <w:rPr>
          <w:rFonts w:ascii="FoundrySterling-Book" w:hAnsi="FoundrySterling-Book"/>
          <w:b/>
          <w:szCs w:val="24"/>
        </w:rPr>
      </w:pPr>
      <w:r>
        <w:rPr>
          <w:rFonts w:ascii="FoundrySterling-Book" w:eastAsia="FoundrySterling-Book" w:hAnsi="FoundrySterling-Book" w:cs="Courier New"/>
          <w:szCs w:val="24"/>
          <w:lang w:val="en-GB" w:bidi="en-GB"/>
        </w:rPr>
        <w:t>Further information: Heikki Vauhkonen, Managing Director, tel. +358 (0)207 636 555</w:t>
      </w:r>
      <w:r>
        <w:rPr>
          <w:rFonts w:ascii="FoundrySterling-Book" w:eastAsia="FoundrySterling-Book" w:hAnsi="FoundrySterling-Book" w:cs="Courier New"/>
          <w:szCs w:val="24"/>
          <w:lang w:val="en-GB" w:bidi="en-GB"/>
        </w:rPr>
        <w:tab/>
      </w:r>
    </w:p>
    <w:sectPr w:rsidR="00675301" w:rsidRPr="00536AD7" w:rsidSect="00E11852">
      <w:headerReference w:type="default" r:id="rId24"/>
      <w:footerReference w:type="default" r:id="rId25"/>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B3FD" w14:textId="77777777" w:rsidR="00561E73" w:rsidRDefault="00561E73">
      <w:r>
        <w:separator/>
      </w:r>
    </w:p>
  </w:endnote>
  <w:endnote w:type="continuationSeparator" w:id="0">
    <w:p w14:paraId="2A6A9A2F" w14:textId="77777777" w:rsidR="00561E73" w:rsidRDefault="0056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FoundrySterling-BookExper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Sterling-Medium">
    <w:panose1 w:val="00000500000000000000"/>
    <w:charset w:val="00"/>
    <w:family w:val="auto"/>
    <w:pitch w:val="variable"/>
    <w:sig w:usb0="80000027" w:usb1="0000004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Foundry Sterling OT2 Medium">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8087" w14:textId="77777777" w:rsidR="00827905" w:rsidRDefault="00827905">
    <w:pPr>
      <w:pStyle w:val="Alatunniste"/>
      <w:rPr>
        <w:rFonts w:ascii="FoundrySterling-Medium" w:hAnsi="FoundrySterling-Medium"/>
        <w:color w:val="404040"/>
        <w:sz w:val="36"/>
        <w:szCs w:val="36"/>
      </w:rPr>
    </w:pPr>
  </w:p>
  <w:p w14:paraId="41408B97" w14:textId="77777777" w:rsidR="00827905" w:rsidRPr="00E11852" w:rsidRDefault="00827905">
    <w:pPr>
      <w:pStyle w:val="Alatunniste"/>
    </w:pPr>
  </w:p>
  <w:p w14:paraId="643803CF" w14:textId="77777777" w:rsidR="00827905" w:rsidRPr="00E11852" w:rsidRDefault="00827905"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42B0B" w14:textId="77777777" w:rsidR="00561E73" w:rsidRDefault="00561E73">
      <w:r>
        <w:separator/>
      </w:r>
    </w:p>
  </w:footnote>
  <w:footnote w:type="continuationSeparator" w:id="0">
    <w:p w14:paraId="5C6C1625" w14:textId="77777777" w:rsidR="00561E73" w:rsidRDefault="0056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08BF" w14:textId="25EF5E99" w:rsidR="00827905" w:rsidRDefault="00827905">
    <w:pPr>
      <w:pStyle w:val="Yltunniste"/>
      <w:tabs>
        <w:tab w:val="clear" w:pos="4819"/>
        <w:tab w:val="left" w:pos="3600"/>
      </w:tabs>
      <w:rPr>
        <w:rStyle w:val="Sivunumero"/>
      </w:rPr>
    </w:pPr>
    <w:r>
      <w:rPr>
        <w:noProof/>
        <w:lang w:val="en-GB" w:bidi="en-GB"/>
      </w:rPr>
      <w:drawing>
        <wp:anchor distT="0" distB="0" distL="114300" distR="114300" simplePos="0" relativeHeight="251660288" behindDoc="0" locked="1" layoutInCell="1" allowOverlap="1" wp14:anchorId="694C7773" wp14:editId="358F59D5">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rsidR="000E77EE">
      <w:rPr>
        <w:lang w:val="en-GB" w:bidi="en-GB"/>
      </w:rPr>
      <w:t>67</w:t>
    </w:r>
    <w:r w:rsidR="000E77EE">
      <w:rPr>
        <w:lang w:val="en-GB" w:bidi="en-GB"/>
      </w:rPr>
      <w:tab/>
    </w:r>
    <w:r w:rsidR="000E77EE">
      <w:rPr>
        <w:lang w:val="en-GB" w:bidi="en-GB"/>
      </w:rPr>
      <w:tab/>
    </w:r>
    <w:r w:rsidRPr="006D580B">
      <w:rPr>
        <w:rStyle w:val="Sivunumero"/>
        <w:lang w:val="en-GB" w:bidi="en-GB"/>
      </w:rPr>
      <w:fldChar w:fldCharType="begin"/>
    </w:r>
    <w:r w:rsidRPr="006D580B">
      <w:rPr>
        <w:rStyle w:val="Sivunumero"/>
        <w:lang w:val="en-GB" w:bidi="en-GB"/>
      </w:rPr>
      <w:instrText xml:space="preserve"> PAGE </w:instrText>
    </w:r>
    <w:r w:rsidRPr="006D580B">
      <w:rPr>
        <w:rStyle w:val="Sivunumero"/>
        <w:lang w:val="en-GB" w:bidi="en-GB"/>
      </w:rPr>
      <w:fldChar w:fldCharType="separate"/>
    </w:r>
    <w:r w:rsidR="006104B0">
      <w:rPr>
        <w:rStyle w:val="Sivunumero"/>
        <w:noProof/>
        <w:lang w:val="en-GB" w:bidi="en-GB"/>
      </w:rPr>
      <w:t>16</w:t>
    </w:r>
    <w:r w:rsidRPr="006D580B">
      <w:rPr>
        <w:rStyle w:val="Sivunumero"/>
        <w:lang w:val="en-GB" w:bidi="en-GB"/>
      </w:rPr>
      <w:fldChar w:fldCharType="end"/>
    </w:r>
    <w:r w:rsidRPr="006D580B">
      <w:rPr>
        <w:rStyle w:val="Sivunumero"/>
        <w:lang w:val="en-GB" w:bidi="en-GB"/>
      </w:rPr>
      <w:t xml:space="preserve"> (1</w:t>
    </w:r>
    <w:r w:rsidR="00DD45B3">
      <w:rPr>
        <w:rStyle w:val="Sivunumero"/>
        <w:lang w:val="en-GB" w:bidi="en-GB"/>
      </w:rPr>
      <w:t>7</w:t>
    </w:r>
    <w:r w:rsidRPr="006D580B">
      <w:rPr>
        <w:rStyle w:val="Sivunumero"/>
        <w:lang w:val="en-GB" w:bidi="en-GB"/>
      </w:rPr>
      <w:t>)</w:t>
    </w:r>
  </w:p>
  <w:p w14:paraId="1F1572FC" w14:textId="77777777" w:rsidR="00827905" w:rsidRDefault="00827905">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eastAsia="Foundry Sterling OT2 Medium" w:hAnsi="Foundry Sterling OT2 Medium" w:cs="Foundry Sterling OT2 Medium"/>
        <w:color w:val="FF0000"/>
        <w:lang w:val="en-GB" w:bidi="en-GB"/>
      </w:rPr>
      <w:t xml:space="preserve">                                  </w:t>
    </w:r>
  </w:p>
  <w:p w14:paraId="14E90118" w14:textId="45E725A4" w:rsidR="00827905" w:rsidRPr="00FB4F16" w:rsidRDefault="00871D36">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eastAsia="Foundry Sterling OT2 Medium" w:hAnsi="Foundry Sterling OT2 Medium" w:cs="Foundry Sterling OT2 Medium"/>
        <w:color w:val="FF0000"/>
        <w:lang w:val="en-GB" w:bidi="en-GB"/>
      </w:rPr>
      <w:tab/>
    </w:r>
    <w:r w:rsidR="0076616B">
      <w:rPr>
        <w:rStyle w:val="Sivunumero"/>
        <w:rFonts w:ascii="Foundry Sterling OT2 Medium" w:eastAsia="Foundry Sterling OT2 Medium" w:hAnsi="Foundry Sterling OT2 Medium" w:cs="Foundry Sterling OT2 Medium"/>
        <w:color w:val="FF0000"/>
        <w:lang w:val="en-GB" w:bidi="en-GB"/>
      </w:rPr>
      <w:t>INTERIM REPORT 1–3/2020</w:t>
    </w:r>
  </w:p>
  <w:p w14:paraId="49DBBD80" w14:textId="77777777" w:rsidR="00827905" w:rsidRDefault="00827905">
    <w:pPr>
      <w:pStyle w:val="Yltunniste"/>
      <w:tabs>
        <w:tab w:val="clear" w:pos="4819"/>
        <w:tab w:val="left" w:pos="3600"/>
      </w:tabs>
      <w:rPr>
        <w:rStyle w:val="Sivunumero"/>
      </w:rPr>
    </w:pPr>
    <w:r>
      <w:rPr>
        <w:rStyle w:val="Sivunumero"/>
        <w:lang w:val="en-GB" w:bidi="en-GB"/>
      </w:rPr>
      <w:tab/>
    </w:r>
  </w:p>
  <w:p w14:paraId="0E01B1CB" w14:textId="77777777" w:rsidR="00827905" w:rsidRDefault="00827905">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2D81"/>
    <w:multiLevelType w:val="hybridMultilevel"/>
    <w:tmpl w:val="A7C48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3"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37"/>
    <w:rsid w:val="0000014B"/>
    <w:rsid w:val="00000E09"/>
    <w:rsid w:val="000017F3"/>
    <w:rsid w:val="000024FD"/>
    <w:rsid w:val="000025C8"/>
    <w:rsid w:val="00002CCD"/>
    <w:rsid w:val="0000343D"/>
    <w:rsid w:val="00003620"/>
    <w:rsid w:val="00004306"/>
    <w:rsid w:val="000048DC"/>
    <w:rsid w:val="00004AA5"/>
    <w:rsid w:val="0000565C"/>
    <w:rsid w:val="00005942"/>
    <w:rsid w:val="00005A41"/>
    <w:rsid w:val="000063D3"/>
    <w:rsid w:val="00006762"/>
    <w:rsid w:val="00006FBA"/>
    <w:rsid w:val="00007257"/>
    <w:rsid w:val="00010522"/>
    <w:rsid w:val="00011CB8"/>
    <w:rsid w:val="00011E7E"/>
    <w:rsid w:val="00012392"/>
    <w:rsid w:val="00013C5A"/>
    <w:rsid w:val="000148D9"/>
    <w:rsid w:val="0001521C"/>
    <w:rsid w:val="0001597C"/>
    <w:rsid w:val="00015F27"/>
    <w:rsid w:val="00017C50"/>
    <w:rsid w:val="00020554"/>
    <w:rsid w:val="0002086C"/>
    <w:rsid w:val="00020F3B"/>
    <w:rsid w:val="000211C6"/>
    <w:rsid w:val="000211F2"/>
    <w:rsid w:val="00021BED"/>
    <w:rsid w:val="00022F86"/>
    <w:rsid w:val="00022FEB"/>
    <w:rsid w:val="000232FD"/>
    <w:rsid w:val="000262B5"/>
    <w:rsid w:val="00026926"/>
    <w:rsid w:val="000277B5"/>
    <w:rsid w:val="00030322"/>
    <w:rsid w:val="00030446"/>
    <w:rsid w:val="00030B77"/>
    <w:rsid w:val="00030DB6"/>
    <w:rsid w:val="00031AD4"/>
    <w:rsid w:val="00031CED"/>
    <w:rsid w:val="00034EF2"/>
    <w:rsid w:val="000354FB"/>
    <w:rsid w:val="000356FD"/>
    <w:rsid w:val="000363A4"/>
    <w:rsid w:val="000366A0"/>
    <w:rsid w:val="00036D1C"/>
    <w:rsid w:val="000372F4"/>
    <w:rsid w:val="00037C41"/>
    <w:rsid w:val="00037C65"/>
    <w:rsid w:val="00037F4B"/>
    <w:rsid w:val="00040024"/>
    <w:rsid w:val="0004104A"/>
    <w:rsid w:val="000411F4"/>
    <w:rsid w:val="00041E48"/>
    <w:rsid w:val="0004281D"/>
    <w:rsid w:val="00045221"/>
    <w:rsid w:val="0004541C"/>
    <w:rsid w:val="00045A81"/>
    <w:rsid w:val="00045B1E"/>
    <w:rsid w:val="00045C5D"/>
    <w:rsid w:val="00045D11"/>
    <w:rsid w:val="00045F3C"/>
    <w:rsid w:val="000464A4"/>
    <w:rsid w:val="000471C3"/>
    <w:rsid w:val="000476A0"/>
    <w:rsid w:val="00047A74"/>
    <w:rsid w:val="00050030"/>
    <w:rsid w:val="000501F2"/>
    <w:rsid w:val="0005140C"/>
    <w:rsid w:val="00051FAD"/>
    <w:rsid w:val="0005258B"/>
    <w:rsid w:val="00052C63"/>
    <w:rsid w:val="00052CDE"/>
    <w:rsid w:val="000531EE"/>
    <w:rsid w:val="00054416"/>
    <w:rsid w:val="0005444A"/>
    <w:rsid w:val="0005476C"/>
    <w:rsid w:val="00054ECA"/>
    <w:rsid w:val="0005517F"/>
    <w:rsid w:val="00055BAA"/>
    <w:rsid w:val="000566FB"/>
    <w:rsid w:val="00056710"/>
    <w:rsid w:val="00056755"/>
    <w:rsid w:val="000572E6"/>
    <w:rsid w:val="0005783C"/>
    <w:rsid w:val="00060054"/>
    <w:rsid w:val="000603EC"/>
    <w:rsid w:val="00060B62"/>
    <w:rsid w:val="00061C10"/>
    <w:rsid w:val="0006253B"/>
    <w:rsid w:val="0006281F"/>
    <w:rsid w:val="00062A4B"/>
    <w:rsid w:val="00063BDF"/>
    <w:rsid w:val="000646C2"/>
    <w:rsid w:val="0006485A"/>
    <w:rsid w:val="00066238"/>
    <w:rsid w:val="0006798E"/>
    <w:rsid w:val="000679C0"/>
    <w:rsid w:val="00067A11"/>
    <w:rsid w:val="00071388"/>
    <w:rsid w:val="00071718"/>
    <w:rsid w:val="0007211E"/>
    <w:rsid w:val="00072D74"/>
    <w:rsid w:val="0007428B"/>
    <w:rsid w:val="000747A3"/>
    <w:rsid w:val="00076314"/>
    <w:rsid w:val="0007660F"/>
    <w:rsid w:val="000768D2"/>
    <w:rsid w:val="00076BC1"/>
    <w:rsid w:val="00076C78"/>
    <w:rsid w:val="00076C88"/>
    <w:rsid w:val="00076F34"/>
    <w:rsid w:val="00077839"/>
    <w:rsid w:val="00077B17"/>
    <w:rsid w:val="0008035E"/>
    <w:rsid w:val="0008096C"/>
    <w:rsid w:val="00081364"/>
    <w:rsid w:val="000816D0"/>
    <w:rsid w:val="00081C21"/>
    <w:rsid w:val="000824C1"/>
    <w:rsid w:val="000829E8"/>
    <w:rsid w:val="00083022"/>
    <w:rsid w:val="0008432B"/>
    <w:rsid w:val="0008613E"/>
    <w:rsid w:val="000863CC"/>
    <w:rsid w:val="00087E8C"/>
    <w:rsid w:val="0009022F"/>
    <w:rsid w:val="00090E0F"/>
    <w:rsid w:val="00091379"/>
    <w:rsid w:val="00092A88"/>
    <w:rsid w:val="000934BC"/>
    <w:rsid w:val="00093A48"/>
    <w:rsid w:val="00093B9D"/>
    <w:rsid w:val="000941C7"/>
    <w:rsid w:val="000954E7"/>
    <w:rsid w:val="00095F29"/>
    <w:rsid w:val="000967B2"/>
    <w:rsid w:val="000972D3"/>
    <w:rsid w:val="000973F2"/>
    <w:rsid w:val="00097782"/>
    <w:rsid w:val="000A084D"/>
    <w:rsid w:val="000A0B1B"/>
    <w:rsid w:val="000A15F2"/>
    <w:rsid w:val="000A180A"/>
    <w:rsid w:val="000A2EB6"/>
    <w:rsid w:val="000A364B"/>
    <w:rsid w:val="000A3C74"/>
    <w:rsid w:val="000A487C"/>
    <w:rsid w:val="000A538F"/>
    <w:rsid w:val="000A5712"/>
    <w:rsid w:val="000A5AA1"/>
    <w:rsid w:val="000A7A3D"/>
    <w:rsid w:val="000B0239"/>
    <w:rsid w:val="000B06FB"/>
    <w:rsid w:val="000B10A8"/>
    <w:rsid w:val="000B1245"/>
    <w:rsid w:val="000B19EF"/>
    <w:rsid w:val="000B23A6"/>
    <w:rsid w:val="000B26FE"/>
    <w:rsid w:val="000B38A5"/>
    <w:rsid w:val="000B3A82"/>
    <w:rsid w:val="000B463A"/>
    <w:rsid w:val="000B6FF7"/>
    <w:rsid w:val="000B7050"/>
    <w:rsid w:val="000B7B12"/>
    <w:rsid w:val="000B7B47"/>
    <w:rsid w:val="000C0234"/>
    <w:rsid w:val="000C0987"/>
    <w:rsid w:val="000C0AEA"/>
    <w:rsid w:val="000C0C48"/>
    <w:rsid w:val="000C2026"/>
    <w:rsid w:val="000C244E"/>
    <w:rsid w:val="000C295C"/>
    <w:rsid w:val="000C4811"/>
    <w:rsid w:val="000C5D57"/>
    <w:rsid w:val="000D0830"/>
    <w:rsid w:val="000D16B4"/>
    <w:rsid w:val="000D35D1"/>
    <w:rsid w:val="000D3637"/>
    <w:rsid w:val="000D4107"/>
    <w:rsid w:val="000D474E"/>
    <w:rsid w:val="000D4FD7"/>
    <w:rsid w:val="000D52B1"/>
    <w:rsid w:val="000D5B1B"/>
    <w:rsid w:val="000D6D84"/>
    <w:rsid w:val="000D7077"/>
    <w:rsid w:val="000D71C0"/>
    <w:rsid w:val="000D7AC5"/>
    <w:rsid w:val="000D7B92"/>
    <w:rsid w:val="000E02E8"/>
    <w:rsid w:val="000E05CE"/>
    <w:rsid w:val="000E0978"/>
    <w:rsid w:val="000E1433"/>
    <w:rsid w:val="000E2444"/>
    <w:rsid w:val="000E2B06"/>
    <w:rsid w:val="000E3047"/>
    <w:rsid w:val="000E4C0A"/>
    <w:rsid w:val="000E5BA5"/>
    <w:rsid w:val="000E6143"/>
    <w:rsid w:val="000E7594"/>
    <w:rsid w:val="000E77EE"/>
    <w:rsid w:val="000E7D81"/>
    <w:rsid w:val="000F0D52"/>
    <w:rsid w:val="000F1005"/>
    <w:rsid w:val="000F14E8"/>
    <w:rsid w:val="000F252C"/>
    <w:rsid w:val="000F3766"/>
    <w:rsid w:val="000F445C"/>
    <w:rsid w:val="000F4BF2"/>
    <w:rsid w:val="000F5618"/>
    <w:rsid w:val="000F5636"/>
    <w:rsid w:val="000F56BA"/>
    <w:rsid w:val="000F65B5"/>
    <w:rsid w:val="000F7559"/>
    <w:rsid w:val="000F75C4"/>
    <w:rsid w:val="00101531"/>
    <w:rsid w:val="00101676"/>
    <w:rsid w:val="0010311E"/>
    <w:rsid w:val="00103480"/>
    <w:rsid w:val="0010385A"/>
    <w:rsid w:val="00104B11"/>
    <w:rsid w:val="00105E86"/>
    <w:rsid w:val="0010611C"/>
    <w:rsid w:val="00106E1F"/>
    <w:rsid w:val="00107646"/>
    <w:rsid w:val="00107676"/>
    <w:rsid w:val="00110086"/>
    <w:rsid w:val="001103D0"/>
    <w:rsid w:val="00111045"/>
    <w:rsid w:val="00111154"/>
    <w:rsid w:val="00111532"/>
    <w:rsid w:val="00112209"/>
    <w:rsid w:val="00112398"/>
    <w:rsid w:val="00112B36"/>
    <w:rsid w:val="00113669"/>
    <w:rsid w:val="00113B92"/>
    <w:rsid w:val="00113D1E"/>
    <w:rsid w:val="00113DF6"/>
    <w:rsid w:val="00114955"/>
    <w:rsid w:val="00114B74"/>
    <w:rsid w:val="00114BB4"/>
    <w:rsid w:val="001151F8"/>
    <w:rsid w:val="00115B51"/>
    <w:rsid w:val="0011608A"/>
    <w:rsid w:val="001163E3"/>
    <w:rsid w:val="001169A9"/>
    <w:rsid w:val="00116B0D"/>
    <w:rsid w:val="00117AB7"/>
    <w:rsid w:val="0012025D"/>
    <w:rsid w:val="001209F1"/>
    <w:rsid w:val="00120CCC"/>
    <w:rsid w:val="00121CCD"/>
    <w:rsid w:val="00121D96"/>
    <w:rsid w:val="001229DB"/>
    <w:rsid w:val="00122D82"/>
    <w:rsid w:val="00122DDD"/>
    <w:rsid w:val="0012325B"/>
    <w:rsid w:val="00123685"/>
    <w:rsid w:val="00125271"/>
    <w:rsid w:val="00126458"/>
    <w:rsid w:val="001302F7"/>
    <w:rsid w:val="001306E1"/>
    <w:rsid w:val="00131134"/>
    <w:rsid w:val="00132C51"/>
    <w:rsid w:val="0013359E"/>
    <w:rsid w:val="00133E6C"/>
    <w:rsid w:val="001342A0"/>
    <w:rsid w:val="00134820"/>
    <w:rsid w:val="00134AAA"/>
    <w:rsid w:val="001359A8"/>
    <w:rsid w:val="00136759"/>
    <w:rsid w:val="00137BC0"/>
    <w:rsid w:val="00140359"/>
    <w:rsid w:val="0014070B"/>
    <w:rsid w:val="00140CC0"/>
    <w:rsid w:val="00141459"/>
    <w:rsid w:val="00143957"/>
    <w:rsid w:val="00143C53"/>
    <w:rsid w:val="0014420D"/>
    <w:rsid w:val="001449CB"/>
    <w:rsid w:val="001449D8"/>
    <w:rsid w:val="00144F39"/>
    <w:rsid w:val="00146341"/>
    <w:rsid w:val="00146916"/>
    <w:rsid w:val="001472B6"/>
    <w:rsid w:val="00147D17"/>
    <w:rsid w:val="00147E73"/>
    <w:rsid w:val="00150231"/>
    <w:rsid w:val="00151100"/>
    <w:rsid w:val="00151329"/>
    <w:rsid w:val="00151DAC"/>
    <w:rsid w:val="001526DF"/>
    <w:rsid w:val="001532A0"/>
    <w:rsid w:val="001533AB"/>
    <w:rsid w:val="0015342E"/>
    <w:rsid w:val="00156190"/>
    <w:rsid w:val="001564DF"/>
    <w:rsid w:val="001602DC"/>
    <w:rsid w:val="001607FF"/>
    <w:rsid w:val="00160D68"/>
    <w:rsid w:val="00160E84"/>
    <w:rsid w:val="00161F67"/>
    <w:rsid w:val="00162599"/>
    <w:rsid w:val="00164F71"/>
    <w:rsid w:val="00165F01"/>
    <w:rsid w:val="0016658B"/>
    <w:rsid w:val="001713F0"/>
    <w:rsid w:val="00171687"/>
    <w:rsid w:val="001721A7"/>
    <w:rsid w:val="001725EF"/>
    <w:rsid w:val="00172B58"/>
    <w:rsid w:val="001736B2"/>
    <w:rsid w:val="00173C6E"/>
    <w:rsid w:val="00173DCC"/>
    <w:rsid w:val="00174E15"/>
    <w:rsid w:val="001753FC"/>
    <w:rsid w:val="0017543B"/>
    <w:rsid w:val="001755DE"/>
    <w:rsid w:val="001759F0"/>
    <w:rsid w:val="00175DC5"/>
    <w:rsid w:val="00175F0F"/>
    <w:rsid w:val="0017649E"/>
    <w:rsid w:val="00176F95"/>
    <w:rsid w:val="0018008A"/>
    <w:rsid w:val="001803B0"/>
    <w:rsid w:val="001812C0"/>
    <w:rsid w:val="001814DF"/>
    <w:rsid w:val="00181C2B"/>
    <w:rsid w:val="00182E0E"/>
    <w:rsid w:val="001837ED"/>
    <w:rsid w:val="001838BB"/>
    <w:rsid w:val="00183C04"/>
    <w:rsid w:val="0018426A"/>
    <w:rsid w:val="00184A6C"/>
    <w:rsid w:val="00184D12"/>
    <w:rsid w:val="00185C5C"/>
    <w:rsid w:val="001862F9"/>
    <w:rsid w:val="0018700A"/>
    <w:rsid w:val="0019028C"/>
    <w:rsid w:val="0019041C"/>
    <w:rsid w:val="001912E4"/>
    <w:rsid w:val="00191478"/>
    <w:rsid w:val="00191AEB"/>
    <w:rsid w:val="00194C79"/>
    <w:rsid w:val="00195483"/>
    <w:rsid w:val="001966BC"/>
    <w:rsid w:val="00196D50"/>
    <w:rsid w:val="00197774"/>
    <w:rsid w:val="00197FAB"/>
    <w:rsid w:val="001A0308"/>
    <w:rsid w:val="001A256C"/>
    <w:rsid w:val="001A2804"/>
    <w:rsid w:val="001A33E9"/>
    <w:rsid w:val="001A3889"/>
    <w:rsid w:val="001A3C05"/>
    <w:rsid w:val="001A3FD2"/>
    <w:rsid w:val="001A549E"/>
    <w:rsid w:val="001A68D9"/>
    <w:rsid w:val="001A751B"/>
    <w:rsid w:val="001A7A5A"/>
    <w:rsid w:val="001B1D46"/>
    <w:rsid w:val="001B22CE"/>
    <w:rsid w:val="001B28B5"/>
    <w:rsid w:val="001B2D93"/>
    <w:rsid w:val="001B3B0E"/>
    <w:rsid w:val="001B3C68"/>
    <w:rsid w:val="001B5068"/>
    <w:rsid w:val="001B6470"/>
    <w:rsid w:val="001B6881"/>
    <w:rsid w:val="001B70DB"/>
    <w:rsid w:val="001C0A10"/>
    <w:rsid w:val="001C31B1"/>
    <w:rsid w:val="001C3671"/>
    <w:rsid w:val="001C4E8D"/>
    <w:rsid w:val="001C502D"/>
    <w:rsid w:val="001C6A73"/>
    <w:rsid w:val="001D00C2"/>
    <w:rsid w:val="001D02F4"/>
    <w:rsid w:val="001D1EE0"/>
    <w:rsid w:val="001D26C3"/>
    <w:rsid w:val="001D2903"/>
    <w:rsid w:val="001D44AE"/>
    <w:rsid w:val="001D4A10"/>
    <w:rsid w:val="001D4F3A"/>
    <w:rsid w:val="001D4F6D"/>
    <w:rsid w:val="001D504A"/>
    <w:rsid w:val="001E02F9"/>
    <w:rsid w:val="001E0490"/>
    <w:rsid w:val="001E197C"/>
    <w:rsid w:val="001E25DA"/>
    <w:rsid w:val="001E2C9B"/>
    <w:rsid w:val="001E3B28"/>
    <w:rsid w:val="001E3C08"/>
    <w:rsid w:val="001E6135"/>
    <w:rsid w:val="001E7837"/>
    <w:rsid w:val="001F01DE"/>
    <w:rsid w:val="001F0EA1"/>
    <w:rsid w:val="001F13C9"/>
    <w:rsid w:val="001F1471"/>
    <w:rsid w:val="001F1513"/>
    <w:rsid w:val="001F1C6E"/>
    <w:rsid w:val="001F229B"/>
    <w:rsid w:val="001F292A"/>
    <w:rsid w:val="001F2A4C"/>
    <w:rsid w:val="001F2C90"/>
    <w:rsid w:val="001F3A77"/>
    <w:rsid w:val="001F4DDD"/>
    <w:rsid w:val="001F4FB5"/>
    <w:rsid w:val="001F643C"/>
    <w:rsid w:val="001F6C18"/>
    <w:rsid w:val="001F6E07"/>
    <w:rsid w:val="001F77B1"/>
    <w:rsid w:val="001F7FB5"/>
    <w:rsid w:val="002002F6"/>
    <w:rsid w:val="00200958"/>
    <w:rsid w:val="00200ADD"/>
    <w:rsid w:val="00201C5D"/>
    <w:rsid w:val="00202435"/>
    <w:rsid w:val="002027CC"/>
    <w:rsid w:val="00202BA4"/>
    <w:rsid w:val="00203091"/>
    <w:rsid w:val="00203E75"/>
    <w:rsid w:val="0020420D"/>
    <w:rsid w:val="0020524F"/>
    <w:rsid w:val="002059A7"/>
    <w:rsid w:val="002064E2"/>
    <w:rsid w:val="00206A55"/>
    <w:rsid w:val="00207A98"/>
    <w:rsid w:val="00211451"/>
    <w:rsid w:val="00211991"/>
    <w:rsid w:val="002122A4"/>
    <w:rsid w:val="00212966"/>
    <w:rsid w:val="002139FD"/>
    <w:rsid w:val="002144EB"/>
    <w:rsid w:val="00214AA0"/>
    <w:rsid w:val="0021536F"/>
    <w:rsid w:val="002165E2"/>
    <w:rsid w:val="002167BE"/>
    <w:rsid w:val="00216880"/>
    <w:rsid w:val="002179CF"/>
    <w:rsid w:val="00217A2D"/>
    <w:rsid w:val="00217C7D"/>
    <w:rsid w:val="00220453"/>
    <w:rsid w:val="00220AF2"/>
    <w:rsid w:val="00221103"/>
    <w:rsid w:val="002215AD"/>
    <w:rsid w:val="00221B55"/>
    <w:rsid w:val="00222399"/>
    <w:rsid w:val="00222546"/>
    <w:rsid w:val="00223842"/>
    <w:rsid w:val="00224375"/>
    <w:rsid w:val="002243CE"/>
    <w:rsid w:val="00224634"/>
    <w:rsid w:val="00224722"/>
    <w:rsid w:val="00224834"/>
    <w:rsid w:val="00226278"/>
    <w:rsid w:val="00226C88"/>
    <w:rsid w:val="00227043"/>
    <w:rsid w:val="002278E2"/>
    <w:rsid w:val="00231093"/>
    <w:rsid w:val="002313EA"/>
    <w:rsid w:val="002325CB"/>
    <w:rsid w:val="00232641"/>
    <w:rsid w:val="00232B53"/>
    <w:rsid w:val="002334AD"/>
    <w:rsid w:val="00234BD3"/>
    <w:rsid w:val="00234CA3"/>
    <w:rsid w:val="00235657"/>
    <w:rsid w:val="00235E04"/>
    <w:rsid w:val="00236CB3"/>
    <w:rsid w:val="002374C2"/>
    <w:rsid w:val="00237778"/>
    <w:rsid w:val="002377A3"/>
    <w:rsid w:val="00237AFF"/>
    <w:rsid w:val="00237BE8"/>
    <w:rsid w:val="00237D9F"/>
    <w:rsid w:val="00237E43"/>
    <w:rsid w:val="002407DB"/>
    <w:rsid w:val="0024094D"/>
    <w:rsid w:val="002423EB"/>
    <w:rsid w:val="0024243F"/>
    <w:rsid w:val="002424D5"/>
    <w:rsid w:val="002432C2"/>
    <w:rsid w:val="002435C6"/>
    <w:rsid w:val="00245428"/>
    <w:rsid w:val="002456C8"/>
    <w:rsid w:val="002457F3"/>
    <w:rsid w:val="002508C6"/>
    <w:rsid w:val="00251EE0"/>
    <w:rsid w:val="002521C8"/>
    <w:rsid w:val="00252AE1"/>
    <w:rsid w:val="00252B36"/>
    <w:rsid w:val="00252CFE"/>
    <w:rsid w:val="0025347F"/>
    <w:rsid w:val="00254F45"/>
    <w:rsid w:val="00255140"/>
    <w:rsid w:val="002552D8"/>
    <w:rsid w:val="002557E5"/>
    <w:rsid w:val="00255B41"/>
    <w:rsid w:val="00256233"/>
    <w:rsid w:val="00256300"/>
    <w:rsid w:val="00256469"/>
    <w:rsid w:val="002573E0"/>
    <w:rsid w:val="0026033E"/>
    <w:rsid w:val="00260443"/>
    <w:rsid w:val="0026090D"/>
    <w:rsid w:val="00261F37"/>
    <w:rsid w:val="00262CA5"/>
    <w:rsid w:val="00262FEB"/>
    <w:rsid w:val="0026341F"/>
    <w:rsid w:val="002634EE"/>
    <w:rsid w:val="002659F0"/>
    <w:rsid w:val="00265E6D"/>
    <w:rsid w:val="00266BD6"/>
    <w:rsid w:val="00270A59"/>
    <w:rsid w:val="00270AA3"/>
    <w:rsid w:val="002717BB"/>
    <w:rsid w:val="0027223C"/>
    <w:rsid w:val="00273ADE"/>
    <w:rsid w:val="002758B4"/>
    <w:rsid w:val="0027603B"/>
    <w:rsid w:val="00276454"/>
    <w:rsid w:val="00277905"/>
    <w:rsid w:val="002803EB"/>
    <w:rsid w:val="002804FB"/>
    <w:rsid w:val="0028051D"/>
    <w:rsid w:val="00280B3D"/>
    <w:rsid w:val="00280D0D"/>
    <w:rsid w:val="00281151"/>
    <w:rsid w:val="00281972"/>
    <w:rsid w:val="00281B1E"/>
    <w:rsid w:val="0028231C"/>
    <w:rsid w:val="002834B1"/>
    <w:rsid w:val="00283A71"/>
    <w:rsid w:val="00283F5B"/>
    <w:rsid w:val="00284489"/>
    <w:rsid w:val="00284691"/>
    <w:rsid w:val="00284C54"/>
    <w:rsid w:val="00284DCE"/>
    <w:rsid w:val="00285272"/>
    <w:rsid w:val="002871DD"/>
    <w:rsid w:val="00287BDD"/>
    <w:rsid w:val="00287FF0"/>
    <w:rsid w:val="002900FE"/>
    <w:rsid w:val="00290D28"/>
    <w:rsid w:val="002919AF"/>
    <w:rsid w:val="002936FA"/>
    <w:rsid w:val="00293C4F"/>
    <w:rsid w:val="00294009"/>
    <w:rsid w:val="002949CB"/>
    <w:rsid w:val="002952AF"/>
    <w:rsid w:val="00295881"/>
    <w:rsid w:val="00296059"/>
    <w:rsid w:val="002967A2"/>
    <w:rsid w:val="00296CCE"/>
    <w:rsid w:val="002977AF"/>
    <w:rsid w:val="002A137E"/>
    <w:rsid w:val="002A1C28"/>
    <w:rsid w:val="002A1C54"/>
    <w:rsid w:val="002A2434"/>
    <w:rsid w:val="002A2DB6"/>
    <w:rsid w:val="002A37C7"/>
    <w:rsid w:val="002A3954"/>
    <w:rsid w:val="002A47B4"/>
    <w:rsid w:val="002A4CB1"/>
    <w:rsid w:val="002A4D41"/>
    <w:rsid w:val="002A5CF5"/>
    <w:rsid w:val="002A60DC"/>
    <w:rsid w:val="002A67FE"/>
    <w:rsid w:val="002A6A90"/>
    <w:rsid w:val="002A7182"/>
    <w:rsid w:val="002A7F4D"/>
    <w:rsid w:val="002B009E"/>
    <w:rsid w:val="002B0433"/>
    <w:rsid w:val="002B2B4E"/>
    <w:rsid w:val="002B3466"/>
    <w:rsid w:val="002B5020"/>
    <w:rsid w:val="002B7B34"/>
    <w:rsid w:val="002B7C4D"/>
    <w:rsid w:val="002B7CB9"/>
    <w:rsid w:val="002C018B"/>
    <w:rsid w:val="002C0E23"/>
    <w:rsid w:val="002C26D7"/>
    <w:rsid w:val="002C3F46"/>
    <w:rsid w:val="002C44C9"/>
    <w:rsid w:val="002C45EF"/>
    <w:rsid w:val="002C5014"/>
    <w:rsid w:val="002C6035"/>
    <w:rsid w:val="002C70D9"/>
    <w:rsid w:val="002C7CBC"/>
    <w:rsid w:val="002D09E8"/>
    <w:rsid w:val="002D103B"/>
    <w:rsid w:val="002D3198"/>
    <w:rsid w:val="002D3612"/>
    <w:rsid w:val="002D3B51"/>
    <w:rsid w:val="002D3CA1"/>
    <w:rsid w:val="002D3E8F"/>
    <w:rsid w:val="002D4A71"/>
    <w:rsid w:val="002D4B5C"/>
    <w:rsid w:val="002D4F8A"/>
    <w:rsid w:val="002D53C9"/>
    <w:rsid w:val="002D624E"/>
    <w:rsid w:val="002D68C7"/>
    <w:rsid w:val="002D700D"/>
    <w:rsid w:val="002E0F9C"/>
    <w:rsid w:val="002E1099"/>
    <w:rsid w:val="002E1101"/>
    <w:rsid w:val="002E19BD"/>
    <w:rsid w:val="002E27E3"/>
    <w:rsid w:val="002E2AC8"/>
    <w:rsid w:val="002E2BE9"/>
    <w:rsid w:val="002E2D0C"/>
    <w:rsid w:val="002E32E7"/>
    <w:rsid w:val="002E3477"/>
    <w:rsid w:val="002E3A06"/>
    <w:rsid w:val="002E3A89"/>
    <w:rsid w:val="002E4872"/>
    <w:rsid w:val="002E4C9B"/>
    <w:rsid w:val="002E55AE"/>
    <w:rsid w:val="002E56D2"/>
    <w:rsid w:val="002E6127"/>
    <w:rsid w:val="002E67C1"/>
    <w:rsid w:val="002E7561"/>
    <w:rsid w:val="002E770A"/>
    <w:rsid w:val="002E7795"/>
    <w:rsid w:val="002E77D7"/>
    <w:rsid w:val="002E7A55"/>
    <w:rsid w:val="002E7A5F"/>
    <w:rsid w:val="002E7BFA"/>
    <w:rsid w:val="002F1573"/>
    <w:rsid w:val="002F185A"/>
    <w:rsid w:val="002F1AD8"/>
    <w:rsid w:val="002F24F1"/>
    <w:rsid w:val="002F2B0A"/>
    <w:rsid w:val="002F2B34"/>
    <w:rsid w:val="002F5840"/>
    <w:rsid w:val="002F6364"/>
    <w:rsid w:val="002F6495"/>
    <w:rsid w:val="002F6BEE"/>
    <w:rsid w:val="002F7B22"/>
    <w:rsid w:val="0030240E"/>
    <w:rsid w:val="00302ED0"/>
    <w:rsid w:val="003036ED"/>
    <w:rsid w:val="00303ED3"/>
    <w:rsid w:val="003050CE"/>
    <w:rsid w:val="003061F5"/>
    <w:rsid w:val="00306D25"/>
    <w:rsid w:val="003078EF"/>
    <w:rsid w:val="00310E60"/>
    <w:rsid w:val="00312D85"/>
    <w:rsid w:val="00313459"/>
    <w:rsid w:val="0031393A"/>
    <w:rsid w:val="00314109"/>
    <w:rsid w:val="00314D87"/>
    <w:rsid w:val="003158B9"/>
    <w:rsid w:val="0031681D"/>
    <w:rsid w:val="00316FAC"/>
    <w:rsid w:val="003201E1"/>
    <w:rsid w:val="003207A0"/>
    <w:rsid w:val="00320F23"/>
    <w:rsid w:val="00321593"/>
    <w:rsid w:val="00322347"/>
    <w:rsid w:val="0032239D"/>
    <w:rsid w:val="00323177"/>
    <w:rsid w:val="00323532"/>
    <w:rsid w:val="003236CC"/>
    <w:rsid w:val="00323D66"/>
    <w:rsid w:val="00326875"/>
    <w:rsid w:val="003269E1"/>
    <w:rsid w:val="00326C52"/>
    <w:rsid w:val="00326F1D"/>
    <w:rsid w:val="00327A02"/>
    <w:rsid w:val="0033222D"/>
    <w:rsid w:val="00332FEC"/>
    <w:rsid w:val="003332D3"/>
    <w:rsid w:val="00333ECE"/>
    <w:rsid w:val="003346DA"/>
    <w:rsid w:val="003350FD"/>
    <w:rsid w:val="00335538"/>
    <w:rsid w:val="00335714"/>
    <w:rsid w:val="00335B8D"/>
    <w:rsid w:val="00336621"/>
    <w:rsid w:val="00336856"/>
    <w:rsid w:val="0033690A"/>
    <w:rsid w:val="00336B4A"/>
    <w:rsid w:val="003372DC"/>
    <w:rsid w:val="00340A28"/>
    <w:rsid w:val="00340DB7"/>
    <w:rsid w:val="00342D29"/>
    <w:rsid w:val="00342F64"/>
    <w:rsid w:val="003430BE"/>
    <w:rsid w:val="003440E7"/>
    <w:rsid w:val="003441B8"/>
    <w:rsid w:val="00344B03"/>
    <w:rsid w:val="00344DEF"/>
    <w:rsid w:val="00345BE4"/>
    <w:rsid w:val="003468A7"/>
    <w:rsid w:val="00346ED8"/>
    <w:rsid w:val="00347917"/>
    <w:rsid w:val="00350550"/>
    <w:rsid w:val="00350FFD"/>
    <w:rsid w:val="003524C7"/>
    <w:rsid w:val="00352835"/>
    <w:rsid w:val="00352981"/>
    <w:rsid w:val="00352C49"/>
    <w:rsid w:val="0035327A"/>
    <w:rsid w:val="00354C46"/>
    <w:rsid w:val="003550DB"/>
    <w:rsid w:val="0035527C"/>
    <w:rsid w:val="0035586A"/>
    <w:rsid w:val="00355CF7"/>
    <w:rsid w:val="00357206"/>
    <w:rsid w:val="0035724A"/>
    <w:rsid w:val="003574F9"/>
    <w:rsid w:val="00361235"/>
    <w:rsid w:val="00361DCC"/>
    <w:rsid w:val="00362275"/>
    <w:rsid w:val="003625FF"/>
    <w:rsid w:val="00362880"/>
    <w:rsid w:val="00362891"/>
    <w:rsid w:val="00363A7F"/>
    <w:rsid w:val="00364250"/>
    <w:rsid w:val="00365162"/>
    <w:rsid w:val="00365190"/>
    <w:rsid w:val="0036533F"/>
    <w:rsid w:val="00365984"/>
    <w:rsid w:val="003659FD"/>
    <w:rsid w:val="00365EC8"/>
    <w:rsid w:val="0036777A"/>
    <w:rsid w:val="003701A2"/>
    <w:rsid w:val="00370CFB"/>
    <w:rsid w:val="003716C8"/>
    <w:rsid w:val="00372133"/>
    <w:rsid w:val="003724DE"/>
    <w:rsid w:val="003728FE"/>
    <w:rsid w:val="00373410"/>
    <w:rsid w:val="003750E6"/>
    <w:rsid w:val="003761C8"/>
    <w:rsid w:val="003806E2"/>
    <w:rsid w:val="0038118A"/>
    <w:rsid w:val="0038132F"/>
    <w:rsid w:val="003814C0"/>
    <w:rsid w:val="0038355F"/>
    <w:rsid w:val="00384557"/>
    <w:rsid w:val="0038555D"/>
    <w:rsid w:val="00385A41"/>
    <w:rsid w:val="00385E5D"/>
    <w:rsid w:val="00386AFD"/>
    <w:rsid w:val="00386BE2"/>
    <w:rsid w:val="003872BD"/>
    <w:rsid w:val="0038745A"/>
    <w:rsid w:val="00387B03"/>
    <w:rsid w:val="00391F01"/>
    <w:rsid w:val="0039292B"/>
    <w:rsid w:val="003939AC"/>
    <w:rsid w:val="00394456"/>
    <w:rsid w:val="00395224"/>
    <w:rsid w:val="00395F95"/>
    <w:rsid w:val="0039687D"/>
    <w:rsid w:val="00396C5B"/>
    <w:rsid w:val="00396CFD"/>
    <w:rsid w:val="0039761F"/>
    <w:rsid w:val="003A03A2"/>
    <w:rsid w:val="003A12CB"/>
    <w:rsid w:val="003A2257"/>
    <w:rsid w:val="003A2302"/>
    <w:rsid w:val="003A2ADC"/>
    <w:rsid w:val="003A2DB7"/>
    <w:rsid w:val="003A3410"/>
    <w:rsid w:val="003A353F"/>
    <w:rsid w:val="003A35AE"/>
    <w:rsid w:val="003A414C"/>
    <w:rsid w:val="003A4D1A"/>
    <w:rsid w:val="003A4E9B"/>
    <w:rsid w:val="003A5C09"/>
    <w:rsid w:val="003A5E0F"/>
    <w:rsid w:val="003A6122"/>
    <w:rsid w:val="003A66DC"/>
    <w:rsid w:val="003A721D"/>
    <w:rsid w:val="003A7235"/>
    <w:rsid w:val="003A7889"/>
    <w:rsid w:val="003B1117"/>
    <w:rsid w:val="003B1C7F"/>
    <w:rsid w:val="003B34B5"/>
    <w:rsid w:val="003B3956"/>
    <w:rsid w:val="003B3E22"/>
    <w:rsid w:val="003B443E"/>
    <w:rsid w:val="003B4839"/>
    <w:rsid w:val="003B4AB6"/>
    <w:rsid w:val="003B4B18"/>
    <w:rsid w:val="003B56E7"/>
    <w:rsid w:val="003B6D83"/>
    <w:rsid w:val="003B6F74"/>
    <w:rsid w:val="003B759D"/>
    <w:rsid w:val="003C0E0A"/>
    <w:rsid w:val="003C136A"/>
    <w:rsid w:val="003C14FA"/>
    <w:rsid w:val="003C1506"/>
    <w:rsid w:val="003C4B84"/>
    <w:rsid w:val="003C5183"/>
    <w:rsid w:val="003C64D6"/>
    <w:rsid w:val="003C74E2"/>
    <w:rsid w:val="003D1613"/>
    <w:rsid w:val="003D1AAF"/>
    <w:rsid w:val="003D21D9"/>
    <w:rsid w:val="003D35B9"/>
    <w:rsid w:val="003D3B77"/>
    <w:rsid w:val="003D4E79"/>
    <w:rsid w:val="003D5159"/>
    <w:rsid w:val="003D53E0"/>
    <w:rsid w:val="003D5692"/>
    <w:rsid w:val="003D57ED"/>
    <w:rsid w:val="003D6374"/>
    <w:rsid w:val="003D6958"/>
    <w:rsid w:val="003D6C47"/>
    <w:rsid w:val="003D6F33"/>
    <w:rsid w:val="003E0903"/>
    <w:rsid w:val="003E0DFA"/>
    <w:rsid w:val="003E173B"/>
    <w:rsid w:val="003E25E0"/>
    <w:rsid w:val="003E3566"/>
    <w:rsid w:val="003E3C0F"/>
    <w:rsid w:val="003E3DB0"/>
    <w:rsid w:val="003E413C"/>
    <w:rsid w:val="003E5F2C"/>
    <w:rsid w:val="003E6C49"/>
    <w:rsid w:val="003E74ED"/>
    <w:rsid w:val="003F02CB"/>
    <w:rsid w:val="003F02E3"/>
    <w:rsid w:val="003F19F1"/>
    <w:rsid w:val="003F240F"/>
    <w:rsid w:val="003F2C34"/>
    <w:rsid w:val="003F3415"/>
    <w:rsid w:val="003F4400"/>
    <w:rsid w:val="003F49FD"/>
    <w:rsid w:val="003F4F15"/>
    <w:rsid w:val="003F523B"/>
    <w:rsid w:val="003F750D"/>
    <w:rsid w:val="004002D0"/>
    <w:rsid w:val="004010E4"/>
    <w:rsid w:val="00401CB4"/>
    <w:rsid w:val="00402098"/>
    <w:rsid w:val="004024F8"/>
    <w:rsid w:val="00402A12"/>
    <w:rsid w:val="00402D90"/>
    <w:rsid w:val="0040383D"/>
    <w:rsid w:val="0040496B"/>
    <w:rsid w:val="00404F3D"/>
    <w:rsid w:val="004064FF"/>
    <w:rsid w:val="00406F30"/>
    <w:rsid w:val="00407C38"/>
    <w:rsid w:val="00410F0A"/>
    <w:rsid w:val="00411353"/>
    <w:rsid w:val="00411DA2"/>
    <w:rsid w:val="0041260F"/>
    <w:rsid w:val="00412A09"/>
    <w:rsid w:val="00412F10"/>
    <w:rsid w:val="00413B8B"/>
    <w:rsid w:val="004143A8"/>
    <w:rsid w:val="00414469"/>
    <w:rsid w:val="00416579"/>
    <w:rsid w:val="0041663F"/>
    <w:rsid w:val="00416971"/>
    <w:rsid w:val="00416F56"/>
    <w:rsid w:val="004172A1"/>
    <w:rsid w:val="00421ECB"/>
    <w:rsid w:val="00421ED1"/>
    <w:rsid w:val="00424C69"/>
    <w:rsid w:val="00426C09"/>
    <w:rsid w:val="00426D48"/>
    <w:rsid w:val="004277EA"/>
    <w:rsid w:val="004279D5"/>
    <w:rsid w:val="00427BD9"/>
    <w:rsid w:val="0043152E"/>
    <w:rsid w:val="00431A51"/>
    <w:rsid w:val="00431D79"/>
    <w:rsid w:val="0043289E"/>
    <w:rsid w:val="00432ABF"/>
    <w:rsid w:val="00433329"/>
    <w:rsid w:val="00433E97"/>
    <w:rsid w:val="00435052"/>
    <w:rsid w:val="00435287"/>
    <w:rsid w:val="0043531A"/>
    <w:rsid w:val="004361CF"/>
    <w:rsid w:val="00436396"/>
    <w:rsid w:val="004367C0"/>
    <w:rsid w:val="004367F7"/>
    <w:rsid w:val="00436C0F"/>
    <w:rsid w:val="004375B6"/>
    <w:rsid w:val="00437611"/>
    <w:rsid w:val="00437EFB"/>
    <w:rsid w:val="00441262"/>
    <w:rsid w:val="00441BBE"/>
    <w:rsid w:val="00442372"/>
    <w:rsid w:val="00442E9A"/>
    <w:rsid w:val="00442F42"/>
    <w:rsid w:val="00444835"/>
    <w:rsid w:val="00447DDE"/>
    <w:rsid w:val="00450231"/>
    <w:rsid w:val="0045023E"/>
    <w:rsid w:val="00450CC0"/>
    <w:rsid w:val="00451D20"/>
    <w:rsid w:val="00451F8D"/>
    <w:rsid w:val="00452EAB"/>
    <w:rsid w:val="00452FDC"/>
    <w:rsid w:val="004535DA"/>
    <w:rsid w:val="00453882"/>
    <w:rsid w:val="00453E44"/>
    <w:rsid w:val="00457601"/>
    <w:rsid w:val="0046000B"/>
    <w:rsid w:val="0046089D"/>
    <w:rsid w:val="004610CE"/>
    <w:rsid w:val="00461B9C"/>
    <w:rsid w:val="00461EC7"/>
    <w:rsid w:val="00461F10"/>
    <w:rsid w:val="004631F5"/>
    <w:rsid w:val="00463F2D"/>
    <w:rsid w:val="00464074"/>
    <w:rsid w:val="0046505F"/>
    <w:rsid w:val="004651BC"/>
    <w:rsid w:val="00466C89"/>
    <w:rsid w:val="00467A5B"/>
    <w:rsid w:val="00470391"/>
    <w:rsid w:val="0047058D"/>
    <w:rsid w:val="00470B4E"/>
    <w:rsid w:val="004720DB"/>
    <w:rsid w:val="00472442"/>
    <w:rsid w:val="00472732"/>
    <w:rsid w:val="00472BE2"/>
    <w:rsid w:val="00474482"/>
    <w:rsid w:val="004746CE"/>
    <w:rsid w:val="004772B4"/>
    <w:rsid w:val="00480219"/>
    <w:rsid w:val="00481438"/>
    <w:rsid w:val="0048170C"/>
    <w:rsid w:val="0048175E"/>
    <w:rsid w:val="004817DA"/>
    <w:rsid w:val="0048240C"/>
    <w:rsid w:val="00482B64"/>
    <w:rsid w:val="00483F1F"/>
    <w:rsid w:val="0048404F"/>
    <w:rsid w:val="0048447B"/>
    <w:rsid w:val="004848EF"/>
    <w:rsid w:val="00484985"/>
    <w:rsid w:val="004849EE"/>
    <w:rsid w:val="0048615E"/>
    <w:rsid w:val="00486838"/>
    <w:rsid w:val="00486AE4"/>
    <w:rsid w:val="00490405"/>
    <w:rsid w:val="004904E5"/>
    <w:rsid w:val="004907C2"/>
    <w:rsid w:val="00490FCB"/>
    <w:rsid w:val="00493045"/>
    <w:rsid w:val="0049354E"/>
    <w:rsid w:val="00493F88"/>
    <w:rsid w:val="00494AFF"/>
    <w:rsid w:val="00496111"/>
    <w:rsid w:val="00496358"/>
    <w:rsid w:val="00496378"/>
    <w:rsid w:val="004965C8"/>
    <w:rsid w:val="00496CEA"/>
    <w:rsid w:val="00496F8A"/>
    <w:rsid w:val="00497C45"/>
    <w:rsid w:val="00497CAA"/>
    <w:rsid w:val="00497CDC"/>
    <w:rsid w:val="004A03DA"/>
    <w:rsid w:val="004A0BC4"/>
    <w:rsid w:val="004A0D3B"/>
    <w:rsid w:val="004A13B4"/>
    <w:rsid w:val="004A1ECA"/>
    <w:rsid w:val="004A226B"/>
    <w:rsid w:val="004A2B09"/>
    <w:rsid w:val="004A2BB2"/>
    <w:rsid w:val="004A2C94"/>
    <w:rsid w:val="004A2D5B"/>
    <w:rsid w:val="004A3487"/>
    <w:rsid w:val="004A4695"/>
    <w:rsid w:val="004A6A61"/>
    <w:rsid w:val="004A6D1C"/>
    <w:rsid w:val="004A7148"/>
    <w:rsid w:val="004A77DE"/>
    <w:rsid w:val="004A7B6C"/>
    <w:rsid w:val="004B199C"/>
    <w:rsid w:val="004B21BE"/>
    <w:rsid w:val="004B2D47"/>
    <w:rsid w:val="004B3203"/>
    <w:rsid w:val="004B3D57"/>
    <w:rsid w:val="004B4D42"/>
    <w:rsid w:val="004B51BE"/>
    <w:rsid w:val="004B5625"/>
    <w:rsid w:val="004B72DF"/>
    <w:rsid w:val="004C050C"/>
    <w:rsid w:val="004C0520"/>
    <w:rsid w:val="004C1771"/>
    <w:rsid w:val="004C2B69"/>
    <w:rsid w:val="004C2C20"/>
    <w:rsid w:val="004C3D73"/>
    <w:rsid w:val="004C4817"/>
    <w:rsid w:val="004C5234"/>
    <w:rsid w:val="004C59BC"/>
    <w:rsid w:val="004C5CBE"/>
    <w:rsid w:val="004C5E42"/>
    <w:rsid w:val="004C6060"/>
    <w:rsid w:val="004C60BE"/>
    <w:rsid w:val="004C69AC"/>
    <w:rsid w:val="004C6D2B"/>
    <w:rsid w:val="004C7A43"/>
    <w:rsid w:val="004C7AD0"/>
    <w:rsid w:val="004D02A8"/>
    <w:rsid w:val="004D156A"/>
    <w:rsid w:val="004D23BF"/>
    <w:rsid w:val="004D2D5A"/>
    <w:rsid w:val="004D3382"/>
    <w:rsid w:val="004D3527"/>
    <w:rsid w:val="004D469F"/>
    <w:rsid w:val="004D4889"/>
    <w:rsid w:val="004D5019"/>
    <w:rsid w:val="004D5599"/>
    <w:rsid w:val="004D5ADB"/>
    <w:rsid w:val="004D61ED"/>
    <w:rsid w:val="004D6290"/>
    <w:rsid w:val="004E0A42"/>
    <w:rsid w:val="004E14B9"/>
    <w:rsid w:val="004E1EE0"/>
    <w:rsid w:val="004E1F1C"/>
    <w:rsid w:val="004E291D"/>
    <w:rsid w:val="004E34D4"/>
    <w:rsid w:val="004E351E"/>
    <w:rsid w:val="004E3A1C"/>
    <w:rsid w:val="004E5598"/>
    <w:rsid w:val="004E5C46"/>
    <w:rsid w:val="004E6B30"/>
    <w:rsid w:val="004E7AF1"/>
    <w:rsid w:val="004E7CE1"/>
    <w:rsid w:val="004E7E91"/>
    <w:rsid w:val="004E7EA8"/>
    <w:rsid w:val="004E7F14"/>
    <w:rsid w:val="004E7FB9"/>
    <w:rsid w:val="004F09DD"/>
    <w:rsid w:val="004F2A9F"/>
    <w:rsid w:val="004F2EBC"/>
    <w:rsid w:val="004F39D7"/>
    <w:rsid w:val="004F4BAD"/>
    <w:rsid w:val="004F52E8"/>
    <w:rsid w:val="004F5908"/>
    <w:rsid w:val="004F600E"/>
    <w:rsid w:val="004F6637"/>
    <w:rsid w:val="004F696A"/>
    <w:rsid w:val="005000E9"/>
    <w:rsid w:val="005002BB"/>
    <w:rsid w:val="00501B23"/>
    <w:rsid w:val="00502396"/>
    <w:rsid w:val="00502FE1"/>
    <w:rsid w:val="005033FD"/>
    <w:rsid w:val="00503727"/>
    <w:rsid w:val="005039F4"/>
    <w:rsid w:val="005040DD"/>
    <w:rsid w:val="00504690"/>
    <w:rsid w:val="00504A97"/>
    <w:rsid w:val="0050510C"/>
    <w:rsid w:val="005063F6"/>
    <w:rsid w:val="005073F2"/>
    <w:rsid w:val="00507677"/>
    <w:rsid w:val="00507C00"/>
    <w:rsid w:val="0051084F"/>
    <w:rsid w:val="005120E8"/>
    <w:rsid w:val="00512331"/>
    <w:rsid w:val="00512FAF"/>
    <w:rsid w:val="005145F8"/>
    <w:rsid w:val="00514654"/>
    <w:rsid w:val="00514889"/>
    <w:rsid w:val="0051510F"/>
    <w:rsid w:val="00515BBB"/>
    <w:rsid w:val="0051735D"/>
    <w:rsid w:val="0051756C"/>
    <w:rsid w:val="00517E81"/>
    <w:rsid w:val="00520140"/>
    <w:rsid w:val="00520286"/>
    <w:rsid w:val="00520725"/>
    <w:rsid w:val="00520B17"/>
    <w:rsid w:val="00520D15"/>
    <w:rsid w:val="00521F23"/>
    <w:rsid w:val="005237F4"/>
    <w:rsid w:val="0052409E"/>
    <w:rsid w:val="005251B3"/>
    <w:rsid w:val="0052606A"/>
    <w:rsid w:val="005263A9"/>
    <w:rsid w:val="00526721"/>
    <w:rsid w:val="00527B95"/>
    <w:rsid w:val="00527CDB"/>
    <w:rsid w:val="0053042D"/>
    <w:rsid w:val="005309EB"/>
    <w:rsid w:val="005310C2"/>
    <w:rsid w:val="00531849"/>
    <w:rsid w:val="00531AE4"/>
    <w:rsid w:val="00532342"/>
    <w:rsid w:val="00532839"/>
    <w:rsid w:val="00532D48"/>
    <w:rsid w:val="00532F8F"/>
    <w:rsid w:val="00532FFB"/>
    <w:rsid w:val="00534312"/>
    <w:rsid w:val="00535890"/>
    <w:rsid w:val="00535B93"/>
    <w:rsid w:val="00536AD7"/>
    <w:rsid w:val="00537610"/>
    <w:rsid w:val="00537BE3"/>
    <w:rsid w:val="00537D07"/>
    <w:rsid w:val="00537E92"/>
    <w:rsid w:val="005406CB"/>
    <w:rsid w:val="005408F4"/>
    <w:rsid w:val="00541362"/>
    <w:rsid w:val="0054235A"/>
    <w:rsid w:val="005426F5"/>
    <w:rsid w:val="00543523"/>
    <w:rsid w:val="0054512C"/>
    <w:rsid w:val="005458C0"/>
    <w:rsid w:val="00547382"/>
    <w:rsid w:val="00547C2F"/>
    <w:rsid w:val="005503CA"/>
    <w:rsid w:val="0055074A"/>
    <w:rsid w:val="00550776"/>
    <w:rsid w:val="0055192F"/>
    <w:rsid w:val="00551B70"/>
    <w:rsid w:val="0055253A"/>
    <w:rsid w:val="0055271B"/>
    <w:rsid w:val="00552B45"/>
    <w:rsid w:val="00552DD4"/>
    <w:rsid w:val="00553209"/>
    <w:rsid w:val="0055324C"/>
    <w:rsid w:val="00554E57"/>
    <w:rsid w:val="005552CD"/>
    <w:rsid w:val="005558D9"/>
    <w:rsid w:val="00555950"/>
    <w:rsid w:val="005573EC"/>
    <w:rsid w:val="005613DD"/>
    <w:rsid w:val="00561C9F"/>
    <w:rsid w:val="00561E73"/>
    <w:rsid w:val="00562F4D"/>
    <w:rsid w:val="005646FD"/>
    <w:rsid w:val="0056537F"/>
    <w:rsid w:val="00565775"/>
    <w:rsid w:val="00565DB2"/>
    <w:rsid w:val="00565ED2"/>
    <w:rsid w:val="00566291"/>
    <w:rsid w:val="005662F4"/>
    <w:rsid w:val="00567710"/>
    <w:rsid w:val="00567F09"/>
    <w:rsid w:val="00571B8C"/>
    <w:rsid w:val="005725E2"/>
    <w:rsid w:val="00572B06"/>
    <w:rsid w:val="005749A7"/>
    <w:rsid w:val="00574C54"/>
    <w:rsid w:val="0057527A"/>
    <w:rsid w:val="0057554A"/>
    <w:rsid w:val="00576A57"/>
    <w:rsid w:val="00580811"/>
    <w:rsid w:val="00580D61"/>
    <w:rsid w:val="005812A4"/>
    <w:rsid w:val="005821BA"/>
    <w:rsid w:val="005823EA"/>
    <w:rsid w:val="0058281E"/>
    <w:rsid w:val="005828CF"/>
    <w:rsid w:val="00582A32"/>
    <w:rsid w:val="0058579E"/>
    <w:rsid w:val="005865CF"/>
    <w:rsid w:val="005872EE"/>
    <w:rsid w:val="0058743C"/>
    <w:rsid w:val="005907B9"/>
    <w:rsid w:val="0059257F"/>
    <w:rsid w:val="0059298F"/>
    <w:rsid w:val="00592CFC"/>
    <w:rsid w:val="00593668"/>
    <w:rsid w:val="00593B93"/>
    <w:rsid w:val="00593CC1"/>
    <w:rsid w:val="00594601"/>
    <w:rsid w:val="00595120"/>
    <w:rsid w:val="00595505"/>
    <w:rsid w:val="00596420"/>
    <w:rsid w:val="00596D50"/>
    <w:rsid w:val="00596ED1"/>
    <w:rsid w:val="0059705A"/>
    <w:rsid w:val="0059707D"/>
    <w:rsid w:val="00597D23"/>
    <w:rsid w:val="00597D5E"/>
    <w:rsid w:val="00597DD4"/>
    <w:rsid w:val="005A16D1"/>
    <w:rsid w:val="005A2CA9"/>
    <w:rsid w:val="005A3F88"/>
    <w:rsid w:val="005A4103"/>
    <w:rsid w:val="005A516A"/>
    <w:rsid w:val="005A6114"/>
    <w:rsid w:val="005A6168"/>
    <w:rsid w:val="005A7746"/>
    <w:rsid w:val="005A7C52"/>
    <w:rsid w:val="005B043C"/>
    <w:rsid w:val="005B1423"/>
    <w:rsid w:val="005B15E8"/>
    <w:rsid w:val="005B18D5"/>
    <w:rsid w:val="005B2AD4"/>
    <w:rsid w:val="005B2D15"/>
    <w:rsid w:val="005B2FC0"/>
    <w:rsid w:val="005B3C27"/>
    <w:rsid w:val="005B433A"/>
    <w:rsid w:val="005B4E58"/>
    <w:rsid w:val="005B5252"/>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361C"/>
    <w:rsid w:val="005D3646"/>
    <w:rsid w:val="005D3A4F"/>
    <w:rsid w:val="005D3DED"/>
    <w:rsid w:val="005D4722"/>
    <w:rsid w:val="005D605C"/>
    <w:rsid w:val="005D609F"/>
    <w:rsid w:val="005D6544"/>
    <w:rsid w:val="005D7365"/>
    <w:rsid w:val="005D74B0"/>
    <w:rsid w:val="005D76F1"/>
    <w:rsid w:val="005D7913"/>
    <w:rsid w:val="005D7E5E"/>
    <w:rsid w:val="005E0064"/>
    <w:rsid w:val="005E0626"/>
    <w:rsid w:val="005E0B64"/>
    <w:rsid w:val="005E0C10"/>
    <w:rsid w:val="005E12CE"/>
    <w:rsid w:val="005E1399"/>
    <w:rsid w:val="005E337F"/>
    <w:rsid w:val="005E33BC"/>
    <w:rsid w:val="005E3A22"/>
    <w:rsid w:val="005E3B25"/>
    <w:rsid w:val="005E4DC1"/>
    <w:rsid w:val="005E5420"/>
    <w:rsid w:val="005E571E"/>
    <w:rsid w:val="005E57D3"/>
    <w:rsid w:val="005E5988"/>
    <w:rsid w:val="005E7AB1"/>
    <w:rsid w:val="005E7F12"/>
    <w:rsid w:val="005F06D9"/>
    <w:rsid w:val="005F0D5A"/>
    <w:rsid w:val="005F11A9"/>
    <w:rsid w:val="005F2194"/>
    <w:rsid w:val="005F2335"/>
    <w:rsid w:val="005F28B1"/>
    <w:rsid w:val="005F3373"/>
    <w:rsid w:val="005F356C"/>
    <w:rsid w:val="005F389A"/>
    <w:rsid w:val="005F3A33"/>
    <w:rsid w:val="005F3FB6"/>
    <w:rsid w:val="005F4A41"/>
    <w:rsid w:val="005F5AB5"/>
    <w:rsid w:val="005F60D9"/>
    <w:rsid w:val="005F69D8"/>
    <w:rsid w:val="005F6B3B"/>
    <w:rsid w:val="005F6F19"/>
    <w:rsid w:val="005F7627"/>
    <w:rsid w:val="005F7697"/>
    <w:rsid w:val="005F76CB"/>
    <w:rsid w:val="005F798A"/>
    <w:rsid w:val="005F7B56"/>
    <w:rsid w:val="005F7B8E"/>
    <w:rsid w:val="005F7BF3"/>
    <w:rsid w:val="0060099D"/>
    <w:rsid w:val="00601EC5"/>
    <w:rsid w:val="006023EF"/>
    <w:rsid w:val="00603815"/>
    <w:rsid w:val="00603FE7"/>
    <w:rsid w:val="006044CC"/>
    <w:rsid w:val="00604679"/>
    <w:rsid w:val="00607C8B"/>
    <w:rsid w:val="006104B0"/>
    <w:rsid w:val="0061090A"/>
    <w:rsid w:val="00610CE1"/>
    <w:rsid w:val="00611082"/>
    <w:rsid w:val="006111B7"/>
    <w:rsid w:val="00613167"/>
    <w:rsid w:val="00613442"/>
    <w:rsid w:val="00614006"/>
    <w:rsid w:val="0061480A"/>
    <w:rsid w:val="006149CC"/>
    <w:rsid w:val="0061593E"/>
    <w:rsid w:val="00616497"/>
    <w:rsid w:val="00616832"/>
    <w:rsid w:val="00616CF4"/>
    <w:rsid w:val="00617484"/>
    <w:rsid w:val="0062033D"/>
    <w:rsid w:val="0062069D"/>
    <w:rsid w:val="006208DE"/>
    <w:rsid w:val="00620BA1"/>
    <w:rsid w:val="00622378"/>
    <w:rsid w:val="00622507"/>
    <w:rsid w:val="00625E1C"/>
    <w:rsid w:val="00626CB5"/>
    <w:rsid w:val="0062771D"/>
    <w:rsid w:val="00630090"/>
    <w:rsid w:val="006302B0"/>
    <w:rsid w:val="00630A1D"/>
    <w:rsid w:val="00631008"/>
    <w:rsid w:val="00631771"/>
    <w:rsid w:val="00632E85"/>
    <w:rsid w:val="00633A4A"/>
    <w:rsid w:val="00633C10"/>
    <w:rsid w:val="0063426C"/>
    <w:rsid w:val="00634743"/>
    <w:rsid w:val="006348A4"/>
    <w:rsid w:val="00635121"/>
    <w:rsid w:val="006356D8"/>
    <w:rsid w:val="006364D6"/>
    <w:rsid w:val="006375FF"/>
    <w:rsid w:val="00637665"/>
    <w:rsid w:val="006406A8"/>
    <w:rsid w:val="00640F04"/>
    <w:rsid w:val="0064262E"/>
    <w:rsid w:val="00643130"/>
    <w:rsid w:val="00643E61"/>
    <w:rsid w:val="00643F3B"/>
    <w:rsid w:val="00645DAC"/>
    <w:rsid w:val="00645FE2"/>
    <w:rsid w:val="00646256"/>
    <w:rsid w:val="006462AC"/>
    <w:rsid w:val="00647A3A"/>
    <w:rsid w:val="00650568"/>
    <w:rsid w:val="00650996"/>
    <w:rsid w:val="00650BAC"/>
    <w:rsid w:val="00650BB1"/>
    <w:rsid w:val="00651C3D"/>
    <w:rsid w:val="0065394D"/>
    <w:rsid w:val="0065435C"/>
    <w:rsid w:val="006547DE"/>
    <w:rsid w:val="00655FA4"/>
    <w:rsid w:val="00656A3D"/>
    <w:rsid w:val="00656C9E"/>
    <w:rsid w:val="006572C3"/>
    <w:rsid w:val="00657724"/>
    <w:rsid w:val="00657EB3"/>
    <w:rsid w:val="00657EE4"/>
    <w:rsid w:val="00660330"/>
    <w:rsid w:val="00660A47"/>
    <w:rsid w:val="00660DFE"/>
    <w:rsid w:val="00661656"/>
    <w:rsid w:val="00663281"/>
    <w:rsid w:val="00663EEE"/>
    <w:rsid w:val="006647FE"/>
    <w:rsid w:val="0066555C"/>
    <w:rsid w:val="00665B24"/>
    <w:rsid w:val="00665D73"/>
    <w:rsid w:val="00667676"/>
    <w:rsid w:val="00670ADA"/>
    <w:rsid w:val="00670DD8"/>
    <w:rsid w:val="00670F82"/>
    <w:rsid w:val="00671476"/>
    <w:rsid w:val="00672717"/>
    <w:rsid w:val="00675244"/>
    <w:rsid w:val="00675301"/>
    <w:rsid w:val="00675386"/>
    <w:rsid w:val="00675F06"/>
    <w:rsid w:val="0067688C"/>
    <w:rsid w:val="006774FA"/>
    <w:rsid w:val="00677514"/>
    <w:rsid w:val="006775B1"/>
    <w:rsid w:val="00677FA6"/>
    <w:rsid w:val="006803A4"/>
    <w:rsid w:val="00680806"/>
    <w:rsid w:val="00680C57"/>
    <w:rsid w:val="00682276"/>
    <w:rsid w:val="00682691"/>
    <w:rsid w:val="006827FF"/>
    <w:rsid w:val="00682F97"/>
    <w:rsid w:val="006839AC"/>
    <w:rsid w:val="0068477B"/>
    <w:rsid w:val="006858E5"/>
    <w:rsid w:val="0068680A"/>
    <w:rsid w:val="00687691"/>
    <w:rsid w:val="0068793B"/>
    <w:rsid w:val="00687E09"/>
    <w:rsid w:val="00690432"/>
    <w:rsid w:val="0069223B"/>
    <w:rsid w:val="0069233A"/>
    <w:rsid w:val="006923DB"/>
    <w:rsid w:val="006925B3"/>
    <w:rsid w:val="0069286E"/>
    <w:rsid w:val="00692C20"/>
    <w:rsid w:val="00692E3D"/>
    <w:rsid w:val="0069446E"/>
    <w:rsid w:val="00695092"/>
    <w:rsid w:val="00695625"/>
    <w:rsid w:val="00696926"/>
    <w:rsid w:val="006978C5"/>
    <w:rsid w:val="006A0785"/>
    <w:rsid w:val="006A111D"/>
    <w:rsid w:val="006A11CD"/>
    <w:rsid w:val="006A1A42"/>
    <w:rsid w:val="006A23C1"/>
    <w:rsid w:val="006A29D2"/>
    <w:rsid w:val="006A2C83"/>
    <w:rsid w:val="006A46B3"/>
    <w:rsid w:val="006A4D89"/>
    <w:rsid w:val="006A591C"/>
    <w:rsid w:val="006A70FA"/>
    <w:rsid w:val="006A7AA7"/>
    <w:rsid w:val="006B115B"/>
    <w:rsid w:val="006B11E6"/>
    <w:rsid w:val="006B2495"/>
    <w:rsid w:val="006B26E6"/>
    <w:rsid w:val="006B38D6"/>
    <w:rsid w:val="006B3CC2"/>
    <w:rsid w:val="006B3D79"/>
    <w:rsid w:val="006B4FEC"/>
    <w:rsid w:val="006B4FF7"/>
    <w:rsid w:val="006B5613"/>
    <w:rsid w:val="006B5711"/>
    <w:rsid w:val="006B5718"/>
    <w:rsid w:val="006B5994"/>
    <w:rsid w:val="006B5AF9"/>
    <w:rsid w:val="006B62DC"/>
    <w:rsid w:val="006B7209"/>
    <w:rsid w:val="006C00BE"/>
    <w:rsid w:val="006C1AD4"/>
    <w:rsid w:val="006C1E18"/>
    <w:rsid w:val="006C45E4"/>
    <w:rsid w:val="006C55C5"/>
    <w:rsid w:val="006C5FCB"/>
    <w:rsid w:val="006C600F"/>
    <w:rsid w:val="006C6102"/>
    <w:rsid w:val="006C63A3"/>
    <w:rsid w:val="006C63E3"/>
    <w:rsid w:val="006C6CB9"/>
    <w:rsid w:val="006C6F76"/>
    <w:rsid w:val="006C7D23"/>
    <w:rsid w:val="006D00E8"/>
    <w:rsid w:val="006D01DC"/>
    <w:rsid w:val="006D05CE"/>
    <w:rsid w:val="006D0C09"/>
    <w:rsid w:val="006D1525"/>
    <w:rsid w:val="006D25AD"/>
    <w:rsid w:val="006D2B77"/>
    <w:rsid w:val="006D3A2F"/>
    <w:rsid w:val="006D3E12"/>
    <w:rsid w:val="006D426D"/>
    <w:rsid w:val="006D4BDC"/>
    <w:rsid w:val="006D4E7A"/>
    <w:rsid w:val="006D511D"/>
    <w:rsid w:val="006D580B"/>
    <w:rsid w:val="006D6E30"/>
    <w:rsid w:val="006D6F81"/>
    <w:rsid w:val="006D7D7B"/>
    <w:rsid w:val="006E038D"/>
    <w:rsid w:val="006E1957"/>
    <w:rsid w:val="006E205F"/>
    <w:rsid w:val="006E2642"/>
    <w:rsid w:val="006E3053"/>
    <w:rsid w:val="006E48AE"/>
    <w:rsid w:val="006E59E3"/>
    <w:rsid w:val="006E5B27"/>
    <w:rsid w:val="006E5E65"/>
    <w:rsid w:val="006E5EA2"/>
    <w:rsid w:val="006E6534"/>
    <w:rsid w:val="006E7333"/>
    <w:rsid w:val="006E7781"/>
    <w:rsid w:val="006E7E96"/>
    <w:rsid w:val="006F170D"/>
    <w:rsid w:val="006F1A14"/>
    <w:rsid w:val="006F31F2"/>
    <w:rsid w:val="006F34CD"/>
    <w:rsid w:val="006F38FA"/>
    <w:rsid w:val="006F3D45"/>
    <w:rsid w:val="006F4089"/>
    <w:rsid w:val="006F48BF"/>
    <w:rsid w:val="006F5675"/>
    <w:rsid w:val="006F5D91"/>
    <w:rsid w:val="006F6218"/>
    <w:rsid w:val="006F6D62"/>
    <w:rsid w:val="007021E3"/>
    <w:rsid w:val="007026F1"/>
    <w:rsid w:val="007027C5"/>
    <w:rsid w:val="00702AB0"/>
    <w:rsid w:val="007030C2"/>
    <w:rsid w:val="00703789"/>
    <w:rsid w:val="007040BC"/>
    <w:rsid w:val="007052B6"/>
    <w:rsid w:val="007052F1"/>
    <w:rsid w:val="00705B96"/>
    <w:rsid w:val="0070696D"/>
    <w:rsid w:val="00706B6D"/>
    <w:rsid w:val="00706C3B"/>
    <w:rsid w:val="00706EC3"/>
    <w:rsid w:val="0070746C"/>
    <w:rsid w:val="0071052B"/>
    <w:rsid w:val="00710E04"/>
    <w:rsid w:val="00710F24"/>
    <w:rsid w:val="007115CA"/>
    <w:rsid w:val="0071249B"/>
    <w:rsid w:val="00712B77"/>
    <w:rsid w:val="00712EF3"/>
    <w:rsid w:val="00713ADE"/>
    <w:rsid w:val="00713CDF"/>
    <w:rsid w:val="00715498"/>
    <w:rsid w:val="007158D2"/>
    <w:rsid w:val="00715A82"/>
    <w:rsid w:val="00715C45"/>
    <w:rsid w:val="00716E45"/>
    <w:rsid w:val="00716FBC"/>
    <w:rsid w:val="0072016E"/>
    <w:rsid w:val="00720ED4"/>
    <w:rsid w:val="007216B6"/>
    <w:rsid w:val="00721E1B"/>
    <w:rsid w:val="00722ABA"/>
    <w:rsid w:val="00722B74"/>
    <w:rsid w:val="00724832"/>
    <w:rsid w:val="0072548A"/>
    <w:rsid w:val="007254E6"/>
    <w:rsid w:val="00725D05"/>
    <w:rsid w:val="00726220"/>
    <w:rsid w:val="00726949"/>
    <w:rsid w:val="00726E04"/>
    <w:rsid w:val="00727664"/>
    <w:rsid w:val="007277DB"/>
    <w:rsid w:val="00730747"/>
    <w:rsid w:val="0073100C"/>
    <w:rsid w:val="007311E0"/>
    <w:rsid w:val="00731668"/>
    <w:rsid w:val="00731ECD"/>
    <w:rsid w:val="0073270A"/>
    <w:rsid w:val="00732850"/>
    <w:rsid w:val="007328AE"/>
    <w:rsid w:val="007328FC"/>
    <w:rsid w:val="00732DCD"/>
    <w:rsid w:val="00733337"/>
    <w:rsid w:val="00733655"/>
    <w:rsid w:val="007337A2"/>
    <w:rsid w:val="0073439A"/>
    <w:rsid w:val="00734422"/>
    <w:rsid w:val="00734C56"/>
    <w:rsid w:val="00734D35"/>
    <w:rsid w:val="007352BC"/>
    <w:rsid w:val="007359A7"/>
    <w:rsid w:val="00736FAA"/>
    <w:rsid w:val="00737804"/>
    <w:rsid w:val="00737847"/>
    <w:rsid w:val="007405C7"/>
    <w:rsid w:val="007416CC"/>
    <w:rsid w:val="00741734"/>
    <w:rsid w:val="0074174C"/>
    <w:rsid w:val="00741868"/>
    <w:rsid w:val="00742029"/>
    <w:rsid w:val="007428FA"/>
    <w:rsid w:val="00744A34"/>
    <w:rsid w:val="00745851"/>
    <w:rsid w:val="00746419"/>
    <w:rsid w:val="00746EE6"/>
    <w:rsid w:val="007479FD"/>
    <w:rsid w:val="007517A6"/>
    <w:rsid w:val="00751912"/>
    <w:rsid w:val="00751CE5"/>
    <w:rsid w:val="007524EA"/>
    <w:rsid w:val="007531A3"/>
    <w:rsid w:val="00756953"/>
    <w:rsid w:val="00756C6B"/>
    <w:rsid w:val="00757646"/>
    <w:rsid w:val="007602DF"/>
    <w:rsid w:val="007606D9"/>
    <w:rsid w:val="007613EF"/>
    <w:rsid w:val="007614D5"/>
    <w:rsid w:val="00761B50"/>
    <w:rsid w:val="00761E75"/>
    <w:rsid w:val="00764710"/>
    <w:rsid w:val="00764AD9"/>
    <w:rsid w:val="0076616B"/>
    <w:rsid w:val="0076788E"/>
    <w:rsid w:val="007704CD"/>
    <w:rsid w:val="00770EC5"/>
    <w:rsid w:val="007717FA"/>
    <w:rsid w:val="00771E66"/>
    <w:rsid w:val="00771F11"/>
    <w:rsid w:val="007725D3"/>
    <w:rsid w:val="007727D2"/>
    <w:rsid w:val="00772B22"/>
    <w:rsid w:val="0077463D"/>
    <w:rsid w:val="007751FF"/>
    <w:rsid w:val="0077554D"/>
    <w:rsid w:val="00776DFE"/>
    <w:rsid w:val="00777C39"/>
    <w:rsid w:val="007801A5"/>
    <w:rsid w:val="007807AC"/>
    <w:rsid w:val="00780C3A"/>
    <w:rsid w:val="007812A1"/>
    <w:rsid w:val="007819D5"/>
    <w:rsid w:val="00782149"/>
    <w:rsid w:val="007823EB"/>
    <w:rsid w:val="00782A0C"/>
    <w:rsid w:val="00782C47"/>
    <w:rsid w:val="00782D93"/>
    <w:rsid w:val="007833BC"/>
    <w:rsid w:val="00783AE2"/>
    <w:rsid w:val="007850F4"/>
    <w:rsid w:val="00786106"/>
    <w:rsid w:val="007863C7"/>
    <w:rsid w:val="00786675"/>
    <w:rsid w:val="00786780"/>
    <w:rsid w:val="00790CB7"/>
    <w:rsid w:val="00791077"/>
    <w:rsid w:val="00791232"/>
    <w:rsid w:val="0079291B"/>
    <w:rsid w:val="00793097"/>
    <w:rsid w:val="00794F7F"/>
    <w:rsid w:val="00795422"/>
    <w:rsid w:val="0079579C"/>
    <w:rsid w:val="007961CC"/>
    <w:rsid w:val="007963F6"/>
    <w:rsid w:val="00796C10"/>
    <w:rsid w:val="00797024"/>
    <w:rsid w:val="00797054"/>
    <w:rsid w:val="007A0319"/>
    <w:rsid w:val="007A1807"/>
    <w:rsid w:val="007A2C66"/>
    <w:rsid w:val="007A37BA"/>
    <w:rsid w:val="007A3F13"/>
    <w:rsid w:val="007A4F8B"/>
    <w:rsid w:val="007A5AB7"/>
    <w:rsid w:val="007A5E32"/>
    <w:rsid w:val="007A6C87"/>
    <w:rsid w:val="007A6CE6"/>
    <w:rsid w:val="007B00D0"/>
    <w:rsid w:val="007B113C"/>
    <w:rsid w:val="007B1928"/>
    <w:rsid w:val="007B1B81"/>
    <w:rsid w:val="007B226C"/>
    <w:rsid w:val="007B26B1"/>
    <w:rsid w:val="007B2F43"/>
    <w:rsid w:val="007B3108"/>
    <w:rsid w:val="007B3506"/>
    <w:rsid w:val="007B3B11"/>
    <w:rsid w:val="007B40B2"/>
    <w:rsid w:val="007B5487"/>
    <w:rsid w:val="007B5550"/>
    <w:rsid w:val="007C07AD"/>
    <w:rsid w:val="007C170A"/>
    <w:rsid w:val="007C2652"/>
    <w:rsid w:val="007C2CA3"/>
    <w:rsid w:val="007C30D6"/>
    <w:rsid w:val="007C6B65"/>
    <w:rsid w:val="007C7743"/>
    <w:rsid w:val="007D0841"/>
    <w:rsid w:val="007D0F28"/>
    <w:rsid w:val="007D21CC"/>
    <w:rsid w:val="007D2239"/>
    <w:rsid w:val="007D38F7"/>
    <w:rsid w:val="007D49C6"/>
    <w:rsid w:val="007D532F"/>
    <w:rsid w:val="007D5382"/>
    <w:rsid w:val="007D5413"/>
    <w:rsid w:val="007D554E"/>
    <w:rsid w:val="007D5EDC"/>
    <w:rsid w:val="007D609B"/>
    <w:rsid w:val="007D625B"/>
    <w:rsid w:val="007D69FE"/>
    <w:rsid w:val="007D7574"/>
    <w:rsid w:val="007D7897"/>
    <w:rsid w:val="007E0A3F"/>
    <w:rsid w:val="007E0ECB"/>
    <w:rsid w:val="007E133D"/>
    <w:rsid w:val="007E17F5"/>
    <w:rsid w:val="007E1E38"/>
    <w:rsid w:val="007E2707"/>
    <w:rsid w:val="007E2970"/>
    <w:rsid w:val="007E29ED"/>
    <w:rsid w:val="007E4575"/>
    <w:rsid w:val="007E4D99"/>
    <w:rsid w:val="007E4DC5"/>
    <w:rsid w:val="007E4E55"/>
    <w:rsid w:val="007E4FB7"/>
    <w:rsid w:val="007E58E2"/>
    <w:rsid w:val="007E61CB"/>
    <w:rsid w:val="007E6683"/>
    <w:rsid w:val="007E7EC3"/>
    <w:rsid w:val="007F0FA9"/>
    <w:rsid w:val="007F1336"/>
    <w:rsid w:val="007F253F"/>
    <w:rsid w:val="007F3296"/>
    <w:rsid w:val="007F3732"/>
    <w:rsid w:val="007F4042"/>
    <w:rsid w:val="007F4216"/>
    <w:rsid w:val="007F5A22"/>
    <w:rsid w:val="007F6C0F"/>
    <w:rsid w:val="007F6DEF"/>
    <w:rsid w:val="007F76D9"/>
    <w:rsid w:val="007F7CFE"/>
    <w:rsid w:val="00800536"/>
    <w:rsid w:val="00802270"/>
    <w:rsid w:val="00802AF9"/>
    <w:rsid w:val="0080316A"/>
    <w:rsid w:val="00803F3F"/>
    <w:rsid w:val="008044AC"/>
    <w:rsid w:val="008052CB"/>
    <w:rsid w:val="008054F3"/>
    <w:rsid w:val="00807462"/>
    <w:rsid w:val="00807A1F"/>
    <w:rsid w:val="00810B54"/>
    <w:rsid w:val="00811C07"/>
    <w:rsid w:val="0081243B"/>
    <w:rsid w:val="008151DB"/>
    <w:rsid w:val="008161F0"/>
    <w:rsid w:val="008169BC"/>
    <w:rsid w:val="00817D17"/>
    <w:rsid w:val="00820E27"/>
    <w:rsid w:val="0082154C"/>
    <w:rsid w:val="008221FA"/>
    <w:rsid w:val="00823A3D"/>
    <w:rsid w:val="00823ECA"/>
    <w:rsid w:val="00824380"/>
    <w:rsid w:val="00824A1C"/>
    <w:rsid w:val="00824A98"/>
    <w:rsid w:val="00825EAD"/>
    <w:rsid w:val="00826497"/>
    <w:rsid w:val="0082650A"/>
    <w:rsid w:val="008270EC"/>
    <w:rsid w:val="00827596"/>
    <w:rsid w:val="008277D2"/>
    <w:rsid w:val="00827905"/>
    <w:rsid w:val="00827A82"/>
    <w:rsid w:val="00830187"/>
    <w:rsid w:val="00831757"/>
    <w:rsid w:val="0083383D"/>
    <w:rsid w:val="00834178"/>
    <w:rsid w:val="008348CC"/>
    <w:rsid w:val="00835140"/>
    <w:rsid w:val="0083586D"/>
    <w:rsid w:val="008363D1"/>
    <w:rsid w:val="008368B8"/>
    <w:rsid w:val="00836CAC"/>
    <w:rsid w:val="00836DAF"/>
    <w:rsid w:val="00836DE7"/>
    <w:rsid w:val="00837850"/>
    <w:rsid w:val="00837FA8"/>
    <w:rsid w:val="00840876"/>
    <w:rsid w:val="00840DBF"/>
    <w:rsid w:val="008412D5"/>
    <w:rsid w:val="00841EF2"/>
    <w:rsid w:val="0084229C"/>
    <w:rsid w:val="00842BFA"/>
    <w:rsid w:val="008433D4"/>
    <w:rsid w:val="008434CE"/>
    <w:rsid w:val="008434F8"/>
    <w:rsid w:val="008443FA"/>
    <w:rsid w:val="00844E49"/>
    <w:rsid w:val="00845252"/>
    <w:rsid w:val="0084675B"/>
    <w:rsid w:val="008467D1"/>
    <w:rsid w:val="00847B2A"/>
    <w:rsid w:val="00850202"/>
    <w:rsid w:val="0085129D"/>
    <w:rsid w:val="008514B8"/>
    <w:rsid w:val="008532C4"/>
    <w:rsid w:val="00853974"/>
    <w:rsid w:val="0085413B"/>
    <w:rsid w:val="00856567"/>
    <w:rsid w:val="00857EDA"/>
    <w:rsid w:val="00860E44"/>
    <w:rsid w:val="00860EED"/>
    <w:rsid w:val="0086157F"/>
    <w:rsid w:val="00861896"/>
    <w:rsid w:val="0086190A"/>
    <w:rsid w:val="00862493"/>
    <w:rsid w:val="00862A21"/>
    <w:rsid w:val="00863601"/>
    <w:rsid w:val="00863DB8"/>
    <w:rsid w:val="00863E6C"/>
    <w:rsid w:val="00864018"/>
    <w:rsid w:val="008648A6"/>
    <w:rsid w:val="0086562A"/>
    <w:rsid w:val="00865922"/>
    <w:rsid w:val="008701CC"/>
    <w:rsid w:val="008701EE"/>
    <w:rsid w:val="00871176"/>
    <w:rsid w:val="00871583"/>
    <w:rsid w:val="00871615"/>
    <w:rsid w:val="00871D36"/>
    <w:rsid w:val="0087234B"/>
    <w:rsid w:val="00873710"/>
    <w:rsid w:val="00873BB9"/>
    <w:rsid w:val="008740BB"/>
    <w:rsid w:val="00874806"/>
    <w:rsid w:val="008753E3"/>
    <w:rsid w:val="00875B4B"/>
    <w:rsid w:val="00875EC4"/>
    <w:rsid w:val="008762BA"/>
    <w:rsid w:val="008769D4"/>
    <w:rsid w:val="00877584"/>
    <w:rsid w:val="00877E80"/>
    <w:rsid w:val="008804EE"/>
    <w:rsid w:val="008805DD"/>
    <w:rsid w:val="00880DDC"/>
    <w:rsid w:val="00881A3F"/>
    <w:rsid w:val="00881BD9"/>
    <w:rsid w:val="00881DB5"/>
    <w:rsid w:val="0088235B"/>
    <w:rsid w:val="00882424"/>
    <w:rsid w:val="0088338F"/>
    <w:rsid w:val="00884563"/>
    <w:rsid w:val="00886516"/>
    <w:rsid w:val="008867A2"/>
    <w:rsid w:val="00887764"/>
    <w:rsid w:val="008904B0"/>
    <w:rsid w:val="008911F9"/>
    <w:rsid w:val="00891B2F"/>
    <w:rsid w:val="00892B5C"/>
    <w:rsid w:val="00892DC5"/>
    <w:rsid w:val="00893A72"/>
    <w:rsid w:val="00893AD5"/>
    <w:rsid w:val="00894C0B"/>
    <w:rsid w:val="00894CF9"/>
    <w:rsid w:val="00895D66"/>
    <w:rsid w:val="00895FEA"/>
    <w:rsid w:val="00896A5A"/>
    <w:rsid w:val="00896B67"/>
    <w:rsid w:val="00896EF0"/>
    <w:rsid w:val="008A08AB"/>
    <w:rsid w:val="008A0FB8"/>
    <w:rsid w:val="008A241C"/>
    <w:rsid w:val="008A2799"/>
    <w:rsid w:val="008A3E40"/>
    <w:rsid w:val="008A4108"/>
    <w:rsid w:val="008A560E"/>
    <w:rsid w:val="008A5981"/>
    <w:rsid w:val="008A6674"/>
    <w:rsid w:val="008A6D7C"/>
    <w:rsid w:val="008A70AE"/>
    <w:rsid w:val="008A73BB"/>
    <w:rsid w:val="008A7807"/>
    <w:rsid w:val="008A7836"/>
    <w:rsid w:val="008B0451"/>
    <w:rsid w:val="008B063C"/>
    <w:rsid w:val="008B16DB"/>
    <w:rsid w:val="008B1F8E"/>
    <w:rsid w:val="008B329D"/>
    <w:rsid w:val="008B3519"/>
    <w:rsid w:val="008B46CC"/>
    <w:rsid w:val="008B4A18"/>
    <w:rsid w:val="008B4A51"/>
    <w:rsid w:val="008B6BDC"/>
    <w:rsid w:val="008B7598"/>
    <w:rsid w:val="008C02A7"/>
    <w:rsid w:val="008C0A65"/>
    <w:rsid w:val="008C0D13"/>
    <w:rsid w:val="008C1070"/>
    <w:rsid w:val="008C1D9A"/>
    <w:rsid w:val="008C26ED"/>
    <w:rsid w:val="008C3A1C"/>
    <w:rsid w:val="008C3EC5"/>
    <w:rsid w:val="008C5138"/>
    <w:rsid w:val="008C625A"/>
    <w:rsid w:val="008C65FB"/>
    <w:rsid w:val="008D0DB2"/>
    <w:rsid w:val="008D0E27"/>
    <w:rsid w:val="008D149B"/>
    <w:rsid w:val="008D204A"/>
    <w:rsid w:val="008D24A7"/>
    <w:rsid w:val="008D429F"/>
    <w:rsid w:val="008D49E3"/>
    <w:rsid w:val="008D757B"/>
    <w:rsid w:val="008D76D7"/>
    <w:rsid w:val="008D785E"/>
    <w:rsid w:val="008E07B4"/>
    <w:rsid w:val="008E0A34"/>
    <w:rsid w:val="008E0B7C"/>
    <w:rsid w:val="008E2D0A"/>
    <w:rsid w:val="008E30A3"/>
    <w:rsid w:val="008E3185"/>
    <w:rsid w:val="008E38CE"/>
    <w:rsid w:val="008E3AF7"/>
    <w:rsid w:val="008E410F"/>
    <w:rsid w:val="008E49D4"/>
    <w:rsid w:val="008E53FA"/>
    <w:rsid w:val="008E6AD1"/>
    <w:rsid w:val="008F000A"/>
    <w:rsid w:val="008F007A"/>
    <w:rsid w:val="008F094B"/>
    <w:rsid w:val="008F10D1"/>
    <w:rsid w:val="008F13FE"/>
    <w:rsid w:val="008F1E94"/>
    <w:rsid w:val="008F2D2D"/>
    <w:rsid w:val="008F2D8E"/>
    <w:rsid w:val="008F30B5"/>
    <w:rsid w:val="008F3E71"/>
    <w:rsid w:val="008F4326"/>
    <w:rsid w:val="008F5D49"/>
    <w:rsid w:val="008F6B41"/>
    <w:rsid w:val="008F79BF"/>
    <w:rsid w:val="009001C6"/>
    <w:rsid w:val="00901324"/>
    <w:rsid w:val="0090176D"/>
    <w:rsid w:val="009017ED"/>
    <w:rsid w:val="00901B7C"/>
    <w:rsid w:val="009021DC"/>
    <w:rsid w:val="009027E3"/>
    <w:rsid w:val="00903038"/>
    <w:rsid w:val="00904351"/>
    <w:rsid w:val="0090498C"/>
    <w:rsid w:val="00905BE3"/>
    <w:rsid w:val="00906005"/>
    <w:rsid w:val="00906034"/>
    <w:rsid w:val="009063F1"/>
    <w:rsid w:val="009073AD"/>
    <w:rsid w:val="00907B98"/>
    <w:rsid w:val="00910048"/>
    <w:rsid w:val="009105C4"/>
    <w:rsid w:val="00910EDD"/>
    <w:rsid w:val="00911E59"/>
    <w:rsid w:val="00912257"/>
    <w:rsid w:val="00913E56"/>
    <w:rsid w:val="00913FB6"/>
    <w:rsid w:val="00914B4A"/>
    <w:rsid w:val="00915043"/>
    <w:rsid w:val="009152B1"/>
    <w:rsid w:val="009156E7"/>
    <w:rsid w:val="00916DB5"/>
    <w:rsid w:val="00916DE1"/>
    <w:rsid w:val="00917225"/>
    <w:rsid w:val="009173D7"/>
    <w:rsid w:val="00917A13"/>
    <w:rsid w:val="009201A8"/>
    <w:rsid w:val="009201DD"/>
    <w:rsid w:val="009202A2"/>
    <w:rsid w:val="00920868"/>
    <w:rsid w:val="00920ABA"/>
    <w:rsid w:val="00920AF1"/>
    <w:rsid w:val="00920EA4"/>
    <w:rsid w:val="00921106"/>
    <w:rsid w:val="00921246"/>
    <w:rsid w:val="0092299C"/>
    <w:rsid w:val="009234BE"/>
    <w:rsid w:val="00924272"/>
    <w:rsid w:val="00924D29"/>
    <w:rsid w:val="009268F8"/>
    <w:rsid w:val="00926EA1"/>
    <w:rsid w:val="0093000D"/>
    <w:rsid w:val="009300F4"/>
    <w:rsid w:val="00931330"/>
    <w:rsid w:val="009314F3"/>
    <w:rsid w:val="00931977"/>
    <w:rsid w:val="00931FC7"/>
    <w:rsid w:val="00932611"/>
    <w:rsid w:val="00934155"/>
    <w:rsid w:val="00934248"/>
    <w:rsid w:val="009343A4"/>
    <w:rsid w:val="00934482"/>
    <w:rsid w:val="009347A1"/>
    <w:rsid w:val="009348E4"/>
    <w:rsid w:val="009358B2"/>
    <w:rsid w:val="00935BD1"/>
    <w:rsid w:val="0093664E"/>
    <w:rsid w:val="00936B16"/>
    <w:rsid w:val="00936E0B"/>
    <w:rsid w:val="00937E84"/>
    <w:rsid w:val="00940C4E"/>
    <w:rsid w:val="00940ED7"/>
    <w:rsid w:val="00941D8E"/>
    <w:rsid w:val="0094257D"/>
    <w:rsid w:val="0094287A"/>
    <w:rsid w:val="0094304F"/>
    <w:rsid w:val="0094333F"/>
    <w:rsid w:val="0094357C"/>
    <w:rsid w:val="00944780"/>
    <w:rsid w:val="00944898"/>
    <w:rsid w:val="00945F26"/>
    <w:rsid w:val="009464D4"/>
    <w:rsid w:val="00946E3E"/>
    <w:rsid w:val="00947FE8"/>
    <w:rsid w:val="00950C5A"/>
    <w:rsid w:val="009513AF"/>
    <w:rsid w:val="009517A9"/>
    <w:rsid w:val="00951CEC"/>
    <w:rsid w:val="00951DCE"/>
    <w:rsid w:val="00951E48"/>
    <w:rsid w:val="00951E7A"/>
    <w:rsid w:val="00952D4D"/>
    <w:rsid w:val="009530B1"/>
    <w:rsid w:val="00954CA4"/>
    <w:rsid w:val="00954F30"/>
    <w:rsid w:val="0095505D"/>
    <w:rsid w:val="009550DA"/>
    <w:rsid w:val="00955351"/>
    <w:rsid w:val="00955FF2"/>
    <w:rsid w:val="009561D5"/>
    <w:rsid w:val="00956B81"/>
    <w:rsid w:val="00957501"/>
    <w:rsid w:val="00957896"/>
    <w:rsid w:val="00957EAF"/>
    <w:rsid w:val="009600D5"/>
    <w:rsid w:val="00960900"/>
    <w:rsid w:val="00960967"/>
    <w:rsid w:val="00960FF5"/>
    <w:rsid w:val="00961136"/>
    <w:rsid w:val="00961333"/>
    <w:rsid w:val="00961647"/>
    <w:rsid w:val="00961F42"/>
    <w:rsid w:val="00962002"/>
    <w:rsid w:val="00962FAE"/>
    <w:rsid w:val="00963208"/>
    <w:rsid w:val="00964767"/>
    <w:rsid w:val="0096515B"/>
    <w:rsid w:val="0096574E"/>
    <w:rsid w:val="00965927"/>
    <w:rsid w:val="009669EE"/>
    <w:rsid w:val="009672C1"/>
    <w:rsid w:val="0096746E"/>
    <w:rsid w:val="009703D7"/>
    <w:rsid w:val="00971033"/>
    <w:rsid w:val="00971413"/>
    <w:rsid w:val="00972035"/>
    <w:rsid w:val="00972157"/>
    <w:rsid w:val="0097219E"/>
    <w:rsid w:val="00972534"/>
    <w:rsid w:val="00972954"/>
    <w:rsid w:val="00973304"/>
    <w:rsid w:val="009736A7"/>
    <w:rsid w:val="00973819"/>
    <w:rsid w:val="00973C94"/>
    <w:rsid w:val="00974864"/>
    <w:rsid w:val="00976326"/>
    <w:rsid w:val="009776B4"/>
    <w:rsid w:val="00977F52"/>
    <w:rsid w:val="00980CFF"/>
    <w:rsid w:val="00980EB1"/>
    <w:rsid w:val="0098238D"/>
    <w:rsid w:val="009824FE"/>
    <w:rsid w:val="0098294F"/>
    <w:rsid w:val="00982AA1"/>
    <w:rsid w:val="0098311A"/>
    <w:rsid w:val="009836E0"/>
    <w:rsid w:val="009837C4"/>
    <w:rsid w:val="0098389C"/>
    <w:rsid w:val="00983BC5"/>
    <w:rsid w:val="00983E5B"/>
    <w:rsid w:val="00984695"/>
    <w:rsid w:val="00984A0B"/>
    <w:rsid w:val="009854EF"/>
    <w:rsid w:val="00985C8B"/>
    <w:rsid w:val="00985CB7"/>
    <w:rsid w:val="00986184"/>
    <w:rsid w:val="00986B73"/>
    <w:rsid w:val="00986E22"/>
    <w:rsid w:val="00987707"/>
    <w:rsid w:val="00987F0E"/>
    <w:rsid w:val="009905B7"/>
    <w:rsid w:val="0099142E"/>
    <w:rsid w:val="0099217D"/>
    <w:rsid w:val="00992238"/>
    <w:rsid w:val="009923E8"/>
    <w:rsid w:val="00992BF2"/>
    <w:rsid w:val="00992FE0"/>
    <w:rsid w:val="009933BC"/>
    <w:rsid w:val="00993652"/>
    <w:rsid w:val="00993749"/>
    <w:rsid w:val="0099379C"/>
    <w:rsid w:val="00994259"/>
    <w:rsid w:val="00994E8C"/>
    <w:rsid w:val="00995643"/>
    <w:rsid w:val="009957C7"/>
    <w:rsid w:val="00995BF5"/>
    <w:rsid w:val="00995E78"/>
    <w:rsid w:val="009965B3"/>
    <w:rsid w:val="0099734D"/>
    <w:rsid w:val="0099761A"/>
    <w:rsid w:val="00997780"/>
    <w:rsid w:val="009A1003"/>
    <w:rsid w:val="009A2186"/>
    <w:rsid w:val="009A377E"/>
    <w:rsid w:val="009A4BF2"/>
    <w:rsid w:val="009A4D40"/>
    <w:rsid w:val="009A5218"/>
    <w:rsid w:val="009A60DC"/>
    <w:rsid w:val="009A68A9"/>
    <w:rsid w:val="009A68FF"/>
    <w:rsid w:val="009A6C64"/>
    <w:rsid w:val="009A7431"/>
    <w:rsid w:val="009A747E"/>
    <w:rsid w:val="009B0136"/>
    <w:rsid w:val="009B0163"/>
    <w:rsid w:val="009B0CBA"/>
    <w:rsid w:val="009B0D66"/>
    <w:rsid w:val="009B17AF"/>
    <w:rsid w:val="009B3A20"/>
    <w:rsid w:val="009B45AE"/>
    <w:rsid w:val="009B47E5"/>
    <w:rsid w:val="009B49EF"/>
    <w:rsid w:val="009B5EE2"/>
    <w:rsid w:val="009B6981"/>
    <w:rsid w:val="009B6FA3"/>
    <w:rsid w:val="009B78A6"/>
    <w:rsid w:val="009C1F0E"/>
    <w:rsid w:val="009C2B6E"/>
    <w:rsid w:val="009C2D92"/>
    <w:rsid w:val="009C2F79"/>
    <w:rsid w:val="009C3652"/>
    <w:rsid w:val="009C3FA6"/>
    <w:rsid w:val="009C401D"/>
    <w:rsid w:val="009C4889"/>
    <w:rsid w:val="009C5258"/>
    <w:rsid w:val="009C6458"/>
    <w:rsid w:val="009C6814"/>
    <w:rsid w:val="009C7069"/>
    <w:rsid w:val="009C7576"/>
    <w:rsid w:val="009C798D"/>
    <w:rsid w:val="009D0C54"/>
    <w:rsid w:val="009D104F"/>
    <w:rsid w:val="009D245E"/>
    <w:rsid w:val="009D2717"/>
    <w:rsid w:val="009D28B2"/>
    <w:rsid w:val="009D36AB"/>
    <w:rsid w:val="009D3795"/>
    <w:rsid w:val="009D5226"/>
    <w:rsid w:val="009D5EDF"/>
    <w:rsid w:val="009D6581"/>
    <w:rsid w:val="009D673E"/>
    <w:rsid w:val="009E01E6"/>
    <w:rsid w:val="009E2D69"/>
    <w:rsid w:val="009E3BB8"/>
    <w:rsid w:val="009E3E4D"/>
    <w:rsid w:val="009E4162"/>
    <w:rsid w:val="009E5762"/>
    <w:rsid w:val="009E5FC8"/>
    <w:rsid w:val="009E65B4"/>
    <w:rsid w:val="009E6D62"/>
    <w:rsid w:val="009E74AC"/>
    <w:rsid w:val="009E7853"/>
    <w:rsid w:val="009F05C1"/>
    <w:rsid w:val="009F1866"/>
    <w:rsid w:val="009F19EE"/>
    <w:rsid w:val="009F49CF"/>
    <w:rsid w:val="009F7AAB"/>
    <w:rsid w:val="00A00879"/>
    <w:rsid w:val="00A00A6E"/>
    <w:rsid w:val="00A0108F"/>
    <w:rsid w:val="00A015DB"/>
    <w:rsid w:val="00A025DB"/>
    <w:rsid w:val="00A02F55"/>
    <w:rsid w:val="00A040FC"/>
    <w:rsid w:val="00A04579"/>
    <w:rsid w:val="00A0494D"/>
    <w:rsid w:val="00A0533E"/>
    <w:rsid w:val="00A05824"/>
    <w:rsid w:val="00A05A16"/>
    <w:rsid w:val="00A05F4F"/>
    <w:rsid w:val="00A064A9"/>
    <w:rsid w:val="00A06B92"/>
    <w:rsid w:val="00A07117"/>
    <w:rsid w:val="00A0715D"/>
    <w:rsid w:val="00A07625"/>
    <w:rsid w:val="00A129BA"/>
    <w:rsid w:val="00A13391"/>
    <w:rsid w:val="00A135EE"/>
    <w:rsid w:val="00A14131"/>
    <w:rsid w:val="00A14519"/>
    <w:rsid w:val="00A14C19"/>
    <w:rsid w:val="00A1513A"/>
    <w:rsid w:val="00A15143"/>
    <w:rsid w:val="00A161B9"/>
    <w:rsid w:val="00A1696A"/>
    <w:rsid w:val="00A2049F"/>
    <w:rsid w:val="00A20934"/>
    <w:rsid w:val="00A20B7A"/>
    <w:rsid w:val="00A21F5D"/>
    <w:rsid w:val="00A22AAD"/>
    <w:rsid w:val="00A230B9"/>
    <w:rsid w:val="00A2543B"/>
    <w:rsid w:val="00A264CB"/>
    <w:rsid w:val="00A27404"/>
    <w:rsid w:val="00A27965"/>
    <w:rsid w:val="00A305C3"/>
    <w:rsid w:val="00A31499"/>
    <w:rsid w:val="00A31D0C"/>
    <w:rsid w:val="00A33452"/>
    <w:rsid w:val="00A33B58"/>
    <w:rsid w:val="00A33D94"/>
    <w:rsid w:val="00A34A70"/>
    <w:rsid w:val="00A358B4"/>
    <w:rsid w:val="00A358DC"/>
    <w:rsid w:val="00A35E43"/>
    <w:rsid w:val="00A36A05"/>
    <w:rsid w:val="00A37711"/>
    <w:rsid w:val="00A37E70"/>
    <w:rsid w:val="00A4055A"/>
    <w:rsid w:val="00A406D5"/>
    <w:rsid w:val="00A40BD0"/>
    <w:rsid w:val="00A411F9"/>
    <w:rsid w:val="00A42355"/>
    <w:rsid w:val="00A42A03"/>
    <w:rsid w:val="00A43156"/>
    <w:rsid w:val="00A43ADB"/>
    <w:rsid w:val="00A43BB9"/>
    <w:rsid w:val="00A442A8"/>
    <w:rsid w:val="00A45158"/>
    <w:rsid w:val="00A4544A"/>
    <w:rsid w:val="00A45DB8"/>
    <w:rsid w:val="00A45ED0"/>
    <w:rsid w:val="00A45F17"/>
    <w:rsid w:val="00A45F77"/>
    <w:rsid w:val="00A4602D"/>
    <w:rsid w:val="00A46737"/>
    <w:rsid w:val="00A5162A"/>
    <w:rsid w:val="00A5175B"/>
    <w:rsid w:val="00A5206E"/>
    <w:rsid w:val="00A5207F"/>
    <w:rsid w:val="00A5232F"/>
    <w:rsid w:val="00A52D22"/>
    <w:rsid w:val="00A53136"/>
    <w:rsid w:val="00A53503"/>
    <w:rsid w:val="00A5403D"/>
    <w:rsid w:val="00A547E9"/>
    <w:rsid w:val="00A547FF"/>
    <w:rsid w:val="00A56D62"/>
    <w:rsid w:val="00A57097"/>
    <w:rsid w:val="00A601C7"/>
    <w:rsid w:val="00A604C9"/>
    <w:rsid w:val="00A60C42"/>
    <w:rsid w:val="00A6134B"/>
    <w:rsid w:val="00A61536"/>
    <w:rsid w:val="00A62449"/>
    <w:rsid w:val="00A6274C"/>
    <w:rsid w:val="00A62B62"/>
    <w:rsid w:val="00A62DC7"/>
    <w:rsid w:val="00A62EDE"/>
    <w:rsid w:val="00A6355C"/>
    <w:rsid w:val="00A63D62"/>
    <w:rsid w:val="00A64420"/>
    <w:rsid w:val="00A64F81"/>
    <w:rsid w:val="00A655E4"/>
    <w:rsid w:val="00A66BBD"/>
    <w:rsid w:val="00A66CE6"/>
    <w:rsid w:val="00A67056"/>
    <w:rsid w:val="00A6758D"/>
    <w:rsid w:val="00A7206D"/>
    <w:rsid w:val="00A723D0"/>
    <w:rsid w:val="00A723DE"/>
    <w:rsid w:val="00A72920"/>
    <w:rsid w:val="00A731D6"/>
    <w:rsid w:val="00A73926"/>
    <w:rsid w:val="00A7433E"/>
    <w:rsid w:val="00A750D4"/>
    <w:rsid w:val="00A752A6"/>
    <w:rsid w:val="00A76323"/>
    <w:rsid w:val="00A769EF"/>
    <w:rsid w:val="00A76A81"/>
    <w:rsid w:val="00A77140"/>
    <w:rsid w:val="00A77F10"/>
    <w:rsid w:val="00A80492"/>
    <w:rsid w:val="00A80588"/>
    <w:rsid w:val="00A8095A"/>
    <w:rsid w:val="00A811E6"/>
    <w:rsid w:val="00A81555"/>
    <w:rsid w:val="00A81E2B"/>
    <w:rsid w:val="00A825E5"/>
    <w:rsid w:val="00A827D5"/>
    <w:rsid w:val="00A82BCD"/>
    <w:rsid w:val="00A82E5C"/>
    <w:rsid w:val="00A83B33"/>
    <w:rsid w:val="00A84CA8"/>
    <w:rsid w:val="00A85132"/>
    <w:rsid w:val="00A85A44"/>
    <w:rsid w:val="00A85B53"/>
    <w:rsid w:val="00A85C49"/>
    <w:rsid w:val="00A8627F"/>
    <w:rsid w:val="00A86AD2"/>
    <w:rsid w:val="00A86BFE"/>
    <w:rsid w:val="00A8783D"/>
    <w:rsid w:val="00A87C5C"/>
    <w:rsid w:val="00A87E6B"/>
    <w:rsid w:val="00A90A20"/>
    <w:rsid w:val="00A93D33"/>
    <w:rsid w:val="00A9404C"/>
    <w:rsid w:val="00A94FDA"/>
    <w:rsid w:val="00A95209"/>
    <w:rsid w:val="00A953AA"/>
    <w:rsid w:val="00A95AC5"/>
    <w:rsid w:val="00A9638E"/>
    <w:rsid w:val="00A96521"/>
    <w:rsid w:val="00A971B4"/>
    <w:rsid w:val="00A97A9D"/>
    <w:rsid w:val="00AA10CB"/>
    <w:rsid w:val="00AA16A3"/>
    <w:rsid w:val="00AA203A"/>
    <w:rsid w:val="00AA263D"/>
    <w:rsid w:val="00AA34A0"/>
    <w:rsid w:val="00AA3603"/>
    <w:rsid w:val="00AA3691"/>
    <w:rsid w:val="00AA379F"/>
    <w:rsid w:val="00AA37B9"/>
    <w:rsid w:val="00AA4A6F"/>
    <w:rsid w:val="00AA539E"/>
    <w:rsid w:val="00AA5575"/>
    <w:rsid w:val="00AA56B2"/>
    <w:rsid w:val="00AA69B5"/>
    <w:rsid w:val="00AB0757"/>
    <w:rsid w:val="00AB0A37"/>
    <w:rsid w:val="00AB0C1C"/>
    <w:rsid w:val="00AB0C9F"/>
    <w:rsid w:val="00AB0CC5"/>
    <w:rsid w:val="00AB11F7"/>
    <w:rsid w:val="00AB1710"/>
    <w:rsid w:val="00AB1BFA"/>
    <w:rsid w:val="00AB1EFA"/>
    <w:rsid w:val="00AB3884"/>
    <w:rsid w:val="00AB4439"/>
    <w:rsid w:val="00AB4DFE"/>
    <w:rsid w:val="00AB5179"/>
    <w:rsid w:val="00AB5F03"/>
    <w:rsid w:val="00AB764F"/>
    <w:rsid w:val="00AB7D6A"/>
    <w:rsid w:val="00AC0437"/>
    <w:rsid w:val="00AC085F"/>
    <w:rsid w:val="00AC24D7"/>
    <w:rsid w:val="00AC284D"/>
    <w:rsid w:val="00AC2911"/>
    <w:rsid w:val="00AC542D"/>
    <w:rsid w:val="00AC56CF"/>
    <w:rsid w:val="00AC5CB5"/>
    <w:rsid w:val="00AC5F57"/>
    <w:rsid w:val="00AC6709"/>
    <w:rsid w:val="00AC6D3C"/>
    <w:rsid w:val="00AC7AF4"/>
    <w:rsid w:val="00AC7CCB"/>
    <w:rsid w:val="00AC7CE8"/>
    <w:rsid w:val="00AD2877"/>
    <w:rsid w:val="00AD2B22"/>
    <w:rsid w:val="00AD2D86"/>
    <w:rsid w:val="00AD2F36"/>
    <w:rsid w:val="00AD37AE"/>
    <w:rsid w:val="00AD3AC3"/>
    <w:rsid w:val="00AD3ADB"/>
    <w:rsid w:val="00AD4BE2"/>
    <w:rsid w:val="00AD5179"/>
    <w:rsid w:val="00AD52D5"/>
    <w:rsid w:val="00AD62DA"/>
    <w:rsid w:val="00AD633A"/>
    <w:rsid w:val="00AD763D"/>
    <w:rsid w:val="00AD76A1"/>
    <w:rsid w:val="00AD78E4"/>
    <w:rsid w:val="00AD7E97"/>
    <w:rsid w:val="00AE0488"/>
    <w:rsid w:val="00AE075D"/>
    <w:rsid w:val="00AE0EA4"/>
    <w:rsid w:val="00AE114B"/>
    <w:rsid w:val="00AE1372"/>
    <w:rsid w:val="00AE2024"/>
    <w:rsid w:val="00AE256D"/>
    <w:rsid w:val="00AE296D"/>
    <w:rsid w:val="00AE3906"/>
    <w:rsid w:val="00AE4003"/>
    <w:rsid w:val="00AE40E0"/>
    <w:rsid w:val="00AE424D"/>
    <w:rsid w:val="00AE659C"/>
    <w:rsid w:val="00AE7C92"/>
    <w:rsid w:val="00AF0AB8"/>
    <w:rsid w:val="00AF0FBC"/>
    <w:rsid w:val="00AF1914"/>
    <w:rsid w:val="00AF266E"/>
    <w:rsid w:val="00AF2C82"/>
    <w:rsid w:val="00AF52CC"/>
    <w:rsid w:val="00AF558D"/>
    <w:rsid w:val="00AF5E6E"/>
    <w:rsid w:val="00AF7CF3"/>
    <w:rsid w:val="00B0039A"/>
    <w:rsid w:val="00B008C6"/>
    <w:rsid w:val="00B02302"/>
    <w:rsid w:val="00B048F2"/>
    <w:rsid w:val="00B04AD8"/>
    <w:rsid w:val="00B04BAC"/>
    <w:rsid w:val="00B06339"/>
    <w:rsid w:val="00B072A4"/>
    <w:rsid w:val="00B07AF6"/>
    <w:rsid w:val="00B10EDD"/>
    <w:rsid w:val="00B11377"/>
    <w:rsid w:val="00B11DA4"/>
    <w:rsid w:val="00B1231D"/>
    <w:rsid w:val="00B12623"/>
    <w:rsid w:val="00B12C9C"/>
    <w:rsid w:val="00B13033"/>
    <w:rsid w:val="00B1349D"/>
    <w:rsid w:val="00B1483C"/>
    <w:rsid w:val="00B14847"/>
    <w:rsid w:val="00B15497"/>
    <w:rsid w:val="00B155E1"/>
    <w:rsid w:val="00B15B9F"/>
    <w:rsid w:val="00B16ECB"/>
    <w:rsid w:val="00B17011"/>
    <w:rsid w:val="00B172CC"/>
    <w:rsid w:val="00B20A9B"/>
    <w:rsid w:val="00B21E21"/>
    <w:rsid w:val="00B21FA3"/>
    <w:rsid w:val="00B22014"/>
    <w:rsid w:val="00B22989"/>
    <w:rsid w:val="00B22B3D"/>
    <w:rsid w:val="00B23925"/>
    <w:rsid w:val="00B24999"/>
    <w:rsid w:val="00B2535A"/>
    <w:rsid w:val="00B253FC"/>
    <w:rsid w:val="00B260C1"/>
    <w:rsid w:val="00B26493"/>
    <w:rsid w:val="00B26B60"/>
    <w:rsid w:val="00B26F02"/>
    <w:rsid w:val="00B27DB0"/>
    <w:rsid w:val="00B3116C"/>
    <w:rsid w:val="00B322B8"/>
    <w:rsid w:val="00B32C0B"/>
    <w:rsid w:val="00B33A13"/>
    <w:rsid w:val="00B34072"/>
    <w:rsid w:val="00B34537"/>
    <w:rsid w:val="00B34B93"/>
    <w:rsid w:val="00B35016"/>
    <w:rsid w:val="00B36215"/>
    <w:rsid w:val="00B3760E"/>
    <w:rsid w:val="00B3775F"/>
    <w:rsid w:val="00B4005D"/>
    <w:rsid w:val="00B4029B"/>
    <w:rsid w:val="00B41422"/>
    <w:rsid w:val="00B414C2"/>
    <w:rsid w:val="00B41E0A"/>
    <w:rsid w:val="00B41F40"/>
    <w:rsid w:val="00B42141"/>
    <w:rsid w:val="00B42A2F"/>
    <w:rsid w:val="00B43E19"/>
    <w:rsid w:val="00B4405F"/>
    <w:rsid w:val="00B445DD"/>
    <w:rsid w:val="00B44E2A"/>
    <w:rsid w:val="00B45520"/>
    <w:rsid w:val="00B4589F"/>
    <w:rsid w:val="00B45E7B"/>
    <w:rsid w:val="00B45FF5"/>
    <w:rsid w:val="00B46120"/>
    <w:rsid w:val="00B476E8"/>
    <w:rsid w:val="00B47A6C"/>
    <w:rsid w:val="00B47E7D"/>
    <w:rsid w:val="00B50A90"/>
    <w:rsid w:val="00B50E45"/>
    <w:rsid w:val="00B51022"/>
    <w:rsid w:val="00B511EC"/>
    <w:rsid w:val="00B5194E"/>
    <w:rsid w:val="00B51EDA"/>
    <w:rsid w:val="00B52B2C"/>
    <w:rsid w:val="00B52B30"/>
    <w:rsid w:val="00B53117"/>
    <w:rsid w:val="00B53369"/>
    <w:rsid w:val="00B541E2"/>
    <w:rsid w:val="00B54520"/>
    <w:rsid w:val="00B54557"/>
    <w:rsid w:val="00B54C84"/>
    <w:rsid w:val="00B55D61"/>
    <w:rsid w:val="00B562C3"/>
    <w:rsid w:val="00B56A6F"/>
    <w:rsid w:val="00B577D3"/>
    <w:rsid w:val="00B578AD"/>
    <w:rsid w:val="00B60FED"/>
    <w:rsid w:val="00B6237F"/>
    <w:rsid w:val="00B63BBF"/>
    <w:rsid w:val="00B63FE3"/>
    <w:rsid w:val="00B64E73"/>
    <w:rsid w:val="00B65472"/>
    <w:rsid w:val="00B65728"/>
    <w:rsid w:val="00B65E3F"/>
    <w:rsid w:val="00B66917"/>
    <w:rsid w:val="00B70273"/>
    <w:rsid w:val="00B70BB2"/>
    <w:rsid w:val="00B71172"/>
    <w:rsid w:val="00B73F2C"/>
    <w:rsid w:val="00B746FD"/>
    <w:rsid w:val="00B747EE"/>
    <w:rsid w:val="00B74965"/>
    <w:rsid w:val="00B75203"/>
    <w:rsid w:val="00B75ADC"/>
    <w:rsid w:val="00B75B69"/>
    <w:rsid w:val="00B760CF"/>
    <w:rsid w:val="00B77345"/>
    <w:rsid w:val="00B77833"/>
    <w:rsid w:val="00B77FBB"/>
    <w:rsid w:val="00B809B6"/>
    <w:rsid w:val="00B815AB"/>
    <w:rsid w:val="00B81DA6"/>
    <w:rsid w:val="00B84D7D"/>
    <w:rsid w:val="00B86674"/>
    <w:rsid w:val="00B86DB0"/>
    <w:rsid w:val="00B8785F"/>
    <w:rsid w:val="00B92339"/>
    <w:rsid w:val="00B937CA"/>
    <w:rsid w:val="00B959CC"/>
    <w:rsid w:val="00B96AFD"/>
    <w:rsid w:val="00B975B5"/>
    <w:rsid w:val="00B97C2C"/>
    <w:rsid w:val="00BA073C"/>
    <w:rsid w:val="00BA083C"/>
    <w:rsid w:val="00BA0DF1"/>
    <w:rsid w:val="00BA1ABF"/>
    <w:rsid w:val="00BA1E7A"/>
    <w:rsid w:val="00BA1EAD"/>
    <w:rsid w:val="00BA1F71"/>
    <w:rsid w:val="00BA28E2"/>
    <w:rsid w:val="00BA2AB0"/>
    <w:rsid w:val="00BA2DE5"/>
    <w:rsid w:val="00BA3ABA"/>
    <w:rsid w:val="00BA3C0D"/>
    <w:rsid w:val="00BA4670"/>
    <w:rsid w:val="00BA5658"/>
    <w:rsid w:val="00BA6BDF"/>
    <w:rsid w:val="00BA7CEA"/>
    <w:rsid w:val="00BB0ADD"/>
    <w:rsid w:val="00BB1258"/>
    <w:rsid w:val="00BB15A8"/>
    <w:rsid w:val="00BB2096"/>
    <w:rsid w:val="00BB26C5"/>
    <w:rsid w:val="00BB2C3E"/>
    <w:rsid w:val="00BB2FD3"/>
    <w:rsid w:val="00BB411C"/>
    <w:rsid w:val="00BB414A"/>
    <w:rsid w:val="00BB5A74"/>
    <w:rsid w:val="00BB5A9D"/>
    <w:rsid w:val="00BC0378"/>
    <w:rsid w:val="00BC0F0F"/>
    <w:rsid w:val="00BC13D4"/>
    <w:rsid w:val="00BC274E"/>
    <w:rsid w:val="00BC3490"/>
    <w:rsid w:val="00BC34A8"/>
    <w:rsid w:val="00BC3D3A"/>
    <w:rsid w:val="00BC3DF7"/>
    <w:rsid w:val="00BC4BE6"/>
    <w:rsid w:val="00BC4DF8"/>
    <w:rsid w:val="00BC4EC5"/>
    <w:rsid w:val="00BC5122"/>
    <w:rsid w:val="00BC5250"/>
    <w:rsid w:val="00BC759C"/>
    <w:rsid w:val="00BC7BA5"/>
    <w:rsid w:val="00BC7D2D"/>
    <w:rsid w:val="00BD021E"/>
    <w:rsid w:val="00BD1C25"/>
    <w:rsid w:val="00BD2430"/>
    <w:rsid w:val="00BD29F1"/>
    <w:rsid w:val="00BD47A9"/>
    <w:rsid w:val="00BD4919"/>
    <w:rsid w:val="00BD4FCC"/>
    <w:rsid w:val="00BD7571"/>
    <w:rsid w:val="00BD774D"/>
    <w:rsid w:val="00BD7C07"/>
    <w:rsid w:val="00BE0C3F"/>
    <w:rsid w:val="00BE18F8"/>
    <w:rsid w:val="00BE2730"/>
    <w:rsid w:val="00BE2908"/>
    <w:rsid w:val="00BE2932"/>
    <w:rsid w:val="00BE3312"/>
    <w:rsid w:val="00BE35BC"/>
    <w:rsid w:val="00BE408D"/>
    <w:rsid w:val="00BE532A"/>
    <w:rsid w:val="00BE566E"/>
    <w:rsid w:val="00BE6299"/>
    <w:rsid w:val="00BE6C06"/>
    <w:rsid w:val="00BE6D43"/>
    <w:rsid w:val="00BF08A7"/>
    <w:rsid w:val="00BF0A34"/>
    <w:rsid w:val="00BF0A96"/>
    <w:rsid w:val="00BF0EEB"/>
    <w:rsid w:val="00BF13C5"/>
    <w:rsid w:val="00BF143C"/>
    <w:rsid w:val="00BF3601"/>
    <w:rsid w:val="00BF3C2D"/>
    <w:rsid w:val="00BF3CE3"/>
    <w:rsid w:val="00BF42DA"/>
    <w:rsid w:val="00BF48AC"/>
    <w:rsid w:val="00BF5570"/>
    <w:rsid w:val="00BF6A75"/>
    <w:rsid w:val="00BF7DE5"/>
    <w:rsid w:val="00C008CC"/>
    <w:rsid w:val="00C00FFD"/>
    <w:rsid w:val="00C01482"/>
    <w:rsid w:val="00C025B5"/>
    <w:rsid w:val="00C03D88"/>
    <w:rsid w:val="00C04771"/>
    <w:rsid w:val="00C04978"/>
    <w:rsid w:val="00C05AD0"/>
    <w:rsid w:val="00C05CA3"/>
    <w:rsid w:val="00C05D1A"/>
    <w:rsid w:val="00C05F0B"/>
    <w:rsid w:val="00C0603C"/>
    <w:rsid w:val="00C0717A"/>
    <w:rsid w:val="00C07ED4"/>
    <w:rsid w:val="00C07EF7"/>
    <w:rsid w:val="00C100C6"/>
    <w:rsid w:val="00C10636"/>
    <w:rsid w:val="00C10A65"/>
    <w:rsid w:val="00C1201D"/>
    <w:rsid w:val="00C12BE2"/>
    <w:rsid w:val="00C13302"/>
    <w:rsid w:val="00C136EE"/>
    <w:rsid w:val="00C14529"/>
    <w:rsid w:val="00C15953"/>
    <w:rsid w:val="00C15FC7"/>
    <w:rsid w:val="00C168CF"/>
    <w:rsid w:val="00C169F7"/>
    <w:rsid w:val="00C16C04"/>
    <w:rsid w:val="00C16F49"/>
    <w:rsid w:val="00C20E2D"/>
    <w:rsid w:val="00C21747"/>
    <w:rsid w:val="00C21778"/>
    <w:rsid w:val="00C219E1"/>
    <w:rsid w:val="00C21C22"/>
    <w:rsid w:val="00C2223B"/>
    <w:rsid w:val="00C2263B"/>
    <w:rsid w:val="00C22D64"/>
    <w:rsid w:val="00C23DF7"/>
    <w:rsid w:val="00C245D4"/>
    <w:rsid w:val="00C24C76"/>
    <w:rsid w:val="00C26D0C"/>
    <w:rsid w:val="00C26D5E"/>
    <w:rsid w:val="00C26F6A"/>
    <w:rsid w:val="00C30751"/>
    <w:rsid w:val="00C30A58"/>
    <w:rsid w:val="00C31260"/>
    <w:rsid w:val="00C3131D"/>
    <w:rsid w:val="00C31513"/>
    <w:rsid w:val="00C31F70"/>
    <w:rsid w:val="00C33246"/>
    <w:rsid w:val="00C33704"/>
    <w:rsid w:val="00C3386F"/>
    <w:rsid w:val="00C34216"/>
    <w:rsid w:val="00C342BD"/>
    <w:rsid w:val="00C34389"/>
    <w:rsid w:val="00C36DAF"/>
    <w:rsid w:val="00C36EA1"/>
    <w:rsid w:val="00C3788F"/>
    <w:rsid w:val="00C40013"/>
    <w:rsid w:val="00C400AC"/>
    <w:rsid w:val="00C400B8"/>
    <w:rsid w:val="00C40ECA"/>
    <w:rsid w:val="00C41702"/>
    <w:rsid w:val="00C42AC5"/>
    <w:rsid w:val="00C43FB1"/>
    <w:rsid w:val="00C4485C"/>
    <w:rsid w:val="00C44D52"/>
    <w:rsid w:val="00C45713"/>
    <w:rsid w:val="00C46334"/>
    <w:rsid w:val="00C46649"/>
    <w:rsid w:val="00C46918"/>
    <w:rsid w:val="00C46D74"/>
    <w:rsid w:val="00C46DF5"/>
    <w:rsid w:val="00C47663"/>
    <w:rsid w:val="00C5085A"/>
    <w:rsid w:val="00C50EA8"/>
    <w:rsid w:val="00C514C8"/>
    <w:rsid w:val="00C5163A"/>
    <w:rsid w:val="00C51C5F"/>
    <w:rsid w:val="00C51E34"/>
    <w:rsid w:val="00C52675"/>
    <w:rsid w:val="00C52D8E"/>
    <w:rsid w:val="00C53992"/>
    <w:rsid w:val="00C5421F"/>
    <w:rsid w:val="00C542E5"/>
    <w:rsid w:val="00C54891"/>
    <w:rsid w:val="00C54B15"/>
    <w:rsid w:val="00C54DCF"/>
    <w:rsid w:val="00C55C21"/>
    <w:rsid w:val="00C56CA2"/>
    <w:rsid w:val="00C57A4D"/>
    <w:rsid w:val="00C57C38"/>
    <w:rsid w:val="00C57C66"/>
    <w:rsid w:val="00C602FB"/>
    <w:rsid w:val="00C61115"/>
    <w:rsid w:val="00C62079"/>
    <w:rsid w:val="00C6214A"/>
    <w:rsid w:val="00C627AF"/>
    <w:rsid w:val="00C62D25"/>
    <w:rsid w:val="00C64A44"/>
    <w:rsid w:val="00C652D0"/>
    <w:rsid w:val="00C65663"/>
    <w:rsid w:val="00C6571A"/>
    <w:rsid w:val="00C65FFA"/>
    <w:rsid w:val="00C66331"/>
    <w:rsid w:val="00C66A5F"/>
    <w:rsid w:val="00C67425"/>
    <w:rsid w:val="00C67775"/>
    <w:rsid w:val="00C6797F"/>
    <w:rsid w:val="00C70C34"/>
    <w:rsid w:val="00C71B2C"/>
    <w:rsid w:val="00C7213A"/>
    <w:rsid w:val="00C722A4"/>
    <w:rsid w:val="00C7253E"/>
    <w:rsid w:val="00C72716"/>
    <w:rsid w:val="00C734F7"/>
    <w:rsid w:val="00C73603"/>
    <w:rsid w:val="00C73ACD"/>
    <w:rsid w:val="00C74077"/>
    <w:rsid w:val="00C752A7"/>
    <w:rsid w:val="00C76440"/>
    <w:rsid w:val="00C7775A"/>
    <w:rsid w:val="00C805BF"/>
    <w:rsid w:val="00C80A9B"/>
    <w:rsid w:val="00C80B92"/>
    <w:rsid w:val="00C80E78"/>
    <w:rsid w:val="00C81337"/>
    <w:rsid w:val="00C816FA"/>
    <w:rsid w:val="00C81913"/>
    <w:rsid w:val="00C81ED5"/>
    <w:rsid w:val="00C83573"/>
    <w:rsid w:val="00C83896"/>
    <w:rsid w:val="00C846A2"/>
    <w:rsid w:val="00C85AB5"/>
    <w:rsid w:val="00C85CAA"/>
    <w:rsid w:val="00C860AA"/>
    <w:rsid w:val="00C868DD"/>
    <w:rsid w:val="00C86D4C"/>
    <w:rsid w:val="00C87BDE"/>
    <w:rsid w:val="00C87EF0"/>
    <w:rsid w:val="00C90A20"/>
    <w:rsid w:val="00C90B94"/>
    <w:rsid w:val="00C929DC"/>
    <w:rsid w:val="00C93F5A"/>
    <w:rsid w:val="00C941F0"/>
    <w:rsid w:val="00C944C4"/>
    <w:rsid w:val="00C9522A"/>
    <w:rsid w:val="00C958C1"/>
    <w:rsid w:val="00C96231"/>
    <w:rsid w:val="00C96800"/>
    <w:rsid w:val="00C96F8A"/>
    <w:rsid w:val="00CA079D"/>
    <w:rsid w:val="00CA0D19"/>
    <w:rsid w:val="00CA10F9"/>
    <w:rsid w:val="00CA18A5"/>
    <w:rsid w:val="00CA28E1"/>
    <w:rsid w:val="00CA2C4E"/>
    <w:rsid w:val="00CA2F5D"/>
    <w:rsid w:val="00CA30F4"/>
    <w:rsid w:val="00CA371E"/>
    <w:rsid w:val="00CA3821"/>
    <w:rsid w:val="00CA4613"/>
    <w:rsid w:val="00CA5668"/>
    <w:rsid w:val="00CA5BB8"/>
    <w:rsid w:val="00CA61BB"/>
    <w:rsid w:val="00CA7495"/>
    <w:rsid w:val="00CA74AE"/>
    <w:rsid w:val="00CA7B17"/>
    <w:rsid w:val="00CB091B"/>
    <w:rsid w:val="00CB1184"/>
    <w:rsid w:val="00CB16D3"/>
    <w:rsid w:val="00CB19BC"/>
    <w:rsid w:val="00CB27CD"/>
    <w:rsid w:val="00CB2E7D"/>
    <w:rsid w:val="00CB3FC4"/>
    <w:rsid w:val="00CB481B"/>
    <w:rsid w:val="00CB4A8F"/>
    <w:rsid w:val="00CB4CB3"/>
    <w:rsid w:val="00CB4F89"/>
    <w:rsid w:val="00CB5E69"/>
    <w:rsid w:val="00CB689D"/>
    <w:rsid w:val="00CB79A6"/>
    <w:rsid w:val="00CB79CC"/>
    <w:rsid w:val="00CC077B"/>
    <w:rsid w:val="00CC13F5"/>
    <w:rsid w:val="00CC1BC8"/>
    <w:rsid w:val="00CC1C13"/>
    <w:rsid w:val="00CC2400"/>
    <w:rsid w:val="00CC28D0"/>
    <w:rsid w:val="00CC3037"/>
    <w:rsid w:val="00CC4B39"/>
    <w:rsid w:val="00CC5211"/>
    <w:rsid w:val="00CC66BF"/>
    <w:rsid w:val="00CC7493"/>
    <w:rsid w:val="00CC7F6C"/>
    <w:rsid w:val="00CD03D3"/>
    <w:rsid w:val="00CD0FB6"/>
    <w:rsid w:val="00CD1667"/>
    <w:rsid w:val="00CD2052"/>
    <w:rsid w:val="00CD33E6"/>
    <w:rsid w:val="00CD3805"/>
    <w:rsid w:val="00CD52E1"/>
    <w:rsid w:val="00CD57C1"/>
    <w:rsid w:val="00CD6B5F"/>
    <w:rsid w:val="00CD704A"/>
    <w:rsid w:val="00CD7DA1"/>
    <w:rsid w:val="00CE0711"/>
    <w:rsid w:val="00CE1A7E"/>
    <w:rsid w:val="00CE1D82"/>
    <w:rsid w:val="00CE2DBE"/>
    <w:rsid w:val="00CE3443"/>
    <w:rsid w:val="00CE422C"/>
    <w:rsid w:val="00CE455F"/>
    <w:rsid w:val="00CE4981"/>
    <w:rsid w:val="00CE6433"/>
    <w:rsid w:val="00CF1A95"/>
    <w:rsid w:val="00CF287A"/>
    <w:rsid w:val="00CF3000"/>
    <w:rsid w:val="00CF3BD3"/>
    <w:rsid w:val="00CF41D8"/>
    <w:rsid w:val="00CF4991"/>
    <w:rsid w:val="00CF51D9"/>
    <w:rsid w:val="00CF5ACB"/>
    <w:rsid w:val="00CF5E1D"/>
    <w:rsid w:val="00CF63D6"/>
    <w:rsid w:val="00CF6BCE"/>
    <w:rsid w:val="00CF7017"/>
    <w:rsid w:val="00CF7F29"/>
    <w:rsid w:val="00D00027"/>
    <w:rsid w:val="00D0042B"/>
    <w:rsid w:val="00D00A4B"/>
    <w:rsid w:val="00D00B96"/>
    <w:rsid w:val="00D03BC9"/>
    <w:rsid w:val="00D03FA5"/>
    <w:rsid w:val="00D041BF"/>
    <w:rsid w:val="00D051EF"/>
    <w:rsid w:val="00D0549D"/>
    <w:rsid w:val="00D063D7"/>
    <w:rsid w:val="00D06E55"/>
    <w:rsid w:val="00D108E7"/>
    <w:rsid w:val="00D10F7D"/>
    <w:rsid w:val="00D10F96"/>
    <w:rsid w:val="00D12ADD"/>
    <w:rsid w:val="00D13BDF"/>
    <w:rsid w:val="00D14249"/>
    <w:rsid w:val="00D145BD"/>
    <w:rsid w:val="00D15D7C"/>
    <w:rsid w:val="00D16ABE"/>
    <w:rsid w:val="00D16BC7"/>
    <w:rsid w:val="00D17F7E"/>
    <w:rsid w:val="00D216D8"/>
    <w:rsid w:val="00D21907"/>
    <w:rsid w:val="00D21C75"/>
    <w:rsid w:val="00D21FA7"/>
    <w:rsid w:val="00D21FD6"/>
    <w:rsid w:val="00D2222C"/>
    <w:rsid w:val="00D224E8"/>
    <w:rsid w:val="00D233CE"/>
    <w:rsid w:val="00D23911"/>
    <w:rsid w:val="00D23BEE"/>
    <w:rsid w:val="00D24B52"/>
    <w:rsid w:val="00D24EAD"/>
    <w:rsid w:val="00D24F8A"/>
    <w:rsid w:val="00D27F90"/>
    <w:rsid w:val="00D3019B"/>
    <w:rsid w:val="00D311B6"/>
    <w:rsid w:val="00D32AEE"/>
    <w:rsid w:val="00D3346C"/>
    <w:rsid w:val="00D33AC2"/>
    <w:rsid w:val="00D33B33"/>
    <w:rsid w:val="00D33BD0"/>
    <w:rsid w:val="00D33E7C"/>
    <w:rsid w:val="00D34244"/>
    <w:rsid w:val="00D34FEE"/>
    <w:rsid w:val="00D3500A"/>
    <w:rsid w:val="00D354DB"/>
    <w:rsid w:val="00D36319"/>
    <w:rsid w:val="00D366B0"/>
    <w:rsid w:val="00D366C9"/>
    <w:rsid w:val="00D40B82"/>
    <w:rsid w:val="00D41643"/>
    <w:rsid w:val="00D416FF"/>
    <w:rsid w:val="00D4193B"/>
    <w:rsid w:val="00D41A16"/>
    <w:rsid w:val="00D41CF0"/>
    <w:rsid w:val="00D41EAB"/>
    <w:rsid w:val="00D42DB3"/>
    <w:rsid w:val="00D43426"/>
    <w:rsid w:val="00D435C3"/>
    <w:rsid w:val="00D44449"/>
    <w:rsid w:val="00D449F5"/>
    <w:rsid w:val="00D45128"/>
    <w:rsid w:val="00D4582A"/>
    <w:rsid w:val="00D45C6F"/>
    <w:rsid w:val="00D47940"/>
    <w:rsid w:val="00D504DE"/>
    <w:rsid w:val="00D50CBD"/>
    <w:rsid w:val="00D50F19"/>
    <w:rsid w:val="00D5105C"/>
    <w:rsid w:val="00D510D3"/>
    <w:rsid w:val="00D512EB"/>
    <w:rsid w:val="00D5188D"/>
    <w:rsid w:val="00D51D3D"/>
    <w:rsid w:val="00D52131"/>
    <w:rsid w:val="00D52516"/>
    <w:rsid w:val="00D532D3"/>
    <w:rsid w:val="00D537FA"/>
    <w:rsid w:val="00D54B22"/>
    <w:rsid w:val="00D556E3"/>
    <w:rsid w:val="00D55EB2"/>
    <w:rsid w:val="00D56D81"/>
    <w:rsid w:val="00D56DE7"/>
    <w:rsid w:val="00D56FBB"/>
    <w:rsid w:val="00D60BAA"/>
    <w:rsid w:val="00D625C0"/>
    <w:rsid w:val="00D62D78"/>
    <w:rsid w:val="00D6311C"/>
    <w:rsid w:val="00D6319A"/>
    <w:rsid w:val="00D6345D"/>
    <w:rsid w:val="00D63A30"/>
    <w:rsid w:val="00D63A87"/>
    <w:rsid w:val="00D63F70"/>
    <w:rsid w:val="00D6465E"/>
    <w:rsid w:val="00D65004"/>
    <w:rsid w:val="00D65777"/>
    <w:rsid w:val="00D65AB6"/>
    <w:rsid w:val="00D65E49"/>
    <w:rsid w:val="00D6722B"/>
    <w:rsid w:val="00D675DC"/>
    <w:rsid w:val="00D70047"/>
    <w:rsid w:val="00D7067C"/>
    <w:rsid w:val="00D7086D"/>
    <w:rsid w:val="00D70B74"/>
    <w:rsid w:val="00D7100D"/>
    <w:rsid w:val="00D71270"/>
    <w:rsid w:val="00D7181E"/>
    <w:rsid w:val="00D71975"/>
    <w:rsid w:val="00D7337E"/>
    <w:rsid w:val="00D73792"/>
    <w:rsid w:val="00D753DC"/>
    <w:rsid w:val="00D7549A"/>
    <w:rsid w:val="00D75A4E"/>
    <w:rsid w:val="00D767CF"/>
    <w:rsid w:val="00D76AFD"/>
    <w:rsid w:val="00D7754B"/>
    <w:rsid w:val="00D77778"/>
    <w:rsid w:val="00D778A0"/>
    <w:rsid w:val="00D80A74"/>
    <w:rsid w:val="00D80D6E"/>
    <w:rsid w:val="00D80E76"/>
    <w:rsid w:val="00D8247E"/>
    <w:rsid w:val="00D84A6B"/>
    <w:rsid w:val="00D84C85"/>
    <w:rsid w:val="00D8590B"/>
    <w:rsid w:val="00D86ADA"/>
    <w:rsid w:val="00D86E33"/>
    <w:rsid w:val="00D86E60"/>
    <w:rsid w:val="00D8702C"/>
    <w:rsid w:val="00D879DC"/>
    <w:rsid w:val="00D87B87"/>
    <w:rsid w:val="00D909C0"/>
    <w:rsid w:val="00D9116C"/>
    <w:rsid w:val="00D93639"/>
    <w:rsid w:val="00D93D64"/>
    <w:rsid w:val="00D93EC1"/>
    <w:rsid w:val="00D940ED"/>
    <w:rsid w:val="00D94EA1"/>
    <w:rsid w:val="00D95EFF"/>
    <w:rsid w:val="00DA0736"/>
    <w:rsid w:val="00DA1FF7"/>
    <w:rsid w:val="00DA23E6"/>
    <w:rsid w:val="00DA2468"/>
    <w:rsid w:val="00DA2C2F"/>
    <w:rsid w:val="00DA31EC"/>
    <w:rsid w:val="00DA32AB"/>
    <w:rsid w:val="00DA4285"/>
    <w:rsid w:val="00DA540D"/>
    <w:rsid w:val="00DA55BA"/>
    <w:rsid w:val="00DA66C8"/>
    <w:rsid w:val="00DA7E02"/>
    <w:rsid w:val="00DB17A2"/>
    <w:rsid w:val="00DB2116"/>
    <w:rsid w:val="00DB253B"/>
    <w:rsid w:val="00DB278D"/>
    <w:rsid w:val="00DB2A4D"/>
    <w:rsid w:val="00DB2A69"/>
    <w:rsid w:val="00DB381C"/>
    <w:rsid w:val="00DB4212"/>
    <w:rsid w:val="00DB606E"/>
    <w:rsid w:val="00DB613D"/>
    <w:rsid w:val="00DC0594"/>
    <w:rsid w:val="00DC0EC9"/>
    <w:rsid w:val="00DC1766"/>
    <w:rsid w:val="00DC2BEC"/>
    <w:rsid w:val="00DC3342"/>
    <w:rsid w:val="00DC38C0"/>
    <w:rsid w:val="00DC41C9"/>
    <w:rsid w:val="00DC41DF"/>
    <w:rsid w:val="00DC5CA7"/>
    <w:rsid w:val="00DC63E1"/>
    <w:rsid w:val="00DC6733"/>
    <w:rsid w:val="00DC6C23"/>
    <w:rsid w:val="00DC711B"/>
    <w:rsid w:val="00DC778B"/>
    <w:rsid w:val="00DC78D1"/>
    <w:rsid w:val="00DD09B0"/>
    <w:rsid w:val="00DD111E"/>
    <w:rsid w:val="00DD1482"/>
    <w:rsid w:val="00DD1919"/>
    <w:rsid w:val="00DD268F"/>
    <w:rsid w:val="00DD45B3"/>
    <w:rsid w:val="00DD5544"/>
    <w:rsid w:val="00DD61AF"/>
    <w:rsid w:val="00DD65CB"/>
    <w:rsid w:val="00DD726A"/>
    <w:rsid w:val="00DD7375"/>
    <w:rsid w:val="00DD789D"/>
    <w:rsid w:val="00DE0897"/>
    <w:rsid w:val="00DE0B73"/>
    <w:rsid w:val="00DE1887"/>
    <w:rsid w:val="00DE1E4D"/>
    <w:rsid w:val="00DE1F2C"/>
    <w:rsid w:val="00DE43CD"/>
    <w:rsid w:val="00DE51A6"/>
    <w:rsid w:val="00DE5475"/>
    <w:rsid w:val="00DE5502"/>
    <w:rsid w:val="00DE5FBD"/>
    <w:rsid w:val="00DE6AAB"/>
    <w:rsid w:val="00DE7695"/>
    <w:rsid w:val="00DE77E1"/>
    <w:rsid w:val="00DF0284"/>
    <w:rsid w:val="00DF04C2"/>
    <w:rsid w:val="00DF086E"/>
    <w:rsid w:val="00DF0C93"/>
    <w:rsid w:val="00DF0E4B"/>
    <w:rsid w:val="00DF1505"/>
    <w:rsid w:val="00DF1C63"/>
    <w:rsid w:val="00DF2805"/>
    <w:rsid w:val="00DF2CBE"/>
    <w:rsid w:val="00DF3A46"/>
    <w:rsid w:val="00DF3ADC"/>
    <w:rsid w:val="00DF3FA7"/>
    <w:rsid w:val="00DF40F5"/>
    <w:rsid w:val="00DF41D9"/>
    <w:rsid w:val="00DF48D1"/>
    <w:rsid w:val="00DF510A"/>
    <w:rsid w:val="00DF5404"/>
    <w:rsid w:val="00DF5D07"/>
    <w:rsid w:val="00DF636A"/>
    <w:rsid w:val="00DF6873"/>
    <w:rsid w:val="00DF6A69"/>
    <w:rsid w:val="00DF72D4"/>
    <w:rsid w:val="00DF7327"/>
    <w:rsid w:val="00DF7683"/>
    <w:rsid w:val="00DF7BF1"/>
    <w:rsid w:val="00DF7D44"/>
    <w:rsid w:val="00E00013"/>
    <w:rsid w:val="00E00FE2"/>
    <w:rsid w:val="00E01D28"/>
    <w:rsid w:val="00E0270A"/>
    <w:rsid w:val="00E0270C"/>
    <w:rsid w:val="00E03841"/>
    <w:rsid w:val="00E03EFD"/>
    <w:rsid w:val="00E049CB"/>
    <w:rsid w:val="00E04F74"/>
    <w:rsid w:val="00E052AA"/>
    <w:rsid w:val="00E06F2C"/>
    <w:rsid w:val="00E07747"/>
    <w:rsid w:val="00E10BE9"/>
    <w:rsid w:val="00E11852"/>
    <w:rsid w:val="00E118B6"/>
    <w:rsid w:val="00E11F6D"/>
    <w:rsid w:val="00E12394"/>
    <w:rsid w:val="00E1269D"/>
    <w:rsid w:val="00E12783"/>
    <w:rsid w:val="00E1278A"/>
    <w:rsid w:val="00E13363"/>
    <w:rsid w:val="00E13B6C"/>
    <w:rsid w:val="00E14191"/>
    <w:rsid w:val="00E144A2"/>
    <w:rsid w:val="00E15495"/>
    <w:rsid w:val="00E15B5A"/>
    <w:rsid w:val="00E15B5C"/>
    <w:rsid w:val="00E16FD9"/>
    <w:rsid w:val="00E217BF"/>
    <w:rsid w:val="00E219D4"/>
    <w:rsid w:val="00E222B1"/>
    <w:rsid w:val="00E22C2E"/>
    <w:rsid w:val="00E230AE"/>
    <w:rsid w:val="00E237BF"/>
    <w:rsid w:val="00E241E1"/>
    <w:rsid w:val="00E24916"/>
    <w:rsid w:val="00E24F10"/>
    <w:rsid w:val="00E253D6"/>
    <w:rsid w:val="00E258AE"/>
    <w:rsid w:val="00E309B8"/>
    <w:rsid w:val="00E30CAC"/>
    <w:rsid w:val="00E311F5"/>
    <w:rsid w:val="00E31D4C"/>
    <w:rsid w:val="00E32574"/>
    <w:rsid w:val="00E334F6"/>
    <w:rsid w:val="00E335B6"/>
    <w:rsid w:val="00E33600"/>
    <w:rsid w:val="00E3412C"/>
    <w:rsid w:val="00E34B45"/>
    <w:rsid w:val="00E359F3"/>
    <w:rsid w:val="00E36313"/>
    <w:rsid w:val="00E364DF"/>
    <w:rsid w:val="00E36C10"/>
    <w:rsid w:val="00E36E42"/>
    <w:rsid w:val="00E37248"/>
    <w:rsid w:val="00E4075C"/>
    <w:rsid w:val="00E4158F"/>
    <w:rsid w:val="00E4180E"/>
    <w:rsid w:val="00E42C9E"/>
    <w:rsid w:val="00E444C3"/>
    <w:rsid w:val="00E44DF3"/>
    <w:rsid w:val="00E455E9"/>
    <w:rsid w:val="00E50056"/>
    <w:rsid w:val="00E504F9"/>
    <w:rsid w:val="00E50A9F"/>
    <w:rsid w:val="00E50AEB"/>
    <w:rsid w:val="00E51ED5"/>
    <w:rsid w:val="00E5205A"/>
    <w:rsid w:val="00E520F1"/>
    <w:rsid w:val="00E52516"/>
    <w:rsid w:val="00E528D2"/>
    <w:rsid w:val="00E52BD5"/>
    <w:rsid w:val="00E531D1"/>
    <w:rsid w:val="00E535F1"/>
    <w:rsid w:val="00E548E7"/>
    <w:rsid w:val="00E55542"/>
    <w:rsid w:val="00E556C3"/>
    <w:rsid w:val="00E57772"/>
    <w:rsid w:val="00E57ED7"/>
    <w:rsid w:val="00E608DB"/>
    <w:rsid w:val="00E60A39"/>
    <w:rsid w:val="00E61DF2"/>
    <w:rsid w:val="00E61EFA"/>
    <w:rsid w:val="00E623D6"/>
    <w:rsid w:val="00E63217"/>
    <w:rsid w:val="00E64553"/>
    <w:rsid w:val="00E653F1"/>
    <w:rsid w:val="00E6576F"/>
    <w:rsid w:val="00E66143"/>
    <w:rsid w:val="00E66851"/>
    <w:rsid w:val="00E67144"/>
    <w:rsid w:val="00E671C6"/>
    <w:rsid w:val="00E6750F"/>
    <w:rsid w:val="00E677BD"/>
    <w:rsid w:val="00E67CEA"/>
    <w:rsid w:val="00E702A1"/>
    <w:rsid w:val="00E7065A"/>
    <w:rsid w:val="00E708EC"/>
    <w:rsid w:val="00E7289C"/>
    <w:rsid w:val="00E72DBE"/>
    <w:rsid w:val="00E72EBB"/>
    <w:rsid w:val="00E731C2"/>
    <w:rsid w:val="00E733F9"/>
    <w:rsid w:val="00E73DC1"/>
    <w:rsid w:val="00E746D0"/>
    <w:rsid w:val="00E74E1E"/>
    <w:rsid w:val="00E74E64"/>
    <w:rsid w:val="00E753CC"/>
    <w:rsid w:val="00E77648"/>
    <w:rsid w:val="00E776E3"/>
    <w:rsid w:val="00E77862"/>
    <w:rsid w:val="00E80298"/>
    <w:rsid w:val="00E8030B"/>
    <w:rsid w:val="00E81FF2"/>
    <w:rsid w:val="00E822F1"/>
    <w:rsid w:val="00E82B3E"/>
    <w:rsid w:val="00E8440B"/>
    <w:rsid w:val="00E845A7"/>
    <w:rsid w:val="00E84F5B"/>
    <w:rsid w:val="00E85748"/>
    <w:rsid w:val="00E85A1D"/>
    <w:rsid w:val="00E86BE6"/>
    <w:rsid w:val="00E87359"/>
    <w:rsid w:val="00E87619"/>
    <w:rsid w:val="00E879BD"/>
    <w:rsid w:val="00E90ACB"/>
    <w:rsid w:val="00E91141"/>
    <w:rsid w:val="00E92BEA"/>
    <w:rsid w:val="00E93A37"/>
    <w:rsid w:val="00E93EFB"/>
    <w:rsid w:val="00E9440A"/>
    <w:rsid w:val="00E94E40"/>
    <w:rsid w:val="00E95EA7"/>
    <w:rsid w:val="00E95FB2"/>
    <w:rsid w:val="00E9653A"/>
    <w:rsid w:val="00E96DAC"/>
    <w:rsid w:val="00E97418"/>
    <w:rsid w:val="00E9744C"/>
    <w:rsid w:val="00E97550"/>
    <w:rsid w:val="00E97B7E"/>
    <w:rsid w:val="00EA16EC"/>
    <w:rsid w:val="00EA230F"/>
    <w:rsid w:val="00EA4C08"/>
    <w:rsid w:val="00EA4DB9"/>
    <w:rsid w:val="00EA5146"/>
    <w:rsid w:val="00EA5A5E"/>
    <w:rsid w:val="00EA5CB1"/>
    <w:rsid w:val="00EA70D3"/>
    <w:rsid w:val="00EA7822"/>
    <w:rsid w:val="00EB09CE"/>
    <w:rsid w:val="00EB1789"/>
    <w:rsid w:val="00EB1C33"/>
    <w:rsid w:val="00EB234E"/>
    <w:rsid w:val="00EB25CE"/>
    <w:rsid w:val="00EB2B79"/>
    <w:rsid w:val="00EB331A"/>
    <w:rsid w:val="00EB3A5D"/>
    <w:rsid w:val="00EB4040"/>
    <w:rsid w:val="00EB40DF"/>
    <w:rsid w:val="00EB51DA"/>
    <w:rsid w:val="00EB598D"/>
    <w:rsid w:val="00EB5CED"/>
    <w:rsid w:val="00EB6855"/>
    <w:rsid w:val="00EB731F"/>
    <w:rsid w:val="00EB7B0B"/>
    <w:rsid w:val="00EC06DE"/>
    <w:rsid w:val="00EC23EA"/>
    <w:rsid w:val="00EC511D"/>
    <w:rsid w:val="00EC53D0"/>
    <w:rsid w:val="00EC5648"/>
    <w:rsid w:val="00EC5BAB"/>
    <w:rsid w:val="00EC7B31"/>
    <w:rsid w:val="00ED069D"/>
    <w:rsid w:val="00ED0E87"/>
    <w:rsid w:val="00ED0FD5"/>
    <w:rsid w:val="00ED0FDA"/>
    <w:rsid w:val="00ED12D9"/>
    <w:rsid w:val="00ED1F1E"/>
    <w:rsid w:val="00ED208A"/>
    <w:rsid w:val="00ED327C"/>
    <w:rsid w:val="00ED339A"/>
    <w:rsid w:val="00ED5348"/>
    <w:rsid w:val="00ED54EA"/>
    <w:rsid w:val="00ED5FC7"/>
    <w:rsid w:val="00ED6D29"/>
    <w:rsid w:val="00ED6E5D"/>
    <w:rsid w:val="00EE03C6"/>
    <w:rsid w:val="00EE0A94"/>
    <w:rsid w:val="00EE1571"/>
    <w:rsid w:val="00EE29C0"/>
    <w:rsid w:val="00EE3747"/>
    <w:rsid w:val="00EE409E"/>
    <w:rsid w:val="00EE567F"/>
    <w:rsid w:val="00EE5EE5"/>
    <w:rsid w:val="00EE64C7"/>
    <w:rsid w:val="00EE6949"/>
    <w:rsid w:val="00EE6994"/>
    <w:rsid w:val="00EE70F6"/>
    <w:rsid w:val="00EE7A9B"/>
    <w:rsid w:val="00EF0030"/>
    <w:rsid w:val="00EF2019"/>
    <w:rsid w:val="00EF2022"/>
    <w:rsid w:val="00EF22A9"/>
    <w:rsid w:val="00EF2BDC"/>
    <w:rsid w:val="00EF3DAB"/>
    <w:rsid w:val="00EF4E62"/>
    <w:rsid w:val="00EF554C"/>
    <w:rsid w:val="00EF587A"/>
    <w:rsid w:val="00EF6744"/>
    <w:rsid w:val="00EF6ED1"/>
    <w:rsid w:val="00EF7A30"/>
    <w:rsid w:val="00EF7ACF"/>
    <w:rsid w:val="00F01088"/>
    <w:rsid w:val="00F01AC6"/>
    <w:rsid w:val="00F01EFC"/>
    <w:rsid w:val="00F01F5A"/>
    <w:rsid w:val="00F0205B"/>
    <w:rsid w:val="00F02365"/>
    <w:rsid w:val="00F032D7"/>
    <w:rsid w:val="00F044BB"/>
    <w:rsid w:val="00F04D2B"/>
    <w:rsid w:val="00F0504B"/>
    <w:rsid w:val="00F056BC"/>
    <w:rsid w:val="00F05AEB"/>
    <w:rsid w:val="00F063B8"/>
    <w:rsid w:val="00F063E9"/>
    <w:rsid w:val="00F063FB"/>
    <w:rsid w:val="00F06E37"/>
    <w:rsid w:val="00F072D3"/>
    <w:rsid w:val="00F07E08"/>
    <w:rsid w:val="00F10B36"/>
    <w:rsid w:val="00F1115C"/>
    <w:rsid w:val="00F11475"/>
    <w:rsid w:val="00F11AA0"/>
    <w:rsid w:val="00F11B01"/>
    <w:rsid w:val="00F11E7C"/>
    <w:rsid w:val="00F1286B"/>
    <w:rsid w:val="00F12A10"/>
    <w:rsid w:val="00F1302C"/>
    <w:rsid w:val="00F143D4"/>
    <w:rsid w:val="00F1494B"/>
    <w:rsid w:val="00F14A90"/>
    <w:rsid w:val="00F152B1"/>
    <w:rsid w:val="00F15375"/>
    <w:rsid w:val="00F20440"/>
    <w:rsid w:val="00F206F5"/>
    <w:rsid w:val="00F236A5"/>
    <w:rsid w:val="00F236FF"/>
    <w:rsid w:val="00F2558D"/>
    <w:rsid w:val="00F25AF8"/>
    <w:rsid w:val="00F25F40"/>
    <w:rsid w:val="00F26BBD"/>
    <w:rsid w:val="00F3098D"/>
    <w:rsid w:val="00F30F5B"/>
    <w:rsid w:val="00F312F0"/>
    <w:rsid w:val="00F31C9F"/>
    <w:rsid w:val="00F32156"/>
    <w:rsid w:val="00F32E93"/>
    <w:rsid w:val="00F3370A"/>
    <w:rsid w:val="00F33BAB"/>
    <w:rsid w:val="00F33FC4"/>
    <w:rsid w:val="00F34090"/>
    <w:rsid w:val="00F34885"/>
    <w:rsid w:val="00F34FF9"/>
    <w:rsid w:val="00F3589C"/>
    <w:rsid w:val="00F35A66"/>
    <w:rsid w:val="00F37319"/>
    <w:rsid w:val="00F37536"/>
    <w:rsid w:val="00F37576"/>
    <w:rsid w:val="00F40C0C"/>
    <w:rsid w:val="00F40F83"/>
    <w:rsid w:val="00F41437"/>
    <w:rsid w:val="00F42124"/>
    <w:rsid w:val="00F4228F"/>
    <w:rsid w:val="00F42829"/>
    <w:rsid w:val="00F42B37"/>
    <w:rsid w:val="00F42F8B"/>
    <w:rsid w:val="00F436A5"/>
    <w:rsid w:val="00F44A8F"/>
    <w:rsid w:val="00F45139"/>
    <w:rsid w:val="00F45323"/>
    <w:rsid w:val="00F4567E"/>
    <w:rsid w:val="00F45FD4"/>
    <w:rsid w:val="00F46645"/>
    <w:rsid w:val="00F46858"/>
    <w:rsid w:val="00F470E7"/>
    <w:rsid w:val="00F50F72"/>
    <w:rsid w:val="00F515DF"/>
    <w:rsid w:val="00F51A36"/>
    <w:rsid w:val="00F51D63"/>
    <w:rsid w:val="00F522EC"/>
    <w:rsid w:val="00F529E1"/>
    <w:rsid w:val="00F53267"/>
    <w:rsid w:val="00F533E7"/>
    <w:rsid w:val="00F53E0A"/>
    <w:rsid w:val="00F5484C"/>
    <w:rsid w:val="00F56194"/>
    <w:rsid w:val="00F563BA"/>
    <w:rsid w:val="00F56C7A"/>
    <w:rsid w:val="00F56DBB"/>
    <w:rsid w:val="00F57651"/>
    <w:rsid w:val="00F6005A"/>
    <w:rsid w:val="00F603EE"/>
    <w:rsid w:val="00F60603"/>
    <w:rsid w:val="00F617EF"/>
    <w:rsid w:val="00F61C62"/>
    <w:rsid w:val="00F61EA7"/>
    <w:rsid w:val="00F62876"/>
    <w:rsid w:val="00F62E10"/>
    <w:rsid w:val="00F63A8A"/>
    <w:rsid w:val="00F63E49"/>
    <w:rsid w:val="00F6575A"/>
    <w:rsid w:val="00F664BC"/>
    <w:rsid w:val="00F66B5B"/>
    <w:rsid w:val="00F66C05"/>
    <w:rsid w:val="00F67215"/>
    <w:rsid w:val="00F675CA"/>
    <w:rsid w:val="00F67CCF"/>
    <w:rsid w:val="00F70E03"/>
    <w:rsid w:val="00F73784"/>
    <w:rsid w:val="00F7390E"/>
    <w:rsid w:val="00F739D9"/>
    <w:rsid w:val="00F74279"/>
    <w:rsid w:val="00F746F6"/>
    <w:rsid w:val="00F74B8A"/>
    <w:rsid w:val="00F75101"/>
    <w:rsid w:val="00F756D5"/>
    <w:rsid w:val="00F767F1"/>
    <w:rsid w:val="00F76DE4"/>
    <w:rsid w:val="00F775DD"/>
    <w:rsid w:val="00F8047F"/>
    <w:rsid w:val="00F8142C"/>
    <w:rsid w:val="00F81EC7"/>
    <w:rsid w:val="00F82775"/>
    <w:rsid w:val="00F8286A"/>
    <w:rsid w:val="00F8286B"/>
    <w:rsid w:val="00F82AD5"/>
    <w:rsid w:val="00F840C9"/>
    <w:rsid w:val="00F84317"/>
    <w:rsid w:val="00F844FE"/>
    <w:rsid w:val="00F84C84"/>
    <w:rsid w:val="00F85BF6"/>
    <w:rsid w:val="00F85F05"/>
    <w:rsid w:val="00F86208"/>
    <w:rsid w:val="00F86344"/>
    <w:rsid w:val="00F90136"/>
    <w:rsid w:val="00F9083E"/>
    <w:rsid w:val="00F90A51"/>
    <w:rsid w:val="00F91945"/>
    <w:rsid w:val="00F9195D"/>
    <w:rsid w:val="00F92732"/>
    <w:rsid w:val="00F93425"/>
    <w:rsid w:val="00F9391E"/>
    <w:rsid w:val="00F9423D"/>
    <w:rsid w:val="00F9481B"/>
    <w:rsid w:val="00F94D3E"/>
    <w:rsid w:val="00F951C3"/>
    <w:rsid w:val="00F96B2D"/>
    <w:rsid w:val="00F97044"/>
    <w:rsid w:val="00FA0462"/>
    <w:rsid w:val="00FA0BFE"/>
    <w:rsid w:val="00FA10DB"/>
    <w:rsid w:val="00FA1291"/>
    <w:rsid w:val="00FA1825"/>
    <w:rsid w:val="00FA2CB1"/>
    <w:rsid w:val="00FA312F"/>
    <w:rsid w:val="00FA3C1B"/>
    <w:rsid w:val="00FA4B3E"/>
    <w:rsid w:val="00FA529F"/>
    <w:rsid w:val="00FA5B3D"/>
    <w:rsid w:val="00FA5FC5"/>
    <w:rsid w:val="00FA6999"/>
    <w:rsid w:val="00FB0E04"/>
    <w:rsid w:val="00FB11BD"/>
    <w:rsid w:val="00FB1563"/>
    <w:rsid w:val="00FB1EBA"/>
    <w:rsid w:val="00FB369F"/>
    <w:rsid w:val="00FB400B"/>
    <w:rsid w:val="00FB4F16"/>
    <w:rsid w:val="00FB59AC"/>
    <w:rsid w:val="00FB5FB5"/>
    <w:rsid w:val="00FB5FEB"/>
    <w:rsid w:val="00FB6C0F"/>
    <w:rsid w:val="00FB7157"/>
    <w:rsid w:val="00FB7D05"/>
    <w:rsid w:val="00FB7FD8"/>
    <w:rsid w:val="00FC01B5"/>
    <w:rsid w:val="00FC26F2"/>
    <w:rsid w:val="00FC277C"/>
    <w:rsid w:val="00FC2FF5"/>
    <w:rsid w:val="00FC310F"/>
    <w:rsid w:val="00FC5C5C"/>
    <w:rsid w:val="00FC5D53"/>
    <w:rsid w:val="00FC7572"/>
    <w:rsid w:val="00FC7C80"/>
    <w:rsid w:val="00FD03FE"/>
    <w:rsid w:val="00FD0488"/>
    <w:rsid w:val="00FD11A2"/>
    <w:rsid w:val="00FD1587"/>
    <w:rsid w:val="00FD2070"/>
    <w:rsid w:val="00FD2A17"/>
    <w:rsid w:val="00FD2BE0"/>
    <w:rsid w:val="00FD3669"/>
    <w:rsid w:val="00FD5F9F"/>
    <w:rsid w:val="00FE0327"/>
    <w:rsid w:val="00FE106D"/>
    <w:rsid w:val="00FE1F57"/>
    <w:rsid w:val="00FE204F"/>
    <w:rsid w:val="00FE219E"/>
    <w:rsid w:val="00FE239F"/>
    <w:rsid w:val="00FE2E40"/>
    <w:rsid w:val="00FE31B7"/>
    <w:rsid w:val="00FE3A5B"/>
    <w:rsid w:val="00FE4529"/>
    <w:rsid w:val="00FE46CE"/>
    <w:rsid w:val="00FE4D23"/>
    <w:rsid w:val="00FE4FFE"/>
    <w:rsid w:val="00FE51E9"/>
    <w:rsid w:val="00FE56DB"/>
    <w:rsid w:val="00FE5F40"/>
    <w:rsid w:val="00FE6450"/>
    <w:rsid w:val="00FE7C32"/>
    <w:rsid w:val="00FE7E34"/>
    <w:rsid w:val="00FF018B"/>
    <w:rsid w:val="00FF023B"/>
    <w:rsid w:val="00FF1F1C"/>
    <w:rsid w:val="00FF202C"/>
    <w:rsid w:val="00FF2607"/>
    <w:rsid w:val="00FF2976"/>
    <w:rsid w:val="00FF31B2"/>
    <w:rsid w:val="00FF35A3"/>
    <w:rsid w:val="00FF559D"/>
    <w:rsid w:val="00FF6121"/>
    <w:rsid w:val="00FF67A3"/>
    <w:rsid w:val="00FF7096"/>
    <w:rsid w:val="00FF7D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965F7A"/>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rPr>
  </w:style>
  <w:style w:type="paragraph" w:styleId="Eivli">
    <w:name w:val="No Spacing"/>
    <w:link w:val="EivliChar"/>
    <w:uiPriority w:val="1"/>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 w:type="paragraph" w:styleId="Luettelokappale">
    <w:name w:val="List Paragraph"/>
    <w:basedOn w:val="Normaali"/>
    <w:uiPriority w:val="34"/>
    <w:qFormat/>
    <w:rsid w:val="002E32E7"/>
    <w:pPr>
      <w:ind w:left="720"/>
      <w:contextualSpacing/>
    </w:pPr>
  </w:style>
  <w:style w:type="paragraph" w:customStyle="1" w:styleId="borNormal">
    <w:name w:val="bor_Normal"/>
    <w:basedOn w:val="Normaali"/>
    <w:qFormat/>
    <w:rsid w:val="006302B0"/>
    <w:pPr>
      <w:spacing w:after="10"/>
    </w:pPr>
    <w:rPr>
      <w:rFonts w:asciiTheme="minorHAnsi" w:eastAsiaTheme="minorHAnsi" w:hAnsiTheme="minorHAnsi" w:cstheme="minorHAnsi"/>
      <w:sz w:val="20"/>
      <w:szCs w:val="22"/>
      <w:lang w:val="en-GB" w:eastAsia="en-US"/>
    </w:rPr>
  </w:style>
  <w:style w:type="character" w:styleId="Voimakas">
    <w:name w:val="Strong"/>
    <w:basedOn w:val="Kappaleenoletusfontti"/>
    <w:uiPriority w:val="99"/>
    <w:qFormat/>
    <w:locked/>
    <w:rsid w:val="001209F1"/>
    <w:rPr>
      <w:b/>
      <w:bCs/>
    </w:rPr>
  </w:style>
  <w:style w:type="character" w:customStyle="1" w:styleId="sc-54gkrg-0">
    <w:name w:val="sc-54gkrg-0"/>
    <w:basedOn w:val="Kappaleenoletusfontti"/>
    <w:rsid w:val="005A16D1"/>
  </w:style>
  <w:style w:type="paragraph" w:customStyle="1" w:styleId="sc-1kqvxer-0">
    <w:name w:val="sc-1kqvxer-0"/>
    <w:basedOn w:val="Normaali"/>
    <w:rsid w:val="005A16D1"/>
    <w:pPr>
      <w:spacing w:before="100" w:beforeAutospacing="1" w:after="100" w:afterAutospacing="1"/>
    </w:pPr>
    <w:rPr>
      <w:rFonts w:ascii="Times New Roman" w:hAnsi="Times New Roman"/>
      <w:szCs w:val="24"/>
    </w:rPr>
  </w:style>
  <w:style w:type="paragraph" w:styleId="Merkittyluettelo">
    <w:name w:val="List Bullet"/>
    <w:basedOn w:val="Normaali"/>
    <w:uiPriority w:val="99"/>
    <w:semiHidden/>
    <w:unhideWhenUsed/>
    <w:rsid w:val="00231093"/>
    <w:pPr>
      <w:spacing w:before="120" w:after="120"/>
      <w:jc w:val="both"/>
    </w:pPr>
    <w:rPr>
      <w:rFonts w:ascii="Arial" w:eastAsiaTheme="minorHAnsi" w:hAnsi="Arial" w:cs="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1296">
      <w:bodyDiv w:val="1"/>
      <w:marLeft w:val="0"/>
      <w:marRight w:val="0"/>
      <w:marTop w:val="0"/>
      <w:marBottom w:val="0"/>
      <w:divBdr>
        <w:top w:val="none" w:sz="0" w:space="0" w:color="auto"/>
        <w:left w:val="none" w:sz="0" w:space="0" w:color="auto"/>
        <w:bottom w:val="none" w:sz="0" w:space="0" w:color="auto"/>
        <w:right w:val="none" w:sz="0" w:space="0" w:color="auto"/>
      </w:divBdr>
    </w:div>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100613170">
      <w:bodyDiv w:val="1"/>
      <w:marLeft w:val="0"/>
      <w:marRight w:val="0"/>
      <w:marTop w:val="0"/>
      <w:marBottom w:val="0"/>
      <w:divBdr>
        <w:top w:val="none" w:sz="0" w:space="0" w:color="auto"/>
        <w:left w:val="none" w:sz="0" w:space="0" w:color="auto"/>
        <w:bottom w:val="none" w:sz="0" w:space="0" w:color="auto"/>
        <w:right w:val="none" w:sz="0" w:space="0" w:color="auto"/>
      </w:divBdr>
      <w:divsChild>
        <w:div w:id="586963230">
          <w:marLeft w:val="0"/>
          <w:marRight w:val="0"/>
          <w:marTop w:val="0"/>
          <w:marBottom w:val="0"/>
          <w:divBdr>
            <w:top w:val="none" w:sz="0" w:space="0" w:color="auto"/>
            <w:left w:val="none" w:sz="0" w:space="0" w:color="auto"/>
            <w:bottom w:val="none" w:sz="0" w:space="0" w:color="auto"/>
            <w:right w:val="none" w:sz="0" w:space="0" w:color="auto"/>
          </w:divBdr>
          <w:divsChild>
            <w:div w:id="685862263">
              <w:marLeft w:val="0"/>
              <w:marRight w:val="0"/>
              <w:marTop w:val="0"/>
              <w:marBottom w:val="0"/>
              <w:divBdr>
                <w:top w:val="none" w:sz="0" w:space="0" w:color="auto"/>
                <w:left w:val="none" w:sz="0" w:space="0" w:color="auto"/>
                <w:bottom w:val="none" w:sz="0" w:space="0" w:color="auto"/>
                <w:right w:val="none" w:sz="0" w:space="0" w:color="auto"/>
              </w:divBdr>
              <w:divsChild>
                <w:div w:id="1685862318">
                  <w:marLeft w:val="0"/>
                  <w:marRight w:val="0"/>
                  <w:marTop w:val="0"/>
                  <w:marBottom w:val="0"/>
                  <w:divBdr>
                    <w:top w:val="none" w:sz="0" w:space="0" w:color="auto"/>
                    <w:left w:val="none" w:sz="0" w:space="0" w:color="auto"/>
                    <w:bottom w:val="none" w:sz="0" w:space="0" w:color="auto"/>
                    <w:right w:val="none" w:sz="0" w:space="0" w:color="auto"/>
                  </w:divBdr>
                  <w:divsChild>
                    <w:div w:id="2008902105">
                      <w:marLeft w:val="0"/>
                      <w:marRight w:val="0"/>
                      <w:marTop w:val="0"/>
                      <w:marBottom w:val="0"/>
                      <w:divBdr>
                        <w:top w:val="none" w:sz="0" w:space="0" w:color="auto"/>
                        <w:left w:val="none" w:sz="0" w:space="0" w:color="auto"/>
                        <w:bottom w:val="none" w:sz="0" w:space="0" w:color="auto"/>
                        <w:right w:val="none" w:sz="0" w:space="0" w:color="auto"/>
                      </w:divBdr>
                      <w:divsChild>
                        <w:div w:id="1047413024">
                          <w:marLeft w:val="0"/>
                          <w:marRight w:val="0"/>
                          <w:marTop w:val="0"/>
                          <w:marBottom w:val="0"/>
                          <w:divBdr>
                            <w:top w:val="none" w:sz="0" w:space="0" w:color="auto"/>
                            <w:left w:val="none" w:sz="0" w:space="0" w:color="auto"/>
                            <w:bottom w:val="none" w:sz="0" w:space="0" w:color="auto"/>
                            <w:right w:val="none" w:sz="0" w:space="0" w:color="auto"/>
                          </w:divBdr>
                          <w:divsChild>
                            <w:div w:id="434254293">
                              <w:marLeft w:val="0"/>
                              <w:marRight w:val="0"/>
                              <w:marTop w:val="0"/>
                              <w:marBottom w:val="0"/>
                              <w:divBdr>
                                <w:top w:val="none" w:sz="0" w:space="0" w:color="auto"/>
                                <w:left w:val="none" w:sz="0" w:space="0" w:color="auto"/>
                                <w:bottom w:val="none" w:sz="0" w:space="0" w:color="auto"/>
                                <w:right w:val="none" w:sz="0" w:space="0" w:color="auto"/>
                              </w:divBdr>
                              <w:divsChild>
                                <w:div w:id="2089889092">
                                  <w:marLeft w:val="0"/>
                                  <w:marRight w:val="0"/>
                                  <w:marTop w:val="0"/>
                                  <w:marBottom w:val="0"/>
                                  <w:divBdr>
                                    <w:top w:val="none" w:sz="0" w:space="0" w:color="auto"/>
                                    <w:left w:val="none" w:sz="0" w:space="0" w:color="auto"/>
                                    <w:bottom w:val="none" w:sz="0" w:space="0" w:color="auto"/>
                                    <w:right w:val="none" w:sz="0" w:space="0" w:color="auto"/>
                                  </w:divBdr>
                                  <w:divsChild>
                                    <w:div w:id="7270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0217">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498615765">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7849">
      <w:bodyDiv w:val="1"/>
      <w:marLeft w:val="0"/>
      <w:marRight w:val="0"/>
      <w:marTop w:val="0"/>
      <w:marBottom w:val="0"/>
      <w:divBdr>
        <w:top w:val="none" w:sz="0" w:space="0" w:color="auto"/>
        <w:left w:val="none" w:sz="0" w:space="0" w:color="auto"/>
        <w:bottom w:val="none" w:sz="0" w:space="0" w:color="auto"/>
        <w:right w:val="none" w:sz="0" w:space="0" w:color="auto"/>
      </w:divBdr>
      <w:divsChild>
        <w:div w:id="554974007">
          <w:marLeft w:val="0"/>
          <w:marRight w:val="0"/>
          <w:marTop w:val="0"/>
          <w:marBottom w:val="0"/>
          <w:divBdr>
            <w:top w:val="none" w:sz="0" w:space="0" w:color="auto"/>
            <w:left w:val="none" w:sz="0" w:space="0" w:color="auto"/>
            <w:bottom w:val="none" w:sz="0" w:space="0" w:color="auto"/>
            <w:right w:val="none" w:sz="0" w:space="0" w:color="auto"/>
          </w:divBdr>
          <w:divsChild>
            <w:div w:id="1292246169">
              <w:marLeft w:val="0"/>
              <w:marRight w:val="0"/>
              <w:marTop w:val="0"/>
              <w:marBottom w:val="0"/>
              <w:divBdr>
                <w:top w:val="none" w:sz="0" w:space="0" w:color="auto"/>
                <w:left w:val="none" w:sz="0" w:space="0" w:color="auto"/>
                <w:bottom w:val="none" w:sz="0" w:space="0" w:color="auto"/>
                <w:right w:val="none" w:sz="0" w:space="0" w:color="auto"/>
              </w:divBdr>
              <w:divsChild>
                <w:div w:id="578953377">
                  <w:marLeft w:val="0"/>
                  <w:marRight w:val="0"/>
                  <w:marTop w:val="0"/>
                  <w:marBottom w:val="0"/>
                  <w:divBdr>
                    <w:top w:val="none" w:sz="0" w:space="0" w:color="auto"/>
                    <w:left w:val="none" w:sz="0" w:space="0" w:color="auto"/>
                    <w:bottom w:val="none" w:sz="0" w:space="0" w:color="auto"/>
                    <w:right w:val="none" w:sz="0" w:space="0" w:color="auto"/>
                  </w:divBdr>
                  <w:divsChild>
                    <w:div w:id="759330702">
                      <w:marLeft w:val="0"/>
                      <w:marRight w:val="0"/>
                      <w:marTop w:val="0"/>
                      <w:marBottom w:val="0"/>
                      <w:divBdr>
                        <w:top w:val="none" w:sz="0" w:space="0" w:color="auto"/>
                        <w:left w:val="none" w:sz="0" w:space="0" w:color="auto"/>
                        <w:bottom w:val="none" w:sz="0" w:space="0" w:color="auto"/>
                        <w:right w:val="none" w:sz="0" w:space="0" w:color="auto"/>
                      </w:divBdr>
                      <w:divsChild>
                        <w:div w:id="1691637971">
                          <w:marLeft w:val="0"/>
                          <w:marRight w:val="0"/>
                          <w:marTop w:val="0"/>
                          <w:marBottom w:val="0"/>
                          <w:divBdr>
                            <w:top w:val="none" w:sz="0" w:space="0" w:color="auto"/>
                            <w:left w:val="none" w:sz="0" w:space="0" w:color="auto"/>
                            <w:bottom w:val="none" w:sz="0" w:space="0" w:color="auto"/>
                            <w:right w:val="none" w:sz="0" w:space="0" w:color="auto"/>
                          </w:divBdr>
                          <w:divsChild>
                            <w:div w:id="117719741">
                              <w:marLeft w:val="0"/>
                              <w:marRight w:val="0"/>
                              <w:marTop w:val="0"/>
                              <w:marBottom w:val="0"/>
                              <w:divBdr>
                                <w:top w:val="none" w:sz="0" w:space="0" w:color="auto"/>
                                <w:left w:val="none" w:sz="0" w:space="0" w:color="auto"/>
                                <w:bottom w:val="none" w:sz="0" w:space="0" w:color="auto"/>
                                <w:right w:val="none" w:sz="0" w:space="0" w:color="auto"/>
                              </w:divBdr>
                              <w:divsChild>
                                <w:div w:id="14415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298125">
      <w:bodyDiv w:val="1"/>
      <w:marLeft w:val="0"/>
      <w:marRight w:val="0"/>
      <w:marTop w:val="0"/>
      <w:marBottom w:val="0"/>
      <w:divBdr>
        <w:top w:val="none" w:sz="0" w:space="0" w:color="auto"/>
        <w:left w:val="none" w:sz="0" w:space="0" w:color="auto"/>
        <w:bottom w:val="none" w:sz="0" w:space="0" w:color="auto"/>
        <w:right w:val="none" w:sz="0" w:space="0" w:color="auto"/>
      </w:divBdr>
    </w:div>
    <w:div w:id="1361276981">
      <w:bodyDiv w:val="1"/>
      <w:marLeft w:val="0"/>
      <w:marRight w:val="0"/>
      <w:marTop w:val="0"/>
      <w:marBottom w:val="0"/>
      <w:divBdr>
        <w:top w:val="none" w:sz="0" w:space="0" w:color="auto"/>
        <w:left w:val="none" w:sz="0" w:space="0" w:color="auto"/>
        <w:bottom w:val="none" w:sz="0" w:space="0" w:color="auto"/>
        <w:right w:val="none" w:sz="0" w:space="0" w:color="auto"/>
      </w:divBdr>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554345905">
      <w:bodyDiv w:val="1"/>
      <w:marLeft w:val="0"/>
      <w:marRight w:val="0"/>
      <w:marTop w:val="0"/>
      <w:marBottom w:val="0"/>
      <w:divBdr>
        <w:top w:val="none" w:sz="0" w:space="0" w:color="auto"/>
        <w:left w:val="none" w:sz="0" w:space="0" w:color="auto"/>
        <w:bottom w:val="none" w:sz="0" w:space="0" w:color="auto"/>
        <w:right w:val="none" w:sz="0" w:space="0" w:color="auto"/>
      </w:divBdr>
      <w:divsChild>
        <w:div w:id="444274088">
          <w:marLeft w:val="0"/>
          <w:marRight w:val="0"/>
          <w:marTop w:val="0"/>
          <w:marBottom w:val="0"/>
          <w:divBdr>
            <w:top w:val="single" w:sz="2" w:space="0" w:color="BBBBBB"/>
            <w:left w:val="single" w:sz="6" w:space="0" w:color="BBBBBB"/>
            <w:bottom w:val="single" w:sz="6" w:space="0" w:color="BBBBBB"/>
            <w:right w:val="single" w:sz="6" w:space="0" w:color="BBBBBB"/>
          </w:divBdr>
          <w:divsChild>
            <w:div w:id="224726481">
              <w:marLeft w:val="0"/>
              <w:marRight w:val="0"/>
              <w:marTop w:val="0"/>
              <w:marBottom w:val="0"/>
              <w:divBdr>
                <w:top w:val="none" w:sz="0" w:space="0" w:color="auto"/>
                <w:left w:val="none" w:sz="0" w:space="0" w:color="auto"/>
                <w:bottom w:val="none" w:sz="0" w:space="0" w:color="auto"/>
                <w:right w:val="none" w:sz="0" w:space="0" w:color="auto"/>
              </w:divBdr>
              <w:divsChild>
                <w:div w:id="1161391956">
                  <w:marLeft w:val="0"/>
                  <w:marRight w:val="0"/>
                  <w:marTop w:val="0"/>
                  <w:marBottom w:val="0"/>
                  <w:divBdr>
                    <w:top w:val="none" w:sz="0" w:space="0" w:color="auto"/>
                    <w:left w:val="none" w:sz="0" w:space="0" w:color="auto"/>
                    <w:bottom w:val="none" w:sz="0" w:space="0" w:color="auto"/>
                    <w:right w:val="none" w:sz="0" w:space="0" w:color="auto"/>
                  </w:divBdr>
                  <w:divsChild>
                    <w:div w:id="427769999">
                      <w:marLeft w:val="0"/>
                      <w:marRight w:val="0"/>
                      <w:marTop w:val="0"/>
                      <w:marBottom w:val="0"/>
                      <w:divBdr>
                        <w:top w:val="none" w:sz="0" w:space="0" w:color="auto"/>
                        <w:left w:val="none" w:sz="0" w:space="0" w:color="auto"/>
                        <w:bottom w:val="none" w:sz="0" w:space="0" w:color="auto"/>
                        <w:right w:val="none" w:sz="0" w:space="0" w:color="auto"/>
                      </w:divBdr>
                      <w:divsChild>
                        <w:div w:id="130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400">
      <w:bodyDiv w:val="1"/>
      <w:marLeft w:val="0"/>
      <w:marRight w:val="0"/>
      <w:marTop w:val="0"/>
      <w:marBottom w:val="0"/>
      <w:divBdr>
        <w:top w:val="none" w:sz="0" w:space="0" w:color="auto"/>
        <w:left w:val="none" w:sz="0" w:space="0" w:color="auto"/>
        <w:bottom w:val="none" w:sz="0" w:space="0" w:color="auto"/>
        <w:right w:val="none" w:sz="0" w:space="0" w:color="auto"/>
      </w:divBdr>
    </w:div>
    <w:div w:id="1589729527">
      <w:bodyDiv w:val="1"/>
      <w:marLeft w:val="0"/>
      <w:marRight w:val="0"/>
      <w:marTop w:val="0"/>
      <w:marBottom w:val="0"/>
      <w:divBdr>
        <w:top w:val="none" w:sz="0" w:space="0" w:color="auto"/>
        <w:left w:val="none" w:sz="0" w:space="0" w:color="auto"/>
        <w:bottom w:val="none" w:sz="0" w:space="0" w:color="auto"/>
        <w:right w:val="none" w:sz="0" w:space="0" w:color="auto"/>
      </w:divBdr>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1903901670">
      <w:bodyDiv w:val="1"/>
      <w:marLeft w:val="0"/>
      <w:marRight w:val="0"/>
      <w:marTop w:val="0"/>
      <w:marBottom w:val="0"/>
      <w:divBdr>
        <w:top w:val="none" w:sz="0" w:space="0" w:color="auto"/>
        <w:left w:val="none" w:sz="0" w:space="0" w:color="auto"/>
        <w:bottom w:val="none" w:sz="0" w:space="0" w:color="auto"/>
        <w:right w:val="none" w:sz="0" w:space="0" w:color="auto"/>
      </w:divBdr>
      <w:divsChild>
        <w:div w:id="363023915">
          <w:marLeft w:val="0"/>
          <w:marRight w:val="0"/>
          <w:marTop w:val="0"/>
          <w:marBottom w:val="0"/>
          <w:divBdr>
            <w:top w:val="none" w:sz="0" w:space="0" w:color="auto"/>
            <w:left w:val="none" w:sz="0" w:space="0" w:color="auto"/>
            <w:bottom w:val="none" w:sz="0" w:space="0" w:color="auto"/>
            <w:right w:val="none" w:sz="0" w:space="0" w:color="auto"/>
          </w:divBdr>
          <w:divsChild>
            <w:div w:id="1985576499">
              <w:marLeft w:val="0"/>
              <w:marRight w:val="0"/>
              <w:marTop w:val="0"/>
              <w:marBottom w:val="0"/>
              <w:divBdr>
                <w:top w:val="none" w:sz="0" w:space="0" w:color="auto"/>
                <w:left w:val="none" w:sz="0" w:space="0" w:color="auto"/>
                <w:bottom w:val="none" w:sz="0" w:space="0" w:color="auto"/>
                <w:right w:val="none" w:sz="0" w:space="0" w:color="auto"/>
              </w:divBdr>
              <w:divsChild>
                <w:div w:id="1325670305">
                  <w:marLeft w:val="0"/>
                  <w:marRight w:val="0"/>
                  <w:marTop w:val="0"/>
                  <w:marBottom w:val="0"/>
                  <w:divBdr>
                    <w:top w:val="none" w:sz="0" w:space="0" w:color="auto"/>
                    <w:left w:val="none" w:sz="0" w:space="0" w:color="auto"/>
                    <w:bottom w:val="none" w:sz="0" w:space="0" w:color="auto"/>
                    <w:right w:val="none" w:sz="0" w:space="0" w:color="auto"/>
                  </w:divBdr>
                  <w:divsChild>
                    <w:div w:id="1750074107">
                      <w:marLeft w:val="0"/>
                      <w:marRight w:val="0"/>
                      <w:marTop w:val="0"/>
                      <w:marBottom w:val="0"/>
                      <w:divBdr>
                        <w:top w:val="none" w:sz="0" w:space="0" w:color="auto"/>
                        <w:left w:val="none" w:sz="0" w:space="0" w:color="auto"/>
                        <w:bottom w:val="none" w:sz="0" w:space="0" w:color="auto"/>
                        <w:right w:val="none" w:sz="0" w:space="0" w:color="auto"/>
                      </w:divBdr>
                      <w:divsChild>
                        <w:div w:id="1673751038">
                          <w:marLeft w:val="0"/>
                          <w:marRight w:val="0"/>
                          <w:marTop w:val="0"/>
                          <w:marBottom w:val="0"/>
                          <w:divBdr>
                            <w:top w:val="none" w:sz="0" w:space="0" w:color="auto"/>
                            <w:left w:val="none" w:sz="0" w:space="0" w:color="auto"/>
                            <w:bottom w:val="none" w:sz="0" w:space="0" w:color="auto"/>
                            <w:right w:val="none" w:sz="0" w:space="0" w:color="auto"/>
                          </w:divBdr>
                          <w:divsChild>
                            <w:div w:id="742721636">
                              <w:marLeft w:val="0"/>
                              <w:marRight w:val="0"/>
                              <w:marTop w:val="0"/>
                              <w:marBottom w:val="0"/>
                              <w:divBdr>
                                <w:top w:val="none" w:sz="0" w:space="0" w:color="auto"/>
                                <w:left w:val="none" w:sz="0" w:space="0" w:color="auto"/>
                                <w:bottom w:val="none" w:sz="0" w:space="0" w:color="auto"/>
                                <w:right w:val="none" w:sz="0" w:space="0" w:color="auto"/>
                              </w:divBdr>
                              <w:divsChild>
                                <w:div w:id="1489204697">
                                  <w:marLeft w:val="0"/>
                                  <w:marRight w:val="0"/>
                                  <w:marTop w:val="0"/>
                                  <w:marBottom w:val="0"/>
                                  <w:divBdr>
                                    <w:top w:val="none" w:sz="0" w:space="0" w:color="auto"/>
                                    <w:left w:val="none" w:sz="0" w:space="0" w:color="auto"/>
                                    <w:bottom w:val="none" w:sz="0" w:space="0" w:color="auto"/>
                                    <w:right w:val="none" w:sz="0" w:space="0" w:color="auto"/>
                                  </w:divBdr>
                                  <w:divsChild>
                                    <w:div w:id="19967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54186332">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B7422386B88D744BC2025971505BA2C" ma:contentTypeVersion="10" ma:contentTypeDescription="Luo uusi asiakirja." ma:contentTypeScope="" ma:versionID="b2f1566cf9373f11fa021ba066f8496f">
  <xsd:schema xmlns:xsd="http://www.w3.org/2001/XMLSchema" xmlns:xs="http://www.w3.org/2001/XMLSchema" xmlns:p="http://schemas.microsoft.com/office/2006/metadata/properties" xmlns:ns2="6e625e39-5c7a-4490-aee4-fbc6b137913a" targetNamespace="http://schemas.microsoft.com/office/2006/metadata/properties" ma:root="true" ma:fieldsID="230a84dab15784cc7af54b74e931dbcd" ns2:_="">
    <xsd:import namespace="6e625e39-5c7a-4490-aee4-fbc6b1379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25e39-5c7a-4490-aee4-fbc6b1379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CB53-D141-4E44-A311-765A4313EBE8}">
  <ds:schemaRefs>
    <ds:schemaRef ds:uri="http://schemas.microsoft.com/sharepoint/v3/contenttype/forms"/>
  </ds:schemaRefs>
</ds:datastoreItem>
</file>

<file path=customXml/itemProps2.xml><?xml version="1.0" encoding="utf-8"?>
<ds:datastoreItem xmlns:ds="http://schemas.openxmlformats.org/officeDocument/2006/customXml" ds:itemID="{C955126E-7BDC-47B9-8E57-C6AA7A43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25e39-5c7a-4490-aee4-fbc6b1379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BF314-291C-4597-A899-950448932B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625C2-B57C-4480-A3D8-1C7E8485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Template>
  <TotalTime>1</TotalTime>
  <Pages>6</Pages>
  <Words>2439</Words>
  <Characters>19763</Characters>
  <Application>Microsoft Office Word</Application>
  <DocSecurity>4</DocSecurity>
  <Lines>164</Lines>
  <Paragraphs>44</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Repo Armi</cp:lastModifiedBy>
  <cp:revision>2</cp:revision>
  <cp:lastPrinted>2020-02-27T07:16:00Z</cp:lastPrinted>
  <dcterms:created xsi:type="dcterms:W3CDTF">2020-05-08T03:40:00Z</dcterms:created>
  <dcterms:modified xsi:type="dcterms:W3CDTF">2020-05-08T03:40:00Z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0x0101002B7422386B88D744BC2025971505BA2C</vt:lpwstr>
  </property>
</Properties>
</file>