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307A" w14:textId="77777777" w:rsidR="00FE4E27" w:rsidRPr="00FE4E27" w:rsidRDefault="00DE457C" w:rsidP="00FE4E27">
      <w:pPr>
        <w:spacing w:line="240" w:lineRule="auto"/>
        <w:rPr>
          <w:rFonts w:ascii="Arial" w:hAnsi="Arial" w:cs="Arial"/>
          <w:b/>
          <w:bCs/>
          <w:lang w:val="en-GB"/>
        </w:rPr>
      </w:pPr>
      <w:r w:rsidRPr="00FE4E27">
        <w:rPr>
          <w:rFonts w:ascii="Arial" w:hAnsi="Arial" w:cs="Arial"/>
          <w:b/>
          <w:bCs/>
          <w:lang w:val="en-US"/>
        </w:rPr>
        <w:t>Photo caption</w:t>
      </w:r>
      <w:r w:rsidR="00FE4E27" w:rsidRPr="00FE4E27">
        <w:rPr>
          <w:rFonts w:ascii="Arial" w:hAnsi="Arial" w:cs="Arial"/>
          <w:b/>
          <w:bCs/>
          <w:lang w:val="en-US"/>
        </w:rPr>
        <w:t xml:space="preserve"> - </w:t>
      </w:r>
      <w:r w:rsidR="00FE4E27" w:rsidRPr="00FE4E27">
        <w:rPr>
          <w:rFonts w:ascii="Arial" w:hAnsi="Arial" w:cs="Arial"/>
          <w:b/>
          <w:bCs/>
          <w:lang w:val="en-GB"/>
        </w:rPr>
        <w:t xml:space="preserve">IMCD UK expands its industrial footprint with the acquisition of Orange Chemicals </w:t>
      </w:r>
    </w:p>
    <w:p w14:paraId="5DB5FDEA" w14:textId="57D39382" w:rsidR="00985AA7" w:rsidRPr="00FE4E27" w:rsidRDefault="00000000">
      <w:pPr>
        <w:rPr>
          <w:rFonts w:ascii="Arial" w:hAnsi="Arial" w:cs="Arial"/>
          <w:lang w:val="en-GB"/>
        </w:rPr>
      </w:pPr>
    </w:p>
    <w:p w14:paraId="5C925817" w14:textId="77777777" w:rsidR="00DE457C" w:rsidRPr="00FE4E27" w:rsidRDefault="00DE457C" w:rsidP="00DE457C">
      <w:pPr>
        <w:rPr>
          <w:rFonts w:ascii="Arial" w:hAnsi="Arial" w:cs="Arial"/>
          <w:lang w:val="en-GB"/>
        </w:rPr>
      </w:pPr>
      <w:r w:rsidRPr="00FE4E27">
        <w:rPr>
          <w:rFonts w:ascii="Arial" w:hAnsi="Arial" w:cs="Arial"/>
          <w:lang w:val="en-GB"/>
        </w:rPr>
        <w:t>Standing (left to right) – Richard Mell, Finance Director, IMCD UK; Fenna van Zanten, Director M&amp;A, IMCD Group; Ann Millett, Company Secretary, Orange Chemicals; David Robinson, Business Unit Manager, IMCD UK</w:t>
      </w:r>
    </w:p>
    <w:p w14:paraId="754A63E3" w14:textId="77777777" w:rsidR="00DE457C" w:rsidRPr="00FE4E27" w:rsidRDefault="00DE457C" w:rsidP="00DE457C">
      <w:pPr>
        <w:rPr>
          <w:rFonts w:ascii="Arial" w:hAnsi="Arial" w:cs="Arial"/>
          <w:lang w:val="en-GB"/>
        </w:rPr>
      </w:pPr>
      <w:r w:rsidRPr="00FE4E27">
        <w:rPr>
          <w:rFonts w:ascii="Arial" w:hAnsi="Arial" w:cs="Arial"/>
          <w:lang w:val="en-GB"/>
        </w:rPr>
        <w:t xml:space="preserve">Sitting (left to right) – Paul Hanbury, Managing Director, IMCD UK; John Millett, Managing Director, Orange Chemicals </w:t>
      </w:r>
    </w:p>
    <w:p w14:paraId="41E6ED22" w14:textId="77777777" w:rsidR="00DE457C" w:rsidRPr="00FE4E27" w:rsidRDefault="00DE457C" w:rsidP="00DE457C">
      <w:pPr>
        <w:rPr>
          <w:rFonts w:ascii="Arial" w:hAnsi="Arial" w:cs="Arial"/>
          <w:lang w:val="en-GB"/>
        </w:rPr>
      </w:pPr>
    </w:p>
    <w:p w14:paraId="61497B38" w14:textId="77777777" w:rsidR="00DE457C" w:rsidRPr="00DE457C" w:rsidRDefault="00DE457C">
      <w:pPr>
        <w:rPr>
          <w:lang w:val="en-GB"/>
        </w:rPr>
      </w:pPr>
    </w:p>
    <w:sectPr w:rsidR="00DE457C" w:rsidRPr="00DE4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7C"/>
    <w:rsid w:val="00604E65"/>
    <w:rsid w:val="00DE457C"/>
    <w:rsid w:val="00F82D19"/>
    <w:rsid w:val="00FE4E27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06719B"/>
  <w15:chartTrackingRefBased/>
  <w15:docId w15:val="{08C4ABC0-0D7A-46DA-9FDB-E99B8590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2</cp:revision>
  <dcterms:created xsi:type="dcterms:W3CDTF">2023-02-28T13:19:00Z</dcterms:created>
  <dcterms:modified xsi:type="dcterms:W3CDTF">2023-02-28T14:22:00Z</dcterms:modified>
</cp:coreProperties>
</file>