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8247CB2"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w:t>
            </w:r>
            <w:proofErr w:type="spellStart"/>
            <w:r w:rsidR="005A033E" w:rsidRPr="005A033E">
              <w:rPr>
                <w:rFonts w:ascii="Tahoma" w:hAnsi="Tahoma" w:cs="Tahoma"/>
                <w:sz w:val="20"/>
                <w:szCs w:val="20"/>
                <w:shd w:val="clear" w:color="auto" w:fill="FFFFFF"/>
                <w:lang w:val="en-US"/>
              </w:rPr>
              <w:t>Manerheimo</w:t>
            </w:r>
            <w:proofErr w:type="spellEnd"/>
            <w:r w:rsidR="005A033E" w:rsidRPr="005A033E">
              <w:rPr>
                <w:rFonts w:ascii="Tahoma" w:hAnsi="Tahoma" w:cs="Tahoma"/>
                <w:sz w:val="20"/>
                <w:szCs w:val="20"/>
                <w:shd w:val="clear" w:color="auto" w:fill="FFFFFF"/>
                <w:lang w:val="en-US"/>
              </w:rPr>
              <w:t xml:space="preserve"> g.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proofErr w:type="gramStart"/>
            <w:r w:rsidR="005C3513" w:rsidRPr="00C737C7">
              <w:rPr>
                <w:rFonts w:ascii="Tahoma" w:hAnsi="Tahoma" w:cs="Tahoma"/>
                <w:b w:val="0"/>
                <w:color w:val="000000"/>
                <w:sz w:val="20"/>
                <w:shd w:val="clear" w:color="auto" w:fill="FFFFFF"/>
                <w:lang w:val="en-US"/>
              </w:rPr>
              <w:t>hereinafter</w:t>
            </w:r>
            <w:proofErr w:type="gramEnd"/>
            <w:r w:rsidR="005C3513" w:rsidRPr="00C737C7">
              <w:rPr>
                <w:rFonts w:ascii="Tahoma" w:hAnsi="Tahoma" w:cs="Tahoma"/>
                <w:b w:val="0"/>
                <w:color w:val="000000"/>
                <w:sz w:val="20"/>
                <w:shd w:val="clear" w:color="auto" w:fill="FFFFFF"/>
                <w:lang w:val="en-US"/>
              </w:rPr>
              <w:t xml:space="preserve">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69D3C961"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6A501D">
        <w:rPr>
          <w:rFonts w:ascii="Tahoma" w:hAnsi="Tahoma" w:cs="Tahoma"/>
          <w:b/>
          <w:bCs/>
          <w:sz w:val="20"/>
          <w:szCs w:val="20"/>
          <w:lang w:val="en-US"/>
        </w:rPr>
        <w:t>11</w:t>
      </w:r>
      <w:r w:rsidR="005B6343" w:rsidRPr="00C737C7">
        <w:rPr>
          <w:rFonts w:ascii="Tahoma" w:hAnsi="Tahoma" w:cs="Tahoma"/>
          <w:b/>
          <w:bCs/>
          <w:sz w:val="20"/>
          <w:szCs w:val="20"/>
          <w:lang w:val="en-US"/>
        </w:rPr>
        <w:t xml:space="preserve"> APRIL</w:t>
      </w:r>
      <w:r w:rsidRPr="00C737C7">
        <w:rPr>
          <w:rFonts w:ascii="Tahoma" w:hAnsi="Tahoma" w:cs="Tahoma"/>
          <w:b/>
          <w:bCs/>
          <w:sz w:val="20"/>
          <w:szCs w:val="20"/>
          <w:lang w:val="en-US"/>
        </w:rPr>
        <w:t xml:space="preserve"> 202</w:t>
      </w:r>
      <w:r w:rsidR="006A501D">
        <w:rPr>
          <w:rFonts w:ascii="Tahoma" w:hAnsi="Tahoma" w:cs="Tahoma"/>
          <w:b/>
          <w:bCs/>
          <w:sz w:val="20"/>
          <w:szCs w:val="20"/>
          <w:lang w:val="en-US"/>
        </w:rPr>
        <w:t>3</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26189652" w14:textId="77777777" w:rsidTr="002A6CA6">
        <w:trPr>
          <w:trHeight w:val="668"/>
        </w:trPr>
        <w:tc>
          <w:tcPr>
            <w:tcW w:w="709" w:type="dxa"/>
            <w:vAlign w:val="center"/>
          </w:tcPr>
          <w:p w14:paraId="062AE6DF" w14:textId="403DC5F4"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36E79C4E" w14:textId="704964A3" w:rsidR="005B6343" w:rsidRPr="00C737C7" w:rsidRDefault="00C03925" w:rsidP="005B6343">
            <w:pPr>
              <w:spacing w:before="40" w:after="40" w:line="240" w:lineRule="exact"/>
              <w:rPr>
                <w:rFonts w:ascii="Tahoma" w:hAnsi="Tahoma" w:cs="Tahoma"/>
                <w:b/>
                <w:bCs/>
                <w:sz w:val="20"/>
                <w:szCs w:val="20"/>
                <w:lang w:val="en-US"/>
              </w:rPr>
            </w:pPr>
            <w:r>
              <w:rPr>
                <w:rFonts w:ascii="Tahoma" w:hAnsi="Tahoma" w:cs="Tahoma"/>
                <w:sz w:val="20"/>
                <w:szCs w:val="20"/>
                <w:lang w:val="en-US"/>
              </w:rPr>
              <w:t>L</w:t>
            </w:r>
            <w:r w:rsidRPr="00C03925">
              <w:rPr>
                <w:rFonts w:ascii="Tahoma" w:hAnsi="Tahoma" w:cs="Tahoma"/>
                <w:sz w:val="20"/>
                <w:szCs w:val="20"/>
                <w:lang w:val="en-US"/>
              </w:rPr>
              <w:t>ITGRID AB annual report for 2022.</w:t>
            </w:r>
          </w:p>
        </w:tc>
        <w:tc>
          <w:tcPr>
            <w:tcW w:w="3826" w:type="dxa"/>
            <w:vAlign w:val="center"/>
          </w:tcPr>
          <w:p w14:paraId="6E642504" w14:textId="2E2172D5" w:rsidR="005B6343" w:rsidRPr="00C737C7" w:rsidRDefault="00C03925" w:rsidP="005A033E">
            <w:pPr>
              <w:spacing w:before="40" w:after="40" w:line="240" w:lineRule="exact"/>
              <w:jc w:val="both"/>
              <w:rPr>
                <w:rFonts w:ascii="Tahoma" w:hAnsi="Tahoma" w:cs="Tahoma"/>
                <w:b/>
                <w:bCs/>
                <w:sz w:val="20"/>
                <w:szCs w:val="20"/>
                <w:lang w:val="en-US"/>
              </w:rPr>
            </w:pPr>
            <w:r w:rsidRPr="00C03925">
              <w:rPr>
                <w:rFonts w:ascii="Tahoma" w:hAnsi="Tahoma" w:cs="Tahoma"/>
                <w:bCs/>
                <w:iCs/>
                <w:sz w:val="20"/>
                <w:szCs w:val="20"/>
                <w:lang w:val="en-US"/>
              </w:rPr>
              <w:t>“The decision of the General Meeting of Shareholders is not required. The Board submits the annual report for 2022 for hearing at the general meeting of shareholders (annexed)”.</w:t>
            </w:r>
          </w:p>
        </w:tc>
        <w:tc>
          <w:tcPr>
            <w:tcW w:w="2555" w:type="dxa"/>
            <w:gridSpan w:val="2"/>
            <w:vAlign w:val="center"/>
          </w:tcPr>
          <w:p w14:paraId="12ECEBA3" w14:textId="3F8F07C2" w:rsidR="005B6343" w:rsidRPr="00C737C7" w:rsidRDefault="005B6343" w:rsidP="005B6343">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w:t>
            </w:r>
          </w:p>
        </w:tc>
      </w:tr>
      <w:tr w:rsidR="005B6343" w:rsidRPr="00914286" w14:paraId="16A778B6" w14:textId="77777777" w:rsidTr="002A6CA6">
        <w:trPr>
          <w:trHeight w:val="668"/>
        </w:trPr>
        <w:tc>
          <w:tcPr>
            <w:tcW w:w="709" w:type="dxa"/>
            <w:vAlign w:val="center"/>
          </w:tcPr>
          <w:p w14:paraId="68ADDF65"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716004FF" w14:textId="021A1032" w:rsidR="005B6343" w:rsidRPr="00C737C7" w:rsidRDefault="00C03925" w:rsidP="005B6343">
            <w:pPr>
              <w:spacing w:before="40" w:after="40" w:line="240" w:lineRule="exact"/>
              <w:rPr>
                <w:rFonts w:ascii="Tahoma" w:hAnsi="Tahoma" w:cs="Tahoma"/>
                <w:sz w:val="20"/>
                <w:szCs w:val="20"/>
                <w:lang w:val="en-US"/>
              </w:rPr>
            </w:pPr>
            <w:r w:rsidRPr="00C03925">
              <w:rPr>
                <w:rFonts w:ascii="Tahoma" w:hAnsi="Tahoma" w:cs="Tahoma"/>
                <w:sz w:val="20"/>
                <w:szCs w:val="20"/>
                <w:lang w:val="en-US"/>
              </w:rPr>
              <w:t>Independent auditor's report on LITGRID AB 2022 set of financial statements and annual report.</w:t>
            </w:r>
          </w:p>
        </w:tc>
        <w:tc>
          <w:tcPr>
            <w:tcW w:w="3826" w:type="dxa"/>
            <w:vAlign w:val="center"/>
          </w:tcPr>
          <w:p w14:paraId="0BACACA4" w14:textId="3BA8F6D2" w:rsidR="005B6343" w:rsidRPr="00C737C7" w:rsidRDefault="00C03925" w:rsidP="005A033E">
            <w:pPr>
              <w:spacing w:before="40" w:after="40" w:line="240" w:lineRule="exact"/>
              <w:jc w:val="both"/>
              <w:rPr>
                <w:rFonts w:ascii="Tahoma" w:hAnsi="Tahoma" w:cs="Tahoma"/>
                <w:bCs/>
                <w:iCs/>
                <w:sz w:val="20"/>
                <w:szCs w:val="20"/>
                <w:lang w:val="en-US"/>
              </w:rPr>
            </w:pPr>
            <w:r w:rsidRPr="00C03925">
              <w:rPr>
                <w:rFonts w:ascii="Tahoma" w:hAnsi="Tahoma" w:cs="Tahoma"/>
                <w:bCs/>
                <w:iCs/>
                <w:sz w:val="20"/>
                <w:szCs w:val="20"/>
                <w:lang w:val="en-US"/>
              </w:rPr>
              <w:t>“A decision of the general meeting of shareholders is not required. The general meeting of shareholders should take into consideration the opinion presented in the independent auditor’s report for LITGRID AB shareholders when deciding on approval of LITGRID AB complete set of financial statements for 2022 (annexed)”.</w:t>
            </w:r>
          </w:p>
        </w:tc>
        <w:tc>
          <w:tcPr>
            <w:tcW w:w="2555" w:type="dxa"/>
            <w:gridSpan w:val="2"/>
            <w:vAlign w:val="center"/>
          </w:tcPr>
          <w:p w14:paraId="7A8D37ED" w14:textId="66662F25" w:rsidR="005B6343" w:rsidRPr="00C737C7" w:rsidRDefault="005B6343" w:rsidP="005B6343">
            <w:pPr>
              <w:spacing w:before="40" w:after="40" w:line="240" w:lineRule="exact"/>
              <w:jc w:val="center"/>
              <w:rPr>
                <w:rStyle w:val="FontStyle13"/>
                <w:rFonts w:ascii="Tahoma" w:hAnsi="Tahoma" w:cs="Tahoma"/>
                <w:b/>
                <w:lang w:val="en-US"/>
              </w:rPr>
            </w:pPr>
            <w:r w:rsidRPr="00C737C7">
              <w:rPr>
                <w:rStyle w:val="FontStyle13"/>
                <w:rFonts w:ascii="Tahoma" w:hAnsi="Tahoma" w:cs="Tahoma"/>
                <w:b/>
                <w:lang w:val="en-US"/>
              </w:rPr>
              <w:t>-</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3D44AAE6" w:rsidR="005B6343" w:rsidRPr="00C737C7" w:rsidRDefault="00C03925" w:rsidP="005B6343">
            <w:pPr>
              <w:spacing w:before="40" w:after="40" w:line="240" w:lineRule="exact"/>
              <w:rPr>
                <w:rFonts w:ascii="Tahoma" w:hAnsi="Tahoma" w:cs="Tahoma"/>
                <w:sz w:val="20"/>
                <w:szCs w:val="20"/>
                <w:lang w:val="en-US"/>
              </w:rPr>
            </w:pPr>
            <w:r w:rsidRPr="00C03925">
              <w:rPr>
                <w:rFonts w:ascii="Tahoma" w:hAnsi="Tahoma" w:cs="Tahoma"/>
                <w:sz w:val="20"/>
                <w:szCs w:val="20"/>
                <w:lang w:val="en-US"/>
              </w:rPr>
              <w:t>Approval of LITGRID AB financial statements of 2022.</w:t>
            </w:r>
          </w:p>
        </w:tc>
        <w:tc>
          <w:tcPr>
            <w:tcW w:w="3826" w:type="dxa"/>
            <w:vAlign w:val="center"/>
          </w:tcPr>
          <w:p w14:paraId="0C5D4845" w14:textId="306E7559" w:rsidR="005B6343" w:rsidRPr="00C737C7" w:rsidRDefault="00C03925" w:rsidP="005B6343">
            <w:pPr>
              <w:spacing w:before="40" w:after="40" w:line="240" w:lineRule="exact"/>
              <w:rPr>
                <w:rFonts w:ascii="Tahoma" w:hAnsi="Tahoma" w:cs="Tahoma"/>
                <w:bCs/>
                <w:iCs/>
                <w:sz w:val="20"/>
                <w:szCs w:val="20"/>
                <w:lang w:val="en-US"/>
              </w:rPr>
            </w:pPr>
            <w:r w:rsidRPr="00C03925">
              <w:rPr>
                <w:rFonts w:ascii="Arial" w:hAnsi="Arial" w:cs="Arial"/>
                <w:color w:val="000000"/>
                <w:sz w:val="20"/>
                <w:szCs w:val="20"/>
                <w:lang w:val="en-US" w:eastAsia="lt-LT"/>
              </w:rPr>
              <w:t>“To approve the financial statements of LITGRID AB of 2022 (annexed)”.</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03AA7D2B"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Content>
                <w:r w:rsidR="005A033E">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r w:rsidR="005A033E" w:rsidRPr="00C737C7" w14:paraId="21263F43" w14:textId="77777777" w:rsidTr="002A6CA6">
        <w:trPr>
          <w:trHeight w:val="668"/>
        </w:trPr>
        <w:tc>
          <w:tcPr>
            <w:tcW w:w="709" w:type="dxa"/>
            <w:vAlign w:val="center"/>
          </w:tcPr>
          <w:p w14:paraId="569A1CD2" w14:textId="77777777" w:rsidR="005A033E" w:rsidRPr="00C737C7" w:rsidRDefault="005A033E" w:rsidP="005A033E">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71509919" w14:textId="11DCA229" w:rsidR="005A033E" w:rsidRPr="002673E1" w:rsidRDefault="00C03925" w:rsidP="005A033E">
            <w:pPr>
              <w:spacing w:before="40" w:after="40" w:line="240" w:lineRule="exact"/>
              <w:rPr>
                <w:rFonts w:ascii="Tahoma" w:hAnsi="Tahoma" w:cs="Tahoma"/>
                <w:sz w:val="20"/>
                <w:szCs w:val="20"/>
                <w:lang w:val="en-US"/>
              </w:rPr>
            </w:pPr>
            <w:r w:rsidRPr="00C03925">
              <w:rPr>
                <w:rFonts w:ascii="Tahoma" w:hAnsi="Tahoma" w:cs="Tahoma"/>
                <w:sz w:val="20"/>
                <w:szCs w:val="20"/>
                <w:lang w:val="en-US"/>
              </w:rPr>
              <w:t>Approval of LITGRID AB profit (loss) distribution of 2022.</w:t>
            </w:r>
          </w:p>
        </w:tc>
        <w:tc>
          <w:tcPr>
            <w:tcW w:w="3826" w:type="dxa"/>
            <w:vAlign w:val="center"/>
          </w:tcPr>
          <w:p w14:paraId="3C0E5B1A" w14:textId="11056A6E" w:rsidR="005A033E" w:rsidRPr="002673E1" w:rsidRDefault="00C03925" w:rsidP="005A033E">
            <w:pPr>
              <w:spacing w:before="40" w:after="40" w:line="240" w:lineRule="exact"/>
              <w:rPr>
                <w:rFonts w:ascii="Tahoma" w:hAnsi="Tahoma" w:cs="Tahoma"/>
                <w:bCs/>
                <w:iCs/>
                <w:sz w:val="20"/>
                <w:szCs w:val="20"/>
                <w:lang w:val="en-US"/>
              </w:rPr>
            </w:pPr>
            <w:r w:rsidRPr="00C03925">
              <w:rPr>
                <w:rFonts w:ascii="Tahoma" w:hAnsi="Tahoma" w:cs="Tahoma"/>
                <w:bCs/>
                <w:iCs/>
                <w:sz w:val="20"/>
                <w:szCs w:val="20"/>
                <w:lang w:val="en-US"/>
              </w:rPr>
              <w:t>“To approve the profit (loss) distribution for the year 2022 of LITGRID AB (annexed)”.</w:t>
            </w:r>
          </w:p>
        </w:tc>
        <w:tc>
          <w:tcPr>
            <w:tcW w:w="1134" w:type="dxa"/>
            <w:tcBorders>
              <w:top w:val="single" w:sz="6" w:space="0" w:color="auto"/>
              <w:left w:val="single" w:sz="6" w:space="0" w:color="auto"/>
              <w:bottom w:val="single" w:sz="6" w:space="0" w:color="auto"/>
              <w:right w:val="single" w:sz="6" w:space="0" w:color="auto"/>
            </w:tcBorders>
            <w:vAlign w:val="center"/>
          </w:tcPr>
          <w:p w14:paraId="0DC9DA93" w14:textId="71C8C562" w:rsidR="005A033E" w:rsidRDefault="00000000"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47682658"/>
                <w14:checkbox>
                  <w14:checked w14:val="0"/>
                  <w14:checkedState w14:val="2612" w14:font="MS Gothic"/>
                  <w14:uncheckedState w14:val="2610" w14:font="MS Gothic"/>
                </w14:checkbox>
              </w:sdtPr>
              <w:sdtContent>
                <w:r w:rsidR="005A033E">
                  <w:rPr>
                    <w:rStyle w:val="FontStyle13"/>
                    <w:rFonts w:ascii="MS Gothic" w:eastAsia="MS Gothic" w:hAnsi="MS Gothic" w:cs="Tahoma" w:hint="eastAsia"/>
                    <w:b/>
                    <w:lang w:val="en-US"/>
                  </w:rPr>
                  <w:t>☐</w:t>
                </w:r>
              </w:sdtContent>
            </w:sdt>
            <w:r w:rsidR="005A033E"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13D302FC" w14:textId="6EE02443" w:rsidR="005A033E" w:rsidRDefault="00000000"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103758903"/>
                <w14:checkbox>
                  <w14:checked w14:val="0"/>
                  <w14:checkedState w14:val="2612" w14:font="MS Gothic"/>
                  <w14:uncheckedState w14:val="2610" w14:font="MS Gothic"/>
                </w14:checkbox>
              </w:sdtPr>
              <w:sdtContent>
                <w:r w:rsidR="005A033E" w:rsidRPr="00C737C7">
                  <w:rPr>
                    <w:rStyle w:val="FontStyle13"/>
                    <w:rFonts w:ascii="Segoe UI Symbol" w:eastAsia="MS Gothic" w:hAnsi="Segoe UI Symbol" w:cs="Segoe UI Symbol"/>
                    <w:b/>
                    <w:lang w:val="en-US"/>
                  </w:rPr>
                  <w:t>☐</w:t>
                </w:r>
              </w:sdtContent>
            </w:sdt>
            <w:r w:rsidR="005A033E" w:rsidRPr="00C737C7">
              <w:rPr>
                <w:rStyle w:val="FontStyle13"/>
                <w:rFonts w:ascii="Tahoma" w:hAnsi="Tahoma" w:cs="Tahoma"/>
                <w:b/>
                <w:lang w:val="en-US"/>
              </w:rPr>
              <w:t xml:space="preserve"> AGAINST</w:t>
            </w:r>
          </w:p>
        </w:tc>
      </w:tr>
      <w:tr w:rsidR="005A033E" w:rsidRPr="00C737C7" w14:paraId="0EBD0C7A" w14:textId="77777777" w:rsidTr="002A6CA6">
        <w:trPr>
          <w:trHeight w:val="668"/>
        </w:trPr>
        <w:tc>
          <w:tcPr>
            <w:tcW w:w="709" w:type="dxa"/>
            <w:vAlign w:val="center"/>
          </w:tcPr>
          <w:p w14:paraId="1A3F6626" w14:textId="77777777" w:rsidR="005A033E" w:rsidRPr="00C737C7" w:rsidRDefault="005A033E" w:rsidP="005A033E">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0D3E8DE2" w14:textId="15E65BD3" w:rsidR="005A033E" w:rsidRPr="00C737C7" w:rsidRDefault="00C03925" w:rsidP="005A033E">
            <w:pPr>
              <w:spacing w:before="40" w:after="40" w:line="240" w:lineRule="exact"/>
              <w:rPr>
                <w:rFonts w:ascii="Tahoma" w:hAnsi="Tahoma" w:cs="Tahoma"/>
                <w:sz w:val="20"/>
                <w:szCs w:val="20"/>
                <w:lang w:val="en-US"/>
              </w:rPr>
            </w:pPr>
            <w:r w:rsidRPr="00C03925">
              <w:rPr>
                <w:rFonts w:ascii="Tahoma" w:hAnsi="Tahoma" w:cs="Tahoma"/>
                <w:sz w:val="20"/>
                <w:szCs w:val="20"/>
                <w:lang w:val="en-US"/>
              </w:rPr>
              <w:t>Approval of LITGRID AB renumeration report of 2022.</w:t>
            </w:r>
          </w:p>
        </w:tc>
        <w:tc>
          <w:tcPr>
            <w:tcW w:w="3826" w:type="dxa"/>
            <w:vAlign w:val="center"/>
          </w:tcPr>
          <w:p w14:paraId="33D5D4EB" w14:textId="324D90C3" w:rsidR="005A033E" w:rsidRPr="00C737C7" w:rsidRDefault="00C03925" w:rsidP="005A033E">
            <w:pPr>
              <w:spacing w:before="40" w:after="40" w:line="240" w:lineRule="exact"/>
              <w:rPr>
                <w:rFonts w:ascii="Tahoma" w:hAnsi="Tahoma" w:cs="Tahoma"/>
                <w:bCs/>
                <w:iCs/>
                <w:sz w:val="20"/>
                <w:szCs w:val="20"/>
                <w:lang w:val="en-US"/>
              </w:rPr>
            </w:pPr>
            <w:r w:rsidRPr="00C03925">
              <w:rPr>
                <w:rFonts w:ascii="Arial" w:hAnsi="Arial" w:cs="Arial"/>
                <w:color w:val="000000"/>
                <w:sz w:val="20"/>
                <w:szCs w:val="20"/>
                <w:lang w:val="en-US" w:eastAsia="lt-LT"/>
              </w:rPr>
              <w:t>“To approve the remuneration report of LITGRID AB of 2022, which is part of the annual LITGRID AB 2022 report. (annexed).”</w:t>
            </w:r>
          </w:p>
        </w:tc>
        <w:tc>
          <w:tcPr>
            <w:tcW w:w="1134" w:type="dxa"/>
            <w:tcBorders>
              <w:top w:val="single" w:sz="6" w:space="0" w:color="auto"/>
              <w:left w:val="single" w:sz="6" w:space="0" w:color="auto"/>
              <w:bottom w:val="single" w:sz="6" w:space="0" w:color="auto"/>
              <w:right w:val="single" w:sz="6" w:space="0" w:color="auto"/>
            </w:tcBorders>
            <w:vAlign w:val="center"/>
          </w:tcPr>
          <w:p w14:paraId="2D560F98" w14:textId="65366474" w:rsidR="005A033E" w:rsidRPr="00C737C7" w:rsidRDefault="00000000"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13478089"/>
                <w14:checkbox>
                  <w14:checked w14:val="0"/>
                  <w14:checkedState w14:val="2612" w14:font="MS Gothic"/>
                  <w14:uncheckedState w14:val="2610" w14:font="MS Gothic"/>
                </w14:checkbox>
              </w:sdtPr>
              <w:sdtContent>
                <w:r w:rsidR="005A033E" w:rsidRPr="00C737C7">
                  <w:rPr>
                    <w:rStyle w:val="FontStyle13"/>
                    <w:rFonts w:ascii="MS Gothic" w:eastAsia="MS Gothic" w:hAnsi="MS Gothic" w:cs="Tahoma"/>
                    <w:b/>
                    <w:lang w:val="en-US"/>
                  </w:rPr>
                  <w:t>☐</w:t>
                </w:r>
              </w:sdtContent>
            </w:sdt>
            <w:r w:rsidR="005A033E"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59A0F3FD" w14:textId="72B8A16F" w:rsidR="005A033E" w:rsidRPr="00C737C7" w:rsidRDefault="00000000"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65346548"/>
                <w14:checkbox>
                  <w14:checked w14:val="0"/>
                  <w14:checkedState w14:val="2612" w14:font="MS Gothic"/>
                  <w14:uncheckedState w14:val="2610" w14:font="MS Gothic"/>
                </w14:checkbox>
              </w:sdtPr>
              <w:sdtContent>
                <w:r w:rsidR="005A033E" w:rsidRPr="00C737C7">
                  <w:rPr>
                    <w:rStyle w:val="FontStyle13"/>
                    <w:rFonts w:ascii="Segoe UI Symbol" w:eastAsia="MS Gothic" w:hAnsi="Segoe UI Symbol" w:cs="Segoe UI Symbol"/>
                    <w:b/>
                    <w:lang w:val="en-US"/>
                  </w:rPr>
                  <w:t>☐</w:t>
                </w:r>
              </w:sdtContent>
            </w:sdt>
            <w:r w:rsidR="005A033E" w:rsidRPr="00C737C7">
              <w:rPr>
                <w:rStyle w:val="FontStyle13"/>
                <w:rFonts w:ascii="Tahoma" w:hAnsi="Tahoma" w:cs="Tahoma"/>
                <w:b/>
                <w:lang w:val="en-US"/>
              </w:rPr>
              <w:t xml:space="preserve"> AGAINST</w:t>
            </w:r>
          </w:p>
        </w:tc>
      </w:tr>
      <w:tr w:rsidR="005A033E" w:rsidRPr="00C737C7" w14:paraId="1F7F2FB6" w14:textId="77777777" w:rsidTr="002A6CA6">
        <w:trPr>
          <w:trHeight w:val="668"/>
        </w:trPr>
        <w:tc>
          <w:tcPr>
            <w:tcW w:w="709" w:type="dxa"/>
            <w:vAlign w:val="center"/>
          </w:tcPr>
          <w:p w14:paraId="59A8184A" w14:textId="77777777" w:rsidR="005A033E" w:rsidRPr="00C737C7" w:rsidRDefault="005A033E" w:rsidP="005A033E">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0B8AC2C" w14:textId="362585EA" w:rsidR="005A033E" w:rsidRPr="00C737C7" w:rsidRDefault="00C03925" w:rsidP="005A033E">
            <w:pPr>
              <w:spacing w:before="40" w:after="40" w:line="240" w:lineRule="exact"/>
              <w:rPr>
                <w:rFonts w:ascii="Tahoma" w:hAnsi="Tahoma" w:cs="Tahoma"/>
                <w:sz w:val="20"/>
                <w:szCs w:val="20"/>
                <w:lang w:val="en-US"/>
              </w:rPr>
            </w:pPr>
            <w:r w:rsidRPr="00C03925">
              <w:rPr>
                <w:rFonts w:ascii="Tahoma" w:hAnsi="Tahoma" w:cs="Tahoma"/>
                <w:sz w:val="20"/>
                <w:szCs w:val="20"/>
                <w:lang w:val="en-US"/>
              </w:rPr>
              <w:t>Approval of the new wording of LITGRID AB Articles of Association</w:t>
            </w:r>
          </w:p>
        </w:tc>
        <w:tc>
          <w:tcPr>
            <w:tcW w:w="3826" w:type="dxa"/>
            <w:vAlign w:val="center"/>
          </w:tcPr>
          <w:p w14:paraId="6B8974EF" w14:textId="77777777" w:rsidR="00C03925" w:rsidRPr="00C03925" w:rsidRDefault="00C03925" w:rsidP="00C03925">
            <w:pPr>
              <w:spacing w:before="40" w:after="40" w:line="240" w:lineRule="exact"/>
              <w:rPr>
                <w:rFonts w:ascii="Tahoma" w:hAnsi="Tahoma" w:cs="Tahoma"/>
                <w:bCs/>
                <w:iCs/>
                <w:sz w:val="20"/>
                <w:szCs w:val="20"/>
                <w:lang w:val="en-US"/>
              </w:rPr>
            </w:pPr>
            <w:r w:rsidRPr="00C03925">
              <w:rPr>
                <w:rFonts w:ascii="Tahoma" w:hAnsi="Tahoma" w:cs="Tahoma"/>
                <w:bCs/>
                <w:iCs/>
                <w:sz w:val="20"/>
                <w:szCs w:val="20"/>
                <w:lang w:val="en-US"/>
              </w:rPr>
              <w:t>"6.1. To approve the new wording of LITGRID AB Articles of Association (attached).</w:t>
            </w:r>
          </w:p>
          <w:p w14:paraId="67B1CCEE" w14:textId="1357EBE3" w:rsidR="005A033E" w:rsidRPr="00C737C7" w:rsidRDefault="00C03925" w:rsidP="00C03925">
            <w:pPr>
              <w:spacing w:before="40" w:after="40" w:line="240" w:lineRule="exact"/>
              <w:rPr>
                <w:rFonts w:ascii="Tahoma" w:hAnsi="Tahoma" w:cs="Tahoma"/>
                <w:bCs/>
                <w:iCs/>
                <w:sz w:val="20"/>
                <w:szCs w:val="20"/>
                <w:lang w:val="en-US"/>
              </w:rPr>
            </w:pPr>
            <w:r w:rsidRPr="00C03925">
              <w:rPr>
                <w:rFonts w:ascii="Tahoma" w:hAnsi="Tahoma" w:cs="Tahoma"/>
                <w:bCs/>
                <w:iCs/>
                <w:sz w:val="20"/>
                <w:szCs w:val="20"/>
                <w:lang w:val="en-US"/>
              </w:rPr>
              <w:t xml:space="preserve">6.2. To </w:t>
            </w:r>
            <w:proofErr w:type="spellStart"/>
            <w:r w:rsidRPr="00C03925">
              <w:rPr>
                <w:rFonts w:ascii="Tahoma" w:hAnsi="Tahoma" w:cs="Tahoma"/>
                <w:bCs/>
                <w:iCs/>
                <w:sz w:val="20"/>
                <w:szCs w:val="20"/>
                <w:lang w:val="en-US"/>
              </w:rPr>
              <w:t>authorise</w:t>
            </w:r>
            <w:proofErr w:type="spellEnd"/>
            <w:r w:rsidRPr="00C03925">
              <w:rPr>
                <w:rFonts w:ascii="Tahoma" w:hAnsi="Tahoma" w:cs="Tahoma"/>
                <w:bCs/>
                <w:iCs/>
                <w:sz w:val="20"/>
                <w:szCs w:val="20"/>
                <w:lang w:val="en-US"/>
              </w:rPr>
              <w:t xml:space="preserve"> the Chief Executive Officer of LITGRID AB (with the right to sub-delegate) to sign the amended Articles of Association in accordance with the procedure established by legal acts and to register them in the Register of Legal Entities of the Republic of Lithuania, to submit and collect documents, to perform all necessary actions related to the implementation of this decision of the general meeting of shareholders."</w:t>
            </w:r>
          </w:p>
        </w:tc>
        <w:tc>
          <w:tcPr>
            <w:tcW w:w="1134" w:type="dxa"/>
            <w:tcBorders>
              <w:top w:val="single" w:sz="6" w:space="0" w:color="auto"/>
              <w:left w:val="single" w:sz="6" w:space="0" w:color="auto"/>
              <w:bottom w:val="single" w:sz="6" w:space="0" w:color="auto"/>
              <w:right w:val="single" w:sz="6" w:space="0" w:color="auto"/>
            </w:tcBorders>
            <w:vAlign w:val="center"/>
          </w:tcPr>
          <w:p w14:paraId="2B0FA21A" w14:textId="65A00972" w:rsidR="005A033E" w:rsidRPr="00C737C7" w:rsidRDefault="00000000"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44952053"/>
                <w14:checkbox>
                  <w14:checked w14:val="0"/>
                  <w14:checkedState w14:val="2612" w14:font="MS Gothic"/>
                  <w14:uncheckedState w14:val="2610" w14:font="MS Gothic"/>
                </w14:checkbox>
              </w:sdtPr>
              <w:sdtContent>
                <w:r w:rsidR="005A033E" w:rsidRPr="00C737C7">
                  <w:rPr>
                    <w:rStyle w:val="FontStyle13"/>
                    <w:rFonts w:ascii="MS Gothic" w:eastAsia="MS Gothic" w:hAnsi="MS Gothic" w:cs="Tahoma"/>
                    <w:b/>
                    <w:lang w:val="en-US"/>
                  </w:rPr>
                  <w:t>☐</w:t>
                </w:r>
              </w:sdtContent>
            </w:sdt>
            <w:r w:rsidR="005A033E"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11CA788B" w14:textId="47973E4B" w:rsidR="005A033E" w:rsidRPr="00C737C7" w:rsidRDefault="00000000"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60641849"/>
                <w14:checkbox>
                  <w14:checked w14:val="0"/>
                  <w14:checkedState w14:val="2612" w14:font="MS Gothic"/>
                  <w14:uncheckedState w14:val="2610" w14:font="MS Gothic"/>
                </w14:checkbox>
              </w:sdtPr>
              <w:sdtContent>
                <w:r w:rsidR="005A033E" w:rsidRPr="00C737C7">
                  <w:rPr>
                    <w:rStyle w:val="FontStyle13"/>
                    <w:rFonts w:ascii="Segoe UI Symbol" w:eastAsia="MS Gothic" w:hAnsi="Segoe UI Symbol" w:cs="Segoe UI Symbol"/>
                    <w:b/>
                    <w:lang w:val="en-US"/>
                  </w:rPr>
                  <w:t>☐</w:t>
                </w:r>
              </w:sdtContent>
            </w:sdt>
            <w:r w:rsidR="005A033E"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 xml:space="preserve">itle, </w:t>
      </w:r>
      <w:proofErr w:type="gramStart"/>
      <w:r w:rsidR="00262DF9" w:rsidRPr="00C737C7">
        <w:rPr>
          <w:rFonts w:ascii="Tahoma" w:hAnsi="Tahoma" w:cs="Tahoma"/>
          <w:sz w:val="20"/>
          <w:szCs w:val="20"/>
          <w:lang w:val="en-US"/>
        </w:rPr>
        <w:t>date</w:t>
      </w:r>
      <w:proofErr w:type="gramEnd"/>
      <w:r w:rsidR="00262DF9" w:rsidRPr="00C737C7">
        <w:rPr>
          <w:rFonts w:ascii="Tahoma" w:hAnsi="Tahoma" w:cs="Tahoma"/>
          <w:sz w:val="20"/>
          <w:szCs w:val="20"/>
          <w:lang w:val="en-US"/>
        </w:rPr>
        <w:t xml:space="preserv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C9E9" w14:textId="77777777" w:rsidR="0003427B" w:rsidRDefault="0003427B">
      <w:pPr>
        <w:pStyle w:val="antraste"/>
      </w:pPr>
      <w:r>
        <w:separator/>
      </w:r>
    </w:p>
  </w:endnote>
  <w:endnote w:type="continuationSeparator" w:id="0">
    <w:p w14:paraId="5EF590E8" w14:textId="77777777" w:rsidR="0003427B" w:rsidRDefault="0003427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F755" w14:textId="77777777" w:rsidR="0003427B" w:rsidRDefault="0003427B">
      <w:pPr>
        <w:pStyle w:val="antraste"/>
      </w:pPr>
      <w:r>
        <w:separator/>
      </w:r>
    </w:p>
  </w:footnote>
  <w:footnote w:type="continuationSeparator" w:id="0">
    <w:p w14:paraId="55F83B28" w14:textId="77777777" w:rsidR="0003427B" w:rsidRDefault="0003427B">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9489638">
    <w:abstractNumId w:val="0"/>
  </w:num>
  <w:num w:numId="2" w16cid:durableId="18626698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2E7F34"/>
    <w:rsid w:val="00326647"/>
    <w:rsid w:val="003532FE"/>
    <w:rsid w:val="0037073B"/>
    <w:rsid w:val="0042762B"/>
    <w:rsid w:val="004D691E"/>
    <w:rsid w:val="00530858"/>
    <w:rsid w:val="005575E8"/>
    <w:rsid w:val="005E4E93"/>
    <w:rsid w:val="005F0E44"/>
    <w:rsid w:val="0061001B"/>
    <w:rsid w:val="006D0D44"/>
    <w:rsid w:val="0079634A"/>
    <w:rsid w:val="007E3BE8"/>
    <w:rsid w:val="00840D5B"/>
    <w:rsid w:val="0087368A"/>
    <w:rsid w:val="008820BA"/>
    <w:rsid w:val="00980E27"/>
    <w:rsid w:val="009B2E5F"/>
    <w:rsid w:val="009D490B"/>
    <w:rsid w:val="009E3691"/>
    <w:rsid w:val="00B123CB"/>
    <w:rsid w:val="00B70730"/>
    <w:rsid w:val="00B969A9"/>
    <w:rsid w:val="00BA4069"/>
    <w:rsid w:val="00BE6FE5"/>
    <w:rsid w:val="00C11546"/>
    <w:rsid w:val="00C11FE7"/>
    <w:rsid w:val="00C14644"/>
    <w:rsid w:val="00C45992"/>
    <w:rsid w:val="00C95D2E"/>
    <w:rsid w:val="00CA5776"/>
    <w:rsid w:val="00EB7C04"/>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3.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9</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6</cp:revision>
  <cp:lastPrinted>2014-03-14T08:41:00Z</cp:lastPrinted>
  <dcterms:created xsi:type="dcterms:W3CDTF">2022-03-25T13:13:00Z</dcterms:created>
  <dcterms:modified xsi:type="dcterms:W3CDTF">2023-03-17T09:05:00Z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