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776" w:rsidRDefault="007D2776">
      <w:pPr>
        <w:pBdr>
          <w:top w:val="nil"/>
          <w:left w:val="nil"/>
          <w:bottom w:val="nil"/>
          <w:right w:val="nil"/>
          <w:between w:val="nil"/>
        </w:pBdr>
        <w:rPr>
          <w:color w:val="000000"/>
        </w:rPr>
      </w:pPr>
      <w:bookmarkStart w:id="0" w:name="_GoBack"/>
      <w:bookmarkEnd w:id="0"/>
    </w:p>
    <w:p w:rsidR="007D2776" w:rsidRDefault="0017501B">
      <w:pPr>
        <w:pStyle w:val="Titre1"/>
        <w:rPr>
          <w:color w:val="FF0000"/>
          <w:sz w:val="26"/>
          <w:szCs w:val="26"/>
        </w:rPr>
      </w:pPr>
      <w:bookmarkStart w:id="1" w:name="_gjdgxs" w:colFirst="0" w:colLast="0"/>
      <w:bookmarkEnd w:id="1"/>
      <w:r>
        <w:rPr>
          <w:color w:val="000000"/>
          <w:sz w:val="26"/>
          <w:szCs w:val="26"/>
        </w:rPr>
        <w:t>Very strong growth in revenue in the first quarter of 2022 of +16.2% at comparable exchange rates (+19.3% at real rates),</w:t>
      </w:r>
      <w:r>
        <w:rPr>
          <w:color w:val="FF0000"/>
          <w:sz w:val="26"/>
          <w:szCs w:val="26"/>
        </w:rPr>
        <w:t xml:space="preserve"> </w:t>
      </w:r>
      <w:r>
        <w:rPr>
          <w:color w:val="000000"/>
          <w:sz w:val="26"/>
          <w:szCs w:val="26"/>
        </w:rPr>
        <w:t>driven by good performance in all areas</w:t>
      </w:r>
    </w:p>
    <w:p w:rsidR="007D2776" w:rsidRDefault="007D2776">
      <w:pPr>
        <w:pBdr>
          <w:top w:val="nil"/>
          <w:left w:val="nil"/>
          <w:bottom w:val="nil"/>
          <w:right w:val="nil"/>
          <w:between w:val="nil"/>
        </w:pBdr>
      </w:pPr>
    </w:p>
    <w:p w:rsidR="007D2776" w:rsidRDefault="007D2776">
      <w:pPr>
        <w:pBdr>
          <w:top w:val="nil"/>
          <w:left w:val="nil"/>
          <w:bottom w:val="nil"/>
          <w:right w:val="nil"/>
          <w:between w:val="nil"/>
        </w:pBdr>
        <w:rPr>
          <w:i/>
        </w:rPr>
      </w:pPr>
    </w:p>
    <w:p w:rsidR="007D2776" w:rsidRDefault="0017501B">
      <w:pPr>
        <w:pBdr>
          <w:top w:val="nil"/>
          <w:left w:val="nil"/>
          <w:bottom w:val="nil"/>
          <w:right w:val="nil"/>
          <w:between w:val="nil"/>
        </w:pBdr>
        <w:rPr>
          <w:i/>
        </w:rPr>
      </w:pPr>
      <w:r>
        <w:rPr>
          <w:i/>
        </w:rPr>
        <w:t>Public release on April 14, 2022 after market close</w:t>
      </w:r>
    </w:p>
    <w:p w:rsidR="007D2776" w:rsidRDefault="007D2776">
      <w:pPr>
        <w:pBdr>
          <w:top w:val="nil"/>
          <w:left w:val="nil"/>
          <w:bottom w:val="nil"/>
          <w:right w:val="nil"/>
          <w:between w:val="nil"/>
        </w:pBdr>
        <w:spacing w:line="240" w:lineRule="auto"/>
        <w:rPr>
          <w:sz w:val="12"/>
          <w:szCs w:val="12"/>
        </w:rPr>
      </w:pPr>
    </w:p>
    <w:tbl>
      <w:tblPr>
        <w:tblStyle w:val="a"/>
        <w:tblW w:w="104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3000"/>
        <w:gridCol w:w="2250"/>
        <w:gridCol w:w="2490"/>
      </w:tblGrid>
      <w:tr w:rsidR="007D2776">
        <w:trPr>
          <w:trHeight w:val="120"/>
        </w:trPr>
        <w:tc>
          <w:tcPr>
            <w:tcW w:w="10400" w:type="dxa"/>
            <w:gridSpan w:val="4"/>
            <w:tcBorders>
              <w:bottom w:val="nil"/>
            </w:tcBorders>
            <w:shd w:val="clear" w:color="auto" w:fill="514237"/>
          </w:tcPr>
          <w:p w:rsidR="007D2776" w:rsidRDefault="0017501B">
            <w:pPr>
              <w:pBdr>
                <w:top w:val="nil"/>
                <w:left w:val="nil"/>
                <w:bottom w:val="nil"/>
                <w:right w:val="nil"/>
                <w:between w:val="nil"/>
              </w:pBdr>
              <w:ind w:left="214"/>
              <w:rPr>
                <w:smallCaps/>
                <w:color w:val="FFFFFF"/>
                <w:sz w:val="14"/>
                <w:szCs w:val="14"/>
              </w:rPr>
            </w:pPr>
            <w:r>
              <w:rPr>
                <w:smallCaps/>
                <w:color w:val="FFFFFF"/>
                <w:sz w:val="14"/>
                <w:szCs w:val="14"/>
              </w:rPr>
              <w:t>KEY FIGURES</w:t>
            </w:r>
          </w:p>
        </w:tc>
      </w:tr>
      <w:tr w:rsidR="007D2776">
        <w:tc>
          <w:tcPr>
            <w:tcW w:w="2660" w:type="dxa"/>
            <w:tcBorders>
              <w:top w:val="nil"/>
              <w:left w:val="nil"/>
              <w:bottom w:val="single" w:sz="4" w:space="0" w:color="514237"/>
              <w:right w:val="nil"/>
            </w:tcBorders>
            <w:shd w:val="clear" w:color="auto" w:fill="F5F5F5"/>
            <w:tcMar>
              <w:top w:w="113" w:type="dxa"/>
              <w:bottom w:w="113" w:type="dxa"/>
            </w:tcMar>
          </w:tcPr>
          <w:p w:rsidR="007D2776" w:rsidRDefault="0017501B">
            <w:pPr>
              <w:pBdr>
                <w:top w:val="nil"/>
                <w:left w:val="nil"/>
                <w:bottom w:val="nil"/>
                <w:right w:val="nil"/>
                <w:between w:val="nil"/>
              </w:pBdr>
              <w:jc w:val="left"/>
              <w:rPr>
                <w:b/>
                <w:color w:val="004D97"/>
                <w:sz w:val="14"/>
                <w:szCs w:val="14"/>
              </w:rPr>
            </w:pPr>
            <w:r>
              <w:rPr>
                <w:b/>
                <w:color w:val="004D97"/>
                <w:sz w:val="14"/>
                <w:szCs w:val="14"/>
              </w:rPr>
              <w:t>Revenue</w:t>
            </w:r>
          </w:p>
          <w:p w:rsidR="007D2776" w:rsidRDefault="0017501B">
            <w:pPr>
              <w:pBdr>
                <w:top w:val="nil"/>
                <w:left w:val="nil"/>
                <w:bottom w:val="nil"/>
                <w:right w:val="nil"/>
                <w:between w:val="nil"/>
              </w:pBdr>
              <w:spacing w:line="240" w:lineRule="auto"/>
              <w:jc w:val="left"/>
              <w:rPr>
                <w:b/>
                <w:color w:val="004D97"/>
                <w:sz w:val="14"/>
                <w:szCs w:val="14"/>
              </w:rPr>
            </w:pPr>
            <w:r>
              <w:rPr>
                <w:sz w:val="14"/>
                <w:szCs w:val="14"/>
              </w:rPr>
              <w:t>1</w:t>
            </w:r>
            <w:r>
              <w:rPr>
                <w:sz w:val="14"/>
                <w:szCs w:val="14"/>
                <w:vertAlign w:val="superscript"/>
              </w:rPr>
              <w:t>st</w:t>
            </w:r>
            <w:r>
              <w:rPr>
                <w:sz w:val="14"/>
                <w:szCs w:val="14"/>
              </w:rPr>
              <w:t xml:space="preserve"> quarter 2022</w:t>
            </w:r>
          </w:p>
          <w:p w:rsidR="007D2776" w:rsidRDefault="007D2776">
            <w:pPr>
              <w:pBdr>
                <w:top w:val="nil"/>
                <w:left w:val="nil"/>
                <w:bottom w:val="nil"/>
                <w:right w:val="nil"/>
                <w:between w:val="nil"/>
              </w:pBdr>
              <w:spacing w:line="240" w:lineRule="auto"/>
              <w:jc w:val="left"/>
              <w:rPr>
                <w:sz w:val="14"/>
                <w:szCs w:val="14"/>
              </w:rPr>
            </w:pPr>
          </w:p>
          <w:p w:rsidR="007D2776" w:rsidRDefault="0017501B">
            <w:pPr>
              <w:pBdr>
                <w:top w:val="nil"/>
                <w:left w:val="nil"/>
                <w:bottom w:val="nil"/>
                <w:right w:val="nil"/>
                <w:between w:val="nil"/>
              </w:pBdr>
              <w:spacing w:line="240" w:lineRule="auto"/>
              <w:rPr>
                <w:rFonts w:ascii="Georgia" w:eastAsia="Georgia" w:hAnsi="Georgia" w:cs="Georgia"/>
                <w:b/>
                <w:color w:val="004D97"/>
                <w:sz w:val="32"/>
                <w:szCs w:val="32"/>
              </w:rPr>
            </w:pPr>
            <w:r>
              <w:rPr>
                <w:rFonts w:ascii="Georgia" w:eastAsia="Georgia" w:hAnsi="Georgia" w:cs="Georgia"/>
                <w:b/>
                <w:color w:val="004D97"/>
                <w:sz w:val="32"/>
                <w:szCs w:val="32"/>
              </w:rPr>
              <w:t>€318.0 million</w:t>
            </w:r>
          </w:p>
        </w:tc>
        <w:tc>
          <w:tcPr>
            <w:tcW w:w="3000" w:type="dxa"/>
            <w:tcBorders>
              <w:top w:val="nil"/>
              <w:left w:val="nil"/>
              <w:bottom w:val="single" w:sz="4" w:space="0" w:color="514237"/>
              <w:right w:val="nil"/>
            </w:tcBorders>
            <w:shd w:val="clear" w:color="auto" w:fill="F5F5F5"/>
            <w:tcMar>
              <w:top w:w="113" w:type="dxa"/>
              <w:bottom w:w="113" w:type="dxa"/>
            </w:tcMar>
          </w:tcPr>
          <w:p w:rsidR="007D2776" w:rsidRDefault="0017501B">
            <w:pPr>
              <w:pBdr>
                <w:top w:val="nil"/>
                <w:left w:val="nil"/>
                <w:bottom w:val="nil"/>
                <w:right w:val="nil"/>
                <w:between w:val="nil"/>
              </w:pBdr>
              <w:spacing w:line="240" w:lineRule="auto"/>
              <w:jc w:val="left"/>
              <w:rPr>
                <w:b/>
                <w:color w:val="004D97"/>
                <w:sz w:val="14"/>
                <w:szCs w:val="14"/>
              </w:rPr>
            </w:pPr>
            <w:r>
              <w:rPr>
                <w:b/>
                <w:color w:val="004D97"/>
                <w:sz w:val="14"/>
                <w:szCs w:val="14"/>
              </w:rPr>
              <w:t xml:space="preserve">Growth at constant exchange rates and scope </w:t>
            </w:r>
            <w:r>
              <w:rPr>
                <w:b/>
                <w:color w:val="004D97"/>
                <w:sz w:val="14"/>
                <w:szCs w:val="14"/>
                <w:vertAlign w:val="superscript"/>
              </w:rPr>
              <w:t>1</w:t>
            </w:r>
          </w:p>
          <w:p w:rsidR="007D2776" w:rsidRDefault="007D2776">
            <w:pPr>
              <w:pBdr>
                <w:top w:val="nil"/>
                <w:left w:val="nil"/>
                <w:bottom w:val="nil"/>
                <w:right w:val="nil"/>
                <w:between w:val="nil"/>
              </w:pBdr>
              <w:spacing w:line="240" w:lineRule="auto"/>
              <w:rPr>
                <w:b/>
                <w:color w:val="004D97"/>
                <w:sz w:val="14"/>
                <w:szCs w:val="14"/>
              </w:rPr>
            </w:pPr>
          </w:p>
          <w:p w:rsidR="007D2776" w:rsidRDefault="0017501B">
            <w:pPr>
              <w:pBdr>
                <w:top w:val="nil"/>
                <w:left w:val="nil"/>
                <w:bottom w:val="nil"/>
                <w:right w:val="nil"/>
                <w:between w:val="nil"/>
              </w:pBdr>
              <w:spacing w:line="240" w:lineRule="auto"/>
              <w:rPr>
                <w:b/>
              </w:rPr>
            </w:pPr>
            <w:r>
              <w:rPr>
                <w:rFonts w:ascii="Georgia" w:eastAsia="Georgia" w:hAnsi="Georgia" w:cs="Georgia"/>
                <w:b/>
                <w:color w:val="004D97"/>
                <w:sz w:val="32"/>
                <w:szCs w:val="32"/>
              </w:rPr>
              <w:t>+16.2%</w:t>
            </w:r>
            <w:r>
              <w:rPr>
                <w:rFonts w:ascii="Georgia" w:eastAsia="Georgia" w:hAnsi="Georgia" w:cs="Georgia"/>
                <w:b/>
                <w:color w:val="004D97"/>
                <w:sz w:val="36"/>
                <w:szCs w:val="36"/>
              </w:rPr>
              <w:t xml:space="preserve"> </w:t>
            </w:r>
            <w:r>
              <w:rPr>
                <w:sz w:val="14"/>
                <w:szCs w:val="14"/>
              </w:rPr>
              <w:t>including</w:t>
            </w:r>
            <w:r>
              <w:rPr>
                <w:b/>
                <w:sz w:val="14"/>
                <w:szCs w:val="14"/>
              </w:rPr>
              <w:t xml:space="preserve"> </w:t>
            </w:r>
          </w:p>
          <w:p w:rsidR="007D2776" w:rsidRDefault="0017501B">
            <w:pPr>
              <w:pBdr>
                <w:top w:val="nil"/>
                <w:left w:val="nil"/>
                <w:bottom w:val="nil"/>
                <w:right w:val="nil"/>
                <w:between w:val="nil"/>
              </w:pBdr>
              <w:spacing w:line="240" w:lineRule="auto"/>
              <w:rPr>
                <w:b/>
                <w:color w:val="FF0000"/>
                <w:sz w:val="14"/>
                <w:szCs w:val="14"/>
              </w:rPr>
            </w:pPr>
            <w:r>
              <w:rPr>
                <w:sz w:val="14"/>
                <w:szCs w:val="14"/>
              </w:rPr>
              <w:br/>
            </w:r>
            <w:r>
              <w:rPr>
                <w:b/>
                <w:sz w:val="14"/>
                <w:szCs w:val="14"/>
              </w:rPr>
              <w:t>companion animals</w:t>
            </w:r>
            <w:r>
              <w:rPr>
                <w:color w:val="004D97"/>
                <w:sz w:val="14"/>
                <w:szCs w:val="14"/>
              </w:rPr>
              <w:t xml:space="preserve"> </w:t>
            </w:r>
            <w:r>
              <w:rPr>
                <w:b/>
                <w:color w:val="004D97"/>
                <w:sz w:val="14"/>
                <w:szCs w:val="14"/>
              </w:rPr>
              <w:t>+19.5%</w:t>
            </w:r>
            <w:r>
              <w:rPr>
                <w:color w:val="004D97"/>
                <w:sz w:val="14"/>
                <w:szCs w:val="14"/>
              </w:rPr>
              <w:t xml:space="preserve"> </w:t>
            </w:r>
          </w:p>
          <w:p w:rsidR="007D2776" w:rsidRDefault="0017501B">
            <w:pPr>
              <w:pBdr>
                <w:top w:val="nil"/>
                <w:left w:val="nil"/>
                <w:bottom w:val="nil"/>
                <w:right w:val="nil"/>
                <w:between w:val="nil"/>
              </w:pBdr>
              <w:spacing w:line="240" w:lineRule="auto"/>
              <w:rPr>
                <w:b/>
                <w:color w:val="004D97"/>
                <w:sz w:val="14"/>
                <w:szCs w:val="14"/>
              </w:rPr>
            </w:pPr>
            <w:r>
              <w:rPr>
                <w:b/>
                <w:sz w:val="14"/>
                <w:szCs w:val="14"/>
              </w:rPr>
              <w:t>food-producing animals</w:t>
            </w:r>
            <w:r>
              <w:rPr>
                <w:b/>
                <w:color w:val="004D97"/>
                <w:sz w:val="14"/>
                <w:szCs w:val="14"/>
              </w:rPr>
              <w:t xml:space="preserve"> +13.3%</w:t>
            </w:r>
          </w:p>
        </w:tc>
        <w:tc>
          <w:tcPr>
            <w:tcW w:w="2250" w:type="dxa"/>
            <w:tcBorders>
              <w:top w:val="nil"/>
              <w:left w:val="nil"/>
              <w:bottom w:val="single" w:sz="4" w:space="0" w:color="514237"/>
              <w:right w:val="nil"/>
            </w:tcBorders>
            <w:shd w:val="clear" w:color="auto" w:fill="F5F5F5"/>
            <w:tcMar>
              <w:top w:w="113" w:type="dxa"/>
              <w:bottom w:w="113" w:type="dxa"/>
            </w:tcMar>
          </w:tcPr>
          <w:p w:rsidR="007D2776" w:rsidRDefault="0017501B">
            <w:pPr>
              <w:pBdr>
                <w:top w:val="nil"/>
                <w:left w:val="nil"/>
                <w:bottom w:val="nil"/>
                <w:right w:val="nil"/>
                <w:between w:val="nil"/>
              </w:pBdr>
              <w:spacing w:line="240" w:lineRule="auto"/>
              <w:jc w:val="left"/>
              <w:rPr>
                <w:b/>
                <w:color w:val="004D97"/>
                <w:sz w:val="14"/>
                <w:szCs w:val="14"/>
              </w:rPr>
            </w:pPr>
            <w:r>
              <w:rPr>
                <w:b/>
                <w:color w:val="004D97"/>
                <w:sz w:val="14"/>
                <w:szCs w:val="14"/>
              </w:rPr>
              <w:t xml:space="preserve">Growth at constant </w:t>
            </w:r>
          </w:p>
          <w:p w:rsidR="007D2776" w:rsidRDefault="0017501B">
            <w:pPr>
              <w:pBdr>
                <w:top w:val="nil"/>
                <w:left w:val="nil"/>
                <w:bottom w:val="nil"/>
                <w:right w:val="nil"/>
                <w:between w:val="nil"/>
              </w:pBdr>
              <w:spacing w:line="240" w:lineRule="auto"/>
              <w:jc w:val="left"/>
              <w:rPr>
                <w:b/>
                <w:color w:val="004D97"/>
                <w:sz w:val="14"/>
                <w:szCs w:val="14"/>
              </w:rPr>
            </w:pPr>
            <w:r>
              <w:rPr>
                <w:b/>
                <w:color w:val="004D97"/>
                <w:sz w:val="14"/>
                <w:szCs w:val="14"/>
              </w:rPr>
              <w:t>exchange rates</w:t>
            </w:r>
          </w:p>
          <w:p w:rsidR="007D2776" w:rsidRDefault="007D2776">
            <w:pPr>
              <w:pBdr>
                <w:top w:val="nil"/>
                <w:left w:val="nil"/>
                <w:bottom w:val="nil"/>
                <w:right w:val="nil"/>
                <w:between w:val="nil"/>
              </w:pBdr>
              <w:spacing w:line="240" w:lineRule="auto"/>
              <w:jc w:val="left"/>
              <w:rPr>
                <w:b/>
                <w:color w:val="004D97"/>
                <w:sz w:val="14"/>
                <w:szCs w:val="14"/>
              </w:rPr>
            </w:pPr>
          </w:p>
          <w:p w:rsidR="007D2776" w:rsidRDefault="0017501B">
            <w:pPr>
              <w:pBdr>
                <w:top w:val="nil"/>
                <w:left w:val="nil"/>
                <w:bottom w:val="nil"/>
                <w:right w:val="nil"/>
                <w:between w:val="nil"/>
              </w:pBdr>
              <w:spacing w:line="240" w:lineRule="auto"/>
              <w:rPr>
                <w:rFonts w:ascii="Georgia" w:eastAsia="Georgia" w:hAnsi="Georgia" w:cs="Georgia"/>
                <w:b/>
                <w:color w:val="004D97"/>
                <w:sz w:val="34"/>
                <w:szCs w:val="34"/>
              </w:rPr>
            </w:pPr>
            <w:r>
              <w:rPr>
                <w:rFonts w:ascii="Georgia" w:eastAsia="Georgia" w:hAnsi="Georgia" w:cs="Georgia"/>
                <w:b/>
                <w:color w:val="004D97"/>
                <w:sz w:val="32"/>
                <w:szCs w:val="32"/>
              </w:rPr>
              <w:t>+16.2%</w:t>
            </w:r>
            <w:r>
              <w:rPr>
                <w:rFonts w:ascii="Georgia" w:eastAsia="Georgia" w:hAnsi="Georgia" w:cs="Georgia"/>
                <w:b/>
                <w:color w:val="004D97"/>
                <w:sz w:val="34"/>
                <w:szCs w:val="34"/>
              </w:rPr>
              <w:t xml:space="preserve"> </w:t>
            </w:r>
          </w:p>
          <w:p w:rsidR="007D2776" w:rsidRDefault="007D2776">
            <w:pPr>
              <w:pBdr>
                <w:top w:val="nil"/>
                <w:left w:val="nil"/>
                <w:bottom w:val="nil"/>
                <w:right w:val="nil"/>
                <w:between w:val="nil"/>
              </w:pBdr>
              <w:spacing w:line="240" w:lineRule="auto"/>
              <w:jc w:val="left"/>
              <w:rPr>
                <w:rFonts w:ascii="Georgia" w:eastAsia="Georgia" w:hAnsi="Georgia" w:cs="Georgia"/>
                <w:b/>
                <w:color w:val="004D97"/>
                <w:sz w:val="20"/>
                <w:szCs w:val="20"/>
              </w:rPr>
            </w:pPr>
          </w:p>
        </w:tc>
        <w:tc>
          <w:tcPr>
            <w:tcW w:w="2490" w:type="dxa"/>
            <w:tcBorders>
              <w:top w:val="nil"/>
              <w:left w:val="nil"/>
              <w:bottom w:val="single" w:sz="4" w:space="0" w:color="514237"/>
              <w:right w:val="nil"/>
            </w:tcBorders>
            <w:shd w:val="clear" w:color="auto" w:fill="F5F5F5"/>
            <w:tcMar>
              <w:top w:w="113" w:type="dxa"/>
              <w:bottom w:w="113" w:type="dxa"/>
            </w:tcMar>
          </w:tcPr>
          <w:p w:rsidR="007D2776" w:rsidRDefault="0017501B">
            <w:pPr>
              <w:pBdr>
                <w:top w:val="nil"/>
                <w:left w:val="nil"/>
                <w:bottom w:val="nil"/>
                <w:right w:val="nil"/>
                <w:between w:val="nil"/>
              </w:pBdr>
              <w:spacing w:line="240" w:lineRule="auto"/>
              <w:jc w:val="left"/>
              <w:rPr>
                <w:b/>
                <w:color w:val="004D97"/>
                <w:sz w:val="14"/>
                <w:szCs w:val="14"/>
              </w:rPr>
            </w:pPr>
            <w:r>
              <w:rPr>
                <w:b/>
                <w:color w:val="004D97"/>
                <w:sz w:val="14"/>
                <w:szCs w:val="14"/>
              </w:rPr>
              <w:t>Overall change</w:t>
            </w:r>
          </w:p>
          <w:p w:rsidR="007D2776" w:rsidRDefault="007D2776">
            <w:pPr>
              <w:pBdr>
                <w:top w:val="nil"/>
                <w:left w:val="nil"/>
                <w:bottom w:val="nil"/>
                <w:right w:val="nil"/>
                <w:between w:val="nil"/>
              </w:pBdr>
              <w:spacing w:line="240" w:lineRule="auto"/>
              <w:jc w:val="left"/>
              <w:rPr>
                <w:b/>
                <w:color w:val="004D97"/>
                <w:sz w:val="14"/>
                <w:szCs w:val="14"/>
              </w:rPr>
            </w:pPr>
          </w:p>
          <w:p w:rsidR="007D2776" w:rsidRDefault="0017501B">
            <w:pPr>
              <w:pBdr>
                <w:top w:val="nil"/>
                <w:left w:val="nil"/>
                <w:bottom w:val="nil"/>
                <w:right w:val="nil"/>
                <w:between w:val="nil"/>
              </w:pBdr>
              <w:spacing w:line="240" w:lineRule="auto"/>
              <w:rPr>
                <w:rFonts w:ascii="Georgia" w:eastAsia="Georgia" w:hAnsi="Georgia" w:cs="Georgia"/>
                <w:b/>
                <w:color w:val="004D97"/>
                <w:sz w:val="32"/>
                <w:szCs w:val="32"/>
              </w:rPr>
            </w:pPr>
            <w:r>
              <w:rPr>
                <w:rFonts w:ascii="Georgia" w:eastAsia="Georgia" w:hAnsi="Georgia" w:cs="Georgia"/>
                <w:b/>
                <w:color w:val="004D97"/>
                <w:sz w:val="32"/>
                <w:szCs w:val="32"/>
              </w:rPr>
              <w:t>+19.3%</w:t>
            </w:r>
          </w:p>
          <w:p w:rsidR="007D2776" w:rsidRDefault="007D2776">
            <w:pPr>
              <w:pBdr>
                <w:top w:val="nil"/>
                <w:left w:val="nil"/>
                <w:bottom w:val="nil"/>
                <w:right w:val="nil"/>
                <w:between w:val="nil"/>
              </w:pBdr>
              <w:spacing w:line="240" w:lineRule="auto"/>
              <w:jc w:val="left"/>
              <w:rPr>
                <w:rFonts w:ascii="Georgia" w:eastAsia="Georgia" w:hAnsi="Georgia" w:cs="Georgia"/>
                <w:b/>
                <w:color w:val="004D97"/>
                <w:sz w:val="32"/>
                <w:szCs w:val="32"/>
              </w:rPr>
            </w:pPr>
          </w:p>
        </w:tc>
      </w:tr>
    </w:tbl>
    <w:p w:rsidR="007D2776" w:rsidRDefault="007D2776">
      <w:pPr>
        <w:pBdr>
          <w:top w:val="nil"/>
          <w:left w:val="nil"/>
          <w:bottom w:val="nil"/>
          <w:right w:val="nil"/>
          <w:between w:val="nil"/>
        </w:pBdr>
        <w:spacing w:line="240" w:lineRule="auto"/>
        <w:rPr>
          <w:i/>
          <w:sz w:val="15"/>
          <w:szCs w:val="15"/>
          <w:vertAlign w:val="superscript"/>
        </w:rPr>
      </w:pPr>
    </w:p>
    <w:p w:rsidR="007D2776" w:rsidRDefault="0017501B">
      <w:pPr>
        <w:pBdr>
          <w:top w:val="nil"/>
          <w:left w:val="nil"/>
          <w:bottom w:val="nil"/>
          <w:right w:val="nil"/>
          <w:between w:val="nil"/>
        </w:pBdr>
        <w:spacing w:line="240" w:lineRule="auto"/>
        <w:rPr>
          <w:sz w:val="12"/>
          <w:szCs w:val="12"/>
        </w:rPr>
      </w:pPr>
      <w:r>
        <w:rPr>
          <w:i/>
          <w:sz w:val="15"/>
          <w:szCs w:val="15"/>
          <w:vertAlign w:val="superscript"/>
        </w:rPr>
        <w:t>1</w:t>
      </w:r>
      <w:r>
        <w:rPr>
          <w:i/>
          <w:sz w:val="15"/>
          <w:szCs w:val="15"/>
        </w:rPr>
        <w:t xml:space="preserve"> Growth at constant exchange rates and scope corresponds to organic growth of sales, excluding exchange rate variations, by calculating the indicator for the financial year in question and the indicator for the previous financial year on the basis of ident</w:t>
      </w:r>
      <w:r>
        <w:rPr>
          <w:i/>
          <w:sz w:val="15"/>
          <w:szCs w:val="15"/>
        </w:rPr>
        <w:t>ical exchange rates (the exchange rate used is the previous financial year), and excluding change in scope, by calculating the indicator for the financial year in question on the basis of the scope of consolidation for the previous financial year.</w:t>
      </w:r>
    </w:p>
    <w:p w:rsidR="007D2776" w:rsidRDefault="007D2776">
      <w:pPr>
        <w:pBdr>
          <w:top w:val="nil"/>
          <w:left w:val="nil"/>
          <w:bottom w:val="nil"/>
          <w:right w:val="nil"/>
          <w:between w:val="nil"/>
        </w:pBdr>
        <w:spacing w:line="240" w:lineRule="auto"/>
        <w:rPr>
          <w:b/>
          <w:color w:val="004D97"/>
          <w:u w:val="single"/>
        </w:rPr>
      </w:pPr>
    </w:p>
    <w:p w:rsidR="007D2776" w:rsidRDefault="007D2776">
      <w:pPr>
        <w:pBdr>
          <w:top w:val="nil"/>
          <w:left w:val="nil"/>
          <w:bottom w:val="nil"/>
          <w:right w:val="nil"/>
          <w:between w:val="nil"/>
        </w:pBdr>
        <w:spacing w:line="240" w:lineRule="auto"/>
        <w:rPr>
          <w:b/>
          <w:color w:val="004D97"/>
          <w:u w:val="single"/>
        </w:rPr>
      </w:pPr>
    </w:p>
    <w:p w:rsidR="007D2776" w:rsidRDefault="0017501B">
      <w:pPr>
        <w:pBdr>
          <w:top w:val="nil"/>
          <w:left w:val="nil"/>
          <w:bottom w:val="nil"/>
          <w:right w:val="nil"/>
          <w:between w:val="nil"/>
        </w:pBdr>
        <w:spacing w:line="240" w:lineRule="auto"/>
        <w:rPr>
          <w:color w:val="434343"/>
          <w:sz w:val="12"/>
          <w:szCs w:val="12"/>
          <w:u w:val="single"/>
        </w:rPr>
      </w:pPr>
      <w:r>
        <w:rPr>
          <w:b/>
          <w:color w:val="004D97"/>
          <w:u w:val="single"/>
        </w:rPr>
        <w:t>Quarte</w:t>
      </w:r>
      <w:r>
        <w:rPr>
          <w:b/>
          <w:color w:val="004D97"/>
          <w:u w:val="single"/>
        </w:rPr>
        <w:t>rly consolidated revenue</w:t>
      </w:r>
    </w:p>
    <w:p w:rsidR="007D2776" w:rsidRDefault="0017501B">
      <w:pPr>
        <w:pBdr>
          <w:top w:val="nil"/>
          <w:left w:val="nil"/>
          <w:bottom w:val="nil"/>
          <w:right w:val="nil"/>
          <w:between w:val="nil"/>
        </w:pBdr>
        <w:spacing w:line="240" w:lineRule="auto"/>
        <w:rPr>
          <w:color w:val="FF0000"/>
        </w:rPr>
      </w:pPr>
      <w:r>
        <w:rPr>
          <w:color w:val="434343"/>
        </w:rPr>
        <w:t>Our first-quarter revenue reached €318.0 million, or a 19.3% increase with respect to the same period in 2021. At constant exchange rates, growth was +16.2%, driven by very good performance in the companion animal segment. This gro</w:t>
      </w:r>
      <w:r>
        <w:rPr>
          <w:color w:val="434343"/>
        </w:rPr>
        <w:t xml:space="preserve">wth benefited in part from a favorable baseline effect representing 2 points of growth in revenue, attributable to new products acquired starting in the second quarter of 2021. This growth was also </w:t>
      </w:r>
      <w:r>
        <w:rPr>
          <w:color w:val="434343"/>
        </w:rPr>
        <w:t xml:space="preserve">supported </w:t>
      </w:r>
      <w:r>
        <w:rPr>
          <w:color w:val="434343"/>
        </w:rPr>
        <w:t>in some countries by increases in distributor in</w:t>
      </w:r>
      <w:r>
        <w:rPr>
          <w:color w:val="434343"/>
        </w:rPr>
        <w:t xml:space="preserve">ventories. It should be noted that our actual performance was favorably impacted by the appreciation of certain currencies, in </w:t>
      </w:r>
      <w:r>
        <w:rPr>
          <w:color w:val="434343"/>
        </w:rPr>
        <w:t>particular</w:t>
      </w:r>
      <w:r>
        <w:rPr>
          <w:color w:val="434343"/>
        </w:rPr>
        <w:t xml:space="preserve"> the US dollar, the Indian rupee, and the Brazilian real</w:t>
      </w:r>
      <w:r>
        <w:rPr>
          <w:color w:val="FF0000"/>
        </w:rPr>
        <w:t>.</w:t>
      </w:r>
    </w:p>
    <w:p w:rsidR="007D2776" w:rsidRDefault="007D2776">
      <w:pPr>
        <w:pBdr>
          <w:top w:val="nil"/>
          <w:left w:val="nil"/>
          <w:bottom w:val="nil"/>
          <w:right w:val="nil"/>
          <w:between w:val="nil"/>
        </w:pBdr>
        <w:spacing w:line="240" w:lineRule="auto"/>
        <w:rPr>
          <w:color w:val="FF0000"/>
        </w:rPr>
      </w:pPr>
    </w:p>
    <w:p w:rsidR="007D2776" w:rsidRDefault="0017501B">
      <w:pPr>
        <w:pBdr>
          <w:top w:val="nil"/>
          <w:left w:val="nil"/>
          <w:bottom w:val="nil"/>
          <w:right w:val="nil"/>
          <w:between w:val="nil"/>
        </w:pBdr>
        <w:spacing w:line="240" w:lineRule="auto"/>
        <w:rPr>
          <w:color w:val="434343"/>
        </w:rPr>
      </w:pPr>
      <w:r>
        <w:rPr>
          <w:color w:val="434343"/>
        </w:rPr>
        <w:t>Our growth in the first quarter was driven mainly by the per</w:t>
      </w:r>
      <w:r>
        <w:rPr>
          <w:color w:val="434343"/>
        </w:rPr>
        <w:t>formance of Asia-Pacific, Europe and Latin America. In Asia-Pacific, the real-rates growth was +25.9% (+22.5% at constant exchange rates). Australia and India were the main drivers of this growth in the area, generating nearly 80% of it, offsetting the dec</w:t>
      </w:r>
      <w:r>
        <w:rPr>
          <w:color w:val="434343"/>
        </w:rPr>
        <w:t>line in China, impacted by Covid-19 and a very challenging baseline effect compared to the first quarter of 2021. In Europe, revenue grew by 11.2% at real rates (+10.4% at constant rates). The main contributors to this performance were France, Italy, the U</w:t>
      </w:r>
      <w:r>
        <w:rPr>
          <w:color w:val="434343"/>
        </w:rPr>
        <w:t>nited Kingdom, the Export</w:t>
      </w:r>
      <w:r>
        <w:rPr>
          <w:color w:val="434343"/>
        </w:rPr>
        <w:t xml:space="preserve"> </w:t>
      </w:r>
      <w:r>
        <w:rPr>
          <w:color w:val="434343"/>
        </w:rPr>
        <w:t>and</w:t>
      </w:r>
      <w:r>
        <w:rPr>
          <w:color w:val="434343"/>
        </w:rPr>
        <w:t xml:space="preserve"> </w:t>
      </w:r>
      <w:r>
        <w:rPr>
          <w:color w:val="434343"/>
        </w:rPr>
        <w:t xml:space="preserve">OTC areas  activities, and Germany, driven by strong momentum in the companion animal ranges (in particular </w:t>
      </w:r>
      <w:proofErr w:type="spellStart"/>
      <w:r>
        <w:rPr>
          <w:color w:val="434343"/>
        </w:rPr>
        <w:t>petfood</w:t>
      </w:r>
      <w:proofErr w:type="spellEnd"/>
      <w:r>
        <w:rPr>
          <w:color w:val="434343"/>
        </w:rPr>
        <w:t>, specialty products, and vaccines), which offset the decline in ranges for food-producing animals. In Latin America, excluding Chile, the Gr</w:t>
      </w:r>
      <w:r>
        <w:rPr>
          <w:color w:val="434343"/>
        </w:rPr>
        <w:t xml:space="preserve">oup had an excellent start </w:t>
      </w:r>
      <w:r>
        <w:rPr>
          <w:color w:val="434343"/>
        </w:rPr>
        <w:t>of</w:t>
      </w:r>
      <w:r>
        <w:rPr>
          <w:color w:val="434343"/>
        </w:rPr>
        <w:t xml:space="preserve"> the year. Revenue grew by 35.6% at real rates (</w:t>
      </w:r>
      <w:r>
        <w:rPr>
          <w:color w:val="434343"/>
        </w:rPr>
        <w:t>+27</w:t>
      </w:r>
      <w:proofErr w:type="gramStart"/>
      <w:r>
        <w:rPr>
          <w:color w:val="434343"/>
        </w:rPr>
        <w:t>,2</w:t>
      </w:r>
      <w:proofErr w:type="gramEnd"/>
      <w:r>
        <w:rPr>
          <w:color w:val="434343"/>
        </w:rPr>
        <w:t xml:space="preserve"> %</w:t>
      </w:r>
      <w:r>
        <w:rPr>
          <w:color w:val="434343"/>
        </w:rPr>
        <w:t xml:space="preserve"> at constant exchange rates), due to double-digit growth in all subsidiaries, particularly thanks to strong contributions </w:t>
      </w:r>
      <w:r>
        <w:rPr>
          <w:color w:val="434343"/>
        </w:rPr>
        <w:t>of</w:t>
      </w:r>
      <w:r>
        <w:rPr>
          <w:color w:val="434343"/>
        </w:rPr>
        <w:t xml:space="preserve"> Brazil and Mexico. Chile posted growth of 9.5% </w:t>
      </w:r>
      <w:r>
        <w:rPr>
          <w:color w:val="434343"/>
        </w:rPr>
        <w:t xml:space="preserve">at real </w:t>
      </w:r>
      <w:proofErr w:type="gramStart"/>
      <w:r>
        <w:rPr>
          <w:color w:val="434343"/>
        </w:rPr>
        <w:t>rates</w:t>
      </w:r>
      <w:proofErr w:type="gramEnd"/>
      <w:r>
        <w:rPr>
          <w:color w:val="434343"/>
        </w:rPr>
        <w:t xml:space="preserve"> (+6.0% at constant exchange rates), </w:t>
      </w:r>
      <w:r>
        <w:rPr>
          <w:color w:val="434343"/>
        </w:rPr>
        <w:t xml:space="preserve">driven </w:t>
      </w:r>
      <w:r>
        <w:rPr>
          <w:color w:val="434343"/>
        </w:rPr>
        <w:t>by sales in the companion animal and salmon ranges. Lastly, in the United States, first-quarter revenue increased by 26.2% (+1</w:t>
      </w:r>
      <w:r>
        <w:rPr>
          <w:color w:val="434343"/>
        </w:rPr>
        <w:t>7</w:t>
      </w:r>
      <w:r>
        <w:rPr>
          <w:color w:val="434343"/>
        </w:rPr>
        <w:t>.5% at constant exchange rates). It benefited from strong sales of new p</w:t>
      </w:r>
      <w:r>
        <w:rPr>
          <w:color w:val="434343"/>
        </w:rPr>
        <w:t xml:space="preserve">roducts launched in 2021, as well as external </w:t>
      </w:r>
      <w:proofErr w:type="spellStart"/>
      <w:r>
        <w:rPr>
          <w:color w:val="434343"/>
        </w:rPr>
        <w:t>parasiticides</w:t>
      </w:r>
      <w:proofErr w:type="spellEnd"/>
      <w:r>
        <w:rPr>
          <w:color w:val="434343"/>
        </w:rPr>
        <w:t xml:space="preserve">. </w:t>
      </w:r>
    </w:p>
    <w:p w:rsidR="007D2776" w:rsidRDefault="007D2776">
      <w:pPr>
        <w:pBdr>
          <w:top w:val="nil"/>
          <w:left w:val="nil"/>
          <w:bottom w:val="nil"/>
          <w:right w:val="nil"/>
          <w:between w:val="nil"/>
        </w:pBdr>
        <w:spacing w:line="240" w:lineRule="auto"/>
        <w:rPr>
          <w:color w:val="434343"/>
        </w:rPr>
      </w:pPr>
    </w:p>
    <w:p w:rsidR="007D2776" w:rsidRDefault="0017501B">
      <w:pPr>
        <w:pBdr>
          <w:top w:val="nil"/>
          <w:left w:val="nil"/>
          <w:bottom w:val="nil"/>
          <w:right w:val="nil"/>
          <w:between w:val="nil"/>
        </w:pBdr>
        <w:spacing w:line="240" w:lineRule="auto"/>
        <w:rPr>
          <w:color w:val="434343"/>
        </w:rPr>
      </w:pPr>
      <w:r>
        <w:rPr>
          <w:b/>
          <w:color w:val="004D97"/>
        </w:rPr>
        <w:t>In terms of species,</w:t>
      </w:r>
      <w:r>
        <w:rPr>
          <w:color w:val="FF0000"/>
        </w:rPr>
        <w:t xml:space="preserve"> </w:t>
      </w:r>
      <w:r>
        <w:rPr>
          <w:color w:val="434343"/>
        </w:rPr>
        <w:t xml:space="preserve">revenue in the companion animal segment grew overall by 22.3% at real rates (+19.5% at constant exchange rates), mainly driven by very good double-digit growth in the </w:t>
      </w:r>
      <w:proofErr w:type="spellStart"/>
      <w:r>
        <w:rPr>
          <w:color w:val="434343"/>
        </w:rPr>
        <w:t>petfo</w:t>
      </w:r>
      <w:r>
        <w:rPr>
          <w:color w:val="434343"/>
        </w:rPr>
        <w:t>od</w:t>
      </w:r>
      <w:proofErr w:type="spellEnd"/>
      <w:r>
        <w:rPr>
          <w:color w:val="434343"/>
        </w:rPr>
        <w:t>, specialty, dermatology and hygiene ranges, as well as vaccines for dogs and cats. The food-producing animals segment also showed strong growth of 16.9% at real rates (+13.3% at constant exchange rates), mainly driven by the ruminant sector (+17.1% at c</w:t>
      </w:r>
      <w:r>
        <w:rPr>
          <w:color w:val="434343"/>
        </w:rPr>
        <w:t>onstant exchange rates); and the aquaculture segment (+6.9% at constant rates) compared to the same period in 2021.</w:t>
      </w:r>
    </w:p>
    <w:p w:rsidR="007D2776" w:rsidRDefault="0017501B">
      <w:pPr>
        <w:pBdr>
          <w:top w:val="nil"/>
          <w:left w:val="nil"/>
          <w:bottom w:val="nil"/>
          <w:right w:val="nil"/>
          <w:between w:val="nil"/>
        </w:pBdr>
        <w:spacing w:line="240" w:lineRule="auto"/>
        <w:ind w:left="2160"/>
        <w:rPr>
          <w:color w:val="434343"/>
        </w:rPr>
      </w:pPr>
      <w:r>
        <w:rPr>
          <w:color w:val="434343"/>
        </w:rPr>
        <w:t xml:space="preserve"> </w:t>
      </w:r>
    </w:p>
    <w:p w:rsidR="007D2776" w:rsidRDefault="0017501B">
      <w:pPr>
        <w:keepNext/>
        <w:pBdr>
          <w:top w:val="nil"/>
          <w:left w:val="nil"/>
          <w:bottom w:val="nil"/>
          <w:right w:val="nil"/>
          <w:between w:val="nil"/>
        </w:pBdr>
        <w:spacing w:line="240" w:lineRule="auto"/>
        <w:jc w:val="left"/>
        <w:rPr>
          <w:b/>
          <w:color w:val="004D97"/>
          <w:u w:val="single"/>
        </w:rPr>
      </w:pPr>
      <w:r>
        <w:rPr>
          <w:b/>
          <w:color w:val="004D97"/>
          <w:u w:val="single"/>
        </w:rPr>
        <w:t>Outlook</w:t>
      </w:r>
    </w:p>
    <w:p w:rsidR="007D2776" w:rsidRDefault="0017501B">
      <w:pPr>
        <w:pBdr>
          <w:top w:val="nil"/>
          <w:left w:val="nil"/>
          <w:bottom w:val="nil"/>
          <w:right w:val="nil"/>
          <w:between w:val="nil"/>
        </w:pBdr>
        <w:spacing w:line="240" w:lineRule="auto"/>
        <w:rPr>
          <w:color w:val="434343"/>
        </w:rPr>
      </w:pPr>
      <w:r>
        <w:rPr>
          <w:color w:val="434343"/>
        </w:rPr>
        <w:t>Based on first-quarter performance, while also taking into account the uncertainties of the coming months as well as the market’s expected return to normal, we are expanding our revenue growth outlook at constant rates and scope to a range of between 5% an</w:t>
      </w:r>
      <w:r>
        <w:rPr>
          <w:color w:val="434343"/>
        </w:rPr>
        <w:t>d 10%. The ratio of “current operating profit before depreciation of assets arising from acquisitions” to “revenue” should be around 15% at constant exchange rates (with a deliberate overinvestment in R&amp;D of approximately 1 percentage point of revenue comp</w:t>
      </w:r>
      <w:r>
        <w:rPr>
          <w:color w:val="434343"/>
        </w:rPr>
        <w:t>ared to 2021). Furthermore, debt relief should be around €60 million, excluding dividends, at constant scope and exchange rates.</w:t>
      </w:r>
    </w:p>
    <w:p w:rsidR="007D2776" w:rsidRDefault="007D2776">
      <w:pPr>
        <w:pBdr>
          <w:top w:val="nil"/>
          <w:left w:val="nil"/>
          <w:bottom w:val="nil"/>
          <w:right w:val="nil"/>
          <w:between w:val="nil"/>
        </w:pBdr>
        <w:spacing w:line="240" w:lineRule="auto"/>
        <w:rPr>
          <w:color w:val="434343"/>
        </w:rPr>
      </w:pPr>
    </w:p>
    <w:p w:rsidR="007D2776" w:rsidRDefault="0017501B">
      <w:pPr>
        <w:pBdr>
          <w:top w:val="nil"/>
          <w:left w:val="nil"/>
          <w:bottom w:val="nil"/>
          <w:right w:val="nil"/>
          <w:between w:val="nil"/>
        </w:pBdr>
        <w:spacing w:line="240" w:lineRule="auto"/>
        <w:rPr>
          <w:color w:val="434343"/>
          <w:u w:val="single"/>
        </w:rPr>
      </w:pPr>
      <w:r>
        <w:rPr>
          <w:color w:val="434343"/>
          <w:u w:val="single"/>
        </w:rPr>
        <w:t>Covid-19 health crisis and the war in Ukraine</w:t>
      </w:r>
    </w:p>
    <w:p w:rsidR="007D2776" w:rsidRDefault="0017501B">
      <w:pPr>
        <w:pBdr>
          <w:top w:val="nil"/>
          <w:left w:val="nil"/>
          <w:bottom w:val="nil"/>
          <w:right w:val="nil"/>
          <w:between w:val="nil"/>
        </w:pBdr>
        <w:spacing w:line="240" w:lineRule="auto"/>
        <w:rPr>
          <w:color w:val="434343"/>
        </w:rPr>
      </w:pPr>
      <w:r>
        <w:rPr>
          <w:color w:val="434343"/>
        </w:rPr>
        <w:t>We continue to face significant production, logistical and supply constraints with regard to certain intermediaries, and more recently, the impact of inflation on our costs (energy, raw materials, etc.).</w:t>
      </w:r>
    </w:p>
    <w:p w:rsidR="007D2776" w:rsidRDefault="007D2776">
      <w:pPr>
        <w:pBdr>
          <w:top w:val="nil"/>
          <w:left w:val="nil"/>
          <w:bottom w:val="nil"/>
          <w:right w:val="nil"/>
          <w:between w:val="nil"/>
        </w:pBdr>
        <w:spacing w:line="240" w:lineRule="auto"/>
        <w:rPr>
          <w:color w:val="434343"/>
        </w:rPr>
      </w:pPr>
    </w:p>
    <w:p w:rsidR="007D2776" w:rsidRDefault="007D2776">
      <w:pPr>
        <w:pBdr>
          <w:top w:val="nil"/>
          <w:left w:val="nil"/>
          <w:bottom w:val="nil"/>
          <w:right w:val="nil"/>
          <w:between w:val="nil"/>
        </w:pBdr>
        <w:spacing w:line="240" w:lineRule="auto"/>
        <w:rPr>
          <w:color w:val="434343"/>
        </w:rPr>
      </w:pPr>
    </w:p>
    <w:p w:rsidR="007D2776" w:rsidRDefault="007D2776">
      <w:pPr>
        <w:pBdr>
          <w:top w:val="nil"/>
          <w:left w:val="nil"/>
          <w:bottom w:val="nil"/>
          <w:right w:val="nil"/>
          <w:between w:val="nil"/>
        </w:pBdr>
        <w:spacing w:line="240" w:lineRule="auto"/>
        <w:rPr>
          <w:color w:val="FF0000"/>
        </w:rPr>
      </w:pPr>
    </w:p>
    <w:p w:rsidR="007D2776" w:rsidRDefault="007D2776">
      <w:pPr>
        <w:pBdr>
          <w:top w:val="nil"/>
          <w:left w:val="nil"/>
          <w:bottom w:val="nil"/>
          <w:right w:val="nil"/>
          <w:between w:val="nil"/>
        </w:pBdr>
        <w:spacing w:line="240" w:lineRule="auto"/>
        <w:rPr>
          <w:color w:val="434343"/>
        </w:rPr>
      </w:pPr>
      <w:bookmarkStart w:id="2" w:name="_30j0zll" w:colFirst="0" w:colLast="0"/>
      <w:bookmarkEnd w:id="2"/>
    </w:p>
    <w:p w:rsidR="007D2776" w:rsidRDefault="007D2776">
      <w:pPr>
        <w:pBdr>
          <w:top w:val="nil"/>
          <w:left w:val="nil"/>
          <w:bottom w:val="nil"/>
          <w:right w:val="nil"/>
          <w:between w:val="nil"/>
        </w:pBdr>
      </w:pPr>
    </w:p>
    <w:p w:rsidR="007D2776" w:rsidRDefault="007D2776">
      <w:pPr>
        <w:pBdr>
          <w:top w:val="nil"/>
          <w:left w:val="nil"/>
          <w:bottom w:val="nil"/>
          <w:right w:val="nil"/>
          <w:between w:val="nil"/>
        </w:pBd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nil"/>
          <w:left w:val="nil"/>
          <w:bottom w:val="nil"/>
          <w:right w:val="nil"/>
          <w:between w:val="nil"/>
        </w:pBdr>
        <w:rPr>
          <w:b/>
        </w:rPr>
      </w:pPr>
    </w:p>
    <w:p w:rsidR="007D2776" w:rsidRDefault="007D2776">
      <w:pPr>
        <w:pBdr>
          <w:top w:val="single" w:sz="4" w:space="1" w:color="000000"/>
        </w:pBdr>
      </w:pPr>
    </w:p>
    <w:p w:rsidR="007D2776" w:rsidRDefault="0017501B">
      <w:pPr>
        <w:rPr>
          <w:b/>
        </w:rPr>
      </w:pPr>
      <w:r>
        <w:rPr>
          <w:b/>
        </w:rPr>
        <w:t>A lifelong commitment to animal health</w:t>
      </w:r>
    </w:p>
    <w:p w:rsidR="007D2776" w:rsidRDefault="0017501B">
      <w:pPr>
        <w:rPr>
          <w:b/>
        </w:rPr>
      </w:pPr>
      <w:r>
        <w:t xml:space="preserve">At </w:t>
      </w:r>
      <w:proofErr w:type="spellStart"/>
      <w:r>
        <w:t>Virbac</w:t>
      </w:r>
      <w:proofErr w:type="spellEnd"/>
      <w:r>
        <w:t>, we make innovative solutions available to veterinarians, farmers and animal owners in more than 100 countries around the world. Covering more than 50 species, our range of products and services can diagnose</w:t>
      </w:r>
      <w:r>
        <w:t>, prevent and treat the majority of pathologies. Every day, we are committed to improving the quality of life of animals and to shaping the future of animal health together.</w:t>
      </w:r>
    </w:p>
    <w:p w:rsidR="007D2776" w:rsidRDefault="007D2776">
      <w:pPr>
        <w:widowControl w:val="0"/>
        <w:spacing w:line="276" w:lineRule="auto"/>
        <w:jc w:val="left"/>
      </w:pPr>
    </w:p>
    <w:p w:rsidR="007D2776" w:rsidRDefault="0017501B">
      <w:pPr>
        <w:rPr>
          <w:b/>
        </w:rPr>
      </w:pPr>
      <w:r>
        <w:rPr>
          <w:noProof/>
          <w:lang w:val="fr-FR"/>
        </w:rPr>
        <w:drawing>
          <wp:inline distT="114300" distB="114300" distL="114300" distR="114300">
            <wp:extent cx="6515425" cy="186267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6515425" cy="1862675"/>
                    </a:xfrm>
                    <a:prstGeom prst="rect">
                      <a:avLst/>
                    </a:prstGeom>
                    <a:ln/>
                  </pic:spPr>
                </pic:pic>
              </a:graphicData>
            </a:graphic>
          </wp:inline>
        </w:drawing>
      </w:r>
    </w:p>
    <w:p w:rsidR="007D2776" w:rsidRDefault="007D2776"/>
    <w:p w:rsidR="007D2776" w:rsidRDefault="007D2776">
      <w:pPr>
        <w:pBdr>
          <w:top w:val="single" w:sz="4" w:space="1" w:color="000000"/>
        </w:pBdr>
        <w:rPr>
          <w:sz w:val="12"/>
          <w:szCs w:val="12"/>
        </w:rPr>
      </w:pPr>
    </w:p>
    <w:p w:rsidR="007D2776" w:rsidRDefault="007D2776">
      <w:pPr>
        <w:pBdr>
          <w:top w:val="single" w:sz="4" w:space="1" w:color="000000"/>
          <w:left w:val="nil"/>
          <w:bottom w:val="nil"/>
          <w:right w:val="nil"/>
          <w:between w:val="nil"/>
        </w:pBdr>
        <w:rPr>
          <w:b/>
        </w:rPr>
      </w:pPr>
    </w:p>
    <w:p w:rsidR="007D2776" w:rsidRDefault="0017501B">
      <w:pPr>
        <w:pBdr>
          <w:top w:val="nil"/>
          <w:left w:val="nil"/>
          <w:bottom w:val="nil"/>
          <w:right w:val="nil"/>
          <w:between w:val="nil"/>
        </w:pBdr>
        <w:spacing w:line="240" w:lineRule="auto"/>
        <w:rPr>
          <w:sz w:val="12"/>
          <w:szCs w:val="12"/>
        </w:rPr>
      </w:pPr>
      <w:proofErr w:type="spellStart"/>
      <w:r>
        <w:rPr>
          <w:sz w:val="12"/>
          <w:szCs w:val="12"/>
        </w:rPr>
        <w:t>Virbac</w:t>
      </w:r>
      <w:proofErr w:type="spellEnd"/>
      <w:r>
        <w:rPr>
          <w:sz w:val="12"/>
          <w:szCs w:val="12"/>
        </w:rPr>
        <w:t>: NYSE Euronext - compartment A – ISIN code: FR0000031577 / MNEMO: VIRP</w:t>
      </w:r>
    </w:p>
    <w:p w:rsidR="007D2776" w:rsidRDefault="0017501B">
      <w:pPr>
        <w:pBdr>
          <w:top w:val="nil"/>
          <w:left w:val="nil"/>
          <w:bottom w:val="nil"/>
          <w:right w:val="nil"/>
          <w:between w:val="nil"/>
        </w:pBdr>
        <w:spacing w:line="240" w:lineRule="auto"/>
        <w:rPr>
          <w:sz w:val="12"/>
          <w:szCs w:val="12"/>
        </w:rPr>
      </w:pPr>
      <w:r>
        <w:rPr>
          <w:sz w:val="12"/>
          <w:szCs w:val="12"/>
        </w:rPr>
        <w:t>Financial Affairs Department: tel. 04 92 08 71 32 - email: finances@virbac.com - Website: corporate.virbac.com</w:t>
      </w:r>
    </w:p>
    <w:sectPr w:rsidR="007D2776">
      <w:headerReference w:type="default" r:id="rId7"/>
      <w:footerReference w:type="even" r:id="rId8"/>
      <w:footerReference w:type="default" r:id="rId9"/>
      <w:pgSz w:w="11907" w:h="16840"/>
      <w:pgMar w:top="1275" w:right="794" w:bottom="121" w:left="851" w:header="709" w:footer="113"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01B" w:rsidRDefault="0017501B">
      <w:pPr>
        <w:spacing w:line="240" w:lineRule="auto"/>
      </w:pPr>
      <w:r>
        <w:separator/>
      </w:r>
    </w:p>
  </w:endnote>
  <w:endnote w:type="continuationSeparator" w:id="0">
    <w:p w:rsidR="0017501B" w:rsidRDefault="00175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76" w:rsidRDefault="0017501B">
    <w:pPr>
      <w:pBdr>
        <w:top w:val="nil"/>
        <w:left w:val="nil"/>
        <w:bottom w:val="nil"/>
        <w:right w:val="nil"/>
        <w:between w:val="nil"/>
      </w:pBdr>
      <w:tabs>
        <w:tab w:val="center" w:pos="4536"/>
        <w:tab w:val="right" w:pos="9072"/>
      </w:tabs>
      <w:rPr>
        <w:color w:val="262626"/>
        <w:sz w:val="18"/>
        <w:szCs w:val="18"/>
      </w:rPr>
    </w:pPr>
    <w:r>
      <w:rPr>
        <w:color w:val="262626"/>
        <w:sz w:val="18"/>
        <w:szCs w:val="18"/>
      </w:rPr>
      <w:fldChar w:fldCharType="begin"/>
    </w:r>
    <w:r>
      <w:rPr>
        <w:color w:val="262626"/>
        <w:sz w:val="18"/>
        <w:szCs w:val="18"/>
      </w:rPr>
      <w:instrText>PAGE</w:instrText>
    </w:r>
    <w:r>
      <w:rPr>
        <w:color w:val="262626"/>
        <w:sz w:val="18"/>
        <w:szCs w:val="18"/>
      </w:rPr>
      <w:fldChar w:fldCharType="end"/>
    </w:r>
  </w:p>
  <w:p w:rsidR="007D2776" w:rsidRDefault="007D2776">
    <w:pPr>
      <w:pBdr>
        <w:top w:val="nil"/>
        <w:left w:val="nil"/>
        <w:bottom w:val="nil"/>
        <w:right w:val="nil"/>
        <w:between w:val="nil"/>
      </w:pBdr>
      <w:tabs>
        <w:tab w:val="center" w:pos="4536"/>
        <w:tab w:val="right" w:pos="9072"/>
      </w:tabs>
    </w:pPr>
  </w:p>
  <w:p w:rsidR="007D2776" w:rsidRDefault="007D2776">
    <w:pPr>
      <w:pBdr>
        <w:top w:val="nil"/>
        <w:left w:val="nil"/>
        <w:bottom w:val="nil"/>
        <w:right w:val="nil"/>
        <w:between w:val="nil"/>
      </w:pBd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76" w:rsidRDefault="007D2776">
    <w:pPr>
      <w:pBdr>
        <w:top w:val="nil"/>
        <w:left w:val="nil"/>
        <w:bottom w:val="nil"/>
        <w:right w:val="nil"/>
        <w:between w:val="nil"/>
      </w:pBdr>
      <w:spacing w:line="240" w:lineRule="auto"/>
      <w:rPr>
        <w:sz w:val="12"/>
        <w:szCs w:val="12"/>
      </w:rPr>
    </w:pPr>
  </w:p>
  <w:p w:rsidR="007D2776" w:rsidRDefault="007D2776">
    <w:pPr>
      <w:pBdr>
        <w:top w:val="nil"/>
        <w:left w:val="nil"/>
        <w:bottom w:val="nil"/>
        <w:right w:val="nil"/>
        <w:between w:val="nil"/>
      </w:pBdr>
      <w:tabs>
        <w:tab w:val="center" w:pos="4536"/>
        <w:tab w:val="right" w:pos="9072"/>
      </w:tabs>
      <w:rPr>
        <w:color w:val="514237"/>
        <w:sz w:val="12"/>
        <w:szCs w:val="12"/>
      </w:rPr>
    </w:pPr>
  </w:p>
  <w:p w:rsidR="007D2776" w:rsidRDefault="007D2776">
    <w:pPr>
      <w:pBdr>
        <w:top w:val="nil"/>
        <w:left w:val="nil"/>
        <w:bottom w:val="nil"/>
        <w:right w:val="nil"/>
        <w:between w:val="nil"/>
      </w:pBd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01B" w:rsidRDefault="0017501B">
      <w:pPr>
        <w:spacing w:line="240" w:lineRule="auto"/>
      </w:pPr>
      <w:r>
        <w:separator/>
      </w:r>
    </w:p>
  </w:footnote>
  <w:footnote w:type="continuationSeparator" w:id="0">
    <w:p w:rsidR="0017501B" w:rsidRDefault="001750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76" w:rsidRDefault="0017501B">
    <w:pPr>
      <w:pBdr>
        <w:top w:val="nil"/>
        <w:left w:val="nil"/>
        <w:bottom w:val="nil"/>
        <w:right w:val="nil"/>
        <w:between w:val="nil"/>
      </w:pBdr>
      <w:tabs>
        <w:tab w:val="center" w:pos="4536"/>
        <w:tab w:val="right" w:pos="9072"/>
      </w:tabs>
    </w:pPr>
    <w:r>
      <w:rPr>
        <w:noProof/>
        <w:lang w:val="fr-FR"/>
      </w:rPr>
      <w:drawing>
        <wp:anchor distT="0" distB="0" distL="114300" distR="114300" simplePos="0" relativeHeight="251658240" behindDoc="0" locked="0" layoutInCell="1" hidden="0" allowOverlap="1">
          <wp:simplePos x="0" y="0"/>
          <wp:positionH relativeFrom="column">
            <wp:posOffset>-233678</wp:posOffset>
          </wp:positionH>
          <wp:positionV relativeFrom="paragraph">
            <wp:posOffset>-621663</wp:posOffset>
          </wp:positionV>
          <wp:extent cx="1554480" cy="88392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54480" cy="8839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76"/>
    <w:rsid w:val="0017501B"/>
    <w:rsid w:val="0024142B"/>
    <w:rsid w:val="007D2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72FD8-BBC5-495C-921E-4D66D385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595959"/>
        <w:sz w:val="16"/>
        <w:szCs w:val="16"/>
        <w:lang w:val="en-US" w:eastAsia="fr-FR" w:bidi="ar-SA"/>
      </w:rPr>
    </w:rPrDefault>
    <w:pPrDefault>
      <w:pPr>
        <w:spacing w:line="19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pBdr>
        <w:top w:val="nil"/>
        <w:left w:val="nil"/>
        <w:bottom w:val="nil"/>
        <w:right w:val="nil"/>
        <w:between w:val="nil"/>
      </w:pBdr>
      <w:spacing w:line="240" w:lineRule="auto"/>
      <w:outlineLvl w:val="0"/>
    </w:pPr>
    <w:rPr>
      <w:b/>
      <w:color w:val="514237"/>
      <w:sz w:val="44"/>
      <w:szCs w:val="44"/>
    </w:rPr>
  </w:style>
  <w:style w:type="paragraph" w:styleId="Titre2">
    <w:name w:val="heading 2"/>
    <w:basedOn w:val="Normal"/>
    <w:next w:val="Normal"/>
    <w:pPr>
      <w:keepNext/>
      <w:pBdr>
        <w:top w:val="nil"/>
        <w:left w:val="nil"/>
        <w:bottom w:val="nil"/>
        <w:right w:val="nil"/>
        <w:between w:val="nil"/>
      </w:pBdr>
      <w:outlineLvl w:val="1"/>
    </w:pPr>
    <w:rPr>
      <w:b/>
      <w:color w:val="004D97"/>
    </w:rPr>
  </w:style>
  <w:style w:type="paragraph" w:styleId="Titre3">
    <w:name w:val="heading 3"/>
    <w:basedOn w:val="Normal"/>
    <w:next w:val="Normal"/>
    <w:pPr>
      <w:pBdr>
        <w:top w:val="single" w:sz="4" w:space="1" w:color="E0DBD9"/>
        <w:left w:val="single" w:sz="4" w:space="4" w:color="E0DBD9"/>
        <w:bottom w:val="single" w:sz="4" w:space="1" w:color="E0DBD9"/>
        <w:right w:val="single" w:sz="4" w:space="4" w:color="E0DBD9"/>
        <w:between w:val="nil"/>
      </w:pBdr>
      <w:shd w:val="clear" w:color="auto" w:fill="E0DBD9"/>
      <w:outlineLvl w:val="2"/>
    </w:pPr>
    <w:rPr>
      <w:smallCaps/>
    </w:rPr>
  </w:style>
  <w:style w:type="paragraph" w:styleId="Titre4">
    <w:name w:val="heading 4"/>
    <w:basedOn w:val="Normal"/>
    <w:next w:val="Normal"/>
    <w:pPr>
      <w:keepNext/>
      <w:pBdr>
        <w:top w:val="nil"/>
        <w:left w:val="nil"/>
        <w:bottom w:val="nil"/>
        <w:right w:val="nil"/>
        <w:between w:val="nil"/>
      </w:pBdr>
      <w:outlineLvl w:val="3"/>
    </w:pPr>
    <w:rPr>
      <w:b/>
      <w:color w:val="004D97"/>
    </w:rPr>
  </w:style>
  <w:style w:type="paragraph" w:styleId="Titre5">
    <w:name w:val="heading 5"/>
    <w:basedOn w:val="Normal"/>
    <w:next w:val="Normal"/>
    <w:pPr>
      <w:pBdr>
        <w:top w:val="nil"/>
        <w:left w:val="nil"/>
        <w:bottom w:val="nil"/>
        <w:right w:val="nil"/>
        <w:between w:val="nil"/>
      </w:pBdr>
      <w:outlineLvl w:val="4"/>
    </w:pPr>
    <w:rPr>
      <w:b/>
      <w:sz w:val="14"/>
      <w:szCs w:val="14"/>
      <w:u w:val="single"/>
    </w:rPr>
  </w:style>
  <w:style w:type="paragraph" w:styleId="Titre6">
    <w:name w:val="heading 6"/>
    <w:basedOn w:val="Normal"/>
    <w:next w:val="Normal"/>
    <w:pPr>
      <w:pBdr>
        <w:top w:val="nil"/>
        <w:left w:val="nil"/>
        <w:bottom w:val="nil"/>
        <w:right w:val="nil"/>
        <w:between w:val="nil"/>
      </w:pBdr>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pBdr>
        <w:top w:val="nil"/>
        <w:left w:val="nil"/>
        <w:bottom w:val="nil"/>
        <w:right w:val="nil"/>
        <w:between w:val="nil"/>
      </w:pBdr>
      <w:spacing w:before="240" w:after="60"/>
      <w:jc w:val="right"/>
    </w:pPr>
    <w:rPr>
      <w:rFonts w:ascii="Cambria" w:eastAsia="Cambria" w:hAnsi="Cambria" w:cs="Cambria"/>
      <w:color w:val="FF0000"/>
      <w:sz w:val="2"/>
      <w:szCs w:val="2"/>
    </w:rPr>
  </w:style>
  <w:style w:type="paragraph" w:styleId="Sous-titre">
    <w:name w:val="Subtitle"/>
    <w:basedOn w:val="Normal"/>
    <w:next w:val="Normal"/>
    <w:pPr>
      <w:pBdr>
        <w:top w:val="nil"/>
        <w:left w:val="nil"/>
        <w:bottom w:val="nil"/>
        <w:right w:val="nil"/>
        <w:between w:val="nil"/>
      </w:pBdr>
      <w:spacing w:after="60"/>
      <w:jc w:val="right"/>
    </w:pPr>
    <w:rPr>
      <w:rFonts w:ascii="Cambria" w:eastAsia="Cambria" w:hAnsi="Cambria" w:cs="Cambria"/>
      <w:color w:val="FF0000"/>
      <w:sz w:val="2"/>
      <w:szCs w:val="2"/>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4425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Virbac</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Rodriguez</dc:creator>
  <cp:lastModifiedBy>Manuela Rodriguez</cp:lastModifiedBy>
  <cp:revision>2</cp:revision>
  <dcterms:created xsi:type="dcterms:W3CDTF">2022-04-14T12:05:00Z</dcterms:created>
  <dcterms:modified xsi:type="dcterms:W3CDTF">2022-04-14T12:05:00Z</dcterms:modified>
</cp:coreProperties>
</file>