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13F4" w14:textId="7D31BD50" w:rsidR="00A52A66" w:rsidRPr="00725E8B" w:rsidRDefault="00A52A66" w:rsidP="00D4789E">
      <w:pPr>
        <w:tabs>
          <w:tab w:val="left" w:pos="5670"/>
        </w:tabs>
        <w:spacing w:line="240" w:lineRule="atLeast"/>
        <w:ind w:left="5670"/>
        <w:rPr>
          <w:rFonts w:ascii="Tahoma" w:hAnsi="Tahoma" w:cs="Tahoma"/>
          <w:szCs w:val="20"/>
        </w:rPr>
      </w:pPr>
    </w:p>
    <w:p w14:paraId="354D80A4" w14:textId="596D1D6C" w:rsidR="00F117B8" w:rsidRPr="00725E8B" w:rsidRDefault="00F117B8" w:rsidP="00F74283">
      <w:pPr>
        <w:rPr>
          <w:rFonts w:ascii="Tahoma" w:hAnsi="Tahoma" w:cs="Tahoma"/>
          <w:b/>
          <w:i/>
          <w:iCs/>
          <w:szCs w:val="20"/>
        </w:rPr>
      </w:pPr>
    </w:p>
    <w:p w14:paraId="794CF5A8" w14:textId="21CF464C" w:rsidR="00F117B8" w:rsidRPr="00725E8B" w:rsidRDefault="00F117B8" w:rsidP="00F117B8">
      <w:pPr>
        <w:spacing w:after="120"/>
        <w:jc w:val="center"/>
        <w:rPr>
          <w:rFonts w:ascii="Tahoma" w:hAnsi="Tahoma" w:cs="Tahoma"/>
          <w:b/>
          <w:szCs w:val="20"/>
        </w:rPr>
      </w:pPr>
    </w:p>
    <w:p w14:paraId="27C8A468" w14:textId="5757F89B" w:rsidR="004C756A" w:rsidRPr="00725E8B" w:rsidRDefault="004C756A" w:rsidP="00F117B8">
      <w:pPr>
        <w:spacing w:after="120"/>
        <w:jc w:val="center"/>
        <w:rPr>
          <w:rFonts w:ascii="Tahoma" w:hAnsi="Tahoma" w:cs="Tahoma"/>
          <w:b/>
          <w:szCs w:val="20"/>
        </w:rPr>
      </w:pPr>
    </w:p>
    <w:p w14:paraId="64E92F71" w14:textId="1D4AE21A" w:rsidR="004C756A" w:rsidRPr="00725E8B" w:rsidRDefault="004C756A" w:rsidP="00F117B8">
      <w:pPr>
        <w:spacing w:after="120"/>
        <w:jc w:val="center"/>
        <w:rPr>
          <w:rFonts w:ascii="Tahoma" w:hAnsi="Tahoma" w:cs="Tahoma"/>
          <w:b/>
          <w:szCs w:val="20"/>
        </w:rPr>
      </w:pPr>
    </w:p>
    <w:p w14:paraId="0151FF49" w14:textId="739B8CF1" w:rsidR="00C25757" w:rsidRPr="00725E8B" w:rsidRDefault="002024D1" w:rsidP="00C25757">
      <w:pPr>
        <w:spacing w:after="120"/>
        <w:jc w:val="center"/>
        <w:rPr>
          <w:rFonts w:ascii="Tahoma" w:eastAsia="Times New Roman" w:hAnsi="Tahoma" w:cs="Tahoma"/>
          <w:b/>
          <w:szCs w:val="20"/>
        </w:rPr>
      </w:pPr>
      <w:r>
        <w:rPr>
          <w:rFonts w:ascii="Tahoma" w:eastAsia="Times New Roman" w:hAnsi="Tahoma" w:cs="Tahoma"/>
          <w:b/>
          <w:szCs w:val="20"/>
        </w:rPr>
        <w:t>AB „Amber Grid“</w:t>
      </w:r>
    </w:p>
    <w:p w14:paraId="41BB536F" w14:textId="77777777" w:rsidR="00C25757" w:rsidRPr="00725E8B" w:rsidRDefault="00C25757" w:rsidP="00C25757">
      <w:pPr>
        <w:spacing w:after="120"/>
        <w:jc w:val="center"/>
        <w:rPr>
          <w:rFonts w:ascii="Tahoma" w:eastAsia="Times New Roman" w:hAnsi="Tahoma" w:cs="Tahoma"/>
          <w:b/>
          <w:bCs/>
          <w:szCs w:val="20"/>
        </w:rPr>
      </w:pPr>
      <w:r w:rsidRPr="00725E8B">
        <w:rPr>
          <w:rFonts w:ascii="Tahoma" w:eastAsia="Times New Roman" w:hAnsi="Tahoma" w:cs="Tahoma"/>
          <w:b/>
          <w:szCs w:val="20"/>
        </w:rPr>
        <w:t xml:space="preserve">VADOVO </w:t>
      </w:r>
      <w:r w:rsidRPr="00725E8B">
        <w:rPr>
          <w:rFonts w:ascii="Tahoma" w:eastAsia="Times New Roman" w:hAnsi="Tahoma" w:cs="Tahoma"/>
          <w:b/>
          <w:bCs/>
          <w:szCs w:val="20"/>
        </w:rPr>
        <w:t>IR VALDYBOS NARIŲ ATLYGIO POLITIKA</w:t>
      </w:r>
    </w:p>
    <w:p w14:paraId="4A7CA0D7" w14:textId="07823A46" w:rsidR="00C25757" w:rsidRPr="00725E8B" w:rsidRDefault="00A30206" w:rsidP="00C25757">
      <w:pPr>
        <w:tabs>
          <w:tab w:val="left" w:pos="3969"/>
          <w:tab w:val="left" w:pos="4111"/>
          <w:tab w:val="left" w:pos="5670"/>
        </w:tabs>
        <w:spacing w:after="120" w:line="240" w:lineRule="atLeast"/>
        <w:rPr>
          <w:rFonts w:ascii="Tahoma" w:eastAsia="Times New Roman" w:hAnsi="Tahoma" w:cs="Tahoma"/>
          <w:b/>
          <w:szCs w:val="20"/>
        </w:rPr>
      </w:pPr>
      <w:r w:rsidRPr="00725E8B">
        <w:rPr>
          <w:rFonts w:ascii="Tahoma" w:eastAsia="Times New Roman" w:hAnsi="Tahoma" w:cs="Tahoma"/>
          <w:b/>
          <w:noProof/>
          <w:szCs w:val="20"/>
        </w:rPr>
        <mc:AlternateContent>
          <mc:Choice Requires="wps">
            <w:drawing>
              <wp:anchor distT="0" distB="0" distL="114300" distR="114300" simplePos="0" relativeHeight="251658245" behindDoc="0" locked="0" layoutInCell="1" allowOverlap="1" wp14:anchorId="188539C8" wp14:editId="7E9F5F75">
                <wp:simplePos x="0" y="0"/>
                <wp:positionH relativeFrom="margin">
                  <wp:posOffset>13970</wp:posOffset>
                </wp:positionH>
                <wp:positionV relativeFrom="paragraph">
                  <wp:posOffset>234315</wp:posOffset>
                </wp:positionV>
                <wp:extent cx="6099175" cy="276225"/>
                <wp:effectExtent l="0" t="0" r="0" b="9525"/>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39E2689B" w14:textId="77777777"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8539C8" id="Rectangle 12" o:spid="_x0000_s1026" style="position:absolute;margin-left:1.1pt;margin-top:18.45pt;width:480.25pt;height:21.7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lNfQIAAP8EAAAOAAAAZHJzL2Uyb0RvYy54bWysVF1r2zAUfR/sPwi9r3ZM0rSmTgkNGYOs&#10;LbSlz4osxWaSriYpsbtfvyvZSUO3p7EXcb98dO7Vub657bUiB+F8C6aik4ucEmE41K3ZVfTlef3l&#10;ihIfmKmZAiMq+iY8vV18/nTT2VIU0ICqhSMIYnzZ2Yo2IdgyyzxvhGb+AqwwmJTgNAvoul1WO9Yh&#10;ulZZkeeXWQeutg648B6jqyFJFwlfSsHDg5ReBKIqitxCOl06t/HMFjes3Dlmm5aPNNg/sNCsNXjp&#10;CWrFAiN71/4BpVvuwIMMFxx0BlK2XKQesJtJ/qGbp4ZZkXrB4Xh7GpP/f7D8/vBkH12k7u0G+A+P&#10;E8k668tTJjp+rOml07EWiZM+TfHtNEXRB8IxeJlfX0/mM0o45or5ZVHM4pgzVh6/ts6HrwI0iUZF&#10;Hb5SGh47bHwYSo8liRiotl63SiXH7bZ3ypEDwxed58vVdJ6+VXv9HeohjMLIx6fFMApgCF8dw0jF&#10;DzCJlj/HV4Z0KORijgiEM5SkVCygqW1dUW92lDC1Q63z4NLFBiK1pKNIesV8M1yXYAeB6TagylWr&#10;K5pIJHLIQpnYkkg6HVt/n3a0Qr/tETqaW6jfHh1xMGjYW75u8b4N8+GRORQt8sVFDA94SAXYBIwW&#10;JQ24X3+Lx3rUEmYp6XAJsMGfe+YEJeqbQZVdT6bTuDXJmc7mBTruPLM9z5i9vgN8lQmuvOXJjPVB&#10;HU3pQL/ivi7jrZhihuPdwyhH5y4My4kbz8VymcpwUywLG/NkeQSPI4uTfu5fmbOjhgKq7x6OC8PK&#10;D1IaauOXBpb7ALJNOnuf6yh63LIkifGPENf43E9V7/+txW8AAAD//wMAUEsDBBQABgAIAAAAIQBC&#10;UHC23QAAAAcBAAAPAAAAZHJzL2Rvd25yZXYueG1sTI7BSsQwFEX3gv8QnuBmcBKr1GltOojQWQmD&#10;owuXmeZNW0xeSpJ2ql9vXOnyci/nnmq7WMNm9GFwJOF2LYAhtU4P1El4f2tuNsBCVKSVcYQSvjDA&#10;tr68qFSp3ZlecT7EjiUIhVJJ6GMcS85D26NVYe1GpNSdnLcqpug7rr06J7g1PBMi51YNlB56NeJz&#10;j+3nYbISTivT7j/m76YppvCixWrn981Oyuur5ekRWMQl/o3hVz+pQ52cjm4iHZiRkGVpKOEuL4Cl&#10;usizB2BHCRtxD7yu+H//+gcAAP//AwBQSwECLQAUAAYACAAAACEAtoM4kv4AAADhAQAAEwAAAAAA&#10;AAAAAAAAAAAAAAAAW0NvbnRlbnRfVHlwZXNdLnhtbFBLAQItABQABgAIAAAAIQA4/SH/1gAAAJQB&#10;AAALAAAAAAAAAAAAAAAAAC8BAABfcmVscy8ucmVsc1BLAQItABQABgAIAAAAIQAG8wlNfQIAAP8E&#10;AAAOAAAAAAAAAAAAAAAAAC4CAABkcnMvZTJvRG9jLnhtbFBLAQItABQABgAIAAAAIQBCUHC23QAA&#10;AAcBAAAPAAAAAAAAAAAAAAAAANcEAABkcnMvZG93bnJldi54bWxQSwUGAAAAAAQABADzAAAA4QUA&#10;AAAA&#10;" fillcolor="#e2f0d9" stroked="f" strokeweight="1pt">
                <v:textbox>
                  <w:txbxContent>
                    <w:p w14:paraId="39E2689B" w14:textId="77777777"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v:textbox>
                <w10:wrap type="square" anchorx="margin"/>
              </v:rect>
            </w:pict>
          </mc:Fallback>
        </mc:AlternateContent>
      </w:r>
    </w:p>
    <w:p w14:paraId="2A334368" w14:textId="682FA963" w:rsidR="00C25757" w:rsidRPr="00725E8B" w:rsidRDefault="00C25757" w:rsidP="00C25757">
      <w:pPr>
        <w:tabs>
          <w:tab w:val="left" w:pos="5670"/>
        </w:tabs>
        <w:spacing w:line="240" w:lineRule="atLeast"/>
        <w:rPr>
          <w:rFonts w:ascii="Tahoma" w:eastAsia="Times New Roman" w:hAnsi="Tahoma" w:cs="Tahoma"/>
          <w:b/>
          <w:szCs w:val="20"/>
        </w:rPr>
      </w:pPr>
    </w:p>
    <w:p w14:paraId="0BADA475" w14:textId="6C12D812"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Nustatant atlygį</w:t>
      </w:r>
      <w:r w:rsidRPr="009D0DCA">
        <w:rPr>
          <w:rFonts w:ascii="Tahoma" w:eastAsia="Times New Roman" w:hAnsi="Tahoma" w:cs="Tahoma"/>
          <w:szCs w:val="20"/>
        </w:rPr>
        <w:t xml:space="preserve"> </w:t>
      </w:r>
      <w:r w:rsidR="006E2EA4" w:rsidRPr="00725E8B">
        <w:rPr>
          <w:rFonts w:ascii="Tahoma" w:eastAsia="Times New Roman" w:hAnsi="Tahoma" w:cs="Tahoma"/>
          <w:szCs w:val="20"/>
        </w:rPr>
        <w:t>Bendrovės</w:t>
      </w:r>
      <w:r w:rsidR="007E7157" w:rsidRPr="00725E8B">
        <w:rPr>
          <w:rFonts w:ascii="Tahoma" w:eastAsia="Times New Roman" w:hAnsi="Tahoma" w:cs="Tahoma"/>
          <w:szCs w:val="20"/>
        </w:rPr>
        <w:t xml:space="preserve"> </w:t>
      </w:r>
      <w:r w:rsidRPr="00725E8B">
        <w:rPr>
          <w:rFonts w:ascii="Tahoma" w:eastAsia="Times New Roman" w:hAnsi="Tahoma" w:cs="Tahoma"/>
          <w:szCs w:val="20"/>
        </w:rPr>
        <w:t>organams vadovaujamasi principu, kad atlygio dydis bei jo mokėjimo tvarka turi skatinti ilgalaikės ir tvarios Bendrovės ir visos UAB „EPSO-G“ įmonių grupės vertės kūrimą; atitikti atskiriems Bendrovės organams ir jų nariams tenkantį darbo krūvį; kuo labiau atitikti aktualią padėtį rinkoje, t. y. būti konkurencinga atitinkamos srities profesionalams darbo rinkoje siūlomiems atlyginimų dydžiams; užtikrinti valdymo organų prisiimamos atsakomybės atlyginimą; užtikrinti nepriklausomų valdybos narių nepriklausomumą; skatinti aukšto lygio savo srities profesionalų pritraukimą Bendrovės valdymui.</w:t>
      </w:r>
    </w:p>
    <w:p w14:paraId="1F8ACE69" w14:textId="76CEE98A"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Nustatant atlygį už veiklą </w:t>
      </w:r>
      <w:r w:rsidR="00C715C5" w:rsidRPr="00725E8B">
        <w:rPr>
          <w:rFonts w:ascii="Tahoma" w:eastAsia="Times New Roman" w:hAnsi="Tahoma" w:cs="Tahoma"/>
          <w:szCs w:val="20"/>
        </w:rPr>
        <w:t>B</w:t>
      </w:r>
      <w:r w:rsidRPr="00725E8B">
        <w:rPr>
          <w:rFonts w:ascii="Tahoma" w:eastAsia="Times New Roman" w:hAnsi="Tahoma" w:cs="Tahoma"/>
          <w:szCs w:val="20"/>
        </w:rPr>
        <w:t xml:space="preserve">endrovės organuose turi būti atsižvelgiama į tai, kad Bendrovė yra strateginę reikšmę nacionaliniam saugumui turinti įmonė, kas lemia, kad Bendrovės organai sprendžia sudėtingus klausimus, susijusius su strateginiais tikslais, vykdo visuomenei reikšmingą veiklą bei valdo didelės vertės infrastruktūrą ir turtą. Strateginių tikslų pasiekimui reikalingi aukščiausio lygio specialistai, kurie užtikrintų tinkamą Bendrovės veiklą bei efektyviai siektų </w:t>
      </w:r>
      <w:r w:rsidR="00500ADE" w:rsidRPr="00725E8B">
        <w:rPr>
          <w:rFonts w:ascii="Tahoma" w:eastAsia="Times New Roman" w:hAnsi="Tahoma" w:cs="Tahoma"/>
          <w:szCs w:val="20"/>
        </w:rPr>
        <w:t>B</w:t>
      </w:r>
      <w:r w:rsidRPr="00725E8B">
        <w:rPr>
          <w:rFonts w:ascii="Tahoma" w:eastAsia="Times New Roman" w:hAnsi="Tahoma" w:cs="Tahoma"/>
          <w:szCs w:val="20"/>
        </w:rPr>
        <w:t>endrovei iškeltų tikslų, todėl siekiant pritraukti savo srities profesionalus užimti pareigas Bendrovės organuose, turi būti nustatytas rinkos sąlygas bei sektoriaus praktiką atitinkantis konkurencingas užmokestis.</w:t>
      </w:r>
    </w:p>
    <w:p w14:paraId="2B1D4493" w14:textId="7AE24EC3"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Įdarbinant Bendrovės vadovą papildomai atsižvelgiama į bendrąsias darbuotojų įdarbinimo ir atlygio nustatymo sąlygas. Nustatant atlygį Bendrovės vadovui siekiama, kad jo atlygis priklausytų nuo sėkmingo Bendrovės strategijos ir tikslų įgyvendinimo. </w:t>
      </w:r>
    </w:p>
    <w:p w14:paraId="1CDC783F" w14:textId="77777777" w:rsidR="00C25757" w:rsidRPr="00725E8B" w:rsidRDefault="00C25757" w:rsidP="00C25757">
      <w:pPr>
        <w:spacing w:after="120"/>
        <w:ind w:right="-285"/>
        <w:jc w:val="both"/>
        <w:rPr>
          <w:rFonts w:ascii="Tahoma" w:eastAsia="Times New Roman" w:hAnsi="Tahoma" w:cs="Tahoma"/>
          <w:szCs w:val="20"/>
        </w:rPr>
      </w:pPr>
      <w:r w:rsidRPr="00725E8B">
        <w:rPr>
          <w:rFonts w:ascii="Tahoma" w:eastAsia="Times New Roman" w:hAnsi="Tahoma" w:cs="Tahoma"/>
          <w:szCs w:val="20"/>
        </w:rPr>
        <w:t>Kadangi Bendrovė yra valstybės kontroliuojamos bendrovės UAB „EPSO-G“ dukterinė bendrovė, atsižvelgiama į teisės aktais reglamentuotas atlygio sąlygas bei VšĮ Valdymo koordinavimo centro rekomendacijas.</w:t>
      </w:r>
    </w:p>
    <w:p w14:paraId="50FDCF3E" w14:textId="57E1220D" w:rsidR="00C25757" w:rsidRPr="00725E8B" w:rsidRDefault="00C25757" w:rsidP="00C25757">
      <w:pPr>
        <w:tabs>
          <w:tab w:val="left" w:pos="2410"/>
          <w:tab w:val="left" w:pos="5670"/>
        </w:tabs>
        <w:spacing w:after="120" w:line="240" w:lineRule="atLeast"/>
        <w:ind w:left="2410" w:right="-285" w:hanging="2410"/>
        <w:jc w:val="both"/>
        <w:rPr>
          <w:rFonts w:ascii="Tahoma" w:eastAsia="Times New Roman" w:hAnsi="Tahoma" w:cs="Tahoma"/>
          <w:b/>
          <w:szCs w:val="20"/>
        </w:rPr>
      </w:pPr>
      <w:r w:rsidRPr="00725E8B">
        <w:rPr>
          <w:rFonts w:ascii="Tahoma" w:eastAsia="Times New Roman" w:hAnsi="Tahoma" w:cs="Tahoma"/>
          <w:b/>
          <w:szCs w:val="20"/>
        </w:rPr>
        <w:t>Tikslas:</w:t>
      </w:r>
      <w:r w:rsidRPr="00725E8B">
        <w:rPr>
          <w:rFonts w:ascii="Tahoma" w:eastAsia="Times New Roman" w:hAnsi="Tahoma" w:cs="Tahoma"/>
          <w:b/>
          <w:szCs w:val="20"/>
        </w:rPr>
        <w:tab/>
      </w:r>
      <w:r w:rsidRPr="00725E8B">
        <w:rPr>
          <w:rFonts w:ascii="Tahoma" w:eastAsia="Times New Roman" w:hAnsi="Tahoma" w:cs="Tahoma"/>
          <w:szCs w:val="20"/>
        </w:rPr>
        <w:t xml:space="preserve">Nustatyti bendrus, aiškius ir skaidrius Bendrovės vadovo ir valdybos narių piniginio atlygio už darbą </w:t>
      </w:r>
      <w:r w:rsidR="007F3F0F" w:rsidRPr="00725E8B">
        <w:rPr>
          <w:rFonts w:ascii="Tahoma" w:eastAsia="Times New Roman" w:hAnsi="Tahoma" w:cs="Tahoma"/>
          <w:szCs w:val="20"/>
        </w:rPr>
        <w:t>(veiklą valdyboje)</w:t>
      </w:r>
      <w:r w:rsidRPr="00725E8B">
        <w:rPr>
          <w:rFonts w:ascii="Tahoma" w:eastAsia="Times New Roman" w:hAnsi="Tahoma" w:cs="Tahoma"/>
          <w:szCs w:val="20"/>
        </w:rPr>
        <w:t xml:space="preserve"> principus ir jais paremtą atlygio sistemą, kurią taikant būtų efektyviai valdomos Bendrovės veiklos sąnaudos ir tuo pat metu sukuriamos motyvacinės paskatos Bendrovės vadovui ir valdybos nariams prisidėti prie Bendrovės misijos, vizijos, vertybių ir tikslų įgyvendinimo.</w:t>
      </w:r>
    </w:p>
    <w:p w14:paraId="28D15758" w14:textId="628B70E6" w:rsidR="00C25757" w:rsidRPr="00725E8B" w:rsidRDefault="00C25757" w:rsidP="00C25757">
      <w:pPr>
        <w:spacing w:after="120"/>
        <w:ind w:left="2410" w:right="-285" w:hanging="2410"/>
        <w:jc w:val="both"/>
        <w:rPr>
          <w:rFonts w:ascii="Tahoma" w:eastAsia="Times New Roman" w:hAnsi="Tahoma" w:cs="Tahoma"/>
          <w:szCs w:val="20"/>
        </w:rPr>
      </w:pPr>
      <w:r w:rsidRPr="00725E8B">
        <w:rPr>
          <w:rFonts w:ascii="Tahoma" w:eastAsia="Times New Roman" w:hAnsi="Tahoma" w:cs="Tahoma"/>
          <w:b/>
          <w:szCs w:val="20"/>
        </w:rPr>
        <w:t>Taikymo sritis:</w:t>
      </w:r>
      <w:r w:rsidRPr="00725E8B">
        <w:rPr>
          <w:rFonts w:ascii="Tahoma" w:eastAsia="Times New Roman" w:hAnsi="Tahoma" w:cs="Tahoma"/>
          <w:b/>
          <w:szCs w:val="20"/>
        </w:rPr>
        <w:tab/>
      </w:r>
      <w:r w:rsidRPr="00725E8B">
        <w:rPr>
          <w:rFonts w:ascii="Tahoma" w:eastAsia="Times New Roman" w:hAnsi="Tahoma" w:cs="Tahoma"/>
          <w:szCs w:val="20"/>
        </w:rPr>
        <w:t>Vadovaujantis šia Politika, Bendrovės kompetentingi organai priima atitinkamus sprendimus dėl atlygio dydžio Bendrovės vadovui bei valdybos nariams, metinio valdybos veiklos biudžeto bei dėl papildomų valdybos išlaidų, skirtų jos veiklos užtikrinimui.</w:t>
      </w:r>
    </w:p>
    <w:p w14:paraId="02108485" w14:textId="77777777" w:rsidR="00C25757" w:rsidRPr="002024D1" w:rsidRDefault="00C25757" w:rsidP="00C25757">
      <w:pPr>
        <w:tabs>
          <w:tab w:val="left" w:pos="3969"/>
          <w:tab w:val="left" w:pos="4111"/>
          <w:tab w:val="left" w:pos="5670"/>
        </w:tabs>
        <w:spacing w:after="240" w:line="240" w:lineRule="atLeast"/>
        <w:rPr>
          <w:rFonts w:asciiTheme="minorHAnsi" w:eastAsia="Times New Roman" w:hAnsiTheme="minorHAnsi" w:cs="Calibri"/>
          <w:b/>
          <w:bCs/>
          <w:noProof/>
          <w:color w:val="auto"/>
          <w:szCs w:val="20"/>
        </w:rPr>
      </w:pPr>
      <w:r w:rsidRPr="002024D1">
        <w:rPr>
          <w:rFonts w:ascii="Tahoma" w:eastAsia="Times New Roman" w:hAnsi="Tahoma" w:cs="Tahoma"/>
          <w:b/>
          <w:color w:val="auto"/>
          <w:szCs w:val="20"/>
        </w:rPr>
        <w:t>TURINYS:</w:t>
      </w:r>
      <w:r w:rsidRPr="002024D1">
        <w:rPr>
          <w:rFonts w:ascii="Tahoma" w:eastAsiaTheme="minorEastAsia" w:hAnsi="Tahoma" w:cs="Tahoma"/>
          <w:color w:val="auto"/>
          <w:szCs w:val="20"/>
          <w:lang w:eastAsia="en-GB"/>
        </w:rPr>
        <w:fldChar w:fldCharType="begin"/>
      </w:r>
      <w:r w:rsidRPr="002024D1">
        <w:rPr>
          <w:rFonts w:ascii="Tahoma" w:eastAsiaTheme="minorEastAsia" w:hAnsi="Tahoma" w:cs="Tahoma"/>
          <w:color w:val="auto"/>
          <w:szCs w:val="20"/>
          <w:lang w:eastAsia="en-GB"/>
        </w:rPr>
        <w:instrText xml:space="preserve"> TOC \o "1-3" \h \z \t "Antraštė 1;1;Antraštė 2;2" </w:instrText>
      </w:r>
      <w:r w:rsidRPr="002024D1">
        <w:rPr>
          <w:rFonts w:ascii="Tahoma" w:eastAsiaTheme="minorEastAsia" w:hAnsi="Tahoma" w:cs="Tahoma"/>
          <w:color w:val="auto"/>
          <w:szCs w:val="20"/>
          <w:lang w:eastAsia="en-GB"/>
        </w:rPr>
        <w:fldChar w:fldCharType="separate"/>
      </w:r>
    </w:p>
    <w:p w14:paraId="4EB8829C" w14:textId="7D56F4AE" w:rsidR="00C25757" w:rsidRPr="002024D1" w:rsidRDefault="00F57552"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1" w:anchor="_Toc32245379" w:history="1">
        <w:r w:rsidR="00C25757" w:rsidRPr="002024D1">
          <w:rPr>
            <w:rFonts w:ascii="Tahoma" w:eastAsia="Times New Roman" w:hAnsi="Tahoma" w:cs="Tahoma"/>
            <w:noProof/>
            <w:color w:val="auto"/>
            <w:szCs w:val="20"/>
          </w:rPr>
          <w:t>1.</w:t>
        </w:r>
        <w:r w:rsidR="00C25757" w:rsidRPr="002024D1">
          <w:rPr>
            <w:rFonts w:ascii="Tahoma" w:eastAsiaTheme="minorEastAsia" w:hAnsi="Tahoma" w:cs="Tahoma"/>
            <w:noProof/>
            <w:color w:val="auto"/>
            <w:sz w:val="22"/>
            <w:lang w:eastAsia="lt-LT"/>
          </w:rPr>
          <w:tab/>
        </w:r>
        <w:r w:rsidR="00C25757" w:rsidRPr="002024D1">
          <w:rPr>
            <w:rFonts w:ascii="Tahoma" w:eastAsia="Times New Roman" w:hAnsi="Tahoma" w:cs="Tahoma"/>
            <w:noProof/>
            <w:color w:val="auto"/>
            <w:szCs w:val="20"/>
          </w:rPr>
          <w:t>Vartojamos sąvokos ir sutrumpinima</w:t>
        </w:r>
        <w:r w:rsidR="002024D1">
          <w:rPr>
            <w:rFonts w:ascii="Tahoma" w:eastAsia="Times New Roman" w:hAnsi="Tahoma" w:cs="Tahoma"/>
            <w:noProof/>
            <w:color w:val="auto"/>
            <w:szCs w:val="20"/>
          </w:rPr>
          <w:t>i</w:t>
        </w:r>
        <w:r w:rsidR="00C25757" w:rsidRPr="002024D1">
          <w:rPr>
            <w:rFonts w:ascii="Tahoma" w:eastAsia="Times New Roman" w:hAnsi="Tahoma" w:cs="Tahoma"/>
            <w:noProof/>
            <w:webHidden/>
            <w:color w:val="auto"/>
            <w:szCs w:val="20"/>
          </w:rPr>
          <w:tab/>
        </w:r>
        <w:r w:rsidR="00C25757" w:rsidRPr="002024D1">
          <w:rPr>
            <w:rFonts w:ascii="Tahoma" w:eastAsia="Times New Roman" w:hAnsi="Tahoma" w:cs="Tahoma"/>
            <w:noProof/>
            <w:webHidden/>
            <w:color w:val="auto"/>
            <w:szCs w:val="20"/>
          </w:rPr>
          <w:fldChar w:fldCharType="begin"/>
        </w:r>
        <w:r w:rsidR="00C25757" w:rsidRPr="002024D1">
          <w:rPr>
            <w:rFonts w:ascii="Tahoma" w:eastAsia="Times New Roman" w:hAnsi="Tahoma" w:cs="Tahoma"/>
            <w:noProof/>
            <w:webHidden/>
            <w:color w:val="auto"/>
            <w:szCs w:val="20"/>
          </w:rPr>
          <w:instrText xml:space="preserve"> PAGEREF _Toc32245379 \h </w:instrText>
        </w:r>
        <w:r w:rsidR="00C25757" w:rsidRPr="002024D1">
          <w:rPr>
            <w:rFonts w:ascii="Tahoma" w:eastAsia="Times New Roman" w:hAnsi="Tahoma" w:cs="Tahoma"/>
            <w:noProof/>
            <w:webHidden/>
            <w:color w:val="auto"/>
            <w:szCs w:val="20"/>
          </w:rPr>
        </w:r>
        <w:r w:rsidR="00C25757" w:rsidRPr="002024D1">
          <w:rPr>
            <w:rFonts w:ascii="Tahoma" w:eastAsia="Times New Roman" w:hAnsi="Tahoma" w:cs="Tahoma"/>
            <w:noProof/>
            <w:webHidden/>
            <w:color w:val="auto"/>
            <w:szCs w:val="20"/>
          </w:rPr>
          <w:fldChar w:fldCharType="separate"/>
        </w:r>
        <w:r w:rsidR="00C25757" w:rsidRPr="002024D1">
          <w:rPr>
            <w:rFonts w:ascii="Tahoma" w:eastAsia="Times New Roman" w:hAnsi="Tahoma" w:cs="Tahoma"/>
            <w:noProof/>
            <w:webHidden/>
            <w:color w:val="auto"/>
            <w:szCs w:val="20"/>
          </w:rPr>
          <w:t>2</w:t>
        </w:r>
        <w:r w:rsidR="00C25757" w:rsidRPr="002024D1">
          <w:rPr>
            <w:rFonts w:ascii="Tahoma" w:eastAsia="Times New Roman" w:hAnsi="Tahoma" w:cs="Tahoma"/>
            <w:noProof/>
            <w:webHidden/>
            <w:color w:val="auto"/>
            <w:szCs w:val="20"/>
          </w:rPr>
          <w:fldChar w:fldCharType="end"/>
        </w:r>
      </w:hyperlink>
    </w:p>
    <w:p w14:paraId="17777F88" w14:textId="77777777" w:rsidR="00C25757" w:rsidRPr="002024D1" w:rsidRDefault="00F57552"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2" w:anchor="_Toc32245381" w:history="1">
        <w:r w:rsidR="00C25757" w:rsidRPr="002024D1">
          <w:rPr>
            <w:rFonts w:ascii="Tahoma" w:eastAsia="Times New Roman" w:hAnsi="Tahoma" w:cs="Tahoma"/>
            <w:noProof/>
            <w:color w:val="auto"/>
            <w:szCs w:val="20"/>
          </w:rPr>
          <w:t>2.</w:t>
        </w:r>
        <w:r w:rsidR="00C25757" w:rsidRPr="002024D1">
          <w:rPr>
            <w:rFonts w:ascii="Tahoma" w:eastAsiaTheme="minorEastAsia" w:hAnsi="Tahoma" w:cs="Tahoma"/>
            <w:noProof/>
            <w:color w:val="auto"/>
            <w:sz w:val="22"/>
            <w:lang w:eastAsia="lt-LT"/>
          </w:rPr>
          <w:tab/>
        </w:r>
        <w:r w:rsidR="00C25757" w:rsidRPr="002024D1">
          <w:rPr>
            <w:rFonts w:ascii="Tahoma" w:eastAsia="Times New Roman" w:hAnsi="Tahoma" w:cs="Tahoma"/>
            <w:noProof/>
            <w:color w:val="auto"/>
            <w:szCs w:val="20"/>
          </w:rPr>
          <w:t>Bendrosios nuostatos</w:t>
        </w:r>
        <w:r w:rsidR="00C25757" w:rsidRPr="002024D1">
          <w:rPr>
            <w:rFonts w:ascii="Tahoma" w:eastAsia="Times New Roman" w:hAnsi="Tahoma" w:cs="Tahoma"/>
            <w:noProof/>
            <w:webHidden/>
            <w:color w:val="auto"/>
            <w:szCs w:val="20"/>
          </w:rPr>
          <w:tab/>
        </w:r>
        <w:r w:rsidR="00C25757" w:rsidRPr="002024D1">
          <w:rPr>
            <w:rFonts w:ascii="Tahoma" w:eastAsia="Times New Roman" w:hAnsi="Tahoma" w:cs="Tahoma"/>
            <w:noProof/>
            <w:webHidden/>
            <w:color w:val="auto"/>
            <w:szCs w:val="20"/>
          </w:rPr>
          <w:fldChar w:fldCharType="begin"/>
        </w:r>
        <w:r w:rsidR="00C25757" w:rsidRPr="002024D1">
          <w:rPr>
            <w:rFonts w:ascii="Tahoma" w:eastAsia="Times New Roman" w:hAnsi="Tahoma" w:cs="Tahoma"/>
            <w:noProof/>
            <w:webHidden/>
            <w:color w:val="auto"/>
            <w:szCs w:val="20"/>
          </w:rPr>
          <w:instrText xml:space="preserve"> PAGEREF _Toc32245381 \h </w:instrText>
        </w:r>
        <w:r w:rsidR="00C25757" w:rsidRPr="002024D1">
          <w:rPr>
            <w:rFonts w:ascii="Tahoma" w:eastAsia="Times New Roman" w:hAnsi="Tahoma" w:cs="Tahoma"/>
            <w:noProof/>
            <w:webHidden/>
            <w:color w:val="auto"/>
            <w:szCs w:val="20"/>
          </w:rPr>
        </w:r>
        <w:r w:rsidR="00C25757" w:rsidRPr="002024D1">
          <w:rPr>
            <w:rFonts w:ascii="Tahoma" w:eastAsia="Times New Roman" w:hAnsi="Tahoma" w:cs="Tahoma"/>
            <w:noProof/>
            <w:webHidden/>
            <w:color w:val="auto"/>
            <w:szCs w:val="20"/>
          </w:rPr>
          <w:fldChar w:fldCharType="separate"/>
        </w:r>
        <w:r w:rsidR="00C25757" w:rsidRPr="002024D1">
          <w:rPr>
            <w:rFonts w:ascii="Tahoma" w:eastAsia="Times New Roman" w:hAnsi="Tahoma" w:cs="Tahoma"/>
            <w:noProof/>
            <w:webHidden/>
            <w:color w:val="auto"/>
            <w:szCs w:val="20"/>
          </w:rPr>
          <w:t>2</w:t>
        </w:r>
        <w:r w:rsidR="00C25757" w:rsidRPr="002024D1">
          <w:rPr>
            <w:rFonts w:ascii="Tahoma" w:eastAsia="Times New Roman" w:hAnsi="Tahoma" w:cs="Tahoma"/>
            <w:noProof/>
            <w:webHidden/>
            <w:color w:val="auto"/>
            <w:szCs w:val="20"/>
          </w:rPr>
          <w:fldChar w:fldCharType="end"/>
        </w:r>
      </w:hyperlink>
    </w:p>
    <w:p w14:paraId="5E643B41" w14:textId="1311830A" w:rsidR="00C25757" w:rsidRPr="002024D1" w:rsidRDefault="00F57552"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3" w:anchor="_Toc32245382" w:history="1">
        <w:r w:rsidR="00C25757" w:rsidRPr="002024D1">
          <w:rPr>
            <w:rFonts w:ascii="Tahoma" w:eastAsia="Times New Roman" w:hAnsi="Tahoma" w:cs="Tahoma"/>
            <w:noProof/>
            <w:color w:val="auto"/>
            <w:szCs w:val="20"/>
          </w:rPr>
          <w:t>3.</w:t>
        </w:r>
        <w:r w:rsidR="00C25757" w:rsidRPr="002024D1">
          <w:rPr>
            <w:rFonts w:ascii="Tahoma" w:eastAsiaTheme="minorEastAsia" w:hAnsi="Tahoma" w:cs="Tahoma"/>
            <w:noProof/>
            <w:color w:val="auto"/>
            <w:sz w:val="22"/>
            <w:lang w:eastAsia="lt-LT"/>
          </w:rPr>
          <w:tab/>
        </w:r>
        <w:r w:rsidR="00C25757" w:rsidRPr="002024D1">
          <w:rPr>
            <w:rFonts w:ascii="Tahoma" w:eastAsia="Times New Roman" w:hAnsi="Tahoma" w:cs="Tahoma"/>
            <w:noProof/>
            <w:color w:val="auto"/>
            <w:szCs w:val="20"/>
          </w:rPr>
          <w:t>Bendrovė</w:t>
        </w:r>
        <w:r w:rsidR="00F74283" w:rsidRPr="002024D1">
          <w:rPr>
            <w:rFonts w:ascii="Tahoma" w:eastAsia="Times New Roman" w:hAnsi="Tahoma" w:cs="Tahoma"/>
            <w:noProof/>
            <w:color w:val="auto"/>
            <w:szCs w:val="20"/>
          </w:rPr>
          <w:t>s vadovo atlygio už darbą principai ir sistema</w:t>
        </w:r>
        <w:r w:rsidR="00C25757" w:rsidRPr="002024D1">
          <w:rPr>
            <w:rFonts w:ascii="Tahoma" w:eastAsia="Times New Roman" w:hAnsi="Tahoma" w:cs="Tahoma"/>
            <w:noProof/>
            <w:webHidden/>
            <w:color w:val="auto"/>
            <w:szCs w:val="20"/>
          </w:rPr>
          <w:tab/>
        </w:r>
        <w:r w:rsidR="00C25757" w:rsidRPr="002024D1">
          <w:rPr>
            <w:rFonts w:ascii="Tahoma" w:eastAsia="Times New Roman" w:hAnsi="Tahoma" w:cs="Tahoma"/>
            <w:noProof/>
            <w:webHidden/>
            <w:color w:val="auto"/>
            <w:szCs w:val="20"/>
          </w:rPr>
          <w:fldChar w:fldCharType="begin"/>
        </w:r>
        <w:r w:rsidR="00C25757" w:rsidRPr="002024D1">
          <w:rPr>
            <w:rFonts w:ascii="Tahoma" w:eastAsia="Times New Roman" w:hAnsi="Tahoma" w:cs="Tahoma"/>
            <w:noProof/>
            <w:webHidden/>
            <w:color w:val="auto"/>
            <w:szCs w:val="20"/>
          </w:rPr>
          <w:instrText xml:space="preserve"> PAGEREF _Toc32245382 \h </w:instrText>
        </w:r>
        <w:r w:rsidR="00C25757" w:rsidRPr="002024D1">
          <w:rPr>
            <w:rFonts w:ascii="Tahoma" w:eastAsia="Times New Roman" w:hAnsi="Tahoma" w:cs="Tahoma"/>
            <w:noProof/>
            <w:webHidden/>
            <w:color w:val="auto"/>
            <w:szCs w:val="20"/>
          </w:rPr>
        </w:r>
        <w:r w:rsidR="00C25757" w:rsidRPr="002024D1">
          <w:rPr>
            <w:rFonts w:ascii="Tahoma" w:eastAsia="Times New Roman" w:hAnsi="Tahoma" w:cs="Tahoma"/>
            <w:noProof/>
            <w:webHidden/>
            <w:color w:val="auto"/>
            <w:szCs w:val="20"/>
          </w:rPr>
          <w:fldChar w:fldCharType="separate"/>
        </w:r>
        <w:r w:rsidR="00C25757" w:rsidRPr="002024D1">
          <w:rPr>
            <w:rFonts w:ascii="Tahoma" w:eastAsia="Times New Roman" w:hAnsi="Tahoma" w:cs="Tahoma"/>
            <w:noProof/>
            <w:webHidden/>
            <w:color w:val="auto"/>
            <w:szCs w:val="20"/>
          </w:rPr>
          <w:t>3</w:t>
        </w:r>
        <w:r w:rsidR="00C25757" w:rsidRPr="002024D1">
          <w:rPr>
            <w:rFonts w:ascii="Tahoma" w:eastAsia="Times New Roman" w:hAnsi="Tahoma" w:cs="Tahoma"/>
            <w:noProof/>
            <w:webHidden/>
            <w:color w:val="auto"/>
            <w:szCs w:val="20"/>
          </w:rPr>
          <w:fldChar w:fldCharType="end"/>
        </w:r>
      </w:hyperlink>
    </w:p>
    <w:p w14:paraId="464204F4" w14:textId="4D80053B" w:rsidR="00C25757" w:rsidRPr="002024D1" w:rsidRDefault="00F57552"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4" w:anchor="_Toc32245383" w:history="1">
        <w:r w:rsidR="009A4D51" w:rsidRPr="002024D1">
          <w:rPr>
            <w:rFonts w:ascii="Tahoma" w:eastAsia="Times New Roman" w:hAnsi="Tahoma" w:cs="Tahoma"/>
            <w:noProof/>
            <w:color w:val="auto"/>
            <w:szCs w:val="20"/>
          </w:rPr>
          <w:t>4.</w:t>
        </w:r>
        <w:r w:rsidR="009A4D51" w:rsidRPr="002024D1">
          <w:rPr>
            <w:rFonts w:ascii="Tahoma" w:eastAsiaTheme="minorEastAsia" w:hAnsi="Tahoma" w:cs="Tahoma"/>
            <w:noProof/>
            <w:color w:val="auto"/>
            <w:sz w:val="22"/>
            <w:lang w:eastAsia="lt-LT"/>
          </w:rPr>
          <w:tab/>
        </w:r>
        <w:r w:rsidR="009A4D51" w:rsidRPr="002024D1">
          <w:rPr>
            <w:rFonts w:ascii="Tahoma" w:eastAsia="Times New Roman" w:hAnsi="Tahoma" w:cs="Tahoma"/>
            <w:noProof/>
            <w:color w:val="auto"/>
            <w:szCs w:val="20"/>
          </w:rPr>
          <w:t>Bendrovės valdybos nariams mokamas atlygis</w:t>
        </w:r>
        <w:r w:rsidR="009A4D51" w:rsidRPr="002024D1">
          <w:rPr>
            <w:rFonts w:ascii="Tahoma" w:eastAsia="Times New Roman" w:hAnsi="Tahoma" w:cs="Tahoma"/>
            <w:noProof/>
            <w:webHidden/>
            <w:color w:val="auto"/>
            <w:szCs w:val="20"/>
          </w:rPr>
          <w:tab/>
          <w:t>3</w:t>
        </w:r>
      </w:hyperlink>
    </w:p>
    <w:p w14:paraId="2B25C965" w14:textId="4213AAF2" w:rsidR="00C25757" w:rsidRPr="002024D1" w:rsidRDefault="00F57552" w:rsidP="00C25757">
      <w:pPr>
        <w:pBdr>
          <w:bottom w:val="single" w:sz="4" w:space="1" w:color="auto"/>
        </w:pBdr>
        <w:tabs>
          <w:tab w:val="left" w:pos="400"/>
          <w:tab w:val="right" w:pos="9344"/>
        </w:tabs>
        <w:spacing w:after="240"/>
        <w:rPr>
          <w:rFonts w:ascii="Tahoma" w:eastAsiaTheme="minorEastAsia" w:hAnsi="Tahoma" w:cs="Tahoma"/>
          <w:noProof/>
          <w:color w:val="auto"/>
          <w:sz w:val="22"/>
          <w:lang w:eastAsia="lt-LT"/>
        </w:rPr>
      </w:pPr>
      <w:hyperlink r:id="rId15" w:anchor="_Toc32245384" w:history="1">
        <w:r w:rsidR="00C25757" w:rsidRPr="002024D1">
          <w:rPr>
            <w:rFonts w:ascii="Tahoma" w:eastAsia="Times New Roman" w:hAnsi="Tahoma" w:cs="Tahoma"/>
            <w:noProof/>
            <w:color w:val="auto"/>
            <w:szCs w:val="20"/>
          </w:rPr>
          <w:t>5.</w:t>
        </w:r>
        <w:r w:rsidR="00C25757" w:rsidRPr="002024D1">
          <w:rPr>
            <w:rFonts w:ascii="Tahoma" w:eastAsiaTheme="minorEastAsia" w:hAnsi="Tahoma" w:cs="Tahoma"/>
            <w:noProof/>
            <w:color w:val="auto"/>
            <w:sz w:val="22"/>
            <w:lang w:eastAsia="lt-LT"/>
          </w:rPr>
          <w:tab/>
        </w:r>
        <w:r w:rsidR="00C25757" w:rsidRPr="002024D1">
          <w:rPr>
            <w:rFonts w:ascii="Tahoma" w:eastAsia="Times New Roman" w:hAnsi="Tahoma" w:cs="Tahoma"/>
            <w:noProof/>
            <w:color w:val="auto"/>
            <w:szCs w:val="20"/>
          </w:rPr>
          <w:t>Sutartys, sudaromos su Bendrovės vadovu ir valdybos nariais</w:t>
        </w:r>
        <w:r w:rsidR="00C25757" w:rsidRPr="002024D1">
          <w:rPr>
            <w:rFonts w:ascii="Tahoma" w:eastAsia="Times New Roman" w:hAnsi="Tahoma" w:cs="Tahoma"/>
            <w:noProof/>
            <w:webHidden/>
            <w:color w:val="auto"/>
            <w:szCs w:val="20"/>
          </w:rPr>
          <w:tab/>
        </w:r>
        <w:r w:rsidR="001E3B31" w:rsidRPr="002024D1">
          <w:rPr>
            <w:rFonts w:ascii="Tahoma" w:eastAsia="Times New Roman" w:hAnsi="Tahoma" w:cs="Tahoma"/>
            <w:noProof/>
            <w:webHidden/>
            <w:color w:val="auto"/>
            <w:szCs w:val="20"/>
          </w:rPr>
          <w:t>4</w:t>
        </w:r>
      </w:hyperlink>
    </w:p>
    <w:p w14:paraId="56EC2549" w14:textId="77777777" w:rsidR="00C25757" w:rsidRPr="002024D1" w:rsidRDefault="00C25757" w:rsidP="00C25757">
      <w:pPr>
        <w:pBdr>
          <w:bottom w:val="single" w:sz="4" w:space="1" w:color="auto"/>
        </w:pBdr>
        <w:tabs>
          <w:tab w:val="left" w:pos="400"/>
          <w:tab w:val="right" w:pos="9344"/>
        </w:tabs>
        <w:spacing w:after="240"/>
        <w:rPr>
          <w:rFonts w:ascii="Tahoma" w:eastAsiaTheme="minorEastAsia" w:hAnsi="Tahoma" w:cs="Tahoma"/>
          <w:b/>
          <w:bCs/>
          <w:noProof/>
          <w:color w:val="auto"/>
          <w:sz w:val="22"/>
          <w:lang w:eastAsia="lt-LT"/>
        </w:rPr>
      </w:pPr>
    </w:p>
    <w:p w14:paraId="2FF02201" w14:textId="77777777" w:rsidR="00C25757" w:rsidRPr="002024D1" w:rsidRDefault="00C25757" w:rsidP="00C25757">
      <w:pPr>
        <w:pBdr>
          <w:bottom w:val="single" w:sz="4" w:space="1" w:color="auto"/>
        </w:pBdr>
        <w:tabs>
          <w:tab w:val="left" w:pos="400"/>
          <w:tab w:val="right" w:pos="9344"/>
        </w:tabs>
        <w:spacing w:after="240"/>
        <w:rPr>
          <w:rFonts w:ascii="Tahoma" w:eastAsiaTheme="minorEastAsia" w:hAnsi="Tahoma" w:cs="Tahoma"/>
          <w:b/>
          <w:bCs/>
          <w:noProof/>
          <w:color w:val="auto"/>
          <w:sz w:val="22"/>
          <w:lang w:eastAsia="lt-LT"/>
        </w:rPr>
      </w:pPr>
    </w:p>
    <w:p w14:paraId="357AFC24" w14:textId="0ABBA37A" w:rsidR="00C25757" w:rsidRPr="00725E8B" w:rsidRDefault="00A30206" w:rsidP="00C25757">
      <w:pPr>
        <w:pBdr>
          <w:bottom w:val="single" w:sz="4" w:space="1" w:color="auto"/>
        </w:pBdr>
        <w:tabs>
          <w:tab w:val="left" w:pos="400"/>
          <w:tab w:val="right" w:pos="9344"/>
        </w:tabs>
        <w:spacing w:after="240"/>
        <w:rPr>
          <w:rFonts w:asciiTheme="minorHAnsi" w:eastAsia="Times New Roman" w:hAnsiTheme="minorHAnsi" w:cs="Calibri"/>
          <w:b/>
          <w:bCs/>
          <w:szCs w:val="20"/>
        </w:rPr>
      </w:pPr>
      <w:r w:rsidRPr="002024D1">
        <w:rPr>
          <w:rFonts w:asciiTheme="minorHAnsi" w:eastAsia="Times New Roman" w:hAnsiTheme="minorHAnsi" w:cs="Calibri"/>
          <w:b/>
          <w:bCs/>
          <w:noProof/>
          <w:color w:val="auto"/>
          <w:szCs w:val="20"/>
        </w:rPr>
        <w:lastRenderedPageBreak/>
        <mc:AlternateContent>
          <mc:Choice Requires="wps">
            <w:drawing>
              <wp:anchor distT="0" distB="0" distL="114300" distR="114300" simplePos="0" relativeHeight="251653632" behindDoc="0" locked="0" layoutInCell="1" allowOverlap="1" wp14:anchorId="4A06701E" wp14:editId="747BA7A3">
                <wp:simplePos x="0" y="0"/>
                <wp:positionH relativeFrom="margin">
                  <wp:posOffset>13970</wp:posOffset>
                </wp:positionH>
                <wp:positionV relativeFrom="paragraph">
                  <wp:posOffset>0</wp:posOffset>
                </wp:positionV>
                <wp:extent cx="6099175" cy="297180"/>
                <wp:effectExtent l="0" t="0" r="0" b="7620"/>
                <wp:wrapSquare wrapText="bothSides"/>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97180"/>
                        </a:xfrm>
                        <a:prstGeom prst="rect">
                          <a:avLst/>
                        </a:prstGeom>
                        <a:solidFill>
                          <a:srgbClr val="70AD47">
                            <a:lumMod val="20000"/>
                            <a:lumOff val="80000"/>
                          </a:srgbClr>
                        </a:solidFill>
                        <a:ln w="12700" cap="flat" cmpd="sng" algn="ctr">
                          <a:noFill/>
                          <a:prstDash val="solid"/>
                          <a:miter lim="800000"/>
                        </a:ln>
                        <a:effectLst/>
                      </wps:spPr>
                      <wps:txbx>
                        <w:txbxContent>
                          <w:p w14:paraId="1BBB7CDB" w14:textId="77777777" w:rsidR="00C25757" w:rsidRDefault="00C25757" w:rsidP="00C25757">
                            <w:pPr>
                              <w:pStyle w:val="Antrat1"/>
                            </w:pPr>
                            <w:r w:rsidRPr="001A5EA8">
                              <w:t>Vartojamos sąvokos ir sutrumpinimai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06701E" id="Rectangle 11" o:spid="_x0000_s1027" style="position:absolute;margin-left:1.1pt;margin-top:0;width:480.25pt;height:23.4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1ygAIAAAYFAAAOAAAAZHJzL2Uyb0RvYy54bWysVE1v2zAMvQ/YfxB0X20HadMYdYqgQYcB&#10;WRugLXpWZDkWJomapMTufv0o2UmDbqdhF0H88CP59Oib214rchDOSzAVLS5ySoThUEuzq+jL8/2X&#10;a0p8YKZmCoyo6Jvw9Hbx+dNNZ0sxgRZULRxBEOPLzla0DcGWWeZ5KzTzF2CFwWADTrOApttltWMd&#10;omuVTfL8KuvA1dYBF96jdzUE6SLhN43g4bFpvAhEVRR7C+l06dzGM1vcsHLnmG0lH9tg/9CFZtJg&#10;0RPUigVG9k7+AaUld+ChCRccdAZNI7lIM+A0Rf5hmqeWWZFmQXK8PdHk/x8sfzg82Y2LrXu7Bv7D&#10;IyNZZ315ikTDjzl943TMxcZJn1h8O7Eo+kA4Oq/y+byYXVLCMTaZz4rrRHPGyuPX1vnwVYAm8VJR&#10;h6+UyGOHtQ+xPiuPKakxULK+l0olw+22d8qRA8MXneXL1XSWvlV7/R3qwY3CyMenRTcKYHBfH92I&#10;7weYVMuf4ytDOhTyZIYIhDOUZKNYwKu2dUW92VHC1A61zoNLhQ3E1pKOYtMr5tuhXIIdBKZlQJUr&#10;qSuamjgSokwcSSSdjqO/sx1vod/2RGLhIgJFzxbqt40jDgYpe8vvJZZdMx82zKF2sW3cx/CIR6MA&#10;Z4HxRkkL7tff/DEfJYVRSjrcBZzz5545QYn6ZlBs82I6jcuTjOnlbIKGO49szyNmr+8AH6fAzbc8&#10;XWN+UMdr40C/4touY1UMMcOx9sDoaNyFYUdx8blYLlMaLoxlYW2eLI/gkblI+HP/ypwdpRRQhA9w&#10;3BtWflDUkBu/NLDcB2hkkts7r6P2cdmSMsYfQ9zmcztlvf++Fr8BAAD//wMAUEsDBBQABgAIAAAA&#10;IQDrnD1S3QAAAAUBAAAPAAAAZHJzL2Rvd25yZXYueG1sTI9BS8NAFITvgv9heYKX0m4MEts0myJC&#10;ehKK1YPHbfY1Ce6+DdlNGv31Pk/2OMww802xm50VEw6h86TgYZWAQKq96ahR8PFeLdcgQtRktPWE&#10;Cr4xwK68vSl0bvyF3nA6xkZwCYVcK2hj7HMpQ92i02HleyT2zn5wOrIcGmkGfeFyZ2WaJJl0uiNe&#10;aHWPLy3WX8fRKTgvbH34nH6qajOGV5Ms9sOh2it1fzc/b0FEnON/GP7wGR1KZjr5kUwQVkGaclAB&#10;/2Fzk6VPIE4KHrM1yLKQ1/TlLwAAAP//AwBQSwECLQAUAAYACAAAACEAtoM4kv4AAADhAQAAEwAA&#10;AAAAAAAAAAAAAAAAAAAAW0NvbnRlbnRfVHlwZXNdLnhtbFBLAQItABQABgAIAAAAIQA4/SH/1gAA&#10;AJQBAAALAAAAAAAAAAAAAAAAAC8BAABfcmVscy8ucmVsc1BLAQItABQABgAIAAAAIQDELO1ygAIA&#10;AAYFAAAOAAAAAAAAAAAAAAAAAC4CAABkcnMvZTJvRG9jLnhtbFBLAQItABQABgAIAAAAIQDrnD1S&#10;3QAAAAUBAAAPAAAAAAAAAAAAAAAAANoEAABkcnMvZG93bnJldi54bWxQSwUGAAAAAAQABADzAAAA&#10;5AUAAAAA&#10;" fillcolor="#e2f0d9" stroked="f" strokeweight="1pt">
                <v:textbox>
                  <w:txbxContent>
                    <w:p w14:paraId="1BBB7CDB" w14:textId="77777777" w:rsidR="00C25757" w:rsidRDefault="00C25757" w:rsidP="00C25757">
                      <w:pPr>
                        <w:pStyle w:val="Antrat1"/>
                      </w:pPr>
                      <w:r w:rsidRPr="001A5EA8">
                        <w:t>Vartojamos sąvokos ir sutrumpinimai</w:t>
                      </w:r>
                    </w:p>
                  </w:txbxContent>
                </v:textbox>
                <w10:wrap type="square" anchorx="margin"/>
              </v:rect>
            </w:pict>
          </mc:Fallback>
        </mc:AlternateContent>
      </w:r>
      <w:r w:rsidR="00C25757" w:rsidRPr="002024D1">
        <w:rPr>
          <w:rFonts w:ascii="Tahoma" w:eastAsiaTheme="minorEastAsia" w:hAnsi="Tahoma" w:cs="Tahoma"/>
          <w:b/>
          <w:bCs/>
          <w:color w:val="auto"/>
          <w:szCs w:val="20"/>
          <w:lang w:eastAsia="en-GB"/>
        </w:rPr>
        <w:fldChar w:fldCharType="end"/>
      </w:r>
    </w:p>
    <w:tbl>
      <w:tblPr>
        <w:tblStyle w:val="TableGrid1"/>
        <w:tblW w:w="9634" w:type="dxa"/>
        <w:tblLook w:val="04A0" w:firstRow="1" w:lastRow="0" w:firstColumn="1" w:lastColumn="0" w:noHBand="0" w:noVBand="1"/>
      </w:tblPr>
      <w:tblGrid>
        <w:gridCol w:w="3256"/>
        <w:gridCol w:w="6378"/>
      </w:tblGrid>
      <w:tr w:rsidR="00C25757" w:rsidRPr="00725E8B" w14:paraId="025A4E29" w14:textId="77777777" w:rsidTr="00EF08A9">
        <w:tc>
          <w:tcPr>
            <w:tcW w:w="3256" w:type="dxa"/>
            <w:shd w:val="clear" w:color="auto" w:fill="F2F2F2" w:themeFill="background1" w:themeFillShade="F2"/>
          </w:tcPr>
          <w:p w14:paraId="4A27B7E3" w14:textId="77777777" w:rsidR="00C25757" w:rsidRPr="00725E8B" w:rsidRDefault="00C25757" w:rsidP="00C25757">
            <w:pPr>
              <w:spacing w:before="60" w:after="60" w:line="240" w:lineRule="atLeast"/>
              <w:rPr>
                <w:rFonts w:ascii="Tahoma" w:hAnsi="Tahoma" w:cs="Tahoma"/>
                <w:szCs w:val="20"/>
              </w:rPr>
            </w:pPr>
            <w:r w:rsidRPr="00725E8B">
              <w:rPr>
                <w:rFonts w:ascii="Tahoma" w:hAnsi="Tahoma" w:cs="Tahoma"/>
                <w:b/>
                <w:szCs w:val="20"/>
              </w:rPr>
              <w:t>Politika</w:t>
            </w:r>
          </w:p>
        </w:tc>
        <w:tc>
          <w:tcPr>
            <w:tcW w:w="6378" w:type="dxa"/>
          </w:tcPr>
          <w:p w14:paraId="70C64BE4" w14:textId="0A4C476F" w:rsidR="00C25757" w:rsidRPr="002024D1" w:rsidRDefault="00C25757" w:rsidP="00C25757">
            <w:pPr>
              <w:spacing w:before="60" w:after="60" w:line="240" w:lineRule="atLeast"/>
              <w:jc w:val="both"/>
              <w:rPr>
                <w:rFonts w:ascii="Tahoma" w:hAnsi="Tahoma" w:cs="Tahoma"/>
                <w:szCs w:val="20"/>
              </w:rPr>
            </w:pPr>
            <w:r w:rsidRPr="002024D1">
              <w:rPr>
                <w:rFonts w:ascii="Tahoma" w:hAnsi="Tahoma" w:cs="Tahoma"/>
                <w:szCs w:val="20"/>
              </w:rPr>
              <w:t xml:space="preserve">Ši AB </w:t>
            </w:r>
            <w:r w:rsidR="00B56880" w:rsidRPr="002024D1">
              <w:rPr>
                <w:rFonts w:ascii="Tahoma" w:hAnsi="Tahoma" w:cs="Tahoma"/>
                <w:szCs w:val="20"/>
              </w:rPr>
              <w:t>„Amber Grid“</w:t>
            </w:r>
            <w:r w:rsidR="003659F1" w:rsidRPr="002024D1">
              <w:rPr>
                <w:rFonts w:ascii="Tahoma" w:hAnsi="Tahoma" w:cs="Tahoma"/>
                <w:szCs w:val="20"/>
              </w:rPr>
              <w:t xml:space="preserve"> </w:t>
            </w:r>
            <w:r w:rsidRPr="002024D1">
              <w:rPr>
                <w:rFonts w:ascii="Tahoma" w:hAnsi="Tahoma" w:cs="Tahoma"/>
                <w:szCs w:val="20"/>
              </w:rPr>
              <w:t>vadovo ir valdybos narių atlygio politika su visais priedais, pakeitimais ir papildymais (jei tokių būtų).</w:t>
            </w:r>
          </w:p>
        </w:tc>
      </w:tr>
      <w:tr w:rsidR="00C25757" w:rsidRPr="00725E8B" w14:paraId="6CC18338" w14:textId="77777777" w:rsidTr="00EF08A9">
        <w:tc>
          <w:tcPr>
            <w:tcW w:w="3256" w:type="dxa"/>
            <w:shd w:val="clear" w:color="auto" w:fill="F2F2F2" w:themeFill="background1" w:themeFillShade="F2"/>
          </w:tcPr>
          <w:p w14:paraId="5D7536C3"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ASK</w:t>
            </w:r>
          </w:p>
        </w:tc>
        <w:tc>
          <w:tcPr>
            <w:tcW w:w="6378" w:type="dxa"/>
          </w:tcPr>
          <w:p w14:paraId="74C2B5B3" w14:textId="620903BD" w:rsidR="00C25757" w:rsidRPr="002024D1" w:rsidRDefault="00C25757" w:rsidP="00C25757">
            <w:pPr>
              <w:spacing w:before="60" w:after="60" w:line="240" w:lineRule="atLeast"/>
              <w:jc w:val="both"/>
              <w:rPr>
                <w:rFonts w:ascii="Tahoma" w:hAnsi="Tahoma" w:cs="Tahoma"/>
                <w:szCs w:val="20"/>
              </w:rPr>
            </w:pPr>
            <w:r w:rsidRPr="002024D1">
              <w:rPr>
                <w:rFonts w:ascii="Tahoma" w:hAnsi="Tahoma" w:cs="Tahoma"/>
                <w:szCs w:val="20"/>
              </w:rPr>
              <w:t>Grupės mastu veikiantis atlygio ir skyrimo komitetas</w:t>
            </w:r>
          </w:p>
        </w:tc>
      </w:tr>
      <w:tr w:rsidR="00C25757" w:rsidRPr="00725E8B" w14:paraId="35BBFA99" w14:textId="77777777" w:rsidTr="00EF08A9">
        <w:tc>
          <w:tcPr>
            <w:tcW w:w="3256" w:type="dxa"/>
            <w:shd w:val="clear" w:color="auto" w:fill="F2F2F2" w:themeFill="background1" w:themeFillShade="F2"/>
          </w:tcPr>
          <w:p w14:paraId="56D3EA76" w14:textId="77777777" w:rsidR="00C25757" w:rsidRPr="00725E8B" w:rsidRDefault="00C25757" w:rsidP="00C25757">
            <w:pPr>
              <w:spacing w:before="60" w:after="60" w:line="240" w:lineRule="atLeast"/>
              <w:rPr>
                <w:rFonts w:ascii="Tahoma" w:hAnsi="Tahoma" w:cs="Tahoma"/>
                <w:szCs w:val="20"/>
              </w:rPr>
            </w:pPr>
            <w:r w:rsidRPr="00725E8B">
              <w:rPr>
                <w:rFonts w:ascii="Tahoma" w:hAnsi="Tahoma" w:cs="Tahoma"/>
                <w:b/>
                <w:szCs w:val="20"/>
              </w:rPr>
              <w:t>Bendrovė</w:t>
            </w:r>
          </w:p>
        </w:tc>
        <w:tc>
          <w:tcPr>
            <w:tcW w:w="6378" w:type="dxa"/>
          </w:tcPr>
          <w:p w14:paraId="1AD69918" w14:textId="28656D30" w:rsidR="00C25757" w:rsidRPr="002024D1" w:rsidRDefault="003659F1" w:rsidP="00C25757">
            <w:pPr>
              <w:spacing w:before="60" w:after="60" w:line="240" w:lineRule="atLeast"/>
              <w:jc w:val="both"/>
              <w:rPr>
                <w:rFonts w:ascii="Tahoma" w:hAnsi="Tahoma"/>
              </w:rPr>
            </w:pPr>
            <w:r w:rsidRPr="002024D1">
              <w:rPr>
                <w:rFonts w:ascii="Tahoma" w:hAnsi="Tahoma" w:cs="Tahoma"/>
                <w:szCs w:val="20"/>
              </w:rPr>
              <w:t>AB „Amber Grid“</w:t>
            </w:r>
          </w:p>
        </w:tc>
      </w:tr>
      <w:tr w:rsidR="00C25757" w:rsidRPr="00725E8B" w14:paraId="7D0BE650" w14:textId="77777777" w:rsidTr="00EF08A9">
        <w:tc>
          <w:tcPr>
            <w:tcW w:w="3256" w:type="dxa"/>
            <w:shd w:val="clear" w:color="auto" w:fill="F2F2F2" w:themeFill="background1" w:themeFillShade="F2"/>
          </w:tcPr>
          <w:p w14:paraId="07898100"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Bendrovės vadovas</w:t>
            </w:r>
          </w:p>
        </w:tc>
        <w:tc>
          <w:tcPr>
            <w:tcW w:w="6378" w:type="dxa"/>
          </w:tcPr>
          <w:p w14:paraId="41268011" w14:textId="58F6A390" w:rsidR="00C25757" w:rsidRPr="00725E8B" w:rsidRDefault="00C937A4" w:rsidP="00C25757">
            <w:pPr>
              <w:spacing w:before="60" w:after="60" w:line="240" w:lineRule="atLeast"/>
              <w:jc w:val="both"/>
              <w:rPr>
                <w:rFonts w:ascii="Tahoma" w:hAnsi="Tahoma" w:cs="Tahoma"/>
                <w:szCs w:val="20"/>
              </w:rPr>
            </w:pPr>
            <w:r w:rsidRPr="00725E8B">
              <w:rPr>
                <w:rFonts w:ascii="Tahoma" w:hAnsi="Tahoma" w:cs="Tahoma"/>
                <w:szCs w:val="20"/>
              </w:rPr>
              <w:t>Vadovas</w:t>
            </w:r>
          </w:p>
        </w:tc>
      </w:tr>
      <w:tr w:rsidR="00C25757" w:rsidRPr="00725E8B" w14:paraId="659EDA3B" w14:textId="77777777" w:rsidTr="00EF08A9">
        <w:tc>
          <w:tcPr>
            <w:tcW w:w="3256" w:type="dxa"/>
            <w:shd w:val="clear" w:color="auto" w:fill="F2F2F2" w:themeFill="background1" w:themeFillShade="F2"/>
          </w:tcPr>
          <w:p w14:paraId="4C8F789B" w14:textId="77777777" w:rsidR="00C25757" w:rsidRPr="00725E8B" w:rsidRDefault="00C25757" w:rsidP="00C25757">
            <w:pPr>
              <w:spacing w:before="60" w:after="60" w:line="240" w:lineRule="atLeast"/>
              <w:rPr>
                <w:rFonts w:ascii="Tahoma" w:hAnsi="Tahoma" w:cs="Tahoma"/>
                <w:szCs w:val="20"/>
              </w:rPr>
            </w:pPr>
            <w:r w:rsidRPr="00725E8B">
              <w:rPr>
                <w:rFonts w:ascii="Tahoma" w:hAnsi="Tahoma" w:cs="Tahoma"/>
                <w:b/>
                <w:szCs w:val="20"/>
              </w:rPr>
              <w:t>EPSO-G</w:t>
            </w:r>
          </w:p>
        </w:tc>
        <w:tc>
          <w:tcPr>
            <w:tcW w:w="6378" w:type="dxa"/>
          </w:tcPr>
          <w:p w14:paraId="3712C1BA" w14:textId="77777777"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Grupės valdymo įmonė UAB „EPSO-G“</w:t>
            </w:r>
          </w:p>
        </w:tc>
      </w:tr>
      <w:tr w:rsidR="00C25757" w:rsidRPr="00725E8B" w14:paraId="36886DFE" w14:textId="77777777" w:rsidTr="00EF08A9">
        <w:tc>
          <w:tcPr>
            <w:tcW w:w="3256" w:type="dxa"/>
            <w:shd w:val="clear" w:color="auto" w:fill="F2F2F2" w:themeFill="background1" w:themeFillShade="F2"/>
          </w:tcPr>
          <w:p w14:paraId="1A26E539"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Grupė</w:t>
            </w:r>
          </w:p>
        </w:tc>
        <w:tc>
          <w:tcPr>
            <w:tcW w:w="6378" w:type="dxa"/>
          </w:tcPr>
          <w:p w14:paraId="613482BD" w14:textId="77777777"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EPSO-G kontroliuojama įmonių grupė, kurią sudaro EPSO-G ir jos tiesiogiai ir netiesiogiai kontroliuojamos bendrovės.</w:t>
            </w:r>
          </w:p>
        </w:tc>
      </w:tr>
      <w:tr w:rsidR="006C72CD" w:rsidRPr="00725E8B" w14:paraId="3BBABAC7" w14:textId="77777777" w:rsidTr="00EF08A9">
        <w:tc>
          <w:tcPr>
            <w:tcW w:w="3256" w:type="dxa"/>
            <w:shd w:val="clear" w:color="auto" w:fill="F2F2F2" w:themeFill="background1" w:themeFillShade="F2"/>
          </w:tcPr>
          <w:p w14:paraId="17127648" w14:textId="66EA3DF5" w:rsidR="006C72CD" w:rsidRPr="00725E8B" w:rsidRDefault="00314BBB" w:rsidP="00C25757">
            <w:pPr>
              <w:spacing w:before="60" w:after="60" w:line="240" w:lineRule="atLeast"/>
              <w:rPr>
                <w:rFonts w:ascii="Tahoma" w:hAnsi="Tahoma" w:cs="Tahoma"/>
                <w:b/>
                <w:szCs w:val="20"/>
              </w:rPr>
            </w:pPr>
            <w:r w:rsidRPr="00725E8B">
              <w:rPr>
                <w:rFonts w:ascii="Tahoma" w:hAnsi="Tahoma" w:cs="Tahoma"/>
                <w:b/>
                <w:szCs w:val="20"/>
              </w:rPr>
              <w:t>Mėnesinis atlygis</w:t>
            </w:r>
          </w:p>
        </w:tc>
        <w:tc>
          <w:tcPr>
            <w:tcW w:w="6378" w:type="dxa"/>
          </w:tcPr>
          <w:p w14:paraId="3A50758F" w14:textId="3A549320" w:rsidR="006C72CD" w:rsidRPr="00725E8B" w:rsidRDefault="00D3498E" w:rsidP="00C25757">
            <w:pPr>
              <w:spacing w:before="60" w:after="60" w:line="240" w:lineRule="atLeast"/>
              <w:jc w:val="both"/>
              <w:rPr>
                <w:rFonts w:ascii="Tahoma" w:hAnsi="Tahoma" w:cs="Tahoma"/>
                <w:szCs w:val="20"/>
              </w:rPr>
            </w:pPr>
            <w:r w:rsidRPr="00725E8B">
              <w:rPr>
                <w:rFonts w:ascii="Tahoma" w:hAnsi="Tahoma" w:cs="Tahoma"/>
                <w:szCs w:val="20"/>
              </w:rPr>
              <w:t xml:space="preserve">Darbo sutartyje nustatytas pagrindinis </w:t>
            </w:r>
            <w:r w:rsidR="00787B75" w:rsidRPr="00725E8B">
              <w:rPr>
                <w:rFonts w:ascii="Tahoma" w:hAnsi="Tahoma" w:cs="Tahoma"/>
                <w:szCs w:val="20"/>
              </w:rPr>
              <w:t xml:space="preserve">Bendrovės </w:t>
            </w:r>
            <w:r w:rsidRPr="00725E8B">
              <w:rPr>
                <w:rFonts w:ascii="Tahoma" w:hAnsi="Tahoma" w:cs="Tahoma"/>
                <w:szCs w:val="20"/>
              </w:rPr>
              <w:t>vadovo atlygis, mokamas kiekvieną mėnesį.</w:t>
            </w:r>
          </w:p>
        </w:tc>
      </w:tr>
      <w:tr w:rsidR="00CB63F8" w:rsidRPr="00725E8B" w14:paraId="3F2F2660" w14:textId="77777777" w:rsidTr="00EF08A9">
        <w:tc>
          <w:tcPr>
            <w:tcW w:w="3256" w:type="dxa"/>
            <w:shd w:val="clear" w:color="auto" w:fill="F2F2F2" w:themeFill="background1" w:themeFillShade="F2"/>
          </w:tcPr>
          <w:p w14:paraId="0ED3D4BC" w14:textId="376A0505" w:rsidR="00CB63F8" w:rsidRPr="00725E8B" w:rsidRDefault="00CB63F8" w:rsidP="00C25757">
            <w:pPr>
              <w:spacing w:before="60" w:after="60" w:line="240" w:lineRule="atLeast"/>
              <w:rPr>
                <w:rFonts w:ascii="Tahoma" w:hAnsi="Tahoma" w:cs="Tahoma"/>
                <w:b/>
                <w:szCs w:val="20"/>
              </w:rPr>
            </w:pPr>
            <w:r w:rsidRPr="00725E8B">
              <w:rPr>
                <w:rFonts w:ascii="Tahoma" w:hAnsi="Tahoma" w:cs="Tahoma"/>
                <w:b/>
                <w:szCs w:val="20"/>
              </w:rPr>
              <w:t>Nefinansinis atlygis</w:t>
            </w:r>
          </w:p>
        </w:tc>
        <w:tc>
          <w:tcPr>
            <w:tcW w:w="6378" w:type="dxa"/>
          </w:tcPr>
          <w:p w14:paraId="6F94EC03" w14:textId="6F25E980" w:rsidR="00CB63F8" w:rsidRPr="00725E8B" w:rsidRDefault="00917A1B" w:rsidP="00C25757">
            <w:pPr>
              <w:spacing w:before="60" w:after="60" w:line="240" w:lineRule="atLeast"/>
              <w:jc w:val="both"/>
              <w:rPr>
                <w:rFonts w:ascii="Tahoma" w:hAnsi="Tahoma" w:cs="Tahoma"/>
                <w:szCs w:val="20"/>
              </w:rPr>
            </w:pPr>
            <w:r w:rsidRPr="00725E8B">
              <w:rPr>
                <w:rFonts w:ascii="Tahoma" w:hAnsi="Tahoma" w:cs="Tahoma"/>
                <w:szCs w:val="20"/>
              </w:rPr>
              <w:t xml:space="preserve">Piniginės išraiškos neturinčios darbuotojams </w:t>
            </w:r>
            <w:r w:rsidR="00B9118F" w:rsidRPr="00725E8B">
              <w:rPr>
                <w:rFonts w:ascii="Tahoma" w:hAnsi="Tahoma" w:cs="Tahoma"/>
                <w:szCs w:val="20"/>
              </w:rPr>
              <w:t xml:space="preserve">(įskaitant Bendrovės vadovą) </w:t>
            </w:r>
            <w:r w:rsidRPr="00725E8B">
              <w:rPr>
                <w:rFonts w:ascii="Tahoma" w:hAnsi="Tahoma" w:cs="Tahoma"/>
                <w:szCs w:val="20"/>
              </w:rPr>
              <w:t>suteikiamos naudos (pvz., papildomos poilsio dienos, galimybė dirbti iš namų) ir emocinis atlygis, kurį sukuria kryptingi darbdavio veiksmai, gerinantys darbuotojų savijautą, didinantys organizacijos skaidrumą, atvirumą, darbuotojų įgalinimą ir įsitraukimą.</w:t>
            </w:r>
          </w:p>
        </w:tc>
      </w:tr>
      <w:tr w:rsidR="00264481" w:rsidRPr="00725E8B" w14:paraId="6161A43A" w14:textId="77777777" w:rsidTr="00EF08A9">
        <w:tc>
          <w:tcPr>
            <w:tcW w:w="3256" w:type="dxa"/>
            <w:shd w:val="clear" w:color="auto" w:fill="F2F2F2" w:themeFill="background1" w:themeFillShade="F2"/>
          </w:tcPr>
          <w:p w14:paraId="7185D882" w14:textId="175DB257" w:rsidR="00264481" w:rsidRPr="00725E8B" w:rsidRDefault="00264481" w:rsidP="00C25757">
            <w:pPr>
              <w:spacing w:before="60" w:after="60" w:line="240" w:lineRule="atLeast"/>
              <w:rPr>
                <w:rFonts w:ascii="Tahoma" w:hAnsi="Tahoma" w:cs="Tahoma"/>
                <w:b/>
                <w:szCs w:val="20"/>
              </w:rPr>
            </w:pPr>
            <w:r w:rsidRPr="00725E8B">
              <w:rPr>
                <w:rFonts w:ascii="Tahoma" w:hAnsi="Tahoma" w:cs="Tahoma"/>
                <w:b/>
                <w:szCs w:val="20"/>
              </w:rPr>
              <w:t>Finansinis skatinimas</w:t>
            </w:r>
          </w:p>
        </w:tc>
        <w:tc>
          <w:tcPr>
            <w:tcW w:w="6378" w:type="dxa"/>
          </w:tcPr>
          <w:p w14:paraId="36CFEA70" w14:textId="20C01103" w:rsidR="00264481" w:rsidRPr="00725E8B" w:rsidRDefault="00917A1B" w:rsidP="00C25757">
            <w:pPr>
              <w:spacing w:before="60" w:after="60" w:line="240" w:lineRule="atLeast"/>
              <w:jc w:val="both"/>
              <w:rPr>
                <w:rFonts w:ascii="Tahoma" w:hAnsi="Tahoma" w:cs="Tahoma"/>
                <w:szCs w:val="20"/>
              </w:rPr>
            </w:pPr>
            <w:r w:rsidRPr="00725E8B">
              <w:rPr>
                <w:rFonts w:ascii="Tahoma" w:hAnsi="Tahoma" w:cs="Tahoma"/>
                <w:szCs w:val="20"/>
              </w:rPr>
              <w:t>Darbdavio iniciatyva mokamas atlygis darbuotojams</w:t>
            </w:r>
            <w:r w:rsidR="004F1E75" w:rsidRPr="00725E8B">
              <w:rPr>
                <w:rFonts w:ascii="Tahoma" w:hAnsi="Tahoma" w:cs="Tahoma"/>
                <w:szCs w:val="20"/>
              </w:rPr>
              <w:t xml:space="preserve"> (įskaitant Bendrovės vadovą)</w:t>
            </w:r>
            <w:r w:rsidRPr="00725E8B">
              <w:rPr>
                <w:rFonts w:ascii="Tahoma" w:hAnsi="Tahoma" w:cs="Tahoma"/>
                <w:szCs w:val="20"/>
              </w:rPr>
              <w:t xml:space="preserve">, priklausomai nuo Bendrovės pasiektų rezultatų ir </w:t>
            </w:r>
            <w:r w:rsidR="0049747A" w:rsidRPr="00725E8B">
              <w:rPr>
                <w:rFonts w:ascii="Tahoma" w:hAnsi="Tahoma" w:cs="Tahoma"/>
                <w:szCs w:val="20"/>
              </w:rPr>
              <w:t>Bendrovės vadovo</w:t>
            </w:r>
            <w:r w:rsidRPr="00725E8B">
              <w:rPr>
                <w:rFonts w:ascii="Tahoma" w:hAnsi="Tahoma" w:cs="Tahoma"/>
                <w:szCs w:val="20"/>
              </w:rPr>
              <w:t xml:space="preserve"> veiklos vertinimo rezultatų.</w:t>
            </w:r>
          </w:p>
        </w:tc>
      </w:tr>
      <w:tr w:rsidR="006B4081" w:rsidRPr="00725E8B" w14:paraId="65F35A92" w14:textId="77777777" w:rsidTr="00EF08A9">
        <w:tc>
          <w:tcPr>
            <w:tcW w:w="3256" w:type="dxa"/>
            <w:shd w:val="clear" w:color="auto" w:fill="F2F2F2" w:themeFill="background1" w:themeFillShade="F2"/>
          </w:tcPr>
          <w:p w14:paraId="0ADF2D1F" w14:textId="7B150C40" w:rsidR="006B4081" w:rsidRPr="00725E8B" w:rsidRDefault="006B4081" w:rsidP="00C25757">
            <w:pPr>
              <w:spacing w:before="60" w:after="60" w:line="240" w:lineRule="atLeast"/>
              <w:rPr>
                <w:rFonts w:ascii="Tahoma" w:hAnsi="Tahoma" w:cs="Tahoma"/>
                <w:b/>
                <w:szCs w:val="20"/>
              </w:rPr>
            </w:pPr>
            <w:r w:rsidRPr="00725E8B">
              <w:rPr>
                <w:rFonts w:ascii="Tahoma" w:hAnsi="Tahoma" w:cs="Tahoma"/>
                <w:b/>
                <w:szCs w:val="20"/>
              </w:rPr>
              <w:t>Papildomos naudos</w:t>
            </w:r>
          </w:p>
        </w:tc>
        <w:tc>
          <w:tcPr>
            <w:tcW w:w="6378" w:type="dxa"/>
          </w:tcPr>
          <w:p w14:paraId="2ED2BEED" w14:textId="4AEFAA91" w:rsidR="006B4081" w:rsidRPr="00725E8B" w:rsidRDefault="006B4081" w:rsidP="00C25757">
            <w:pPr>
              <w:spacing w:before="60" w:after="60" w:line="240" w:lineRule="atLeast"/>
              <w:jc w:val="both"/>
              <w:rPr>
                <w:rFonts w:ascii="Tahoma" w:hAnsi="Tahoma" w:cs="Tahoma"/>
                <w:szCs w:val="20"/>
              </w:rPr>
            </w:pPr>
            <w:r w:rsidRPr="00725E8B">
              <w:rPr>
                <w:rFonts w:ascii="Tahoma" w:hAnsi="Tahoma" w:cs="Tahoma"/>
                <w:szCs w:val="20"/>
              </w:rPr>
              <w:t>Finansinio ir nefinansinio pobūdžio priemonės, kuriomis užtikrinama papildoma socialinė rūpyba ir papildomas darbuotojų</w:t>
            </w:r>
            <w:r w:rsidR="00DB4C77" w:rsidRPr="00725E8B">
              <w:rPr>
                <w:rFonts w:ascii="Tahoma" w:hAnsi="Tahoma" w:cs="Tahoma"/>
                <w:szCs w:val="20"/>
              </w:rPr>
              <w:t xml:space="preserve"> (įskaitant Bendrovės vadovą)</w:t>
            </w:r>
            <w:r w:rsidRPr="00725E8B">
              <w:rPr>
                <w:rFonts w:ascii="Tahoma" w:hAnsi="Tahoma" w:cs="Tahoma"/>
                <w:szCs w:val="20"/>
              </w:rPr>
              <w:t xml:space="preserve"> motyvavimas.</w:t>
            </w:r>
          </w:p>
        </w:tc>
      </w:tr>
      <w:tr w:rsidR="00C25757" w:rsidRPr="00725E8B" w14:paraId="62FAB069" w14:textId="77777777" w:rsidTr="00EF08A9">
        <w:tc>
          <w:tcPr>
            <w:tcW w:w="3256" w:type="dxa"/>
            <w:shd w:val="clear" w:color="auto" w:fill="F2F2F2" w:themeFill="background1" w:themeFillShade="F2"/>
          </w:tcPr>
          <w:p w14:paraId="633BEA3A"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Pareigybės lygis</w:t>
            </w:r>
          </w:p>
        </w:tc>
        <w:tc>
          <w:tcPr>
            <w:tcW w:w="6378" w:type="dxa"/>
          </w:tcPr>
          <w:p w14:paraId="0C959ED3" w14:textId="77777777" w:rsidR="00C25757" w:rsidRPr="00725E8B" w:rsidRDefault="00C25757" w:rsidP="00C25757">
            <w:pPr>
              <w:spacing w:before="60" w:after="60" w:line="240" w:lineRule="atLeast"/>
              <w:jc w:val="both"/>
              <w:rPr>
                <w:rFonts w:ascii="Tahoma" w:hAnsi="Tahoma" w:cs="Tahoma"/>
                <w:szCs w:val="20"/>
              </w:rPr>
            </w:pPr>
            <w:r w:rsidRPr="00725E8B">
              <w:rPr>
                <w:rFonts w:ascii="Tahoma" w:hAnsi="Tahoma" w:cs="Tahoma"/>
                <w:szCs w:val="20"/>
              </w:rPr>
              <w:t>Santykinis vienetas, kuriuo įvertinta Bendrovės vadovo pareigybė ir kuris parodo pareigybės palyginamąjį svorį su kitomis darbo rinkoje panašiomis pareigybėmis.</w:t>
            </w:r>
          </w:p>
        </w:tc>
      </w:tr>
      <w:tr w:rsidR="00C25757" w:rsidRPr="00725E8B" w14:paraId="206B575D" w14:textId="77777777" w:rsidTr="00EF08A9">
        <w:tc>
          <w:tcPr>
            <w:tcW w:w="3256" w:type="dxa"/>
            <w:shd w:val="clear" w:color="auto" w:fill="F2F2F2" w:themeFill="background1" w:themeFillShade="F2"/>
          </w:tcPr>
          <w:p w14:paraId="464E88FB" w14:textId="77777777" w:rsidR="00C25757" w:rsidRPr="00725E8B" w:rsidRDefault="00C25757" w:rsidP="00C25757">
            <w:pPr>
              <w:spacing w:before="60" w:after="60" w:line="240" w:lineRule="atLeast"/>
              <w:rPr>
                <w:rFonts w:ascii="Tahoma" w:hAnsi="Tahoma" w:cs="Tahoma"/>
                <w:b/>
                <w:szCs w:val="20"/>
              </w:rPr>
            </w:pPr>
            <w:r w:rsidRPr="00725E8B">
              <w:rPr>
                <w:rFonts w:ascii="Tahoma" w:hAnsi="Tahoma" w:cs="Tahoma"/>
                <w:b/>
                <w:szCs w:val="20"/>
              </w:rPr>
              <w:t>VAS</w:t>
            </w:r>
          </w:p>
        </w:tc>
        <w:tc>
          <w:tcPr>
            <w:tcW w:w="6378" w:type="dxa"/>
          </w:tcPr>
          <w:p w14:paraId="4DE9E10C" w14:textId="77777777" w:rsidR="00C25757" w:rsidRPr="00725E8B" w:rsidRDefault="00C25757" w:rsidP="00C25757">
            <w:pPr>
              <w:tabs>
                <w:tab w:val="left" w:pos="426"/>
              </w:tabs>
              <w:suppressAutoHyphens/>
              <w:spacing w:line="100" w:lineRule="atLeast"/>
              <w:jc w:val="both"/>
              <w:rPr>
                <w:rFonts w:ascii="Tahoma" w:hAnsi="Tahoma" w:cs="Tahoma"/>
                <w:szCs w:val="20"/>
                <w:lang w:eastAsia="ar-SA"/>
              </w:rPr>
            </w:pPr>
            <w:r w:rsidRPr="00725E8B">
              <w:rPr>
                <w:rFonts w:ascii="Tahoma" w:hAnsi="Tahoma" w:cs="Tahoma"/>
                <w:szCs w:val="20"/>
                <w:lang w:eastAsia="ar-SA"/>
              </w:rPr>
              <w:t>Visuotinis akcininkų susirinkimas</w:t>
            </w:r>
          </w:p>
        </w:tc>
      </w:tr>
    </w:tbl>
    <w:p w14:paraId="510341A2" w14:textId="77777777" w:rsidR="00C25757" w:rsidRPr="00725E8B" w:rsidRDefault="00C25757" w:rsidP="00C25757">
      <w:pPr>
        <w:keepNext/>
        <w:tabs>
          <w:tab w:val="left" w:pos="3969"/>
          <w:tab w:val="left" w:pos="4111"/>
          <w:tab w:val="left" w:pos="5670"/>
        </w:tabs>
        <w:spacing w:after="120" w:line="240" w:lineRule="atLeast"/>
        <w:rPr>
          <w:rFonts w:ascii="Tahoma" w:eastAsia="Times New Roman" w:hAnsi="Tahoma" w:cs="Tahoma"/>
          <w:b/>
          <w:szCs w:val="20"/>
        </w:rPr>
      </w:pPr>
    </w:p>
    <w:p w14:paraId="04F9BC32" w14:textId="6C75E3B9" w:rsidR="00C25757" w:rsidRPr="00725E8B" w:rsidRDefault="00C25757" w:rsidP="00C25757">
      <w:pPr>
        <w:keepNext/>
        <w:tabs>
          <w:tab w:val="left" w:pos="5670"/>
        </w:tabs>
        <w:spacing w:line="240" w:lineRule="atLeast"/>
        <w:jc w:val="both"/>
        <w:rPr>
          <w:rFonts w:ascii="Tahoma" w:eastAsia="Times New Roman" w:hAnsi="Tahoma" w:cs="Tahoma"/>
          <w:b/>
          <w:szCs w:val="20"/>
        </w:rPr>
      </w:pPr>
      <w:r w:rsidRPr="00725E8B">
        <w:rPr>
          <w:rFonts w:eastAsia="Times New Roman" w:cs="Times New Roman"/>
          <w:noProof/>
        </w:rPr>
        <mc:AlternateContent>
          <mc:Choice Requires="wps">
            <w:drawing>
              <wp:anchor distT="0" distB="0" distL="114300" distR="114300" simplePos="0" relativeHeight="251660800" behindDoc="0" locked="0" layoutInCell="1" allowOverlap="1" wp14:anchorId="74080D28" wp14:editId="1A273055">
                <wp:simplePos x="0" y="0"/>
                <wp:positionH relativeFrom="margin">
                  <wp:posOffset>8890</wp:posOffset>
                </wp:positionH>
                <wp:positionV relativeFrom="paragraph">
                  <wp:posOffset>4445</wp:posOffset>
                </wp:positionV>
                <wp:extent cx="6099175" cy="24892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704CA0FE" w14:textId="77777777" w:rsidR="00C25757" w:rsidRDefault="00C25757" w:rsidP="00C25757">
                            <w:pPr>
                              <w:pStyle w:val="Antrat1"/>
                              <w:ind w:hanging="502"/>
                            </w:pPr>
                            <w:r>
                              <w:t>Bendrosios nuostatos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080D28" id="Rectangle 10" o:spid="_x0000_s1028" style="position:absolute;left:0;text-align:left;margin-left:.7pt;margin-top:.35pt;width:480.25pt;height:19.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vq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eJqDk2ULz+uiJh0HKwfF7hWU3LMRH5lG72DbuY/yGh9SA&#10;s8BoUdKC//U3f8pHSWGUkg53Aef8uWdeUKK/WBTbYjKbpeXJl9nlHB+U+PPI9jxi9+YO8HEmuPmO&#10;ZzPlR300pQfzgmu7SlUxxCzH2gOj4+UuDjuKi8/FapXTcGEcixv75HgCT8wlwp/7F+bdKKWIInyA&#10;496w6p2ihtz0pYXVPoJUWW5vvI7ax2XLyhh/DGmbz+856+33tfwNAAD//wMAUEsDBBQABgAIAAAA&#10;IQAiSFEJ2wAAAAUBAAAPAAAAZHJzL2Rvd25yZXYueG1sTI7BTsMwEETvSPyDtUhcKuoUUMEhToWQ&#10;0hNSReHA0Y23SUS8jmwnDXw9y4keRzN684rN7HoxYYidJw2rZQYCqfa2o0bDx3t18wgiJkPW9J5Q&#10;wzdG2JSXF4XJrT/RG0771AiGUMyNhjalIZcy1i06E5d+QOLu6IMziWNopA3mxHDXy9ssW0tnOuKH&#10;1gz40mL9tR+dhuOir3ef009VqTG+2myxDbtqq/X11fz8BCLhnP7H8KfP6lCy08GPZKPoOd/zUMMD&#10;CC7VeqVAHDTcKQWyLOS5ffkLAAD//wMAUEsBAi0AFAAGAAgAAAAhALaDOJL+AAAA4QEAABMAAAAA&#10;AAAAAAAAAAAAAAAAAFtDb250ZW50X1R5cGVzXS54bWxQSwECLQAUAAYACAAAACEAOP0h/9YAAACU&#10;AQAACwAAAAAAAAAAAAAAAAAvAQAAX3JlbHMvLnJlbHNQSwECLQAUAAYACAAAACEAHuFL6oACAAAG&#10;BQAADgAAAAAAAAAAAAAAAAAuAgAAZHJzL2Uyb0RvYy54bWxQSwECLQAUAAYACAAAACEAIkhRCdsA&#10;AAAFAQAADwAAAAAAAAAAAAAAAADaBAAAZHJzL2Rvd25yZXYueG1sUEsFBgAAAAAEAAQA8wAAAOIF&#10;AAAAAA==&#10;" fillcolor="#e2f0d9" stroked="f" strokeweight="1pt">
                <v:textbox>
                  <w:txbxContent>
                    <w:p w14:paraId="704CA0FE" w14:textId="77777777" w:rsidR="00C25757" w:rsidRDefault="00C25757" w:rsidP="00C25757">
                      <w:pPr>
                        <w:pStyle w:val="Antrat1"/>
                        <w:ind w:hanging="502"/>
                      </w:pPr>
                      <w:r>
                        <w:t>Bendrosios nuostatos</w:t>
                      </w:r>
                    </w:p>
                  </w:txbxContent>
                </v:textbox>
                <w10:wrap anchorx="margin"/>
              </v:rect>
            </w:pict>
          </mc:Fallback>
        </mc:AlternateContent>
      </w:r>
    </w:p>
    <w:p w14:paraId="7BB5838E" w14:textId="77777777" w:rsidR="00C25757" w:rsidRPr="00725E8B" w:rsidRDefault="00C25757" w:rsidP="00C25757">
      <w:pPr>
        <w:spacing w:after="120"/>
        <w:ind w:left="567"/>
        <w:jc w:val="both"/>
        <w:rPr>
          <w:rFonts w:ascii="Tahoma" w:eastAsia="Times New Roman" w:hAnsi="Tahoma" w:cs="Tahoma"/>
          <w:szCs w:val="20"/>
        </w:rPr>
      </w:pPr>
    </w:p>
    <w:p w14:paraId="7D84E408" w14:textId="03597330" w:rsidR="00C25757" w:rsidRPr="00725E8B" w:rsidRDefault="00C25757" w:rsidP="00C25757">
      <w:pPr>
        <w:numPr>
          <w:ilvl w:val="1"/>
          <w:numId w:val="2"/>
        </w:numPr>
        <w:spacing w:after="120"/>
        <w:ind w:left="567" w:right="-285" w:hanging="567"/>
        <w:jc w:val="both"/>
        <w:rPr>
          <w:rFonts w:ascii="Tahoma" w:eastAsia="Times New Roman" w:hAnsi="Tahoma" w:cs="Tahoma"/>
        </w:rPr>
      </w:pPr>
      <w:r w:rsidRPr="00725E8B">
        <w:rPr>
          <w:rFonts w:ascii="Tahoma" w:eastAsia="Times New Roman" w:hAnsi="Tahoma" w:cs="Tahoma"/>
        </w:rPr>
        <w:t xml:space="preserve">Politikos projektą rengia Bendrovės vadovas. Bendrovės valdyba, atsižvelgdama į ASK rekomendaciją, analizuoja ir vertina Politikos projektą ir jį kartu su atsiliepimais ir pasiūlymais teikia tvirtinti VAS. VAS ne rečiau kaip kas 4 </w:t>
      </w:r>
      <w:r w:rsidR="00B36B3C" w:rsidRPr="00725E8B">
        <w:rPr>
          <w:rFonts w:ascii="Tahoma" w:eastAsia="Times New Roman" w:hAnsi="Tahoma" w:cs="Tahoma"/>
        </w:rPr>
        <w:t xml:space="preserve">(ketverius) </w:t>
      </w:r>
      <w:r w:rsidRPr="00725E8B">
        <w:rPr>
          <w:rFonts w:ascii="Tahoma" w:eastAsia="Times New Roman" w:hAnsi="Tahoma" w:cs="Tahoma"/>
        </w:rPr>
        <w:t xml:space="preserve">metus tvirtina atnaujintą Politikos redakciją. Keičiant Politiką, VAS pateikiamos visos atlygio ataskaitos, patvirtintos po paskutinio VAS </w:t>
      </w:r>
      <w:r w:rsidR="006C6511" w:rsidRPr="00725E8B">
        <w:rPr>
          <w:rFonts w:ascii="Tahoma" w:eastAsia="Times New Roman" w:hAnsi="Tahoma" w:cs="Tahoma"/>
        </w:rPr>
        <w:t>sprendimo</w:t>
      </w:r>
      <w:r w:rsidRPr="00725E8B">
        <w:rPr>
          <w:rFonts w:ascii="Tahoma" w:eastAsia="Times New Roman" w:hAnsi="Tahoma" w:cs="Tahoma"/>
        </w:rPr>
        <w:t xml:space="preserve"> dėl Politikos.</w:t>
      </w:r>
    </w:p>
    <w:p w14:paraId="6E2CF413" w14:textId="19A4BCC6" w:rsidR="00C25757" w:rsidRPr="00725E8B" w:rsidRDefault="00C25757" w:rsidP="00C25757">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Kiekvienais metais yra rengiama atlygio, mokamo pagal šią Politiką, ataskaita. Už šios ataskaitos parengimą atsakingas Bendrovės vadovas. Bendrovės valdyba posėdyje, kuriame tvirtinamas Bendrovės metinis pranešimas, tvirtina atlygio ataskaitą (ataskaita gali būti metinio pranešimo dalis). Bendrovės valdybos patvirtinta ataskaita yra teikiama eiliniam VAS, kuris priima sprendimą, ar pritarti atlygio ataskaitai. VAS pritarimas nepanaikina valdybos atsakomybės už priimtą sprendimą. Bendrovės vadovas užtikrina, kad </w:t>
      </w:r>
      <w:r w:rsidR="00811600" w:rsidRPr="00725E8B">
        <w:rPr>
          <w:rFonts w:ascii="Tahoma" w:eastAsia="Times New Roman" w:hAnsi="Tahoma" w:cs="Tahoma"/>
          <w:szCs w:val="20"/>
        </w:rPr>
        <w:t>atlygio</w:t>
      </w:r>
      <w:r w:rsidRPr="00725E8B">
        <w:rPr>
          <w:rFonts w:ascii="Tahoma" w:eastAsia="Times New Roman" w:hAnsi="Tahoma" w:cs="Tahoma"/>
          <w:szCs w:val="20"/>
        </w:rPr>
        <w:t xml:space="preserve"> ataskaita būtų paskelbta Bendrovės interneto svetainėje.</w:t>
      </w:r>
      <w:r w:rsidRPr="00725E8B">
        <w:rPr>
          <w:rFonts w:eastAsia="Times New Roman" w:cs="Times New Roman"/>
          <w:color w:val="000000"/>
          <w:sz w:val="22"/>
          <w:shd w:val="clear" w:color="auto" w:fill="FFFFFF"/>
        </w:rPr>
        <w:t xml:space="preserve"> </w:t>
      </w:r>
    </w:p>
    <w:p w14:paraId="4D9C6FC4" w14:textId="0CA3E4CC" w:rsidR="00C25757" w:rsidRPr="00725E8B" w:rsidRDefault="000C7A99" w:rsidP="00C25757">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ASK</w:t>
      </w:r>
      <w:r w:rsidR="00C25757" w:rsidRPr="00725E8B">
        <w:rPr>
          <w:rFonts w:ascii="Tahoma" w:eastAsia="Times New Roman" w:hAnsi="Tahoma" w:cs="Tahoma"/>
          <w:szCs w:val="20"/>
        </w:rPr>
        <w:t>:</w:t>
      </w:r>
    </w:p>
    <w:p w14:paraId="0C08D875" w14:textId="2C75ACB5" w:rsidR="00CE579C" w:rsidRPr="00725E8B"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725E8B">
        <w:rPr>
          <w:rFonts w:ascii="Tahoma" w:eastAsia="Times New Roman" w:hAnsi="Tahoma" w:cs="Tahoma"/>
          <w:szCs w:val="20"/>
        </w:rPr>
        <w:t>t</w:t>
      </w:r>
      <w:r w:rsidRPr="00C6441C">
        <w:rPr>
          <w:rFonts w:ascii="Tahoma" w:eastAsia="Times New Roman" w:hAnsi="Tahoma" w:cs="Tahoma"/>
          <w:szCs w:val="20"/>
        </w:rPr>
        <w:t xml:space="preserve">eikia rekomendacijas dėl Grupės bendrovių </w:t>
      </w:r>
      <w:r w:rsidRPr="00725E8B">
        <w:rPr>
          <w:rFonts w:ascii="Tahoma" w:eastAsia="Times New Roman" w:hAnsi="Tahoma" w:cs="Tahoma"/>
          <w:szCs w:val="20"/>
        </w:rPr>
        <w:t>v</w:t>
      </w:r>
      <w:r w:rsidRPr="00C6441C">
        <w:rPr>
          <w:rFonts w:ascii="Tahoma" w:eastAsia="Times New Roman" w:hAnsi="Tahoma" w:cs="Tahoma"/>
          <w:szCs w:val="20"/>
        </w:rPr>
        <w:t xml:space="preserve">adovų skyrimo, tipinių </w:t>
      </w:r>
      <w:r w:rsidRPr="00725E8B">
        <w:rPr>
          <w:rFonts w:ascii="Tahoma" w:eastAsia="Times New Roman" w:hAnsi="Tahoma" w:cs="Tahoma"/>
          <w:szCs w:val="20"/>
        </w:rPr>
        <w:t>v</w:t>
      </w:r>
      <w:r w:rsidRPr="00C6441C">
        <w:rPr>
          <w:rFonts w:ascii="Tahoma" w:eastAsia="Times New Roman" w:hAnsi="Tahoma" w:cs="Tahoma"/>
          <w:szCs w:val="20"/>
        </w:rPr>
        <w:t xml:space="preserve">adovų darbo sutarčių formų bei sutarčių su skiriamais </w:t>
      </w:r>
      <w:r w:rsidRPr="00725E8B">
        <w:rPr>
          <w:rFonts w:ascii="Tahoma" w:eastAsia="Times New Roman" w:hAnsi="Tahoma" w:cs="Tahoma"/>
          <w:szCs w:val="20"/>
        </w:rPr>
        <w:t>v</w:t>
      </w:r>
      <w:r w:rsidRPr="00C6441C">
        <w:rPr>
          <w:rFonts w:ascii="Tahoma" w:eastAsia="Times New Roman" w:hAnsi="Tahoma" w:cs="Tahoma"/>
          <w:szCs w:val="20"/>
        </w:rPr>
        <w:t>adovais sąlygų, įskaitant atlygį ir / arba atlygio dydžio intervalą</w:t>
      </w:r>
      <w:r w:rsidRPr="00725E8B">
        <w:rPr>
          <w:rFonts w:ascii="Tahoma" w:eastAsia="Times New Roman" w:hAnsi="Tahoma" w:cs="Tahoma"/>
          <w:szCs w:val="20"/>
        </w:rPr>
        <w:t>;</w:t>
      </w:r>
    </w:p>
    <w:p w14:paraId="22105D64" w14:textId="096231F7" w:rsidR="00CE579C" w:rsidRPr="00725E8B"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725E8B">
        <w:rPr>
          <w:rFonts w:ascii="Tahoma" w:eastAsia="Times New Roman" w:hAnsi="Tahoma" w:cs="Tahoma"/>
          <w:szCs w:val="20"/>
        </w:rPr>
        <w:t>t</w:t>
      </w:r>
      <w:r w:rsidRPr="006F4DE0">
        <w:rPr>
          <w:rFonts w:ascii="Tahoma" w:eastAsia="Times New Roman" w:hAnsi="Tahoma" w:cs="Tahoma"/>
          <w:szCs w:val="20"/>
        </w:rPr>
        <w:t>eikia rekomendacijas dėl Grupės aukščiausio lygmens vadovų ir valdybos narių atlygio politikos</w:t>
      </w:r>
      <w:r w:rsidRPr="00725E8B">
        <w:rPr>
          <w:rFonts w:ascii="Tahoma" w:eastAsia="Times New Roman" w:hAnsi="Tahoma" w:cs="Tahoma"/>
          <w:szCs w:val="20"/>
        </w:rPr>
        <w:t>;</w:t>
      </w:r>
    </w:p>
    <w:p w14:paraId="4AF98AEF" w14:textId="3AE3D9C4" w:rsidR="00CE579C" w:rsidRPr="00725E8B"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725E8B">
        <w:rPr>
          <w:rFonts w:ascii="Tahoma" w:eastAsia="Times New Roman" w:hAnsi="Tahoma" w:cs="Tahoma"/>
          <w:szCs w:val="20"/>
        </w:rPr>
        <w:t>t</w:t>
      </w:r>
      <w:r w:rsidRPr="00C6441C">
        <w:rPr>
          <w:rFonts w:ascii="Tahoma" w:eastAsia="Times New Roman" w:hAnsi="Tahoma" w:cs="Tahoma"/>
          <w:szCs w:val="20"/>
        </w:rPr>
        <w:t xml:space="preserve">eikia rekomendacijas dėl Grupės bendrovių </w:t>
      </w:r>
      <w:r w:rsidRPr="00725E8B">
        <w:rPr>
          <w:rFonts w:ascii="Tahoma" w:eastAsia="Times New Roman" w:hAnsi="Tahoma" w:cs="Tahoma"/>
          <w:szCs w:val="20"/>
        </w:rPr>
        <w:t>v</w:t>
      </w:r>
      <w:r w:rsidRPr="00C6441C">
        <w:rPr>
          <w:rFonts w:ascii="Tahoma" w:eastAsia="Times New Roman" w:hAnsi="Tahoma" w:cs="Tahoma"/>
          <w:szCs w:val="20"/>
        </w:rPr>
        <w:t>adovų atlygio struktūros, atlygio dydžio, pagrindinių veiklos vertinimo kriterijų bei atlygio peržiūros įgyvendinant Grupės atlygio, veiklos vertinimo ir ugdymosi politiką</w:t>
      </w:r>
      <w:r w:rsidRPr="00725E8B">
        <w:rPr>
          <w:rFonts w:ascii="Tahoma" w:eastAsia="Times New Roman" w:hAnsi="Tahoma" w:cs="Tahoma"/>
          <w:szCs w:val="20"/>
        </w:rPr>
        <w:t>;</w:t>
      </w:r>
    </w:p>
    <w:p w14:paraId="775D9F43" w14:textId="6E64D4D9" w:rsidR="00CE579C" w:rsidRPr="00C96F38" w:rsidRDefault="00CE579C" w:rsidP="00073020">
      <w:pPr>
        <w:pStyle w:val="ListParagraph"/>
        <w:numPr>
          <w:ilvl w:val="2"/>
          <w:numId w:val="2"/>
        </w:numPr>
        <w:tabs>
          <w:tab w:val="left" w:pos="1350"/>
        </w:tabs>
        <w:ind w:left="1260" w:right="-285"/>
        <w:jc w:val="both"/>
        <w:rPr>
          <w:rFonts w:ascii="Tahoma" w:eastAsia="Times New Roman" w:hAnsi="Tahoma" w:cs="Tahoma"/>
          <w:szCs w:val="20"/>
        </w:rPr>
      </w:pPr>
      <w:r w:rsidRPr="00725E8B">
        <w:rPr>
          <w:rFonts w:ascii="Tahoma" w:eastAsia="Times New Roman" w:hAnsi="Tahoma" w:cs="Tahoma"/>
          <w:szCs w:val="20"/>
        </w:rPr>
        <w:t>v</w:t>
      </w:r>
      <w:r w:rsidRPr="00C6441C">
        <w:rPr>
          <w:rFonts w:ascii="Tahoma" w:eastAsia="Times New Roman" w:hAnsi="Tahoma" w:cs="Tahoma"/>
          <w:szCs w:val="20"/>
        </w:rPr>
        <w:t xml:space="preserve">ertina Grupės kolegialių valdymo organų narių atlygio dydį ir </w:t>
      </w:r>
      <w:r w:rsidR="0034332F" w:rsidRPr="00725E8B">
        <w:rPr>
          <w:rFonts w:ascii="Tahoma" w:eastAsia="Times New Roman" w:hAnsi="Tahoma" w:cs="Tahoma"/>
          <w:szCs w:val="20"/>
        </w:rPr>
        <w:t xml:space="preserve">jo </w:t>
      </w:r>
      <w:r w:rsidRPr="00C96F38">
        <w:rPr>
          <w:rFonts w:ascii="Tahoma" w:eastAsia="Times New Roman" w:hAnsi="Tahoma" w:cs="Tahoma"/>
          <w:szCs w:val="20"/>
        </w:rPr>
        <w:t xml:space="preserve">struktūrą, prižiūri </w:t>
      </w:r>
      <w:r w:rsidRPr="00725E8B">
        <w:rPr>
          <w:rFonts w:ascii="Tahoma" w:eastAsia="Times New Roman" w:hAnsi="Tahoma" w:cs="Tahoma"/>
          <w:szCs w:val="20"/>
        </w:rPr>
        <w:t>ir Atlygio už veiklą</w:t>
      </w:r>
      <w:r w:rsidR="004D155F" w:rsidRPr="00725E8B">
        <w:rPr>
          <w:rFonts w:ascii="Tahoma" w:eastAsia="Times New Roman" w:hAnsi="Tahoma" w:cs="Tahoma"/>
          <w:szCs w:val="20"/>
        </w:rPr>
        <w:t xml:space="preserve"> </w:t>
      </w:r>
      <w:r w:rsidRPr="00725E8B">
        <w:rPr>
          <w:rFonts w:ascii="Tahoma" w:eastAsia="Times New Roman" w:hAnsi="Tahoma" w:cs="Tahoma"/>
          <w:szCs w:val="20"/>
        </w:rPr>
        <w:t>EPSO-G ir EPSO-G įmonių grupės bendrovių organuose nustatymo gairių (toliau – Atlygio gairės)</w:t>
      </w:r>
      <w:r w:rsidRPr="00C96F38">
        <w:rPr>
          <w:rFonts w:ascii="Tahoma" w:eastAsia="Times New Roman" w:hAnsi="Tahoma" w:cs="Tahoma"/>
          <w:szCs w:val="20"/>
        </w:rPr>
        <w:t xml:space="preserve"> įgyvendinimą. Esant </w:t>
      </w:r>
      <w:r w:rsidRPr="00725E8B">
        <w:rPr>
          <w:rFonts w:ascii="Tahoma" w:eastAsia="Times New Roman" w:hAnsi="Tahoma" w:cs="Tahoma"/>
          <w:szCs w:val="20"/>
        </w:rPr>
        <w:t>VAS</w:t>
      </w:r>
      <w:r w:rsidRPr="00C96F38">
        <w:rPr>
          <w:rFonts w:ascii="Tahoma" w:eastAsia="Times New Roman" w:hAnsi="Tahoma" w:cs="Tahoma"/>
          <w:szCs w:val="20"/>
        </w:rPr>
        <w:t xml:space="preserve"> kreipimuisi, gali teikti rekomendacijas dėl </w:t>
      </w:r>
      <w:r w:rsidR="00725E8B" w:rsidRPr="00725E8B">
        <w:rPr>
          <w:rFonts w:ascii="Tahoma" w:eastAsia="Times New Roman" w:hAnsi="Tahoma" w:cs="Tahoma"/>
          <w:szCs w:val="20"/>
        </w:rPr>
        <w:t>A</w:t>
      </w:r>
      <w:r w:rsidRPr="00C96F38">
        <w:rPr>
          <w:rFonts w:ascii="Tahoma" w:eastAsia="Times New Roman" w:hAnsi="Tahoma" w:cs="Tahoma"/>
          <w:szCs w:val="20"/>
        </w:rPr>
        <w:t>tlygio gairių.</w:t>
      </w:r>
    </w:p>
    <w:p w14:paraId="5A38CF48" w14:textId="77777777" w:rsidR="00CE579C" w:rsidRPr="00725E8B" w:rsidRDefault="00CE579C" w:rsidP="009200FE">
      <w:pPr>
        <w:pStyle w:val="ListParagraph"/>
        <w:ind w:right="-285"/>
      </w:pPr>
    </w:p>
    <w:p w14:paraId="35FECCE5" w14:textId="164A2180" w:rsidR="00C25757" w:rsidRPr="007D189B" w:rsidRDefault="00C25757" w:rsidP="007D189B">
      <w:pPr>
        <w:pStyle w:val="ListParagraph"/>
        <w:numPr>
          <w:ilvl w:val="1"/>
          <w:numId w:val="2"/>
        </w:numPr>
        <w:tabs>
          <w:tab w:val="left" w:pos="630"/>
        </w:tabs>
        <w:ind w:left="540" w:right="-285" w:hanging="540"/>
        <w:jc w:val="both"/>
        <w:rPr>
          <w:rFonts w:ascii="Tahoma" w:hAnsi="Tahoma" w:cs="Tahoma"/>
          <w:color w:val="auto"/>
        </w:rPr>
      </w:pPr>
      <w:r w:rsidRPr="007D189B">
        <w:rPr>
          <w:rFonts w:ascii="Tahoma" w:hAnsi="Tahoma" w:cs="Tahoma"/>
        </w:rPr>
        <w:t>Bendrovė šią Politiką skelbia savo interneto svetainėje. Kartu su Politika yra skelbiama ir VAS, kuriame patvirtinta ši Politika, balsavimo rezultatai, VAS data, kaip tai numato L</w:t>
      </w:r>
      <w:r w:rsidR="000C7A99" w:rsidRPr="007D189B">
        <w:rPr>
          <w:rFonts w:ascii="Tahoma" w:hAnsi="Tahoma" w:cs="Tahoma"/>
        </w:rPr>
        <w:t xml:space="preserve">ietuvos </w:t>
      </w:r>
      <w:r w:rsidRPr="007D189B">
        <w:rPr>
          <w:rFonts w:ascii="Tahoma" w:hAnsi="Tahoma" w:cs="Tahoma"/>
        </w:rPr>
        <w:t>R</w:t>
      </w:r>
      <w:r w:rsidR="000C7A99" w:rsidRPr="007D189B">
        <w:rPr>
          <w:rFonts w:ascii="Tahoma" w:hAnsi="Tahoma" w:cs="Tahoma"/>
        </w:rPr>
        <w:t>espublikos</w:t>
      </w:r>
      <w:r w:rsidR="00EB6586" w:rsidRPr="007D189B">
        <w:rPr>
          <w:rFonts w:ascii="Tahoma" w:hAnsi="Tahoma" w:cs="Tahoma"/>
        </w:rPr>
        <w:t xml:space="preserve"> </w:t>
      </w:r>
      <w:r w:rsidR="00CD24D5" w:rsidRPr="007D189B">
        <w:rPr>
          <w:rFonts w:ascii="Tahoma" w:hAnsi="Tahoma" w:cs="Tahoma"/>
        </w:rPr>
        <w:t>(toliau – LR)</w:t>
      </w:r>
      <w:r w:rsidRPr="007D189B">
        <w:rPr>
          <w:rFonts w:ascii="Tahoma" w:hAnsi="Tahoma" w:cs="Tahoma"/>
        </w:rPr>
        <w:t xml:space="preserve"> </w:t>
      </w:r>
      <w:r w:rsidR="000C7A99" w:rsidRPr="007D189B">
        <w:rPr>
          <w:rFonts w:ascii="Tahoma" w:hAnsi="Tahoma" w:cs="Tahoma"/>
        </w:rPr>
        <w:t>a</w:t>
      </w:r>
      <w:r w:rsidRPr="007D189B">
        <w:rPr>
          <w:rFonts w:ascii="Tahoma" w:hAnsi="Tahoma" w:cs="Tahoma"/>
        </w:rPr>
        <w:t>kcinių bendrovių įstatymas</w:t>
      </w:r>
      <w:r w:rsidR="000C7A99" w:rsidRPr="007D189B">
        <w:rPr>
          <w:rFonts w:ascii="Tahoma" w:hAnsi="Tahoma" w:cs="Tahoma"/>
        </w:rPr>
        <w:t xml:space="preserve"> (toliau – ABĮ)</w:t>
      </w:r>
      <w:r w:rsidRPr="007D189B">
        <w:rPr>
          <w:rFonts w:ascii="Tahoma" w:hAnsi="Tahoma" w:cs="Tahoma"/>
        </w:rPr>
        <w:t>.</w:t>
      </w:r>
    </w:p>
    <w:p w14:paraId="5F0B5569" w14:textId="77777777" w:rsidR="00CE579C" w:rsidRPr="00725E8B" w:rsidRDefault="00CE579C" w:rsidP="009200FE">
      <w:pPr>
        <w:pStyle w:val="ListParagraph"/>
        <w:rPr>
          <w:color w:val="auto"/>
        </w:rPr>
      </w:pPr>
    </w:p>
    <w:p w14:paraId="27276EF1" w14:textId="25BC8210" w:rsidR="00C25757" w:rsidRPr="007D189B" w:rsidRDefault="00C25757" w:rsidP="00F74283">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Grupės darbuotojų atlygio, veiklos vertinimo ir ugdymo</w:t>
      </w:r>
      <w:r w:rsidR="00AF6936" w:rsidRPr="00725E8B">
        <w:rPr>
          <w:rFonts w:ascii="Tahoma" w:eastAsia="Times New Roman" w:hAnsi="Tahoma" w:cs="Tahoma"/>
          <w:szCs w:val="20"/>
        </w:rPr>
        <w:t>si</w:t>
      </w:r>
      <w:r w:rsidRPr="00725E8B">
        <w:rPr>
          <w:rFonts w:ascii="Tahoma" w:eastAsia="Times New Roman" w:hAnsi="Tahoma" w:cs="Tahoma"/>
          <w:szCs w:val="20"/>
        </w:rPr>
        <w:t xml:space="preserve"> politika Bendrovės vadovui taikoma tiek, kiek ši Politika nenustato kitaip. </w:t>
      </w:r>
    </w:p>
    <w:p w14:paraId="2ED7E599" w14:textId="4C189E4A" w:rsidR="00C25757" w:rsidRPr="00725E8B" w:rsidRDefault="00C25757" w:rsidP="00C25757">
      <w:pPr>
        <w:tabs>
          <w:tab w:val="left" w:pos="5670"/>
        </w:tabs>
        <w:spacing w:after="120" w:line="240" w:lineRule="atLeast"/>
        <w:jc w:val="both"/>
        <w:rPr>
          <w:rFonts w:ascii="Tahoma" w:eastAsia="Times New Roman" w:hAnsi="Tahoma" w:cs="Tahoma"/>
          <w:color w:val="auto"/>
          <w:szCs w:val="20"/>
        </w:rPr>
      </w:pPr>
      <w:r w:rsidRPr="00725E8B">
        <w:rPr>
          <w:rFonts w:eastAsia="Times New Roman" w:cs="Times New Roman"/>
          <w:noProof/>
        </w:rPr>
        <mc:AlternateContent>
          <mc:Choice Requires="wps">
            <w:drawing>
              <wp:anchor distT="0" distB="0" distL="114300" distR="114300" simplePos="0" relativeHeight="251667968" behindDoc="0" locked="0" layoutInCell="1" allowOverlap="1" wp14:anchorId="73EDA4B3" wp14:editId="239D438B">
                <wp:simplePos x="0" y="0"/>
                <wp:positionH relativeFrom="margin">
                  <wp:align>left</wp:align>
                </wp:positionH>
                <wp:positionV relativeFrom="paragraph">
                  <wp:posOffset>76924</wp:posOffset>
                </wp:positionV>
                <wp:extent cx="6099175" cy="276446"/>
                <wp:effectExtent l="0" t="0" r="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446"/>
                        </a:xfrm>
                        <a:prstGeom prst="rect">
                          <a:avLst/>
                        </a:prstGeom>
                        <a:solidFill>
                          <a:srgbClr val="70AD47">
                            <a:lumMod val="20000"/>
                            <a:lumOff val="80000"/>
                          </a:srgbClr>
                        </a:solidFill>
                        <a:ln w="12700" cap="flat" cmpd="sng" algn="ctr">
                          <a:noFill/>
                          <a:prstDash val="solid"/>
                          <a:miter lim="800000"/>
                        </a:ln>
                        <a:effectLst/>
                      </wps:spPr>
                      <wps:txbx>
                        <w:txbxContent>
                          <w:p w14:paraId="2C814196" w14:textId="0294FF4A" w:rsidR="00C25757" w:rsidRDefault="00C25757" w:rsidP="00C25757">
                            <w:pPr>
                              <w:pStyle w:val="Antrat1"/>
                              <w:ind w:hanging="502"/>
                            </w:pPr>
                            <w:r>
                              <w:t>Bendrovės vadovo atlygio</w:t>
                            </w:r>
                            <w:r w:rsidR="00A43DAD">
                              <w:t xml:space="preserve"> už darbą </w:t>
                            </w:r>
                            <w:r>
                              <w:t>principai</w:t>
                            </w:r>
                            <w:r w:rsidR="00A43DAD">
                              <w:t xml:space="preserve"> ir sistema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DA4B3" id="Rectangle 9" o:spid="_x0000_s1029" style="position:absolute;left:0;text-align:left;margin-left:0;margin-top:6.05pt;width:480.25pt;height:21.7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fUgQIAAAYFAAAOAAAAZHJzL2Uyb0RvYy54bWysVN9v2jAQfp+0/8Hy+5rAKJSIUKGiTpNY&#10;i9ROfTaOQ6zZPs82JN1fv7MTKOr2NO3F8v3I3Xefv8vittOKHIXzEkxJR1c5JcJwqKTZl/T78/2n&#10;G0p8YKZiCowo6avw9Hb58cOitYUYQwOqEo5gEeOL1pa0CcEWWeZ5IzTzV2CFwWANTrOApttnlWMt&#10;VtcqG+f5NGvBVdYBF96jd90H6TLVr2vBw2NdexGIKiliC+l06dzFM1suWLF3zDaSDzDYP6DQTBps&#10;ei61ZoGRg5N/lNKSO/BQhysOOoO6llykGXCaUf5umqeGWZFmQXK8PdPk/19Z/nB8slsXoXu7Af7D&#10;IyNZa31xjkTDDzld7XTMReCkSyy+nlkUXSAcndN8Ph/NrinhGBvPppPJNNKcseL0tXU+fBGgSbyU&#10;1OErJfLYceNDn3pKScBAyepeKpUMt9/dKUeODF90lq/Wk1n6Vh30N6h6NwojH54W3SiA3n1zciMU&#10;35dJsPxlfWVIi0Iez7AC4QwlWSsW8KptVVJv9pQwtUet8+BSYwMRWtJRBL1mvunbpbK9wLQMqHIl&#10;dUkTiAQOUSgTRxJJp8Pob2zHW+h2HZHY+HMsFD07qF63jjjopewtv5fYdsN82DKH2kXYuI/hEY9a&#10;Ac4Cw42SBtyvv/ljPkoKo5S0uAs4588Dc4IS9dWg2OajySQuTzIm17MxGu4ysruMmIO+A3ycEW6+&#10;5eka84M6XWsH+gXXdhW7YogZjr17RgfjLvQ7iovPxWqV0nBhLAsb82R5LB6Zi4Q/dy/M2UFKAUX4&#10;AKe9YcU7RfW58UsDq0OAWia5vfE6aB+XLSlj+DHEbb60U9bb72v5GwAA//8DAFBLAwQUAAYACAAA&#10;ACEAiTFQ3t0AAAAGAQAADwAAAGRycy9kb3ducmV2LnhtbEyPwWrDMBBE74X+g9hCL6GRErBpHMuh&#10;FJxTITTpoUfFUmwTaWUk2XH79d2e2uPODDNvy93sLJtMiL1HCaulAGaw8brHVsLHqX56BhaTQq2s&#10;RyPhy0TYVfd3pSq0v+G7mY6pZVSCsVASupSGgvPYdMapuPSDQfIuPjiV6Awt10HdqNxZvhYi5071&#10;SAudGsxrZ5rrcXQSLgvbHD6n77rejPFNi8U+HOq9lI8P88sWWDJz+gvDLz6hQ0VMZz+ijsxKoEcS&#10;qesVMHI3uciAnSVkWQ68Kvl//OoHAAD//wMAUEsBAi0AFAAGAAgAAAAhALaDOJL+AAAA4QEAABMA&#10;AAAAAAAAAAAAAAAAAAAAAFtDb250ZW50X1R5cGVzXS54bWxQSwECLQAUAAYACAAAACEAOP0h/9YA&#10;AACUAQAACwAAAAAAAAAAAAAAAAAvAQAAX3JlbHMvLnJlbHNQSwECLQAUAAYACAAAACEAmTiX1IEC&#10;AAAGBQAADgAAAAAAAAAAAAAAAAAuAgAAZHJzL2Uyb0RvYy54bWxQSwECLQAUAAYACAAAACEAiTFQ&#10;3t0AAAAGAQAADwAAAAAAAAAAAAAAAADbBAAAZHJzL2Rvd25yZXYueG1sUEsFBgAAAAAEAAQA8wAA&#10;AOUFAAAAAA==&#10;" fillcolor="#e2f0d9" stroked="f" strokeweight="1pt">
                <v:textbox>
                  <w:txbxContent>
                    <w:p w14:paraId="2C814196" w14:textId="0294FF4A" w:rsidR="00C25757" w:rsidRDefault="00C25757" w:rsidP="00C25757">
                      <w:pPr>
                        <w:pStyle w:val="Antrat1"/>
                        <w:ind w:hanging="502"/>
                      </w:pPr>
                      <w:r>
                        <w:t>Bendrovės vadovo atlygio</w:t>
                      </w:r>
                      <w:r w:rsidR="00A43DAD">
                        <w:t xml:space="preserve"> už darbą </w:t>
                      </w:r>
                      <w:r>
                        <w:t>principai</w:t>
                      </w:r>
                      <w:r w:rsidR="00A43DAD">
                        <w:t xml:space="preserve"> ir sistema</w:t>
                      </w:r>
                    </w:p>
                  </w:txbxContent>
                </v:textbox>
                <w10:wrap anchorx="margin"/>
              </v:rect>
            </w:pict>
          </mc:Fallback>
        </mc:AlternateContent>
      </w:r>
    </w:p>
    <w:p w14:paraId="2B8FF474" w14:textId="77777777" w:rsidR="00C25757" w:rsidRPr="00725E8B" w:rsidRDefault="00C25757" w:rsidP="00C25757">
      <w:pPr>
        <w:spacing w:after="120"/>
        <w:ind w:left="567"/>
        <w:jc w:val="both"/>
        <w:rPr>
          <w:rFonts w:ascii="Tahoma" w:eastAsia="Times New Roman" w:hAnsi="Tahoma" w:cs="Tahoma"/>
          <w:szCs w:val="20"/>
          <w:lang w:eastAsia="ar-SA"/>
        </w:rPr>
      </w:pPr>
    </w:p>
    <w:p w14:paraId="3D049083" w14:textId="5B147B88" w:rsidR="00505EFD" w:rsidRPr="00725E8B"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Bendrovės vadov</w:t>
      </w:r>
      <w:r w:rsidR="00A43DAD" w:rsidRPr="00725E8B">
        <w:rPr>
          <w:rFonts w:ascii="Tahoma" w:eastAsia="Times New Roman" w:hAnsi="Tahoma" w:cs="Tahoma"/>
          <w:szCs w:val="20"/>
          <w:lang w:eastAsia="ar-SA"/>
        </w:rPr>
        <w:t>o</w:t>
      </w:r>
      <w:r w:rsidR="00533BE3" w:rsidRPr="00725E8B">
        <w:rPr>
          <w:rFonts w:ascii="Tahoma" w:eastAsia="Times New Roman" w:hAnsi="Tahoma" w:cs="Tahoma"/>
          <w:szCs w:val="20"/>
          <w:lang w:eastAsia="ar-SA"/>
        </w:rPr>
        <w:t xml:space="preserve"> atlygio</w:t>
      </w:r>
      <w:r w:rsidR="00A43DAD" w:rsidRPr="00725E8B">
        <w:rPr>
          <w:rFonts w:ascii="Tahoma" w:eastAsia="Times New Roman" w:hAnsi="Tahoma" w:cs="Tahoma"/>
          <w:szCs w:val="20"/>
          <w:lang w:eastAsia="ar-SA"/>
        </w:rPr>
        <w:t xml:space="preserve"> </w:t>
      </w:r>
      <w:r w:rsidR="003A0002" w:rsidRPr="009200FE">
        <w:rPr>
          <w:rFonts w:ascii="Tahoma" w:eastAsia="Times New Roman" w:hAnsi="Tahoma" w:cs="Tahoma"/>
          <w:szCs w:val="20"/>
          <w:lang w:eastAsia="ar-SA"/>
        </w:rPr>
        <w:t xml:space="preserve">sistemą sudaro tokios dalys: </w:t>
      </w:r>
      <w:r w:rsidR="003A0002" w:rsidRPr="00725E8B">
        <w:rPr>
          <w:rFonts w:ascii="Tahoma" w:eastAsia="Times New Roman" w:hAnsi="Tahoma" w:cs="Tahoma"/>
          <w:szCs w:val="20"/>
          <w:lang w:eastAsia="ar-SA"/>
        </w:rPr>
        <w:t xml:space="preserve">(i) Mėnesinis atlygis; (ii) priemokos, nustatytos LR Darbo kodekse, </w:t>
      </w:r>
      <w:r w:rsidR="00570599" w:rsidRPr="00725E8B">
        <w:rPr>
          <w:rFonts w:ascii="Tahoma" w:eastAsia="Times New Roman" w:hAnsi="Tahoma" w:cs="Tahoma"/>
          <w:szCs w:val="20"/>
          <w:lang w:eastAsia="ar-SA"/>
        </w:rPr>
        <w:t>B</w:t>
      </w:r>
      <w:r w:rsidR="003A0002" w:rsidRPr="00725E8B">
        <w:rPr>
          <w:rFonts w:ascii="Tahoma" w:eastAsia="Times New Roman" w:hAnsi="Tahoma" w:cs="Tahoma"/>
          <w:szCs w:val="20"/>
          <w:lang w:eastAsia="ar-SA"/>
        </w:rPr>
        <w:t>endrov</w:t>
      </w:r>
      <w:r w:rsidR="00570599" w:rsidRPr="00725E8B">
        <w:rPr>
          <w:rFonts w:ascii="Tahoma" w:eastAsia="Times New Roman" w:hAnsi="Tahoma" w:cs="Tahoma"/>
          <w:szCs w:val="20"/>
          <w:lang w:eastAsia="ar-SA"/>
        </w:rPr>
        <w:t>ės</w:t>
      </w:r>
      <w:r w:rsidR="003A0002" w:rsidRPr="00725E8B">
        <w:rPr>
          <w:rFonts w:ascii="Tahoma" w:eastAsia="Times New Roman" w:hAnsi="Tahoma" w:cs="Tahoma"/>
          <w:szCs w:val="20"/>
          <w:lang w:eastAsia="ar-SA"/>
        </w:rPr>
        <w:t xml:space="preserve"> vidaus teisės aktuose ir kolektyvinėse sutartyse; (iii) Finansinis skatinimas; (iv) projektinis skatinimas; (v) vienkartinės premijos už ypatingos svarbos rezultatus ir inovacijų diegimą; (vi) Papildomos naudos; (vii) Nefinansinis atlygis</w:t>
      </w:r>
      <w:r w:rsidR="00E87F5A" w:rsidRPr="00725E8B">
        <w:rPr>
          <w:rFonts w:ascii="Tahoma" w:eastAsia="Times New Roman" w:hAnsi="Tahoma" w:cs="Tahoma"/>
          <w:szCs w:val="20"/>
          <w:lang w:eastAsia="ar-SA"/>
        </w:rPr>
        <w:t>.</w:t>
      </w:r>
      <w:r w:rsidRPr="00725E8B">
        <w:rPr>
          <w:rFonts w:ascii="Tahoma" w:eastAsia="Times New Roman" w:hAnsi="Tahoma" w:cs="Tahoma"/>
          <w:szCs w:val="20"/>
          <w:lang w:eastAsia="ar-SA"/>
        </w:rPr>
        <w:t xml:space="preserve"> </w:t>
      </w:r>
    </w:p>
    <w:p w14:paraId="4C48DAF6" w14:textId="6B70E905" w:rsidR="00C25757" w:rsidRPr="00725E8B" w:rsidRDefault="00C25757" w:rsidP="00C25757">
      <w:pPr>
        <w:numPr>
          <w:ilvl w:val="1"/>
          <w:numId w:val="6"/>
        </w:numPr>
        <w:spacing w:after="120"/>
        <w:ind w:left="567" w:right="-285" w:hanging="567"/>
        <w:jc w:val="both"/>
        <w:rPr>
          <w:rFonts w:ascii="Tahoma" w:eastAsia="Times New Roman" w:hAnsi="Tahoma" w:cs="Tahoma"/>
          <w:lang w:eastAsia="ar-SA"/>
        </w:rPr>
      </w:pPr>
      <w:r w:rsidRPr="00725E8B">
        <w:rPr>
          <w:rFonts w:ascii="Tahoma" w:eastAsia="Times New Roman" w:hAnsi="Tahoma" w:cs="Tahoma"/>
          <w:lang w:eastAsia="ar-SA"/>
        </w:rPr>
        <w:t xml:space="preserve">Pagrindas nustatyti </w:t>
      </w:r>
      <w:r w:rsidR="00A417D8" w:rsidRPr="00725E8B">
        <w:rPr>
          <w:rFonts w:ascii="Tahoma" w:eastAsia="Times New Roman" w:hAnsi="Tahoma" w:cs="Tahoma"/>
          <w:lang w:eastAsia="ar-SA"/>
        </w:rPr>
        <w:t>Bendrovės vadovo Mėnesinį atlygį</w:t>
      </w:r>
      <w:r w:rsidRPr="00725E8B">
        <w:rPr>
          <w:rFonts w:ascii="Tahoma" w:eastAsia="Times New Roman" w:hAnsi="Tahoma" w:cs="Tahoma"/>
          <w:lang w:eastAsia="ar-SA"/>
        </w:rPr>
        <w:t xml:space="preserve"> yra Bendrovės vadovo Pareigybės lygis, kurį tvirtina Bendrovės valdyba. Bendrovės vadovo Pareigybės lygio įvertinimui ir nustatymui Grupė pasirenka tarptautinėje praktikoje pripažintą ir Lietuvos rinkoje plačiai taikomą metodą. </w:t>
      </w:r>
    </w:p>
    <w:p w14:paraId="1DF0874F" w14:textId="199FC4AD" w:rsidR="003849BD" w:rsidRPr="002024D1"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2024D1">
        <w:rPr>
          <w:rFonts w:ascii="Tahoma" w:eastAsia="Times New Roman" w:hAnsi="Tahoma" w:cs="Tahoma"/>
          <w:szCs w:val="20"/>
          <w:lang w:eastAsia="ar-SA"/>
        </w:rPr>
        <w:t xml:space="preserve">Bendrovės vadovo </w:t>
      </w:r>
      <w:r w:rsidR="00D731DF" w:rsidRPr="002024D1">
        <w:rPr>
          <w:rFonts w:ascii="Tahoma" w:eastAsia="Times New Roman" w:hAnsi="Tahoma" w:cs="Tahoma"/>
          <w:szCs w:val="20"/>
          <w:lang w:eastAsia="ar-SA"/>
        </w:rPr>
        <w:t>Mėnesi</w:t>
      </w:r>
      <w:r w:rsidR="003523F8" w:rsidRPr="002024D1">
        <w:rPr>
          <w:rFonts w:ascii="Tahoma" w:eastAsia="Times New Roman" w:hAnsi="Tahoma" w:cs="Tahoma"/>
          <w:szCs w:val="20"/>
          <w:lang w:eastAsia="ar-SA"/>
        </w:rPr>
        <w:t xml:space="preserve">nio </w:t>
      </w:r>
      <w:r w:rsidRPr="002024D1">
        <w:rPr>
          <w:rFonts w:ascii="Tahoma" w:eastAsia="Times New Roman" w:hAnsi="Tahoma" w:cs="Tahoma"/>
          <w:szCs w:val="20"/>
          <w:lang w:eastAsia="ar-SA"/>
        </w:rPr>
        <w:t xml:space="preserve">atlygio atskaitos taškas nustatomas įvertinus bendrą panašaus dydžio ir (ar) strateginės reikšmės valstybės valdomų įmonių vadovų apmokėjimo lygį, atsižvelgiant į nepriklausomo darbo užmokesčio tyrimo duomenis ir rinkos tendencijas bei įvertinus LR Vyriausybės rekomendacijas valstybės valdomų įmonių vadovaujančių darbuotojų apmokėjimui. Bendrovės vadovo </w:t>
      </w:r>
      <w:r w:rsidR="003370D7" w:rsidRPr="002024D1">
        <w:rPr>
          <w:rFonts w:ascii="Tahoma" w:eastAsia="Times New Roman" w:hAnsi="Tahoma" w:cs="Tahoma"/>
          <w:szCs w:val="20"/>
          <w:lang w:eastAsia="ar-SA"/>
        </w:rPr>
        <w:t>Mėnesinis atlygis</w:t>
      </w:r>
      <w:r w:rsidRPr="002024D1">
        <w:rPr>
          <w:rFonts w:ascii="Tahoma" w:eastAsia="Times New Roman" w:hAnsi="Tahoma" w:cs="Tahoma"/>
          <w:szCs w:val="20"/>
          <w:lang w:eastAsia="ar-SA"/>
        </w:rPr>
        <w:t xml:space="preserve"> </w:t>
      </w:r>
      <w:r w:rsidR="00BF4FC0" w:rsidRPr="002024D1">
        <w:rPr>
          <w:rFonts w:ascii="Tahoma" w:eastAsia="Times New Roman" w:hAnsi="Tahoma" w:cs="Tahoma"/>
          <w:szCs w:val="20"/>
          <w:lang w:eastAsia="ar-SA"/>
        </w:rPr>
        <w:t xml:space="preserve">nustatomas ir </w:t>
      </w:r>
      <w:r w:rsidRPr="002024D1">
        <w:rPr>
          <w:rFonts w:ascii="Tahoma" w:eastAsia="Times New Roman" w:hAnsi="Tahoma" w:cs="Tahoma"/>
          <w:szCs w:val="20"/>
          <w:lang w:eastAsia="ar-SA"/>
        </w:rPr>
        <w:t>keičiamas valdybos sprendimu atsižvelgiant į Bendrovės vadovo patirtį, kompetenciją ir veiklos rezultatus.</w:t>
      </w:r>
    </w:p>
    <w:p w14:paraId="06CED325" w14:textId="081C6100" w:rsidR="00391640" w:rsidRPr="009200FE" w:rsidRDefault="002C7FDD" w:rsidP="00DC463E">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 xml:space="preserve">Bendrovės valdyba vadovaudamasi </w:t>
      </w:r>
      <w:r w:rsidR="00E6658B" w:rsidRPr="009200FE">
        <w:rPr>
          <w:rFonts w:ascii="Tahoma" w:eastAsia="Times New Roman" w:hAnsi="Tahoma" w:cs="Tahoma"/>
          <w:szCs w:val="20"/>
          <w:lang w:eastAsia="ar-SA"/>
        </w:rPr>
        <w:t xml:space="preserve">EPSO-G įmonių grupės darbuotojų atlygio, veiklos vertinimo ir ugdymosi </w:t>
      </w:r>
      <w:r w:rsidRPr="009200FE">
        <w:rPr>
          <w:rFonts w:ascii="Tahoma" w:eastAsia="Times New Roman" w:hAnsi="Tahoma" w:cs="Tahoma"/>
          <w:szCs w:val="20"/>
          <w:lang w:eastAsia="ar-SA"/>
        </w:rPr>
        <w:t>politika nustato Bendrovės vadovui tikslus, ir veiklos kokybės kriterijus, vertina jų pasiekimą ir skiria Finansinį skatinimą.</w:t>
      </w:r>
    </w:p>
    <w:p w14:paraId="1BE9D683" w14:textId="77777777" w:rsidR="00B4620E" w:rsidRPr="00725E8B" w:rsidRDefault="00B4620E" w:rsidP="00B4620E">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Bendrovės vadovui tikslai turi būti formuluojami taip, kad:</w:t>
      </w:r>
    </w:p>
    <w:p w14:paraId="74D713AA"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nustatomi tikslai atspindėtų pagrindinius ir svarbiausius Bendrovei rezultatus;</w:t>
      </w:r>
    </w:p>
    <w:p w14:paraId="7A1A43CF"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būtų aišku, ką konkrečiai ir iki kada jis turi pasiekti;</w:t>
      </w:r>
    </w:p>
    <w:p w14:paraId="5CA8617F" w14:textId="77777777" w:rsidR="00B4620E" w:rsidRPr="00725E8B" w:rsidRDefault="00B4620E" w:rsidP="00B4620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būti pamatuojami ir turintys rodiklius, pagal kuriuos aptariant ir vertinant jų pasiekimą galima maksimaliai objektyviai įvertinti jų pasiekimo lygį;</w:t>
      </w:r>
    </w:p>
    <w:p w14:paraId="37464001" w14:textId="2148D839" w:rsidR="00566A61" w:rsidRPr="009200FE" w:rsidRDefault="00B4620E" w:rsidP="009200FE">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kokybiniai ir kompleksiški tikslai siekiant kuo tikslesnio jų pamatuojamumo ir objektyvesnio vertinimo gali būti detalizuojami į atskirus jų etapus, aiškiai nurodant su kiekvienu jų siejamus lūkesčius, atlikimo terminus ir kt.</w:t>
      </w:r>
    </w:p>
    <w:p w14:paraId="11BD33E1" w14:textId="029BBF1A" w:rsidR="00725E8B" w:rsidRPr="009200FE" w:rsidRDefault="002C7FDD" w:rsidP="009200FE">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Bendrovės valdyba, pasibaigus kalendoriniams metams, vykdo Bendrovės vadovo tikslų pasiekimo vertinimą, vertybių ir veiklos kokybės vertinimą pagal nustatytus kriterijus. Tikslų pasiekimas vertinamas procentine išraiška, kur 0 reiškia, kad tikslas visiškai nepasiektas, 100 % ir daugiau reiškia, kad tikslas visiškai pasiektas.</w:t>
      </w:r>
      <w:r w:rsidR="00A10C99" w:rsidRPr="009200FE">
        <w:rPr>
          <w:rFonts w:ascii="Tahoma" w:eastAsia="Times New Roman" w:hAnsi="Tahoma" w:cs="Tahoma"/>
          <w:szCs w:val="20"/>
          <w:lang w:eastAsia="ar-SA"/>
        </w:rPr>
        <w:t xml:space="preserve"> Bendrov</w:t>
      </w:r>
      <w:r w:rsidR="00A10C99" w:rsidRPr="00725E8B">
        <w:rPr>
          <w:rFonts w:ascii="Tahoma" w:eastAsia="Times New Roman" w:hAnsi="Tahoma" w:cs="Tahoma"/>
          <w:szCs w:val="20"/>
          <w:lang w:eastAsia="ar-SA"/>
        </w:rPr>
        <w:t>ės vadovo</w:t>
      </w:r>
      <w:r w:rsidR="004F51ED"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tikslų pasiekimo bendras rezultatas nustatomas įvertinus atskirų tikslų pasiekimo dydį ir svorį. Pasiekus bendrą tikslų rezultatą iki 49%, rekomenduojama laikyti tikslų pasiekimą kaip neatitinkantį lūkesčių. Kai bendras tikslų pasiekimo rezultatas yra tarp 50% - 69%, rekomenduojama tikslų pasiekimą laikyti iš dalies atitinkančiu lūkesčius. Pasiekus bendrą tikslų rezultatą tarp 70% - 100%, rekomenduojama tikslų pasiekimą laikyti atitinkančiu lūkesčius. Kai bendras tikslų pasiekimo rezultatas viršija 100%, rekomenduojama bendrą tikslų pasiekimo rezultatą laikyti viršijančiu lūkesčius</w:t>
      </w:r>
    </w:p>
    <w:p w14:paraId="51102C67" w14:textId="77777777" w:rsidR="007C48A2" w:rsidRPr="009200FE" w:rsidRDefault="007C48A2" w:rsidP="009200FE">
      <w:pPr>
        <w:pStyle w:val="ListParagraph"/>
        <w:spacing w:after="120"/>
        <w:ind w:left="540" w:right="-285"/>
        <w:jc w:val="both"/>
        <w:rPr>
          <w:rFonts w:ascii="Tahoma" w:eastAsia="Times New Roman" w:hAnsi="Tahoma" w:cs="Tahoma"/>
          <w:szCs w:val="20"/>
          <w:lang w:eastAsia="ar-SA"/>
        </w:rPr>
      </w:pPr>
    </w:p>
    <w:p w14:paraId="149FC9DF" w14:textId="6658646A" w:rsidR="007C48A2" w:rsidRPr="00725E8B" w:rsidRDefault="007C48A2" w:rsidP="009200FE">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Atsižvelgiant į Bendrovės vadovo tikslų pasiekimo rezultatą, vertybių ir veiklos kokybės vertinimą, Bendrovės valdyba nustato, ar atitinkamų kalendorinių metų laikotarpiu Bendrovės vadovo veikla (i) viršijo lūkesčius, (ii) atitiko lūkesčius, (iii) iš dalies atitiko lūkesčius; (iv) neatitiko lūkesčių.</w:t>
      </w:r>
    </w:p>
    <w:p w14:paraId="4ACF2542" w14:textId="1332371F" w:rsidR="00C25757" w:rsidRPr="00725E8B" w:rsidRDefault="00E67B3E" w:rsidP="009200FE">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Finansinis skatinimas mokamas, atsižvelgiant į Bendrovės tikslų pasiekimą, finansinius rezultatus ir Bendrovės finansines galimybes. Jeigu Bendrovė turi galimybę skirti Bendrovės vadovui Finansinį skatinimą, atsižvelgiama į Bendrovės vadovo veiklos vertinimo atitikimą šiems tipiniams kriterijams: (i) Bendrovės vadovo tikslų pasiekimo vertinimo rezultatai, (ii) Bendrovės vadovo vertybių vertinimas, (iii) Bendrovės vadovo veiklos kokybės vertinimo rezultatai. Jeigu Bendrovės finansiniai rezultatai yra nepatenkinami, arba jeigu Bendrovės tikslai pasiekti mažiau nei 80%, Finansinis skatinimas nėra mokamas. Dėl susiklosčiusių objektyvių ir pagrįstų aplinkybių Bendrovės valdyba gali priimti sprendimą mažinti Finansiniam skatinimui nustatytą minimalią Bendrovės tikslų pasiekimo ribą, įvertinusi šių </w:t>
      </w:r>
      <w:r w:rsidRPr="00725E8B">
        <w:rPr>
          <w:rFonts w:ascii="Tahoma" w:eastAsia="Times New Roman" w:hAnsi="Tahoma" w:cs="Tahoma"/>
          <w:szCs w:val="20"/>
          <w:lang w:eastAsia="ar-SA"/>
        </w:rPr>
        <w:lastRenderedPageBreak/>
        <w:t>aplinkybių įtaką Bendrovės veiklai. Konkurencinėje aplinkoje veikiančių Grupės bendrovių darbuotojų (įskaitant Grupės bendrovių vadovus) veikla gali būti vertinama ir Finansinis skatinimas gali būti skiriamas vadovaujantis veikimą rinkoje įgalinančiais ir politikos tikslus atitinkančiais darbuotojų (įskaitant Bendrovės vadovą) vertinimo ir Finansinio skatinimo kriterijais, tokiais kaip (įskaitant, bet neapsiribojant) pajamų lygis, pelningumas, projektų įgyvendinimas laiku ir nustatyto biudžeto rėmuose. Veiklos vertinimas ir Finansinio skatinimo skyrimas gali būti vykdomas skirtingu periodiškumu, priklausomai nuo darbuotojo veiklos pobūdžio ir atsakomybių.</w:t>
      </w:r>
    </w:p>
    <w:p w14:paraId="1B57783C" w14:textId="77777777" w:rsidR="00C25757" w:rsidRPr="00725E8B"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Atlygis suteikiant Bendrovės akcijas Bendrovės vadovui nėra mokamas.</w:t>
      </w:r>
    </w:p>
    <w:p w14:paraId="4F370476" w14:textId="31660D25" w:rsidR="00C25757" w:rsidRPr="00725E8B" w:rsidRDefault="00C25757" w:rsidP="00C25757">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Bendrovė, užtikrindama gerąją socialinės atsakomybės ir skaidrumo praktiką, reguliariai viešai skelbia informaciją apie Bendrovės vadovo vidutinį atlygį, kaip tai numatyta EPSO-G įmonių grupės veiklos skaidrumo ir komunikacijos politikoje. </w:t>
      </w:r>
    </w:p>
    <w:p w14:paraId="0637365C" w14:textId="369D64F6" w:rsidR="00C25757" w:rsidRPr="00725E8B" w:rsidRDefault="00C25757" w:rsidP="00C25757">
      <w:pPr>
        <w:spacing w:after="120"/>
        <w:ind w:left="567" w:right="-285"/>
        <w:jc w:val="both"/>
        <w:rPr>
          <w:rFonts w:ascii="Tahoma" w:eastAsia="Times New Roman" w:hAnsi="Tahoma" w:cs="Tahoma"/>
          <w:szCs w:val="20"/>
          <w:lang w:eastAsia="ar-SA"/>
        </w:rPr>
      </w:pPr>
      <w:r w:rsidRPr="00725E8B">
        <w:rPr>
          <w:rFonts w:eastAsia="Times New Roman" w:cs="Times New Roman"/>
          <w:noProof/>
        </w:rPr>
        <mc:AlternateContent>
          <mc:Choice Requires="wps">
            <w:drawing>
              <wp:anchor distT="0" distB="0" distL="114300" distR="114300" simplePos="0" relativeHeight="251658244" behindDoc="0" locked="0" layoutInCell="1" allowOverlap="1" wp14:anchorId="7ED459E4" wp14:editId="2C88C301">
                <wp:simplePos x="0" y="0"/>
                <wp:positionH relativeFrom="margin">
                  <wp:posOffset>1905</wp:posOffset>
                </wp:positionH>
                <wp:positionV relativeFrom="paragraph">
                  <wp:posOffset>86360</wp:posOffset>
                </wp:positionV>
                <wp:extent cx="6108700" cy="280670"/>
                <wp:effectExtent l="0" t="0" r="6350"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280670"/>
                        </a:xfrm>
                        <a:prstGeom prst="rect">
                          <a:avLst/>
                        </a:prstGeom>
                        <a:solidFill>
                          <a:srgbClr val="70AD47">
                            <a:lumMod val="20000"/>
                            <a:lumOff val="80000"/>
                          </a:srgbClr>
                        </a:solidFill>
                        <a:ln w="12700" cap="flat" cmpd="sng" algn="ctr">
                          <a:noFill/>
                          <a:prstDash val="solid"/>
                          <a:miter lim="800000"/>
                        </a:ln>
                        <a:effectLst/>
                      </wps:spPr>
                      <wps:txbx>
                        <w:txbxContent>
                          <w:p w14:paraId="11DA8753" w14:textId="77777777" w:rsidR="00C25757" w:rsidRDefault="00C25757" w:rsidP="00C25757">
                            <w:pPr>
                              <w:pStyle w:val="Antrat1"/>
                              <w:ind w:hanging="502"/>
                            </w:pPr>
                            <w:r>
                              <w:t>Bendrovės valdybos nariams mokamas atlygis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459E4" id="Rectangle 8" o:spid="_x0000_s1030" style="position:absolute;left:0;text-align:left;margin-left:.15pt;margin-top:6.8pt;width:481pt;height:22.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ClSfgIAAAYFAAAOAAAAZHJzL2Uyb0RvYy54bWysVN9v2yAQfp+0/wHxvtqJsia16lRRo06T&#10;srZSO/WZYIjRgGNAYnd//Q7spFG3p2kviPvh7+4+vvP1TW80OQgfFNiaTi5KSoTl0Ci7q+n357tP&#10;C0pCZLZhGqyo6asI9Gb58cN15yoxhRZ0IzxBEBuqztW0jdFVRRF4KwwLF+CExaAEb1hE0++KxrMO&#10;0Y0upmV5WXTgG+eBixDQux6CdJnxpRQ8PkgZRCS6pthbzKfP5zadxfKaVTvPXKv42Ab7hy4MUxaL&#10;nqDWLDKy9+oPKKO4hwAyXnAwBUipuMgz4DST8t00Ty1zIs+C5AR3oin8P1h+f3hyjz61HtwG+I+A&#10;jBSdC9Upkoww5vTSm5SLjZM+s/h6YlH0kXB0Xk7KxbxEsjnGpovycp5pLlh1/Nr5EL8IMCRdaurx&#10;lTJ57LAJMdVn1TElNwZaNXdK62z43fZWe3Jg+KLzcrWezfO3em++QTO4URhYPz8tulEAg3txdCN+&#10;GGByrXCOry3pUMjTYQKGkpSaRRzGuKamwe4oYXqHWufR58IWUmu5WGp6zUI7lMuwQxdGRVS5Vqam&#10;uYkjIdqmkUTW6Tj6G9vpFvttTxQWniWg5NlC8/roiYdBysHxO4VlNyzER+ZRu0g87mN8wENqwFlg&#10;vFHSgv/1N3/KR0lhlJIOdwHn/LlnXlCiv1oU29VkNkvLk43Z5/kUDX8e2Z5H7N7cAj7OBDff8XxN&#10;+VEfr9KDecG1XaWqGGKWY+2B0dG4jcOO4uJzsVrlNFwYx+LGPjmewBNzifDn/oV5N0opogjv4bg3&#10;rHqnqCE3fWlhtY8gVZbbG6+j9nHZsjLGH0Pa5nM7Z739vpa/AQAA//8DAFBLAwQUAAYACAAAACEA&#10;vorpndwAAAAGAQAADwAAAGRycy9kb3ducmV2LnhtbEyOzU7DMBCE70i8g7VIXKrWoRWhDXEqhJSe&#10;kCoKhx7deJtExOvIdtLA07Oc6HF+NPPl28l2YkQfWkcKHhYJCKTKmZZqBZ8f5XwNIkRNRneOUME3&#10;BtgWtze5zoy70DuOh1gLHqGQaQVNjH0mZagatDosXI/E2dl5qyNLX0vj9YXHbSeXSZJKq1vih0b3&#10;+Npg9XUYrILzrKv2x/GnLDdDeDPJbOf35U6p+7vp5RlExCn+l+EPn9GhYKaTG8gE0SlYcY/dVQqC&#10;0026ZOOk4PFpDbLI5TV+8QsAAP//AwBQSwECLQAUAAYACAAAACEAtoM4kv4AAADhAQAAEwAAAAAA&#10;AAAAAAAAAAAAAAAAW0NvbnRlbnRfVHlwZXNdLnhtbFBLAQItABQABgAIAAAAIQA4/SH/1gAAAJQB&#10;AAALAAAAAAAAAAAAAAAAAC8BAABfcmVscy8ucmVsc1BLAQItABQABgAIAAAAIQD85ClSfgIAAAYF&#10;AAAOAAAAAAAAAAAAAAAAAC4CAABkcnMvZTJvRG9jLnhtbFBLAQItABQABgAIAAAAIQC+iumd3AAA&#10;AAYBAAAPAAAAAAAAAAAAAAAAANgEAABkcnMvZG93bnJldi54bWxQSwUGAAAAAAQABADzAAAA4QUA&#10;AAAA&#10;" fillcolor="#e2f0d9" stroked="f" strokeweight="1pt">
                <v:textbox>
                  <w:txbxContent>
                    <w:p w14:paraId="11DA8753" w14:textId="77777777" w:rsidR="00C25757" w:rsidRDefault="00C25757" w:rsidP="00C25757">
                      <w:pPr>
                        <w:pStyle w:val="Antrat1"/>
                        <w:ind w:hanging="502"/>
                      </w:pPr>
                      <w:r>
                        <w:t>Bendrovės valdybos nariams mokamas atlygis</w:t>
                      </w:r>
                    </w:p>
                  </w:txbxContent>
                </v:textbox>
                <w10:wrap anchorx="margin"/>
              </v:rect>
            </w:pict>
          </mc:Fallback>
        </mc:AlternateContent>
      </w:r>
    </w:p>
    <w:p w14:paraId="0F2D1282" w14:textId="77777777"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p>
    <w:p w14:paraId="4F2BC9B6" w14:textId="73A653E0" w:rsidR="00C25757" w:rsidRPr="00725E8B" w:rsidRDefault="00C25757" w:rsidP="00EC0682">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Atlygis už veiklą Bendrovės valdyboje gali būti mokamas tik tokiems Bendrovės valdybos nariams, kurie atitinka </w:t>
      </w:r>
      <w:r w:rsidRPr="00725E8B">
        <w:rPr>
          <w:rFonts w:ascii="Tahoma" w:eastAsia="Times New Roman" w:hAnsi="Tahoma" w:cs="Tahoma"/>
          <w:bCs/>
          <w:color w:val="0D0D0D" w:themeColor="text1" w:themeTint="F2"/>
          <w:szCs w:val="20"/>
        </w:rPr>
        <w:t xml:space="preserve">LR galiojančiuose teisės aktuose ir </w:t>
      </w:r>
      <w:r w:rsidRPr="00725E8B">
        <w:rPr>
          <w:rFonts w:ascii="Tahoma" w:eastAsia="Times New Roman" w:hAnsi="Tahoma" w:cs="Tahoma"/>
          <w:szCs w:val="20"/>
        </w:rPr>
        <w:t>Atlygio gairės</w:t>
      </w:r>
      <w:r w:rsidR="00CE579C" w:rsidRPr="00725E8B">
        <w:rPr>
          <w:rFonts w:ascii="Tahoma" w:eastAsia="Times New Roman" w:hAnsi="Tahoma" w:cs="Tahoma"/>
          <w:szCs w:val="20"/>
        </w:rPr>
        <w:t>e</w:t>
      </w:r>
      <w:r w:rsidRPr="00725E8B">
        <w:rPr>
          <w:rFonts w:ascii="Tahoma" w:eastAsia="Times New Roman" w:hAnsi="Tahoma" w:cs="Tahoma"/>
          <w:szCs w:val="20"/>
        </w:rPr>
        <w:t xml:space="preserve"> nustatytus kriterijus. Atlygis yra mokamas vadovaujantis Atlygio gairėse nustatytais principais ir atitinkamu Bendrovės </w:t>
      </w:r>
      <w:r w:rsidR="00853768" w:rsidRPr="00725E8B">
        <w:rPr>
          <w:rFonts w:ascii="Tahoma" w:eastAsia="Times New Roman" w:hAnsi="Tahoma" w:cs="Tahoma"/>
          <w:szCs w:val="20"/>
        </w:rPr>
        <w:t>VAS</w:t>
      </w:r>
      <w:r w:rsidRPr="00725E8B">
        <w:rPr>
          <w:rFonts w:ascii="Tahoma" w:eastAsia="Times New Roman" w:hAnsi="Tahoma" w:cs="Tahoma"/>
          <w:szCs w:val="20"/>
        </w:rPr>
        <w:t xml:space="preserve"> sprendimu, nustatančiu atlygio už </w:t>
      </w:r>
      <w:r w:rsidR="00C506E0" w:rsidRPr="00725E8B">
        <w:rPr>
          <w:rFonts w:ascii="Tahoma" w:eastAsia="Times New Roman" w:hAnsi="Tahoma" w:cs="Tahoma"/>
          <w:szCs w:val="20"/>
        </w:rPr>
        <w:t>veiklą</w:t>
      </w:r>
      <w:r w:rsidRPr="00725E8B">
        <w:rPr>
          <w:rFonts w:ascii="Tahoma" w:eastAsia="Times New Roman" w:hAnsi="Tahoma" w:cs="Tahoma"/>
          <w:szCs w:val="20"/>
        </w:rPr>
        <w:t xml:space="preserve"> valdyboje dydį.</w:t>
      </w:r>
    </w:p>
    <w:p w14:paraId="5DE625B4" w14:textId="3B447700"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Atlygis yra mokamas tik už veiklą Bendrovės valdyboje, t. y. valdybos nariui atsistatydinus iš užimamų pareigų, pasibaigus kadencijai ar atitinkamą narį atšaukus iš užimamų pareigų, jokios išmokos nėra mokamos, tačiau valdybos nariui yra išmokamas atlygis, proporcingas laikui, kurį valdybos narys ėjo valdybos nario pareigas, jeigu valdybos narys iš pareigų atsistatydina, jo kadencija pasibaigia ar jis yra atšaukiamas iš užimamų pareigų nepasibaigus atitinkamam mėnesiui, už kurį turėtų būti mokamas atlygis valdybos nariui.</w:t>
      </w:r>
    </w:p>
    <w:p w14:paraId="61415B61" w14:textId="1D630172"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Tuo atveju, jeigu Bendrovės valdybos narys yra išrenkamas </w:t>
      </w:r>
      <w:r w:rsidR="00B75C69" w:rsidRPr="00725E8B">
        <w:rPr>
          <w:rFonts w:ascii="Tahoma" w:eastAsia="Times New Roman" w:hAnsi="Tahoma" w:cs="Tahoma"/>
          <w:szCs w:val="20"/>
        </w:rPr>
        <w:t>Bendrovės valdybos pirmininku arba Bendrovės valdybos narys yra atšaukiamas / atsistatydina iš valdybos pirmininko pareigų ir /arba valstybės tarnautojas yra išrenkamas ar atšaukiamas / atsistatydina iš valdybos nario pareigų kitos VĮ/VVĮ ar SĮ/SVĮ</w:t>
      </w:r>
      <w:r w:rsidR="003C535A" w:rsidRPr="00725E8B">
        <w:rPr>
          <w:rStyle w:val="FootnoteReference"/>
          <w:rFonts w:ascii="Tahoma" w:eastAsia="Times New Roman" w:hAnsi="Tahoma" w:cs="Tahoma"/>
          <w:szCs w:val="20"/>
        </w:rPr>
        <w:footnoteReference w:id="2"/>
      </w:r>
      <w:r w:rsidR="00B75C69" w:rsidRPr="00725E8B">
        <w:rPr>
          <w:rFonts w:ascii="Tahoma" w:eastAsia="Times New Roman" w:hAnsi="Tahoma" w:cs="Tahoma"/>
          <w:szCs w:val="20"/>
        </w:rPr>
        <w:t xml:space="preserve"> kolegialiame organe</w:t>
      </w:r>
      <w:r w:rsidRPr="00725E8B">
        <w:rPr>
          <w:rFonts w:ascii="Tahoma" w:eastAsia="Times New Roman" w:hAnsi="Tahoma" w:cs="Tahoma"/>
          <w:szCs w:val="20"/>
        </w:rPr>
        <w:t xml:space="preserve">, tokio Bendrovės valdybos nario atlygis </w:t>
      </w:r>
      <w:r w:rsidR="00937D6E" w:rsidRPr="00725E8B">
        <w:rPr>
          <w:rFonts w:ascii="Tahoma" w:eastAsia="Times New Roman" w:hAnsi="Tahoma" w:cs="Tahoma"/>
          <w:szCs w:val="20"/>
        </w:rPr>
        <w:t>už veiklą valdyboje</w:t>
      </w:r>
      <w:r w:rsidRPr="00725E8B">
        <w:rPr>
          <w:rFonts w:ascii="Tahoma" w:eastAsia="Times New Roman" w:hAnsi="Tahoma" w:cs="Tahoma"/>
          <w:szCs w:val="20"/>
        </w:rPr>
        <w:t xml:space="preserve"> yra keičiamas be atskiro Bendrovės VAS sprendimo, atsižvelgiant į VAS nustatytus Bendrovės valdybos narių atlygių dydžius, kurie priklauso nuo Bendrovės valdybos narių užimamų pareigų.</w:t>
      </w:r>
    </w:p>
    <w:p w14:paraId="235B9525" w14:textId="4C5926A8"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Bendrovės valdybos biudžet</w:t>
      </w:r>
      <w:r w:rsidR="0015192E" w:rsidRPr="00725E8B">
        <w:rPr>
          <w:rFonts w:ascii="Tahoma" w:eastAsia="Times New Roman" w:hAnsi="Tahoma" w:cs="Tahoma"/>
          <w:szCs w:val="20"/>
        </w:rPr>
        <w:t>as</w:t>
      </w:r>
      <w:r w:rsidRPr="00725E8B">
        <w:rPr>
          <w:rFonts w:ascii="Tahoma" w:eastAsia="Times New Roman" w:hAnsi="Tahoma" w:cs="Tahoma"/>
          <w:szCs w:val="20"/>
        </w:rPr>
        <w:t xml:space="preserve"> papildomoms Bendrovės išlaidoms, skirtoms valdybos veiklai užtikrinti</w:t>
      </w:r>
      <w:r w:rsidR="007D5B23" w:rsidRPr="00725E8B">
        <w:rPr>
          <w:rFonts w:ascii="Tahoma" w:eastAsia="Times New Roman" w:hAnsi="Tahoma" w:cs="Tahoma"/>
          <w:szCs w:val="20"/>
        </w:rPr>
        <w:t xml:space="preserve"> skiriamas vadovaujantis Atlygio gairėmis</w:t>
      </w:r>
      <w:r w:rsidRPr="00725E8B">
        <w:rPr>
          <w:rFonts w:ascii="Tahoma" w:eastAsia="Times New Roman" w:hAnsi="Tahoma" w:cs="Tahoma"/>
          <w:szCs w:val="20"/>
        </w:rPr>
        <w:t>.</w:t>
      </w:r>
    </w:p>
    <w:p w14:paraId="0B757E6B" w14:textId="132CDB51"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Bendrovės valdyba atsiskaito už savo veiklą</w:t>
      </w:r>
      <w:r w:rsidR="00405F3F" w:rsidRPr="00725E8B">
        <w:rPr>
          <w:rFonts w:ascii="Tahoma" w:eastAsia="Times New Roman" w:hAnsi="Tahoma" w:cs="Tahoma"/>
          <w:szCs w:val="20"/>
        </w:rPr>
        <w:t xml:space="preserve"> vadovaujantis Atlygio gairėmis.</w:t>
      </w:r>
      <w:r w:rsidRPr="00725E8B">
        <w:rPr>
          <w:rFonts w:ascii="Tahoma" w:eastAsia="Times New Roman" w:hAnsi="Tahoma" w:cs="Tahoma"/>
          <w:szCs w:val="20"/>
        </w:rPr>
        <w:t xml:space="preserve"> </w:t>
      </w:r>
    </w:p>
    <w:p w14:paraId="357F7769" w14:textId="3AE67590" w:rsidR="00C25757" w:rsidRPr="00725E8B" w:rsidRDefault="00C25757" w:rsidP="00C25757">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Bendrovės valdybos nariams mokamas fiksuotas mėnesinis atlygis nepriklauso nuo finansinių ar nefinansinių Bendrovės veiklos rezultatų. Bendrovės valdybos nariams nėra mokama</w:t>
      </w:r>
      <w:r w:rsidR="001C6ECD" w:rsidRPr="00725E8B">
        <w:rPr>
          <w:rFonts w:ascii="Tahoma" w:eastAsia="Times New Roman" w:hAnsi="Tahoma" w:cs="Tahoma"/>
          <w:szCs w:val="20"/>
        </w:rPr>
        <w:t>s</w:t>
      </w:r>
      <w:r w:rsidRPr="00725E8B">
        <w:rPr>
          <w:rFonts w:ascii="Tahoma" w:eastAsia="Times New Roman" w:hAnsi="Tahoma" w:cs="Tahoma"/>
          <w:szCs w:val="20"/>
        </w:rPr>
        <w:t xml:space="preserve"> </w:t>
      </w:r>
      <w:r w:rsidR="001C6ECD" w:rsidRPr="00725E8B">
        <w:rPr>
          <w:rFonts w:ascii="Tahoma" w:eastAsia="Times New Roman" w:hAnsi="Tahoma" w:cs="Tahoma"/>
          <w:szCs w:val="20"/>
        </w:rPr>
        <w:t>finansinis skatinimas</w:t>
      </w:r>
      <w:r w:rsidRPr="00725E8B">
        <w:rPr>
          <w:rFonts w:ascii="Tahoma" w:eastAsia="Times New Roman" w:hAnsi="Tahoma" w:cs="Tahoma"/>
          <w:szCs w:val="20"/>
        </w:rPr>
        <w:t xml:space="preserve"> ar kitos premijos. Atlygis suteikiant Bendrovės akcijas Bendrovės valdybos nariams taip pat nėra mokamas. </w:t>
      </w:r>
    </w:p>
    <w:p w14:paraId="7614B4E2" w14:textId="3F559150"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r w:rsidRPr="00725E8B">
        <w:rPr>
          <w:rFonts w:eastAsia="Times New Roman" w:cs="Times New Roman"/>
          <w:noProof/>
        </w:rPr>
        <mc:AlternateContent>
          <mc:Choice Requires="wps">
            <w:drawing>
              <wp:anchor distT="0" distB="0" distL="114300" distR="114300" simplePos="0" relativeHeight="251658246" behindDoc="0" locked="0" layoutInCell="1" allowOverlap="1" wp14:anchorId="33896B34" wp14:editId="2814C1A5">
                <wp:simplePos x="0" y="0"/>
                <wp:positionH relativeFrom="margin">
                  <wp:posOffset>3810</wp:posOffset>
                </wp:positionH>
                <wp:positionV relativeFrom="paragraph">
                  <wp:posOffset>80645</wp:posOffset>
                </wp:positionV>
                <wp:extent cx="6099175" cy="2489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405EB7AE" w14:textId="77777777" w:rsidR="00C25757" w:rsidRDefault="00C25757" w:rsidP="00C25757">
                            <w:pPr>
                              <w:pStyle w:val="Antrat1"/>
                              <w:ind w:hanging="502"/>
                            </w:pPr>
                            <w:r>
                              <w:t>Sutartys, sudaromos su Bendrovės vadovu ir valdybos nariais</w:t>
                            </w:r>
                          </w:p>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96B34" id="Rectangle 7" o:spid="_x0000_s1031" style="position:absolute;left:0;text-align:left;margin-left:.3pt;margin-top:6.35pt;width:480.25pt;height:19.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9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TEDJs4Xm9dETD4OUg+P3CstuWIiPzKN2sW3cx/gND6kB&#10;Z4HRoqQF/+tv/pSPksIoJR3uAs75c8+8oER/sSi2xWQ2S8uTL7PLOT4o8eeR7XnE7s0d4ONMcPMd&#10;z2bKj/poSg/mBdd2lapiiFmOtQdGx8tdHHYUF5+L1Sqn4cI4Fjf2yfEEnphLhD/3L8y7UUoRRfgA&#10;x71h1TtFDbnpSwurfQSpstzeeB21j8uWlTH+GNI2n99z1tvva/kbAAD//wMAUEsDBBQABgAIAAAA&#10;IQD2vOaG3AAAAAYBAAAPAAAAZHJzL2Rvd25yZXYueG1sTI7NSsNAFIX3gu8wXMFNsZMUjCZmUkRI&#10;V0KxunA5zdwmwZk7ITNJo0/vdWWX54dzvnK7OCtmHEPvSUG6TkAgNd701Cr4eK/vHkGEqMlo6wkV&#10;fGOAbXV9VerC+DO94XyIreARCoVW0MU4FFKGpkOnw9oPSJyd/Oh0ZDm20oz6zOPOyk2SZNLpnvih&#10;0wO+dNh8HSan4LSyzf5z/qnrfAqvJlntxn29U+r2Znl+AhFxif9l+MNndKiY6egnMkFYBRn32N08&#10;gOA0z9IUxFHBfZqDrEp5iV/9AgAA//8DAFBLAQItABQABgAIAAAAIQC2gziS/gAAAOEBAAATAAAA&#10;AAAAAAAAAAAAAAAAAABbQ29udGVudF9UeXBlc10ueG1sUEsBAi0AFAAGAAgAAAAhADj9If/WAAAA&#10;lAEAAAsAAAAAAAAAAAAAAAAALwEAAF9yZWxzLy5yZWxzUEsBAi0AFAAGAAgAAAAhAL7B0P2AAgAA&#10;BgUAAA4AAAAAAAAAAAAAAAAALgIAAGRycy9lMm9Eb2MueG1sUEsBAi0AFAAGAAgAAAAhAPa85obc&#10;AAAABgEAAA8AAAAAAAAAAAAAAAAA2gQAAGRycy9kb3ducmV2LnhtbFBLBQYAAAAABAAEAPMAAADj&#10;BQAAAAA=&#10;" fillcolor="#e2f0d9" stroked="f" strokeweight="1pt">
                <v:textbox>
                  <w:txbxContent>
                    <w:p w14:paraId="405EB7AE" w14:textId="77777777" w:rsidR="00C25757" w:rsidRDefault="00C25757" w:rsidP="00C25757">
                      <w:pPr>
                        <w:pStyle w:val="Antrat1"/>
                        <w:ind w:hanging="502"/>
                      </w:pPr>
                      <w:r>
                        <w:t>Sutartys, sudaromos su Bendrovės vadovu ir valdybos nariais</w:t>
                      </w:r>
                    </w:p>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v:textbox>
                <w10:wrap anchorx="margin"/>
              </v:rect>
            </w:pict>
          </mc:Fallback>
        </mc:AlternateContent>
      </w:r>
    </w:p>
    <w:p w14:paraId="136C35B8" w14:textId="77777777" w:rsidR="00C25757" w:rsidRPr="00725E8B" w:rsidRDefault="00C25757" w:rsidP="00C25757">
      <w:pPr>
        <w:tabs>
          <w:tab w:val="left" w:pos="5670"/>
        </w:tabs>
        <w:spacing w:after="120" w:line="240" w:lineRule="atLeast"/>
        <w:jc w:val="both"/>
        <w:rPr>
          <w:rFonts w:ascii="Tahoma" w:eastAsia="Times New Roman" w:hAnsi="Tahoma" w:cs="Tahoma"/>
          <w:color w:val="auto"/>
          <w:szCs w:val="20"/>
        </w:rPr>
      </w:pPr>
    </w:p>
    <w:p w14:paraId="395591CF" w14:textId="77777777" w:rsidR="00C25757" w:rsidRPr="00725E8B" w:rsidRDefault="00C25757" w:rsidP="00C25757">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Darbo sutartis su Bendrovės vadovu</w:t>
      </w:r>
    </w:p>
    <w:p w14:paraId="22C7945B" w14:textId="3638E590" w:rsidR="00C25757" w:rsidRPr="00725E8B" w:rsidRDefault="00C25757" w:rsidP="00C25757">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Kaip numatyta </w:t>
      </w:r>
      <w:r w:rsidR="00451544" w:rsidRPr="00725E8B">
        <w:rPr>
          <w:rFonts w:ascii="Tahoma" w:eastAsia="Times New Roman" w:hAnsi="Tahoma" w:cs="Tahoma"/>
          <w:szCs w:val="20"/>
        </w:rPr>
        <w:t>ABĮ</w:t>
      </w:r>
      <w:r w:rsidRPr="00725E8B">
        <w:rPr>
          <w:rFonts w:ascii="Tahoma" w:eastAsia="Times New Roman" w:hAnsi="Tahoma" w:cs="Tahoma"/>
          <w:szCs w:val="20"/>
        </w:rPr>
        <w:t xml:space="preserve">, su Bendrovės vadovu 5 </w:t>
      </w:r>
      <w:r w:rsidR="00A219D3" w:rsidRPr="00725E8B">
        <w:rPr>
          <w:rFonts w:ascii="Tahoma" w:eastAsia="Times New Roman" w:hAnsi="Tahoma" w:cs="Tahoma"/>
          <w:szCs w:val="20"/>
        </w:rPr>
        <w:t xml:space="preserve">(penkerių) </w:t>
      </w:r>
      <w:r w:rsidRPr="00725E8B">
        <w:rPr>
          <w:rFonts w:ascii="Tahoma" w:eastAsia="Times New Roman" w:hAnsi="Tahoma" w:cs="Tahoma"/>
          <w:szCs w:val="20"/>
        </w:rPr>
        <w:t xml:space="preserve">metų kadencijos laikotarpiui sudaroma terminuota darbo sutartis. Tas pats asmuo negali būti Bendrovės vadovu daugiau kaip 2 </w:t>
      </w:r>
      <w:r w:rsidR="00A219D3" w:rsidRPr="00725E8B">
        <w:rPr>
          <w:rFonts w:ascii="Tahoma" w:eastAsia="Times New Roman" w:hAnsi="Tahoma" w:cs="Tahoma"/>
          <w:szCs w:val="20"/>
        </w:rPr>
        <w:t>(dvi)</w:t>
      </w:r>
      <w:r w:rsidRPr="00725E8B">
        <w:rPr>
          <w:rFonts w:ascii="Tahoma" w:eastAsia="Times New Roman" w:hAnsi="Tahoma" w:cs="Tahoma"/>
          <w:szCs w:val="20"/>
        </w:rPr>
        <w:t xml:space="preserve"> kadencijas iš eilės.</w:t>
      </w:r>
    </w:p>
    <w:p w14:paraId="5D933EF3" w14:textId="77777777" w:rsidR="00C25757" w:rsidRPr="00725E8B" w:rsidRDefault="00C25757" w:rsidP="00C25757">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Darbo sutarties, sudaromos su Bendrovės vadovu, sąlygas, atsižvelgiant į ASK rekomendaciją, tvirtina Bendrovės valdyba. </w:t>
      </w:r>
    </w:p>
    <w:p w14:paraId="74E2CC96" w14:textId="7EFC2B7D" w:rsidR="00C25757" w:rsidRPr="00725E8B" w:rsidRDefault="00C25757" w:rsidP="00C25757">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Darbo sutartis su Bendrovės vadovu gali būti nutraukta be įspėjimo, atšaukiant Bendrovės vadovą iš pareigų pagal </w:t>
      </w:r>
      <w:r w:rsidR="000C7A99" w:rsidRPr="00725E8B">
        <w:rPr>
          <w:rFonts w:ascii="Tahoma" w:eastAsia="Times New Roman" w:hAnsi="Tahoma" w:cs="Tahoma"/>
          <w:szCs w:val="20"/>
        </w:rPr>
        <w:t>ABĮ</w:t>
      </w:r>
      <w:r w:rsidRPr="00725E8B">
        <w:rPr>
          <w:rFonts w:ascii="Tahoma" w:eastAsia="Times New Roman" w:hAnsi="Tahoma" w:cs="Tahoma"/>
          <w:szCs w:val="20"/>
        </w:rPr>
        <w:t xml:space="preserve"> nuostatas. Darbo sutarties pasibaigimo atveju Bendrovės vadovui valdybos sprendimu gali būti išmokama išeitinė išmoka, išskyrus atvejus, kai Bendrovės vadovo atšaukimą lėmė jo kalti veiksmai arba darbo sutartis nutraukiama Bendrovės vadovo iniciatyva be svarbių priežasčių. Išeitinės išmokos dydis yra nustatomas </w:t>
      </w:r>
      <w:r w:rsidR="00A12C0A" w:rsidRPr="00725E8B">
        <w:rPr>
          <w:rFonts w:ascii="Tahoma" w:eastAsia="Times New Roman" w:hAnsi="Tahoma" w:cs="Tahoma"/>
          <w:szCs w:val="20"/>
        </w:rPr>
        <w:t xml:space="preserve">su Bendrovės </w:t>
      </w:r>
      <w:r w:rsidRPr="00725E8B">
        <w:rPr>
          <w:rFonts w:ascii="Tahoma" w:eastAsia="Times New Roman" w:hAnsi="Tahoma" w:cs="Tahoma"/>
          <w:szCs w:val="20"/>
        </w:rPr>
        <w:t>vadov</w:t>
      </w:r>
      <w:r w:rsidR="00A12C0A" w:rsidRPr="00725E8B">
        <w:rPr>
          <w:rFonts w:ascii="Tahoma" w:eastAsia="Times New Roman" w:hAnsi="Tahoma" w:cs="Tahoma"/>
          <w:szCs w:val="20"/>
        </w:rPr>
        <w:t>u sudarytoje</w:t>
      </w:r>
      <w:r w:rsidRPr="00725E8B">
        <w:rPr>
          <w:rFonts w:ascii="Tahoma" w:eastAsia="Times New Roman" w:hAnsi="Tahoma" w:cs="Tahoma"/>
          <w:szCs w:val="20"/>
        </w:rPr>
        <w:t xml:space="preserve"> darbo sutartyje, atsižvelgiant į ASK </w:t>
      </w:r>
      <w:r w:rsidRPr="00725E8B">
        <w:rPr>
          <w:rFonts w:ascii="Tahoma" w:eastAsia="Times New Roman" w:hAnsi="Tahoma" w:cs="Tahoma"/>
          <w:szCs w:val="20"/>
        </w:rPr>
        <w:lastRenderedPageBreak/>
        <w:t>rekomendaciją, kuri gali būti pateikiama atskirai arba patvirtinant tipinę su vadovu sudaromos darbo sutarties formą.</w:t>
      </w:r>
    </w:p>
    <w:p w14:paraId="61670331" w14:textId="27A98E00" w:rsidR="001E3B31" w:rsidRPr="00725E8B" w:rsidRDefault="00C25757" w:rsidP="003659F1">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Bendrovės vadovo darbo sutartyje nėra nustatomi susitarimai dėl papildomos pensijos ar išankstinio išėjimo į pensiją.</w:t>
      </w:r>
    </w:p>
    <w:p w14:paraId="71C3E2DD" w14:textId="14934F93" w:rsidR="00EF4797" w:rsidRPr="00725E8B" w:rsidRDefault="00C25757" w:rsidP="00C25757">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Sutartys, sudaromos su Bendrovės valdybos nariais</w:t>
      </w:r>
    </w:p>
    <w:p w14:paraId="45E52E53" w14:textId="77777777" w:rsidR="001E3B31" w:rsidRPr="00725E8B" w:rsidRDefault="001E3B31" w:rsidP="001E3B31">
      <w:pPr>
        <w:pStyle w:val="ListParagraph"/>
        <w:numPr>
          <w:ilvl w:val="1"/>
          <w:numId w:val="8"/>
        </w:numPr>
        <w:spacing w:after="120"/>
        <w:ind w:left="567" w:right="-285" w:hanging="567"/>
        <w:contextualSpacing w:val="0"/>
        <w:jc w:val="both"/>
        <w:rPr>
          <w:rFonts w:ascii="Tahoma" w:hAnsi="Tahoma" w:cs="Tahoma"/>
          <w:szCs w:val="20"/>
        </w:rPr>
      </w:pPr>
      <w:r w:rsidRPr="00725E8B">
        <w:rPr>
          <w:rFonts w:ascii="Tahoma" w:hAnsi="Tahoma" w:cs="Tahoma"/>
          <w:szCs w:val="20"/>
        </w:rPr>
        <w:t xml:space="preserve">Su Bendrovės valdybos nariais, prieš jiems pradedant eiti pareigas valdyboje, yra sudaromos sutartys dėl veiklos valdyboje, kuriose yra numatomos jų teisės, pareigos ir atsakomybė. Standartines sutarčių su valdybos nariais sąlygas tvirtina VAS. </w:t>
      </w:r>
    </w:p>
    <w:p w14:paraId="042EF069" w14:textId="16555EC3" w:rsidR="001E3B31" w:rsidRPr="00725E8B" w:rsidRDefault="001E3B31" w:rsidP="001E3B31">
      <w:pPr>
        <w:pStyle w:val="ListParagraph"/>
        <w:numPr>
          <w:ilvl w:val="1"/>
          <w:numId w:val="8"/>
        </w:numPr>
        <w:spacing w:after="120"/>
        <w:ind w:left="567" w:right="-285" w:hanging="567"/>
        <w:contextualSpacing w:val="0"/>
        <w:jc w:val="both"/>
        <w:rPr>
          <w:rFonts w:ascii="Tahoma" w:hAnsi="Tahoma" w:cs="Tahoma"/>
          <w:szCs w:val="20"/>
        </w:rPr>
      </w:pPr>
      <w:r w:rsidRPr="00725E8B">
        <w:rPr>
          <w:rFonts w:ascii="Tahoma" w:hAnsi="Tahoma" w:cs="Tahoma"/>
          <w:szCs w:val="20"/>
        </w:rPr>
        <w:t>Valdybos narys gali atsistatydinti iš pareigų kadencijai nesibaigus, apie tai ne vėliau kaip prieš 14 </w:t>
      </w:r>
      <w:r w:rsidR="003C02D4" w:rsidRPr="00725E8B">
        <w:rPr>
          <w:rFonts w:ascii="Tahoma" w:hAnsi="Tahoma" w:cs="Tahoma"/>
          <w:szCs w:val="20"/>
        </w:rPr>
        <w:t xml:space="preserve">(keturiolika) </w:t>
      </w:r>
      <w:r w:rsidRPr="00725E8B">
        <w:rPr>
          <w:rFonts w:ascii="Tahoma" w:hAnsi="Tahoma" w:cs="Tahoma"/>
          <w:szCs w:val="20"/>
        </w:rPr>
        <w:t xml:space="preserve">dienų raštu įspėjęs Bendrovę. Valdybos narys taip pat gali būti atšauktas iš valdybos nario pareigų VAS sprendimu. Valdybos nariui atsistatydinus, taip pat tais atvejais, kai valdybos narys yra atšaukiamas iš užimamų pareigų, su valdybos nariu yra atsiskaitoma, kaip numatyta šios Politikos </w:t>
      </w:r>
      <w:r w:rsidRPr="00725E8B">
        <w:rPr>
          <w:rFonts w:ascii="Tahoma" w:hAnsi="Tahoma" w:cs="Tahoma"/>
          <w:szCs w:val="20"/>
        </w:rPr>
        <w:fldChar w:fldCharType="begin"/>
      </w:r>
      <w:r w:rsidRPr="00725E8B">
        <w:rPr>
          <w:rFonts w:ascii="Tahoma" w:hAnsi="Tahoma" w:cs="Tahoma"/>
          <w:szCs w:val="20"/>
        </w:rPr>
        <w:instrText xml:space="preserve"> REF _Ref32572115 \r \h  \* MERGEFORMAT </w:instrText>
      </w:r>
      <w:r w:rsidRPr="00725E8B">
        <w:rPr>
          <w:rFonts w:ascii="Tahoma" w:hAnsi="Tahoma" w:cs="Tahoma"/>
          <w:szCs w:val="20"/>
        </w:rPr>
      </w:r>
      <w:r w:rsidRPr="00725E8B">
        <w:rPr>
          <w:rFonts w:ascii="Tahoma" w:hAnsi="Tahoma" w:cs="Tahoma"/>
          <w:szCs w:val="20"/>
        </w:rPr>
        <w:fldChar w:fldCharType="separate"/>
      </w:r>
      <w:r w:rsidRPr="00725E8B">
        <w:rPr>
          <w:rFonts w:ascii="Tahoma" w:hAnsi="Tahoma" w:cs="Tahoma"/>
          <w:szCs w:val="20"/>
        </w:rPr>
        <w:t>4.2</w:t>
      </w:r>
      <w:r w:rsidRPr="00725E8B">
        <w:rPr>
          <w:rFonts w:ascii="Tahoma" w:hAnsi="Tahoma" w:cs="Tahoma"/>
          <w:szCs w:val="20"/>
        </w:rPr>
        <w:fldChar w:fldCharType="end"/>
      </w:r>
      <w:r w:rsidRPr="00725E8B">
        <w:rPr>
          <w:rFonts w:ascii="Tahoma" w:hAnsi="Tahoma" w:cs="Tahoma"/>
          <w:szCs w:val="20"/>
        </w:rPr>
        <w:t xml:space="preserve"> punkte. </w:t>
      </w:r>
    </w:p>
    <w:p w14:paraId="72607C69" w14:textId="4695999B" w:rsidR="001E3B31" w:rsidRPr="00725E8B" w:rsidRDefault="001E3B31" w:rsidP="00C25757">
      <w:pPr>
        <w:pStyle w:val="ListParagraph"/>
        <w:numPr>
          <w:ilvl w:val="1"/>
          <w:numId w:val="8"/>
        </w:numPr>
        <w:spacing w:after="120"/>
        <w:ind w:left="567" w:right="-285" w:hanging="567"/>
        <w:contextualSpacing w:val="0"/>
        <w:jc w:val="both"/>
        <w:rPr>
          <w:rFonts w:ascii="Tahoma" w:hAnsi="Tahoma" w:cs="Tahoma"/>
          <w:szCs w:val="20"/>
        </w:rPr>
      </w:pPr>
      <w:r w:rsidRPr="00725E8B">
        <w:rPr>
          <w:rFonts w:ascii="Tahoma" w:hAnsi="Tahoma" w:cs="Tahoma"/>
          <w:szCs w:val="20"/>
        </w:rPr>
        <w:t>Su Bendrovės valdybos nariais sudaromose sutartyse nėra nustatomi susitarimai dėl papildomų pensijų ar išankstinio išėjimo į pensiją.</w:t>
      </w:r>
    </w:p>
    <w:p w14:paraId="517F3F78" w14:textId="19B2B118" w:rsidR="00865DFD" w:rsidRPr="00B83FF8" w:rsidRDefault="00865DFD" w:rsidP="00185A89"/>
    <w:p w14:paraId="774098AB" w14:textId="77777777" w:rsidR="00865DFD" w:rsidRPr="00B83FF8" w:rsidRDefault="00865DFD" w:rsidP="00185A89"/>
    <w:sectPr w:rsidR="00865DFD" w:rsidRPr="00B83FF8" w:rsidSect="008F6937">
      <w:headerReference w:type="default" r:id="rId16"/>
      <w:footerReference w:type="default" r:id="rId17"/>
      <w:pgSz w:w="11906" w:h="16838"/>
      <w:pgMar w:top="993" w:right="1134"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8DAE" w14:textId="77777777" w:rsidR="008F6937" w:rsidRDefault="008F6937" w:rsidP="00FF2DAB">
      <w:pPr>
        <w:spacing w:line="240" w:lineRule="auto"/>
      </w:pPr>
      <w:r>
        <w:separator/>
      </w:r>
    </w:p>
  </w:endnote>
  <w:endnote w:type="continuationSeparator" w:id="0">
    <w:p w14:paraId="71B07438" w14:textId="77777777" w:rsidR="008F6937" w:rsidRDefault="008F6937" w:rsidP="00FF2DAB">
      <w:pPr>
        <w:spacing w:line="240" w:lineRule="auto"/>
      </w:pPr>
      <w:r>
        <w:continuationSeparator/>
      </w:r>
    </w:p>
  </w:endnote>
  <w:endnote w:type="continuationNotice" w:id="1">
    <w:p w14:paraId="3202AAA6" w14:textId="77777777" w:rsidR="008F6937" w:rsidRDefault="008F69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699032"/>
      <w:docPartObj>
        <w:docPartGallery w:val="Page Numbers (Bottom of Page)"/>
        <w:docPartUnique/>
      </w:docPartObj>
    </w:sdtPr>
    <w:sdtEndPr/>
    <w:sdtContent>
      <w:p w14:paraId="6EE8C98B" w14:textId="56973BC6" w:rsidR="00D42DDC" w:rsidRDefault="00D42DDC">
        <w:pPr>
          <w:pStyle w:val="Footer"/>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30EE0" w14:textId="77777777" w:rsidR="008F6937" w:rsidRDefault="008F6937" w:rsidP="00FF2DAB">
      <w:pPr>
        <w:spacing w:line="240" w:lineRule="auto"/>
      </w:pPr>
      <w:r>
        <w:separator/>
      </w:r>
    </w:p>
  </w:footnote>
  <w:footnote w:type="continuationSeparator" w:id="0">
    <w:p w14:paraId="39895FAA" w14:textId="77777777" w:rsidR="008F6937" w:rsidRDefault="008F6937" w:rsidP="00FF2DAB">
      <w:pPr>
        <w:spacing w:line="240" w:lineRule="auto"/>
      </w:pPr>
      <w:r>
        <w:continuationSeparator/>
      </w:r>
    </w:p>
  </w:footnote>
  <w:footnote w:type="continuationNotice" w:id="1">
    <w:p w14:paraId="201BABDF" w14:textId="77777777" w:rsidR="008F6937" w:rsidRDefault="008F6937">
      <w:pPr>
        <w:spacing w:line="240" w:lineRule="auto"/>
      </w:pPr>
    </w:p>
  </w:footnote>
  <w:footnote w:id="2">
    <w:p w14:paraId="3C053B95" w14:textId="315F4E57" w:rsidR="003C535A" w:rsidRDefault="003C535A">
      <w:pPr>
        <w:pStyle w:val="FootnoteText"/>
      </w:pPr>
      <w:r>
        <w:rPr>
          <w:rStyle w:val="FootnoteReference"/>
        </w:rPr>
        <w:footnoteRef/>
      </w:r>
      <w:r>
        <w:t xml:space="preserve"> </w:t>
      </w:r>
      <w:r w:rsidRPr="002024D1">
        <w:rPr>
          <w:i/>
          <w:iCs/>
        </w:rPr>
        <w:t>VĮ – valstybės įmonė, VVĮ – valstybės valdoma įmonė, SĮ – savivaldybės įmonė, SVĮ – savivaldybės valdoma įmonė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F06B" w14:textId="28D7292C" w:rsidR="00F117B8" w:rsidRPr="00977665" w:rsidRDefault="00F117B8" w:rsidP="00F117B8">
    <w:pPr>
      <w:jc w:val="right"/>
      <w:rPr>
        <w:rFonts w:ascii="Tahoma" w:hAnsi="Tahoma" w:cs="Tahoma"/>
        <w:bCs/>
        <w:szCs w:val="20"/>
      </w:rPr>
    </w:pPr>
    <w:bookmarkStart w:id="0" w:name="_Hlk31900008"/>
    <w:r w:rsidRPr="00977665">
      <w:rPr>
        <w:rFonts w:ascii="Tahoma" w:hAnsi="Tahoma" w:cs="Tahoma"/>
        <w:bCs/>
        <w:szCs w:val="20"/>
      </w:rPr>
      <w:t>PATVIRTINTA</w:t>
    </w:r>
  </w:p>
  <w:p w14:paraId="57A8201F" w14:textId="1DBD00D0" w:rsidR="00F117B8" w:rsidRPr="00977665" w:rsidRDefault="00F117B8" w:rsidP="00F117B8">
    <w:pPr>
      <w:jc w:val="right"/>
      <w:rPr>
        <w:rFonts w:ascii="Tahoma" w:hAnsi="Tahoma" w:cs="Tahoma"/>
        <w:bCs/>
        <w:szCs w:val="20"/>
      </w:rPr>
    </w:pPr>
    <w:r w:rsidRPr="00D0684E">
      <w:rPr>
        <w:rFonts w:ascii="Tahoma" w:hAnsi="Tahoma" w:cs="Tahoma"/>
        <w:bCs/>
        <w:szCs w:val="20"/>
      </w:rPr>
      <w:t xml:space="preserve">AB </w:t>
    </w:r>
    <w:r w:rsidR="002024D1">
      <w:rPr>
        <w:rFonts w:ascii="Tahoma" w:hAnsi="Tahoma" w:cs="Tahoma"/>
        <w:bCs/>
        <w:szCs w:val="20"/>
      </w:rPr>
      <w:t>„Amber Grid“</w:t>
    </w:r>
    <w:r w:rsidR="002077E4" w:rsidRPr="00D0684E">
      <w:rPr>
        <w:rFonts w:ascii="Tahoma" w:hAnsi="Tahoma" w:cs="Tahoma"/>
        <w:bCs/>
        <w:szCs w:val="20"/>
      </w:rPr>
      <w:t xml:space="preserve"> </w:t>
    </w:r>
    <w:r w:rsidRPr="00D0684E">
      <w:rPr>
        <w:rFonts w:ascii="Tahoma" w:hAnsi="Tahoma" w:cs="Tahoma"/>
        <w:bCs/>
        <w:szCs w:val="20"/>
      </w:rPr>
      <w:t>20</w:t>
    </w:r>
    <w:r w:rsidR="00D0684E" w:rsidRPr="00D0684E">
      <w:rPr>
        <w:rFonts w:ascii="Tahoma" w:hAnsi="Tahoma" w:cs="Tahoma"/>
        <w:bCs/>
        <w:szCs w:val="20"/>
      </w:rPr>
      <w:t>2</w:t>
    </w:r>
    <w:r w:rsidR="00F74283">
      <w:rPr>
        <w:rFonts w:ascii="Tahoma" w:hAnsi="Tahoma" w:cs="Tahoma"/>
        <w:bCs/>
        <w:szCs w:val="20"/>
        <w:lang w:val="en-US"/>
      </w:rPr>
      <w:t>4</w:t>
    </w:r>
    <w:r w:rsidR="00FA19BD">
      <w:rPr>
        <w:rFonts w:ascii="Tahoma" w:hAnsi="Tahoma" w:cs="Tahoma"/>
        <w:bCs/>
        <w:szCs w:val="20"/>
      </w:rPr>
      <w:t xml:space="preserve"> m.</w:t>
    </w:r>
    <w:r w:rsidR="00F74283">
      <w:rPr>
        <w:rFonts w:ascii="Tahoma" w:hAnsi="Tahoma" w:cs="Tahoma"/>
        <w:bCs/>
        <w:szCs w:val="20"/>
      </w:rPr>
      <w:t xml:space="preserve"> [</w:t>
    </w:r>
    <w:r w:rsidR="00F74283" w:rsidRPr="00F74283">
      <w:rPr>
        <w:rFonts w:ascii="Tahoma" w:hAnsi="Tahoma" w:cs="Tahoma"/>
        <w:bCs/>
        <w:szCs w:val="20"/>
        <w:highlight w:val="yellow"/>
      </w:rPr>
      <w:t>...</w:t>
    </w:r>
    <w:r w:rsidR="00F74283">
      <w:rPr>
        <w:rFonts w:ascii="Tahoma" w:hAnsi="Tahoma" w:cs="Tahoma"/>
        <w:bCs/>
        <w:szCs w:val="20"/>
      </w:rPr>
      <w:t>]</w:t>
    </w:r>
    <w:r w:rsidR="00FA19BD">
      <w:rPr>
        <w:rFonts w:ascii="Tahoma" w:hAnsi="Tahoma" w:cs="Tahoma"/>
        <w:bCs/>
        <w:szCs w:val="20"/>
      </w:rPr>
      <w:t xml:space="preserve"> d.</w:t>
    </w:r>
    <w:r w:rsidRPr="00D0684E">
      <w:rPr>
        <w:rFonts w:ascii="Tahoma" w:hAnsi="Tahoma" w:cs="Tahoma"/>
        <w:bCs/>
        <w:szCs w:val="20"/>
      </w:rPr>
      <w:t xml:space="preserve"> visuotinio akcininkų susirinkimo sprendimu </w:t>
    </w:r>
  </w:p>
  <w:bookmarkEnd w:id="0"/>
  <w:p w14:paraId="2FA34907" w14:textId="77777777" w:rsidR="00F117B8" w:rsidRDefault="00F11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5"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4" w15:restartNumberingAfterBreak="0">
    <w:nsid w:val="789714C7"/>
    <w:multiLevelType w:val="multilevel"/>
    <w:tmpl w:val="2F788264"/>
    <w:lvl w:ilvl="0">
      <w:start w:val="1"/>
      <w:numFmt w:val="decimal"/>
      <w:pStyle w:val="Antrat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1021706338">
    <w:abstractNumId w:val="14"/>
  </w:num>
  <w:num w:numId="2" w16cid:durableId="999963581">
    <w:abstractNumId w:val="5"/>
  </w:num>
  <w:num w:numId="3" w16cid:durableId="883176231">
    <w:abstractNumId w:val="14"/>
  </w:num>
  <w:num w:numId="4" w16cid:durableId="893078830">
    <w:abstractNumId w:val="12"/>
  </w:num>
  <w:num w:numId="5" w16cid:durableId="799567664">
    <w:abstractNumId w:val="1"/>
  </w:num>
  <w:num w:numId="6" w16cid:durableId="1803190209">
    <w:abstractNumId w:val="2"/>
  </w:num>
  <w:num w:numId="7" w16cid:durableId="896010345">
    <w:abstractNumId w:val="11"/>
  </w:num>
  <w:num w:numId="8" w16cid:durableId="1108891219">
    <w:abstractNumId w:val="10"/>
  </w:num>
  <w:num w:numId="9" w16cid:durableId="1158769675">
    <w:abstractNumId w:val="14"/>
  </w:num>
  <w:num w:numId="10" w16cid:durableId="1137185431">
    <w:abstractNumId w:val="14"/>
  </w:num>
  <w:num w:numId="11" w16cid:durableId="309989832">
    <w:abstractNumId w:val="9"/>
  </w:num>
  <w:num w:numId="12" w16cid:durableId="417361882">
    <w:abstractNumId w:val="3"/>
  </w:num>
  <w:num w:numId="13" w16cid:durableId="16197599">
    <w:abstractNumId w:val="7"/>
  </w:num>
  <w:num w:numId="14" w16cid:durableId="1913923638">
    <w:abstractNumId w:val="15"/>
  </w:num>
  <w:num w:numId="15" w16cid:durableId="1292399831">
    <w:abstractNumId w:val="13"/>
  </w:num>
  <w:num w:numId="16" w16cid:durableId="1572420662">
    <w:abstractNumId w:val="4"/>
  </w:num>
  <w:num w:numId="17" w16cid:durableId="79522078">
    <w:abstractNumId w:val="0"/>
  </w:num>
  <w:num w:numId="18" w16cid:durableId="1732777174">
    <w:abstractNumId w:val="14"/>
  </w:num>
  <w:num w:numId="19" w16cid:durableId="1469766">
    <w:abstractNumId w:val="6"/>
  </w:num>
  <w:num w:numId="20" w16cid:durableId="96607215">
    <w:abstractNumId w:val="8"/>
  </w:num>
  <w:num w:numId="21" w16cid:durableId="1283268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732275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AB"/>
    <w:rsid w:val="000006B0"/>
    <w:rsid w:val="00003DE5"/>
    <w:rsid w:val="00010B18"/>
    <w:rsid w:val="00010B6D"/>
    <w:rsid w:val="00015735"/>
    <w:rsid w:val="00020DCE"/>
    <w:rsid w:val="000245D9"/>
    <w:rsid w:val="000246DD"/>
    <w:rsid w:val="00026D46"/>
    <w:rsid w:val="00032AB3"/>
    <w:rsid w:val="00033448"/>
    <w:rsid w:val="000360CB"/>
    <w:rsid w:val="00040CD7"/>
    <w:rsid w:val="00040E6A"/>
    <w:rsid w:val="00040F4F"/>
    <w:rsid w:val="0004120F"/>
    <w:rsid w:val="00044C68"/>
    <w:rsid w:val="00044C7B"/>
    <w:rsid w:val="0004512E"/>
    <w:rsid w:val="00046210"/>
    <w:rsid w:val="00052B9D"/>
    <w:rsid w:val="000543A5"/>
    <w:rsid w:val="00054658"/>
    <w:rsid w:val="0005504E"/>
    <w:rsid w:val="00055841"/>
    <w:rsid w:val="00056414"/>
    <w:rsid w:val="000614F8"/>
    <w:rsid w:val="000621D7"/>
    <w:rsid w:val="0006230D"/>
    <w:rsid w:val="00062E49"/>
    <w:rsid w:val="000637FF"/>
    <w:rsid w:val="00063DD7"/>
    <w:rsid w:val="00064C0C"/>
    <w:rsid w:val="0006507A"/>
    <w:rsid w:val="000679B5"/>
    <w:rsid w:val="00072086"/>
    <w:rsid w:val="00073020"/>
    <w:rsid w:val="00074A69"/>
    <w:rsid w:val="00074AD4"/>
    <w:rsid w:val="00082535"/>
    <w:rsid w:val="000836C4"/>
    <w:rsid w:val="00084B65"/>
    <w:rsid w:val="00086318"/>
    <w:rsid w:val="00087CE2"/>
    <w:rsid w:val="00091E9A"/>
    <w:rsid w:val="000944CA"/>
    <w:rsid w:val="000A2531"/>
    <w:rsid w:val="000B06FD"/>
    <w:rsid w:val="000B0BAA"/>
    <w:rsid w:val="000B1838"/>
    <w:rsid w:val="000B3C44"/>
    <w:rsid w:val="000C0D66"/>
    <w:rsid w:val="000C3078"/>
    <w:rsid w:val="000C4D97"/>
    <w:rsid w:val="000C7A99"/>
    <w:rsid w:val="000C7E43"/>
    <w:rsid w:val="000C7FD1"/>
    <w:rsid w:val="000D2160"/>
    <w:rsid w:val="000D22E9"/>
    <w:rsid w:val="000D27A8"/>
    <w:rsid w:val="000D3779"/>
    <w:rsid w:val="000D5A74"/>
    <w:rsid w:val="000D5D08"/>
    <w:rsid w:val="000E39EE"/>
    <w:rsid w:val="000E3D76"/>
    <w:rsid w:val="000E503E"/>
    <w:rsid w:val="000E71B1"/>
    <w:rsid w:val="000F0B77"/>
    <w:rsid w:val="000F0D63"/>
    <w:rsid w:val="000F3163"/>
    <w:rsid w:val="000F47CA"/>
    <w:rsid w:val="000F4817"/>
    <w:rsid w:val="000F6D27"/>
    <w:rsid w:val="000F70A5"/>
    <w:rsid w:val="00100F48"/>
    <w:rsid w:val="0010101E"/>
    <w:rsid w:val="00101239"/>
    <w:rsid w:val="00102AED"/>
    <w:rsid w:val="00103918"/>
    <w:rsid w:val="00106CC0"/>
    <w:rsid w:val="001120C1"/>
    <w:rsid w:val="00120E34"/>
    <w:rsid w:val="0012171D"/>
    <w:rsid w:val="00122659"/>
    <w:rsid w:val="00126A15"/>
    <w:rsid w:val="00131027"/>
    <w:rsid w:val="00131C05"/>
    <w:rsid w:val="00133A10"/>
    <w:rsid w:val="001343B0"/>
    <w:rsid w:val="00134A21"/>
    <w:rsid w:val="00135202"/>
    <w:rsid w:val="00136888"/>
    <w:rsid w:val="00137408"/>
    <w:rsid w:val="00144ADB"/>
    <w:rsid w:val="00144BC7"/>
    <w:rsid w:val="00146A8E"/>
    <w:rsid w:val="00147394"/>
    <w:rsid w:val="0015192E"/>
    <w:rsid w:val="00154873"/>
    <w:rsid w:val="0015765B"/>
    <w:rsid w:val="00164E0D"/>
    <w:rsid w:val="00164F7B"/>
    <w:rsid w:val="00166BE0"/>
    <w:rsid w:val="00167021"/>
    <w:rsid w:val="00173067"/>
    <w:rsid w:val="00174C79"/>
    <w:rsid w:val="001760EE"/>
    <w:rsid w:val="00176AA1"/>
    <w:rsid w:val="00181D4C"/>
    <w:rsid w:val="001839E3"/>
    <w:rsid w:val="00185150"/>
    <w:rsid w:val="00185660"/>
    <w:rsid w:val="00185A89"/>
    <w:rsid w:val="00186595"/>
    <w:rsid w:val="00190140"/>
    <w:rsid w:val="00197020"/>
    <w:rsid w:val="001A1CBC"/>
    <w:rsid w:val="001A1D1E"/>
    <w:rsid w:val="001A46DD"/>
    <w:rsid w:val="001A4A28"/>
    <w:rsid w:val="001A4D79"/>
    <w:rsid w:val="001A5F41"/>
    <w:rsid w:val="001B0281"/>
    <w:rsid w:val="001B2FA8"/>
    <w:rsid w:val="001B4D6A"/>
    <w:rsid w:val="001B56EF"/>
    <w:rsid w:val="001C0875"/>
    <w:rsid w:val="001C11D9"/>
    <w:rsid w:val="001C6ECD"/>
    <w:rsid w:val="001D2898"/>
    <w:rsid w:val="001D5849"/>
    <w:rsid w:val="001D6231"/>
    <w:rsid w:val="001D7C43"/>
    <w:rsid w:val="001E32CF"/>
    <w:rsid w:val="001E3B31"/>
    <w:rsid w:val="001E6590"/>
    <w:rsid w:val="001E6A1E"/>
    <w:rsid w:val="001F26D1"/>
    <w:rsid w:val="001F2A87"/>
    <w:rsid w:val="001F5A1C"/>
    <w:rsid w:val="001F638C"/>
    <w:rsid w:val="00200B77"/>
    <w:rsid w:val="002024D1"/>
    <w:rsid w:val="00202920"/>
    <w:rsid w:val="00205DE5"/>
    <w:rsid w:val="002060F7"/>
    <w:rsid w:val="00206B87"/>
    <w:rsid w:val="002077E4"/>
    <w:rsid w:val="0021346E"/>
    <w:rsid w:val="00214B16"/>
    <w:rsid w:val="00214DDD"/>
    <w:rsid w:val="0021649D"/>
    <w:rsid w:val="00220001"/>
    <w:rsid w:val="002219F7"/>
    <w:rsid w:val="002245D7"/>
    <w:rsid w:val="00224EAD"/>
    <w:rsid w:val="00226779"/>
    <w:rsid w:val="00230BF5"/>
    <w:rsid w:val="00235E6A"/>
    <w:rsid w:val="0023664E"/>
    <w:rsid w:val="00237114"/>
    <w:rsid w:val="00237BCB"/>
    <w:rsid w:val="0024333E"/>
    <w:rsid w:val="002451A2"/>
    <w:rsid w:val="00247CC3"/>
    <w:rsid w:val="00251431"/>
    <w:rsid w:val="002532CE"/>
    <w:rsid w:val="00254E18"/>
    <w:rsid w:val="002572D2"/>
    <w:rsid w:val="00262074"/>
    <w:rsid w:val="00264481"/>
    <w:rsid w:val="00264566"/>
    <w:rsid w:val="00264EF4"/>
    <w:rsid w:val="002665FB"/>
    <w:rsid w:val="00273BF9"/>
    <w:rsid w:val="002768D7"/>
    <w:rsid w:val="002775DF"/>
    <w:rsid w:val="00277AB5"/>
    <w:rsid w:val="00277F18"/>
    <w:rsid w:val="00281888"/>
    <w:rsid w:val="00281C97"/>
    <w:rsid w:val="0028456E"/>
    <w:rsid w:val="002856D9"/>
    <w:rsid w:val="002904E0"/>
    <w:rsid w:val="00290F68"/>
    <w:rsid w:val="00291F29"/>
    <w:rsid w:val="00292E65"/>
    <w:rsid w:val="00293B78"/>
    <w:rsid w:val="00294D5F"/>
    <w:rsid w:val="00296D36"/>
    <w:rsid w:val="002A3D7F"/>
    <w:rsid w:val="002A3F3C"/>
    <w:rsid w:val="002A6212"/>
    <w:rsid w:val="002A65C5"/>
    <w:rsid w:val="002A673D"/>
    <w:rsid w:val="002A6BDE"/>
    <w:rsid w:val="002A77E0"/>
    <w:rsid w:val="002B0E46"/>
    <w:rsid w:val="002B1A69"/>
    <w:rsid w:val="002B3123"/>
    <w:rsid w:val="002B3268"/>
    <w:rsid w:val="002B38CC"/>
    <w:rsid w:val="002B4E79"/>
    <w:rsid w:val="002B55D7"/>
    <w:rsid w:val="002B7102"/>
    <w:rsid w:val="002C07D9"/>
    <w:rsid w:val="002C3308"/>
    <w:rsid w:val="002C35BF"/>
    <w:rsid w:val="002C5B0A"/>
    <w:rsid w:val="002C7C17"/>
    <w:rsid w:val="002C7FDD"/>
    <w:rsid w:val="002D1183"/>
    <w:rsid w:val="002D19F8"/>
    <w:rsid w:val="002D1D76"/>
    <w:rsid w:val="002D436E"/>
    <w:rsid w:val="002D4B73"/>
    <w:rsid w:val="002E0178"/>
    <w:rsid w:val="002E3C26"/>
    <w:rsid w:val="002E4A0A"/>
    <w:rsid w:val="002E5C47"/>
    <w:rsid w:val="002E5D4F"/>
    <w:rsid w:val="002E68F1"/>
    <w:rsid w:val="002E697A"/>
    <w:rsid w:val="002F5AD9"/>
    <w:rsid w:val="002F7397"/>
    <w:rsid w:val="002F7FDD"/>
    <w:rsid w:val="00301969"/>
    <w:rsid w:val="00304563"/>
    <w:rsid w:val="00304A03"/>
    <w:rsid w:val="00304E4F"/>
    <w:rsid w:val="00304EA8"/>
    <w:rsid w:val="00305E40"/>
    <w:rsid w:val="0030674B"/>
    <w:rsid w:val="00310554"/>
    <w:rsid w:val="003105CF"/>
    <w:rsid w:val="00312EB2"/>
    <w:rsid w:val="0031343F"/>
    <w:rsid w:val="00313A3D"/>
    <w:rsid w:val="00314BBB"/>
    <w:rsid w:val="00315EEA"/>
    <w:rsid w:val="003172AD"/>
    <w:rsid w:val="00317B59"/>
    <w:rsid w:val="00317F72"/>
    <w:rsid w:val="0032220F"/>
    <w:rsid w:val="003223F5"/>
    <w:rsid w:val="00324B52"/>
    <w:rsid w:val="00326372"/>
    <w:rsid w:val="00333222"/>
    <w:rsid w:val="00333D89"/>
    <w:rsid w:val="00336F1F"/>
    <w:rsid w:val="003370D7"/>
    <w:rsid w:val="00337BA5"/>
    <w:rsid w:val="003420DA"/>
    <w:rsid w:val="0034332F"/>
    <w:rsid w:val="00343C99"/>
    <w:rsid w:val="00344200"/>
    <w:rsid w:val="00344642"/>
    <w:rsid w:val="003468A0"/>
    <w:rsid w:val="003521F7"/>
    <w:rsid w:val="003523F8"/>
    <w:rsid w:val="00354012"/>
    <w:rsid w:val="00357637"/>
    <w:rsid w:val="00357977"/>
    <w:rsid w:val="0036143F"/>
    <w:rsid w:val="00361E1D"/>
    <w:rsid w:val="003659F1"/>
    <w:rsid w:val="00370027"/>
    <w:rsid w:val="00373099"/>
    <w:rsid w:val="00374CCD"/>
    <w:rsid w:val="00374F2B"/>
    <w:rsid w:val="00374F8B"/>
    <w:rsid w:val="00375D12"/>
    <w:rsid w:val="003765B0"/>
    <w:rsid w:val="0037787A"/>
    <w:rsid w:val="003849BD"/>
    <w:rsid w:val="0038553C"/>
    <w:rsid w:val="003905E1"/>
    <w:rsid w:val="00390CED"/>
    <w:rsid w:val="00391640"/>
    <w:rsid w:val="00391D16"/>
    <w:rsid w:val="00394D28"/>
    <w:rsid w:val="00396CF6"/>
    <w:rsid w:val="003A0002"/>
    <w:rsid w:val="003A0226"/>
    <w:rsid w:val="003A2767"/>
    <w:rsid w:val="003A36E5"/>
    <w:rsid w:val="003A6AE1"/>
    <w:rsid w:val="003B4360"/>
    <w:rsid w:val="003B4577"/>
    <w:rsid w:val="003B5C98"/>
    <w:rsid w:val="003B62CC"/>
    <w:rsid w:val="003C02D4"/>
    <w:rsid w:val="003C0F92"/>
    <w:rsid w:val="003C535A"/>
    <w:rsid w:val="003C673D"/>
    <w:rsid w:val="003D075D"/>
    <w:rsid w:val="003D58FB"/>
    <w:rsid w:val="003D6923"/>
    <w:rsid w:val="003D7433"/>
    <w:rsid w:val="003D7601"/>
    <w:rsid w:val="003D7EDA"/>
    <w:rsid w:val="003E0699"/>
    <w:rsid w:val="003E0BCB"/>
    <w:rsid w:val="003E1DB5"/>
    <w:rsid w:val="003E3A2F"/>
    <w:rsid w:val="003E6746"/>
    <w:rsid w:val="003F00EC"/>
    <w:rsid w:val="003F1FA9"/>
    <w:rsid w:val="003F2BC2"/>
    <w:rsid w:val="003F424F"/>
    <w:rsid w:val="003F6CF5"/>
    <w:rsid w:val="003F6D7D"/>
    <w:rsid w:val="003F6E34"/>
    <w:rsid w:val="003F7355"/>
    <w:rsid w:val="004017BA"/>
    <w:rsid w:val="00401CF2"/>
    <w:rsid w:val="004020A4"/>
    <w:rsid w:val="00402249"/>
    <w:rsid w:val="004039CC"/>
    <w:rsid w:val="00404953"/>
    <w:rsid w:val="004057C2"/>
    <w:rsid w:val="00405F3F"/>
    <w:rsid w:val="00412B1D"/>
    <w:rsid w:val="00415541"/>
    <w:rsid w:val="00415A6E"/>
    <w:rsid w:val="00422CC4"/>
    <w:rsid w:val="00425A91"/>
    <w:rsid w:val="004265C0"/>
    <w:rsid w:val="00426A18"/>
    <w:rsid w:val="00426B1B"/>
    <w:rsid w:val="0043146E"/>
    <w:rsid w:val="0043197A"/>
    <w:rsid w:val="00436D90"/>
    <w:rsid w:val="00437743"/>
    <w:rsid w:val="0044592C"/>
    <w:rsid w:val="00446816"/>
    <w:rsid w:val="00451544"/>
    <w:rsid w:val="004521F0"/>
    <w:rsid w:val="00453FA8"/>
    <w:rsid w:val="0045469B"/>
    <w:rsid w:val="00455BF9"/>
    <w:rsid w:val="00456532"/>
    <w:rsid w:val="00460ABE"/>
    <w:rsid w:val="00460EA8"/>
    <w:rsid w:val="00461DA9"/>
    <w:rsid w:val="004632D6"/>
    <w:rsid w:val="00463F3D"/>
    <w:rsid w:val="00464224"/>
    <w:rsid w:val="00464573"/>
    <w:rsid w:val="00464701"/>
    <w:rsid w:val="00467A11"/>
    <w:rsid w:val="004719C2"/>
    <w:rsid w:val="004744B5"/>
    <w:rsid w:val="00475298"/>
    <w:rsid w:val="004772EB"/>
    <w:rsid w:val="00477981"/>
    <w:rsid w:val="0048045B"/>
    <w:rsid w:val="0048139F"/>
    <w:rsid w:val="00487E79"/>
    <w:rsid w:val="00491D45"/>
    <w:rsid w:val="00494E7A"/>
    <w:rsid w:val="00496409"/>
    <w:rsid w:val="0049747A"/>
    <w:rsid w:val="0049777C"/>
    <w:rsid w:val="004A1443"/>
    <w:rsid w:val="004A1BDD"/>
    <w:rsid w:val="004A5C71"/>
    <w:rsid w:val="004A76FD"/>
    <w:rsid w:val="004A7B07"/>
    <w:rsid w:val="004B0CF6"/>
    <w:rsid w:val="004B1BE3"/>
    <w:rsid w:val="004B20DE"/>
    <w:rsid w:val="004B2C2B"/>
    <w:rsid w:val="004B6040"/>
    <w:rsid w:val="004B6064"/>
    <w:rsid w:val="004C1A85"/>
    <w:rsid w:val="004C1FDE"/>
    <w:rsid w:val="004C24DD"/>
    <w:rsid w:val="004C5A87"/>
    <w:rsid w:val="004C756A"/>
    <w:rsid w:val="004D0E4E"/>
    <w:rsid w:val="004D155F"/>
    <w:rsid w:val="004D1ACC"/>
    <w:rsid w:val="004D554E"/>
    <w:rsid w:val="004D6DAF"/>
    <w:rsid w:val="004D7FBC"/>
    <w:rsid w:val="004E06FB"/>
    <w:rsid w:val="004E24CD"/>
    <w:rsid w:val="004E33D1"/>
    <w:rsid w:val="004E4C74"/>
    <w:rsid w:val="004E53A1"/>
    <w:rsid w:val="004E5784"/>
    <w:rsid w:val="004E5CCE"/>
    <w:rsid w:val="004E77D2"/>
    <w:rsid w:val="004F173F"/>
    <w:rsid w:val="004F1E75"/>
    <w:rsid w:val="004F3D38"/>
    <w:rsid w:val="004F43E0"/>
    <w:rsid w:val="004F51ED"/>
    <w:rsid w:val="004F7DD1"/>
    <w:rsid w:val="004F7E2D"/>
    <w:rsid w:val="00500ADE"/>
    <w:rsid w:val="005029B7"/>
    <w:rsid w:val="0050320C"/>
    <w:rsid w:val="00503303"/>
    <w:rsid w:val="00504E01"/>
    <w:rsid w:val="005050A6"/>
    <w:rsid w:val="005054B8"/>
    <w:rsid w:val="00505EFD"/>
    <w:rsid w:val="00506DBA"/>
    <w:rsid w:val="0050745A"/>
    <w:rsid w:val="0051066D"/>
    <w:rsid w:val="0051085D"/>
    <w:rsid w:val="00515B4E"/>
    <w:rsid w:val="00520802"/>
    <w:rsid w:val="00520B5C"/>
    <w:rsid w:val="005217BB"/>
    <w:rsid w:val="00522090"/>
    <w:rsid w:val="005228B5"/>
    <w:rsid w:val="00523594"/>
    <w:rsid w:val="00523A15"/>
    <w:rsid w:val="00525501"/>
    <w:rsid w:val="00525C3E"/>
    <w:rsid w:val="005314DA"/>
    <w:rsid w:val="00532DB9"/>
    <w:rsid w:val="00533133"/>
    <w:rsid w:val="00533BE3"/>
    <w:rsid w:val="005410D8"/>
    <w:rsid w:val="005431E6"/>
    <w:rsid w:val="00543E4E"/>
    <w:rsid w:val="005463C8"/>
    <w:rsid w:val="00546CBC"/>
    <w:rsid w:val="00547E10"/>
    <w:rsid w:val="00550F48"/>
    <w:rsid w:val="00552886"/>
    <w:rsid w:val="00554407"/>
    <w:rsid w:val="00555696"/>
    <w:rsid w:val="005566EA"/>
    <w:rsid w:val="00556C4E"/>
    <w:rsid w:val="00560EA9"/>
    <w:rsid w:val="00566A61"/>
    <w:rsid w:val="0057032B"/>
    <w:rsid w:val="00570599"/>
    <w:rsid w:val="0057334F"/>
    <w:rsid w:val="00573C4F"/>
    <w:rsid w:val="00574DC3"/>
    <w:rsid w:val="00577468"/>
    <w:rsid w:val="0058098F"/>
    <w:rsid w:val="00581056"/>
    <w:rsid w:val="0058192E"/>
    <w:rsid w:val="0058227B"/>
    <w:rsid w:val="00583898"/>
    <w:rsid w:val="005861B6"/>
    <w:rsid w:val="005902F8"/>
    <w:rsid w:val="00590DC1"/>
    <w:rsid w:val="00591941"/>
    <w:rsid w:val="00591D2A"/>
    <w:rsid w:val="0059363E"/>
    <w:rsid w:val="00593E62"/>
    <w:rsid w:val="005960E4"/>
    <w:rsid w:val="00596649"/>
    <w:rsid w:val="00597513"/>
    <w:rsid w:val="00597BBA"/>
    <w:rsid w:val="005A1672"/>
    <w:rsid w:val="005A170C"/>
    <w:rsid w:val="005A24D5"/>
    <w:rsid w:val="005A3472"/>
    <w:rsid w:val="005A371E"/>
    <w:rsid w:val="005A3A41"/>
    <w:rsid w:val="005A48DB"/>
    <w:rsid w:val="005A4D46"/>
    <w:rsid w:val="005A561D"/>
    <w:rsid w:val="005A5EF4"/>
    <w:rsid w:val="005B149F"/>
    <w:rsid w:val="005B35CB"/>
    <w:rsid w:val="005B72F3"/>
    <w:rsid w:val="005C60E1"/>
    <w:rsid w:val="005C7F83"/>
    <w:rsid w:val="005D0036"/>
    <w:rsid w:val="005D2623"/>
    <w:rsid w:val="005D2CD0"/>
    <w:rsid w:val="005D5BF2"/>
    <w:rsid w:val="005D68FF"/>
    <w:rsid w:val="005E1253"/>
    <w:rsid w:val="005E21CF"/>
    <w:rsid w:val="005E37A8"/>
    <w:rsid w:val="005E518D"/>
    <w:rsid w:val="005E7FD3"/>
    <w:rsid w:val="005F01EF"/>
    <w:rsid w:val="005F249D"/>
    <w:rsid w:val="005F2665"/>
    <w:rsid w:val="005F2978"/>
    <w:rsid w:val="005F38F8"/>
    <w:rsid w:val="005F3D6E"/>
    <w:rsid w:val="005F5DA0"/>
    <w:rsid w:val="006000ED"/>
    <w:rsid w:val="00604536"/>
    <w:rsid w:val="0060765D"/>
    <w:rsid w:val="006124B4"/>
    <w:rsid w:val="00613DCC"/>
    <w:rsid w:val="00616C25"/>
    <w:rsid w:val="00617D20"/>
    <w:rsid w:val="006206A5"/>
    <w:rsid w:val="00622538"/>
    <w:rsid w:val="00624780"/>
    <w:rsid w:val="00624F7C"/>
    <w:rsid w:val="0062594F"/>
    <w:rsid w:val="00630565"/>
    <w:rsid w:val="00630B98"/>
    <w:rsid w:val="0063150A"/>
    <w:rsid w:val="006352F0"/>
    <w:rsid w:val="006372CB"/>
    <w:rsid w:val="006379A9"/>
    <w:rsid w:val="0064017A"/>
    <w:rsid w:val="006405C7"/>
    <w:rsid w:val="006432C8"/>
    <w:rsid w:val="00645391"/>
    <w:rsid w:val="00651776"/>
    <w:rsid w:val="00655973"/>
    <w:rsid w:val="00655CFE"/>
    <w:rsid w:val="006562AE"/>
    <w:rsid w:val="006567A8"/>
    <w:rsid w:val="00656D40"/>
    <w:rsid w:val="00662423"/>
    <w:rsid w:val="006673D6"/>
    <w:rsid w:val="00670E20"/>
    <w:rsid w:val="00671711"/>
    <w:rsid w:val="00672479"/>
    <w:rsid w:val="00673909"/>
    <w:rsid w:val="00675D6C"/>
    <w:rsid w:val="00676CA5"/>
    <w:rsid w:val="00680CE4"/>
    <w:rsid w:val="00681749"/>
    <w:rsid w:val="00684C2B"/>
    <w:rsid w:val="00685A66"/>
    <w:rsid w:val="00685A7B"/>
    <w:rsid w:val="0068610B"/>
    <w:rsid w:val="00693001"/>
    <w:rsid w:val="00693EF6"/>
    <w:rsid w:val="00694A95"/>
    <w:rsid w:val="0069579C"/>
    <w:rsid w:val="006973DE"/>
    <w:rsid w:val="006A2811"/>
    <w:rsid w:val="006A600A"/>
    <w:rsid w:val="006A62FC"/>
    <w:rsid w:val="006B054B"/>
    <w:rsid w:val="006B175F"/>
    <w:rsid w:val="006B1A17"/>
    <w:rsid w:val="006B2211"/>
    <w:rsid w:val="006B4081"/>
    <w:rsid w:val="006B5CEF"/>
    <w:rsid w:val="006B62E8"/>
    <w:rsid w:val="006B78C5"/>
    <w:rsid w:val="006C047A"/>
    <w:rsid w:val="006C3B67"/>
    <w:rsid w:val="006C6511"/>
    <w:rsid w:val="006C72CD"/>
    <w:rsid w:val="006C7ACC"/>
    <w:rsid w:val="006C7F30"/>
    <w:rsid w:val="006D24CB"/>
    <w:rsid w:val="006D3A6B"/>
    <w:rsid w:val="006D61B0"/>
    <w:rsid w:val="006D65E3"/>
    <w:rsid w:val="006D728A"/>
    <w:rsid w:val="006E2EA4"/>
    <w:rsid w:val="006E4D9E"/>
    <w:rsid w:val="006E506D"/>
    <w:rsid w:val="006E6FF3"/>
    <w:rsid w:val="006F0745"/>
    <w:rsid w:val="006F1E31"/>
    <w:rsid w:val="006F354E"/>
    <w:rsid w:val="006F3C35"/>
    <w:rsid w:val="006F48BB"/>
    <w:rsid w:val="006F4DE0"/>
    <w:rsid w:val="006F518E"/>
    <w:rsid w:val="006F7472"/>
    <w:rsid w:val="007017EC"/>
    <w:rsid w:val="00702D34"/>
    <w:rsid w:val="007034F5"/>
    <w:rsid w:val="0070437F"/>
    <w:rsid w:val="00704926"/>
    <w:rsid w:val="00704E37"/>
    <w:rsid w:val="00705795"/>
    <w:rsid w:val="00706E2B"/>
    <w:rsid w:val="007107DB"/>
    <w:rsid w:val="007116AC"/>
    <w:rsid w:val="007118C9"/>
    <w:rsid w:val="00714A10"/>
    <w:rsid w:val="007163E9"/>
    <w:rsid w:val="00717412"/>
    <w:rsid w:val="00720C67"/>
    <w:rsid w:val="007255E6"/>
    <w:rsid w:val="00725E8B"/>
    <w:rsid w:val="00731547"/>
    <w:rsid w:val="00731DD4"/>
    <w:rsid w:val="00734051"/>
    <w:rsid w:val="00737DCC"/>
    <w:rsid w:val="007443F6"/>
    <w:rsid w:val="00746AC0"/>
    <w:rsid w:val="00747DC6"/>
    <w:rsid w:val="0075128E"/>
    <w:rsid w:val="0075651E"/>
    <w:rsid w:val="007568C3"/>
    <w:rsid w:val="00760BB3"/>
    <w:rsid w:val="00761342"/>
    <w:rsid w:val="00762614"/>
    <w:rsid w:val="00762E8A"/>
    <w:rsid w:val="007638ED"/>
    <w:rsid w:val="00763A00"/>
    <w:rsid w:val="00764D7B"/>
    <w:rsid w:val="00766700"/>
    <w:rsid w:val="00766A8F"/>
    <w:rsid w:val="007703E9"/>
    <w:rsid w:val="00770488"/>
    <w:rsid w:val="00773775"/>
    <w:rsid w:val="00774126"/>
    <w:rsid w:val="00775B0D"/>
    <w:rsid w:val="00775DE2"/>
    <w:rsid w:val="00777D92"/>
    <w:rsid w:val="00782879"/>
    <w:rsid w:val="00783635"/>
    <w:rsid w:val="00785AE0"/>
    <w:rsid w:val="007866B3"/>
    <w:rsid w:val="007875E4"/>
    <w:rsid w:val="00787B75"/>
    <w:rsid w:val="00793FFB"/>
    <w:rsid w:val="007966D3"/>
    <w:rsid w:val="007978DE"/>
    <w:rsid w:val="007A189D"/>
    <w:rsid w:val="007A274A"/>
    <w:rsid w:val="007A58F4"/>
    <w:rsid w:val="007A59DC"/>
    <w:rsid w:val="007A6BA5"/>
    <w:rsid w:val="007A6F76"/>
    <w:rsid w:val="007B10BA"/>
    <w:rsid w:val="007B29B0"/>
    <w:rsid w:val="007B3CD5"/>
    <w:rsid w:val="007B3CDE"/>
    <w:rsid w:val="007C0284"/>
    <w:rsid w:val="007C02EC"/>
    <w:rsid w:val="007C0662"/>
    <w:rsid w:val="007C210F"/>
    <w:rsid w:val="007C2C26"/>
    <w:rsid w:val="007C48A2"/>
    <w:rsid w:val="007C5D94"/>
    <w:rsid w:val="007D0767"/>
    <w:rsid w:val="007D0F3E"/>
    <w:rsid w:val="007D189B"/>
    <w:rsid w:val="007D1E4C"/>
    <w:rsid w:val="007D2B4C"/>
    <w:rsid w:val="007D5B23"/>
    <w:rsid w:val="007D7579"/>
    <w:rsid w:val="007D7C4E"/>
    <w:rsid w:val="007E4124"/>
    <w:rsid w:val="007E6FE3"/>
    <w:rsid w:val="007E7157"/>
    <w:rsid w:val="007E7EBE"/>
    <w:rsid w:val="007F2874"/>
    <w:rsid w:val="007F3F0F"/>
    <w:rsid w:val="007F5405"/>
    <w:rsid w:val="0080269E"/>
    <w:rsid w:val="008027AD"/>
    <w:rsid w:val="008037C6"/>
    <w:rsid w:val="00804CAC"/>
    <w:rsid w:val="0080649B"/>
    <w:rsid w:val="008108F1"/>
    <w:rsid w:val="00810F3C"/>
    <w:rsid w:val="00811600"/>
    <w:rsid w:val="00812921"/>
    <w:rsid w:val="008141A2"/>
    <w:rsid w:val="00814DB4"/>
    <w:rsid w:val="00816354"/>
    <w:rsid w:val="00823D40"/>
    <w:rsid w:val="00823E87"/>
    <w:rsid w:val="008247C6"/>
    <w:rsid w:val="00824960"/>
    <w:rsid w:val="00825F65"/>
    <w:rsid w:val="00826481"/>
    <w:rsid w:val="00826986"/>
    <w:rsid w:val="00830980"/>
    <w:rsid w:val="00830B43"/>
    <w:rsid w:val="008320E6"/>
    <w:rsid w:val="00832790"/>
    <w:rsid w:val="00833E12"/>
    <w:rsid w:val="0083680E"/>
    <w:rsid w:val="00843CF2"/>
    <w:rsid w:val="0084530D"/>
    <w:rsid w:val="00845659"/>
    <w:rsid w:val="00846E1C"/>
    <w:rsid w:val="00847561"/>
    <w:rsid w:val="00851502"/>
    <w:rsid w:val="008521F3"/>
    <w:rsid w:val="00853580"/>
    <w:rsid w:val="00853768"/>
    <w:rsid w:val="0085590E"/>
    <w:rsid w:val="00856A43"/>
    <w:rsid w:val="0085739C"/>
    <w:rsid w:val="00860575"/>
    <w:rsid w:val="0086063C"/>
    <w:rsid w:val="00863018"/>
    <w:rsid w:val="00865DFD"/>
    <w:rsid w:val="008677E3"/>
    <w:rsid w:val="008679CC"/>
    <w:rsid w:val="00867F15"/>
    <w:rsid w:val="008712CB"/>
    <w:rsid w:val="00871879"/>
    <w:rsid w:val="00871D88"/>
    <w:rsid w:val="008721E8"/>
    <w:rsid w:val="00872248"/>
    <w:rsid w:val="00873D83"/>
    <w:rsid w:val="00874EF5"/>
    <w:rsid w:val="00875BB1"/>
    <w:rsid w:val="0087609A"/>
    <w:rsid w:val="0087624E"/>
    <w:rsid w:val="008766A9"/>
    <w:rsid w:val="0088011F"/>
    <w:rsid w:val="00882FC1"/>
    <w:rsid w:val="008837A3"/>
    <w:rsid w:val="00883E35"/>
    <w:rsid w:val="008874B6"/>
    <w:rsid w:val="00892DFE"/>
    <w:rsid w:val="008963A9"/>
    <w:rsid w:val="00896A21"/>
    <w:rsid w:val="00897E66"/>
    <w:rsid w:val="008A3E24"/>
    <w:rsid w:val="008A4378"/>
    <w:rsid w:val="008A69A1"/>
    <w:rsid w:val="008B157F"/>
    <w:rsid w:val="008B1DC9"/>
    <w:rsid w:val="008B2D2E"/>
    <w:rsid w:val="008B3069"/>
    <w:rsid w:val="008B65F9"/>
    <w:rsid w:val="008B765B"/>
    <w:rsid w:val="008C0564"/>
    <w:rsid w:val="008C1C5E"/>
    <w:rsid w:val="008C5A0A"/>
    <w:rsid w:val="008C7F7C"/>
    <w:rsid w:val="008D1CFA"/>
    <w:rsid w:val="008D2C76"/>
    <w:rsid w:val="008D3102"/>
    <w:rsid w:val="008D6AE6"/>
    <w:rsid w:val="008D7901"/>
    <w:rsid w:val="008D7912"/>
    <w:rsid w:val="008E10FE"/>
    <w:rsid w:val="008E1D82"/>
    <w:rsid w:val="008E21D3"/>
    <w:rsid w:val="008E7592"/>
    <w:rsid w:val="008F21FB"/>
    <w:rsid w:val="008F2CD4"/>
    <w:rsid w:val="008F4769"/>
    <w:rsid w:val="008F48E9"/>
    <w:rsid w:val="008F4B99"/>
    <w:rsid w:val="008F51DF"/>
    <w:rsid w:val="008F6937"/>
    <w:rsid w:val="008F7E81"/>
    <w:rsid w:val="00900BE1"/>
    <w:rsid w:val="00902E9D"/>
    <w:rsid w:val="0090395A"/>
    <w:rsid w:val="00903AA7"/>
    <w:rsid w:val="00907A33"/>
    <w:rsid w:val="00910C05"/>
    <w:rsid w:val="00913244"/>
    <w:rsid w:val="00913446"/>
    <w:rsid w:val="009170E3"/>
    <w:rsid w:val="0091784F"/>
    <w:rsid w:val="00917A1B"/>
    <w:rsid w:val="009200FE"/>
    <w:rsid w:val="00921866"/>
    <w:rsid w:val="009219AD"/>
    <w:rsid w:val="00922454"/>
    <w:rsid w:val="00922A02"/>
    <w:rsid w:val="00924041"/>
    <w:rsid w:val="009241D5"/>
    <w:rsid w:val="0092550A"/>
    <w:rsid w:val="00927ABD"/>
    <w:rsid w:val="00932F7D"/>
    <w:rsid w:val="009367AC"/>
    <w:rsid w:val="00937A1F"/>
    <w:rsid w:val="00937CDC"/>
    <w:rsid w:val="00937D6E"/>
    <w:rsid w:val="00941CC5"/>
    <w:rsid w:val="00942C11"/>
    <w:rsid w:val="00942F3A"/>
    <w:rsid w:val="0094400A"/>
    <w:rsid w:val="0094522A"/>
    <w:rsid w:val="009471D1"/>
    <w:rsid w:val="009514B1"/>
    <w:rsid w:val="0095274D"/>
    <w:rsid w:val="00956F03"/>
    <w:rsid w:val="00960A57"/>
    <w:rsid w:val="00961B95"/>
    <w:rsid w:val="00962478"/>
    <w:rsid w:val="00962796"/>
    <w:rsid w:val="00965D67"/>
    <w:rsid w:val="009661E2"/>
    <w:rsid w:val="00967A8F"/>
    <w:rsid w:val="009703D0"/>
    <w:rsid w:val="009712B5"/>
    <w:rsid w:val="00974332"/>
    <w:rsid w:val="00977665"/>
    <w:rsid w:val="00977906"/>
    <w:rsid w:val="0098074B"/>
    <w:rsid w:val="00981D67"/>
    <w:rsid w:val="00982155"/>
    <w:rsid w:val="009829C8"/>
    <w:rsid w:val="0098345B"/>
    <w:rsid w:val="009856F2"/>
    <w:rsid w:val="00985B2D"/>
    <w:rsid w:val="00994DCC"/>
    <w:rsid w:val="00996229"/>
    <w:rsid w:val="00996236"/>
    <w:rsid w:val="00997338"/>
    <w:rsid w:val="009A264D"/>
    <w:rsid w:val="009A4D51"/>
    <w:rsid w:val="009A4EE3"/>
    <w:rsid w:val="009A6353"/>
    <w:rsid w:val="009A6641"/>
    <w:rsid w:val="009A7344"/>
    <w:rsid w:val="009A75E8"/>
    <w:rsid w:val="009B1D2B"/>
    <w:rsid w:val="009B34AC"/>
    <w:rsid w:val="009C0209"/>
    <w:rsid w:val="009C0A66"/>
    <w:rsid w:val="009C1467"/>
    <w:rsid w:val="009C2930"/>
    <w:rsid w:val="009C5B18"/>
    <w:rsid w:val="009C71E0"/>
    <w:rsid w:val="009D1A62"/>
    <w:rsid w:val="009D1EE1"/>
    <w:rsid w:val="009D253F"/>
    <w:rsid w:val="009D38C9"/>
    <w:rsid w:val="009D4431"/>
    <w:rsid w:val="009D541C"/>
    <w:rsid w:val="009D542C"/>
    <w:rsid w:val="009D6DBF"/>
    <w:rsid w:val="009D78BA"/>
    <w:rsid w:val="009D7FE6"/>
    <w:rsid w:val="009E47CC"/>
    <w:rsid w:val="009E59B8"/>
    <w:rsid w:val="009E5C19"/>
    <w:rsid w:val="009E75BD"/>
    <w:rsid w:val="009F1742"/>
    <w:rsid w:val="009F428B"/>
    <w:rsid w:val="009F6C1D"/>
    <w:rsid w:val="009F726C"/>
    <w:rsid w:val="00A01282"/>
    <w:rsid w:val="00A05F6D"/>
    <w:rsid w:val="00A06617"/>
    <w:rsid w:val="00A10C99"/>
    <w:rsid w:val="00A12C0A"/>
    <w:rsid w:val="00A13907"/>
    <w:rsid w:val="00A14802"/>
    <w:rsid w:val="00A1574B"/>
    <w:rsid w:val="00A219D3"/>
    <w:rsid w:val="00A23250"/>
    <w:rsid w:val="00A23D08"/>
    <w:rsid w:val="00A25079"/>
    <w:rsid w:val="00A251EE"/>
    <w:rsid w:val="00A26F14"/>
    <w:rsid w:val="00A27AD0"/>
    <w:rsid w:val="00A30206"/>
    <w:rsid w:val="00A34EF6"/>
    <w:rsid w:val="00A3647C"/>
    <w:rsid w:val="00A37DA1"/>
    <w:rsid w:val="00A40912"/>
    <w:rsid w:val="00A40C8D"/>
    <w:rsid w:val="00A417D8"/>
    <w:rsid w:val="00A42030"/>
    <w:rsid w:val="00A43DAD"/>
    <w:rsid w:val="00A45584"/>
    <w:rsid w:val="00A46961"/>
    <w:rsid w:val="00A51CB9"/>
    <w:rsid w:val="00A52380"/>
    <w:rsid w:val="00A52A66"/>
    <w:rsid w:val="00A53EE5"/>
    <w:rsid w:val="00A54133"/>
    <w:rsid w:val="00A61994"/>
    <w:rsid w:val="00A6705D"/>
    <w:rsid w:val="00A7020E"/>
    <w:rsid w:val="00A7172A"/>
    <w:rsid w:val="00A7432E"/>
    <w:rsid w:val="00A7491B"/>
    <w:rsid w:val="00A75E3E"/>
    <w:rsid w:val="00A80E20"/>
    <w:rsid w:val="00A8115F"/>
    <w:rsid w:val="00A82E3E"/>
    <w:rsid w:val="00A83FD0"/>
    <w:rsid w:val="00A85DCD"/>
    <w:rsid w:val="00A86498"/>
    <w:rsid w:val="00A869F1"/>
    <w:rsid w:val="00A87A48"/>
    <w:rsid w:val="00A90217"/>
    <w:rsid w:val="00A908A7"/>
    <w:rsid w:val="00A910DC"/>
    <w:rsid w:val="00A92B63"/>
    <w:rsid w:val="00A9522E"/>
    <w:rsid w:val="00A959B8"/>
    <w:rsid w:val="00A95A35"/>
    <w:rsid w:val="00AA0D86"/>
    <w:rsid w:val="00AA429C"/>
    <w:rsid w:val="00AA54E1"/>
    <w:rsid w:val="00AA737F"/>
    <w:rsid w:val="00AB4A0F"/>
    <w:rsid w:val="00AB5EF1"/>
    <w:rsid w:val="00AB614E"/>
    <w:rsid w:val="00AC1630"/>
    <w:rsid w:val="00AC2238"/>
    <w:rsid w:val="00AC518D"/>
    <w:rsid w:val="00AC595A"/>
    <w:rsid w:val="00AD0866"/>
    <w:rsid w:val="00AD14E7"/>
    <w:rsid w:val="00AD17B6"/>
    <w:rsid w:val="00AD1B0A"/>
    <w:rsid w:val="00AD1D42"/>
    <w:rsid w:val="00AD227D"/>
    <w:rsid w:val="00AD2C06"/>
    <w:rsid w:val="00AD444C"/>
    <w:rsid w:val="00AD4EDC"/>
    <w:rsid w:val="00AD6368"/>
    <w:rsid w:val="00AD6DD8"/>
    <w:rsid w:val="00AD6DEC"/>
    <w:rsid w:val="00AE0F74"/>
    <w:rsid w:val="00AE21EF"/>
    <w:rsid w:val="00AE457C"/>
    <w:rsid w:val="00AE5332"/>
    <w:rsid w:val="00AE64AA"/>
    <w:rsid w:val="00AF03E8"/>
    <w:rsid w:val="00AF14B4"/>
    <w:rsid w:val="00AF180A"/>
    <w:rsid w:val="00AF1B09"/>
    <w:rsid w:val="00AF1BEA"/>
    <w:rsid w:val="00AF2674"/>
    <w:rsid w:val="00AF6936"/>
    <w:rsid w:val="00AF76BC"/>
    <w:rsid w:val="00B00601"/>
    <w:rsid w:val="00B00F57"/>
    <w:rsid w:val="00B027DE"/>
    <w:rsid w:val="00B0289F"/>
    <w:rsid w:val="00B02A55"/>
    <w:rsid w:val="00B03394"/>
    <w:rsid w:val="00B0362D"/>
    <w:rsid w:val="00B03AF3"/>
    <w:rsid w:val="00B03F24"/>
    <w:rsid w:val="00B05D38"/>
    <w:rsid w:val="00B07B7F"/>
    <w:rsid w:val="00B131CD"/>
    <w:rsid w:val="00B137ED"/>
    <w:rsid w:val="00B14DA7"/>
    <w:rsid w:val="00B16544"/>
    <w:rsid w:val="00B16EF2"/>
    <w:rsid w:val="00B17978"/>
    <w:rsid w:val="00B203B9"/>
    <w:rsid w:val="00B21178"/>
    <w:rsid w:val="00B22FA4"/>
    <w:rsid w:val="00B2430C"/>
    <w:rsid w:val="00B2646A"/>
    <w:rsid w:val="00B27B0C"/>
    <w:rsid w:val="00B31728"/>
    <w:rsid w:val="00B31D60"/>
    <w:rsid w:val="00B33C09"/>
    <w:rsid w:val="00B36B3C"/>
    <w:rsid w:val="00B41D7F"/>
    <w:rsid w:val="00B42999"/>
    <w:rsid w:val="00B443B4"/>
    <w:rsid w:val="00B45B78"/>
    <w:rsid w:val="00B4620E"/>
    <w:rsid w:val="00B46D87"/>
    <w:rsid w:val="00B505AC"/>
    <w:rsid w:val="00B51637"/>
    <w:rsid w:val="00B544B0"/>
    <w:rsid w:val="00B565A1"/>
    <w:rsid w:val="00B56880"/>
    <w:rsid w:val="00B573F6"/>
    <w:rsid w:val="00B579E4"/>
    <w:rsid w:val="00B61983"/>
    <w:rsid w:val="00B6211D"/>
    <w:rsid w:val="00B62EE8"/>
    <w:rsid w:val="00B639ED"/>
    <w:rsid w:val="00B70CBC"/>
    <w:rsid w:val="00B70E1C"/>
    <w:rsid w:val="00B71D2B"/>
    <w:rsid w:val="00B75437"/>
    <w:rsid w:val="00B75C69"/>
    <w:rsid w:val="00B768FF"/>
    <w:rsid w:val="00B76983"/>
    <w:rsid w:val="00B811B1"/>
    <w:rsid w:val="00B812EC"/>
    <w:rsid w:val="00B81E58"/>
    <w:rsid w:val="00B822F6"/>
    <w:rsid w:val="00B82500"/>
    <w:rsid w:val="00B83FF8"/>
    <w:rsid w:val="00B8450B"/>
    <w:rsid w:val="00B8491F"/>
    <w:rsid w:val="00B8600B"/>
    <w:rsid w:val="00B861B3"/>
    <w:rsid w:val="00B901F5"/>
    <w:rsid w:val="00B9118F"/>
    <w:rsid w:val="00B92F90"/>
    <w:rsid w:val="00B936AC"/>
    <w:rsid w:val="00B95E5D"/>
    <w:rsid w:val="00B96E43"/>
    <w:rsid w:val="00B96F84"/>
    <w:rsid w:val="00B97800"/>
    <w:rsid w:val="00BA0CB6"/>
    <w:rsid w:val="00BA1C5D"/>
    <w:rsid w:val="00BA3FE2"/>
    <w:rsid w:val="00BA5C9E"/>
    <w:rsid w:val="00BA6303"/>
    <w:rsid w:val="00BB062E"/>
    <w:rsid w:val="00BB09E0"/>
    <w:rsid w:val="00BB2A30"/>
    <w:rsid w:val="00BB6E9B"/>
    <w:rsid w:val="00BC3315"/>
    <w:rsid w:val="00BC5118"/>
    <w:rsid w:val="00BC5461"/>
    <w:rsid w:val="00BC731E"/>
    <w:rsid w:val="00BD1722"/>
    <w:rsid w:val="00BD3B9B"/>
    <w:rsid w:val="00BD4177"/>
    <w:rsid w:val="00BD76E5"/>
    <w:rsid w:val="00BE0D0C"/>
    <w:rsid w:val="00BE1A74"/>
    <w:rsid w:val="00BE275B"/>
    <w:rsid w:val="00BE3523"/>
    <w:rsid w:val="00BE44C0"/>
    <w:rsid w:val="00BE6DCD"/>
    <w:rsid w:val="00BE7CA2"/>
    <w:rsid w:val="00BE7E3F"/>
    <w:rsid w:val="00BF3455"/>
    <w:rsid w:val="00BF4FC0"/>
    <w:rsid w:val="00BF62A5"/>
    <w:rsid w:val="00BF7238"/>
    <w:rsid w:val="00C00E65"/>
    <w:rsid w:val="00C01878"/>
    <w:rsid w:val="00C03A87"/>
    <w:rsid w:val="00C03FDC"/>
    <w:rsid w:val="00C1144F"/>
    <w:rsid w:val="00C1185B"/>
    <w:rsid w:val="00C11AB7"/>
    <w:rsid w:val="00C12115"/>
    <w:rsid w:val="00C14196"/>
    <w:rsid w:val="00C14A7F"/>
    <w:rsid w:val="00C15650"/>
    <w:rsid w:val="00C2432A"/>
    <w:rsid w:val="00C24C29"/>
    <w:rsid w:val="00C25380"/>
    <w:rsid w:val="00C25757"/>
    <w:rsid w:val="00C26431"/>
    <w:rsid w:val="00C331DE"/>
    <w:rsid w:val="00C34FFC"/>
    <w:rsid w:val="00C354A9"/>
    <w:rsid w:val="00C35FE8"/>
    <w:rsid w:val="00C364D5"/>
    <w:rsid w:val="00C36624"/>
    <w:rsid w:val="00C40395"/>
    <w:rsid w:val="00C4088E"/>
    <w:rsid w:val="00C42B05"/>
    <w:rsid w:val="00C43524"/>
    <w:rsid w:val="00C43E0D"/>
    <w:rsid w:val="00C443BB"/>
    <w:rsid w:val="00C444A0"/>
    <w:rsid w:val="00C445B4"/>
    <w:rsid w:val="00C45083"/>
    <w:rsid w:val="00C45C18"/>
    <w:rsid w:val="00C45E20"/>
    <w:rsid w:val="00C4677B"/>
    <w:rsid w:val="00C47580"/>
    <w:rsid w:val="00C47DD9"/>
    <w:rsid w:val="00C506E0"/>
    <w:rsid w:val="00C517AB"/>
    <w:rsid w:val="00C51C8E"/>
    <w:rsid w:val="00C52337"/>
    <w:rsid w:val="00C53794"/>
    <w:rsid w:val="00C540EE"/>
    <w:rsid w:val="00C56D2F"/>
    <w:rsid w:val="00C5732E"/>
    <w:rsid w:val="00C6298D"/>
    <w:rsid w:val="00C63744"/>
    <w:rsid w:val="00C6441C"/>
    <w:rsid w:val="00C66A1E"/>
    <w:rsid w:val="00C709BA"/>
    <w:rsid w:val="00C70AE0"/>
    <w:rsid w:val="00C715C5"/>
    <w:rsid w:val="00C7188E"/>
    <w:rsid w:val="00C72134"/>
    <w:rsid w:val="00C80FC9"/>
    <w:rsid w:val="00C84FCA"/>
    <w:rsid w:val="00C8634B"/>
    <w:rsid w:val="00C86A8D"/>
    <w:rsid w:val="00C91737"/>
    <w:rsid w:val="00C937A4"/>
    <w:rsid w:val="00C96F38"/>
    <w:rsid w:val="00CA290A"/>
    <w:rsid w:val="00CA4530"/>
    <w:rsid w:val="00CA51D0"/>
    <w:rsid w:val="00CA7B21"/>
    <w:rsid w:val="00CB07D0"/>
    <w:rsid w:val="00CB1E1D"/>
    <w:rsid w:val="00CB40A5"/>
    <w:rsid w:val="00CB5354"/>
    <w:rsid w:val="00CB63F8"/>
    <w:rsid w:val="00CB69F8"/>
    <w:rsid w:val="00CC0341"/>
    <w:rsid w:val="00CC15F0"/>
    <w:rsid w:val="00CC65F8"/>
    <w:rsid w:val="00CC6A7D"/>
    <w:rsid w:val="00CD001B"/>
    <w:rsid w:val="00CD06EA"/>
    <w:rsid w:val="00CD19AC"/>
    <w:rsid w:val="00CD1CC9"/>
    <w:rsid w:val="00CD24D5"/>
    <w:rsid w:val="00CD2910"/>
    <w:rsid w:val="00CD3C61"/>
    <w:rsid w:val="00CD40F5"/>
    <w:rsid w:val="00CD4EC6"/>
    <w:rsid w:val="00CD60BD"/>
    <w:rsid w:val="00CD6A78"/>
    <w:rsid w:val="00CD771F"/>
    <w:rsid w:val="00CE20A5"/>
    <w:rsid w:val="00CE20F0"/>
    <w:rsid w:val="00CE2E39"/>
    <w:rsid w:val="00CE415A"/>
    <w:rsid w:val="00CE4AE0"/>
    <w:rsid w:val="00CE56D4"/>
    <w:rsid w:val="00CE579C"/>
    <w:rsid w:val="00CE6D44"/>
    <w:rsid w:val="00CF299C"/>
    <w:rsid w:val="00CF2A03"/>
    <w:rsid w:val="00CF346B"/>
    <w:rsid w:val="00CF5752"/>
    <w:rsid w:val="00D00357"/>
    <w:rsid w:val="00D00A41"/>
    <w:rsid w:val="00D03F19"/>
    <w:rsid w:val="00D04440"/>
    <w:rsid w:val="00D05D3F"/>
    <w:rsid w:val="00D0684E"/>
    <w:rsid w:val="00D07057"/>
    <w:rsid w:val="00D14ADF"/>
    <w:rsid w:val="00D21716"/>
    <w:rsid w:val="00D33F23"/>
    <w:rsid w:val="00D343BE"/>
    <w:rsid w:val="00D3498E"/>
    <w:rsid w:val="00D349B3"/>
    <w:rsid w:val="00D37CAF"/>
    <w:rsid w:val="00D41686"/>
    <w:rsid w:val="00D42DDC"/>
    <w:rsid w:val="00D4435D"/>
    <w:rsid w:val="00D459FE"/>
    <w:rsid w:val="00D4604D"/>
    <w:rsid w:val="00D4699C"/>
    <w:rsid w:val="00D477F5"/>
    <w:rsid w:val="00D4789E"/>
    <w:rsid w:val="00D47D61"/>
    <w:rsid w:val="00D51EF2"/>
    <w:rsid w:val="00D544AE"/>
    <w:rsid w:val="00D57DA3"/>
    <w:rsid w:val="00D60C24"/>
    <w:rsid w:val="00D639EF"/>
    <w:rsid w:val="00D64C7C"/>
    <w:rsid w:val="00D673AD"/>
    <w:rsid w:val="00D700AB"/>
    <w:rsid w:val="00D73125"/>
    <w:rsid w:val="00D731DF"/>
    <w:rsid w:val="00D74B67"/>
    <w:rsid w:val="00D760D6"/>
    <w:rsid w:val="00D81A78"/>
    <w:rsid w:val="00D82195"/>
    <w:rsid w:val="00D82251"/>
    <w:rsid w:val="00D838F0"/>
    <w:rsid w:val="00D919CD"/>
    <w:rsid w:val="00D92506"/>
    <w:rsid w:val="00D92AA3"/>
    <w:rsid w:val="00D94116"/>
    <w:rsid w:val="00D96950"/>
    <w:rsid w:val="00D96BC6"/>
    <w:rsid w:val="00DA0B3C"/>
    <w:rsid w:val="00DA2204"/>
    <w:rsid w:val="00DA22A6"/>
    <w:rsid w:val="00DA2FF3"/>
    <w:rsid w:val="00DA3EB8"/>
    <w:rsid w:val="00DA4C0C"/>
    <w:rsid w:val="00DA5789"/>
    <w:rsid w:val="00DA6F1B"/>
    <w:rsid w:val="00DA7D1F"/>
    <w:rsid w:val="00DB0114"/>
    <w:rsid w:val="00DB16E3"/>
    <w:rsid w:val="00DB3EE0"/>
    <w:rsid w:val="00DB4C77"/>
    <w:rsid w:val="00DC0357"/>
    <w:rsid w:val="00DC0BA9"/>
    <w:rsid w:val="00DC1326"/>
    <w:rsid w:val="00DC2E44"/>
    <w:rsid w:val="00DC3D44"/>
    <w:rsid w:val="00DC463E"/>
    <w:rsid w:val="00DC48F1"/>
    <w:rsid w:val="00DC5184"/>
    <w:rsid w:val="00DD0809"/>
    <w:rsid w:val="00DD12EC"/>
    <w:rsid w:val="00DD165F"/>
    <w:rsid w:val="00DD20EE"/>
    <w:rsid w:val="00DD2FDB"/>
    <w:rsid w:val="00DD3935"/>
    <w:rsid w:val="00DD4BED"/>
    <w:rsid w:val="00DD4FDF"/>
    <w:rsid w:val="00DD695D"/>
    <w:rsid w:val="00DE177A"/>
    <w:rsid w:val="00DE2985"/>
    <w:rsid w:val="00DE3450"/>
    <w:rsid w:val="00DE3F88"/>
    <w:rsid w:val="00DF3149"/>
    <w:rsid w:val="00DF564F"/>
    <w:rsid w:val="00DF5F20"/>
    <w:rsid w:val="00E00631"/>
    <w:rsid w:val="00E0128F"/>
    <w:rsid w:val="00E102D5"/>
    <w:rsid w:val="00E1395F"/>
    <w:rsid w:val="00E20AF6"/>
    <w:rsid w:val="00E228AE"/>
    <w:rsid w:val="00E26315"/>
    <w:rsid w:val="00E3277E"/>
    <w:rsid w:val="00E33527"/>
    <w:rsid w:val="00E34997"/>
    <w:rsid w:val="00E34EC7"/>
    <w:rsid w:val="00E35A2E"/>
    <w:rsid w:val="00E36C36"/>
    <w:rsid w:val="00E37BC9"/>
    <w:rsid w:val="00E43BE2"/>
    <w:rsid w:val="00E443DC"/>
    <w:rsid w:val="00E4558C"/>
    <w:rsid w:val="00E45D6A"/>
    <w:rsid w:val="00E46007"/>
    <w:rsid w:val="00E46A98"/>
    <w:rsid w:val="00E47EE5"/>
    <w:rsid w:val="00E5027D"/>
    <w:rsid w:val="00E52128"/>
    <w:rsid w:val="00E538C1"/>
    <w:rsid w:val="00E53CA6"/>
    <w:rsid w:val="00E57594"/>
    <w:rsid w:val="00E607FD"/>
    <w:rsid w:val="00E62673"/>
    <w:rsid w:val="00E639AE"/>
    <w:rsid w:val="00E64453"/>
    <w:rsid w:val="00E658DA"/>
    <w:rsid w:val="00E6658B"/>
    <w:rsid w:val="00E6662A"/>
    <w:rsid w:val="00E66E7C"/>
    <w:rsid w:val="00E67B3E"/>
    <w:rsid w:val="00E70402"/>
    <w:rsid w:val="00E70EC3"/>
    <w:rsid w:val="00E75A81"/>
    <w:rsid w:val="00E771E0"/>
    <w:rsid w:val="00E77496"/>
    <w:rsid w:val="00E77B46"/>
    <w:rsid w:val="00E84036"/>
    <w:rsid w:val="00E858B0"/>
    <w:rsid w:val="00E85BD1"/>
    <w:rsid w:val="00E87F5A"/>
    <w:rsid w:val="00E91FD2"/>
    <w:rsid w:val="00E93E8A"/>
    <w:rsid w:val="00E94C6C"/>
    <w:rsid w:val="00EA01C5"/>
    <w:rsid w:val="00EA5984"/>
    <w:rsid w:val="00EA69C9"/>
    <w:rsid w:val="00EA7BC1"/>
    <w:rsid w:val="00EB06A9"/>
    <w:rsid w:val="00EB0FE2"/>
    <w:rsid w:val="00EB48E8"/>
    <w:rsid w:val="00EB59C5"/>
    <w:rsid w:val="00EB6586"/>
    <w:rsid w:val="00EC0682"/>
    <w:rsid w:val="00EC5F3D"/>
    <w:rsid w:val="00EC71C5"/>
    <w:rsid w:val="00EC7348"/>
    <w:rsid w:val="00EC7AB8"/>
    <w:rsid w:val="00ED5BAC"/>
    <w:rsid w:val="00ED5F29"/>
    <w:rsid w:val="00ED7195"/>
    <w:rsid w:val="00ED7B00"/>
    <w:rsid w:val="00EE1070"/>
    <w:rsid w:val="00EE5E1B"/>
    <w:rsid w:val="00EE7985"/>
    <w:rsid w:val="00EF1E00"/>
    <w:rsid w:val="00EF4797"/>
    <w:rsid w:val="00EF565C"/>
    <w:rsid w:val="00EF56E3"/>
    <w:rsid w:val="00EF6AEA"/>
    <w:rsid w:val="00F011CF"/>
    <w:rsid w:val="00F01B7D"/>
    <w:rsid w:val="00F0335D"/>
    <w:rsid w:val="00F049B4"/>
    <w:rsid w:val="00F05AA3"/>
    <w:rsid w:val="00F108DE"/>
    <w:rsid w:val="00F10E57"/>
    <w:rsid w:val="00F110B4"/>
    <w:rsid w:val="00F117B8"/>
    <w:rsid w:val="00F168FE"/>
    <w:rsid w:val="00F23A70"/>
    <w:rsid w:val="00F2416B"/>
    <w:rsid w:val="00F24857"/>
    <w:rsid w:val="00F261AD"/>
    <w:rsid w:val="00F271DE"/>
    <w:rsid w:val="00F307F4"/>
    <w:rsid w:val="00F318A3"/>
    <w:rsid w:val="00F31993"/>
    <w:rsid w:val="00F32848"/>
    <w:rsid w:val="00F34133"/>
    <w:rsid w:val="00F374AC"/>
    <w:rsid w:val="00F37BF1"/>
    <w:rsid w:val="00F37D6D"/>
    <w:rsid w:val="00F4264A"/>
    <w:rsid w:val="00F42CE5"/>
    <w:rsid w:val="00F4514B"/>
    <w:rsid w:val="00F45BF0"/>
    <w:rsid w:val="00F4621A"/>
    <w:rsid w:val="00F531ED"/>
    <w:rsid w:val="00F55291"/>
    <w:rsid w:val="00F56F6C"/>
    <w:rsid w:val="00F56FAA"/>
    <w:rsid w:val="00F57552"/>
    <w:rsid w:val="00F612AF"/>
    <w:rsid w:val="00F64209"/>
    <w:rsid w:val="00F643C7"/>
    <w:rsid w:val="00F65DD0"/>
    <w:rsid w:val="00F66181"/>
    <w:rsid w:val="00F67E3A"/>
    <w:rsid w:val="00F7035B"/>
    <w:rsid w:val="00F74283"/>
    <w:rsid w:val="00F756CE"/>
    <w:rsid w:val="00F75833"/>
    <w:rsid w:val="00F7741B"/>
    <w:rsid w:val="00F80F49"/>
    <w:rsid w:val="00F82D1D"/>
    <w:rsid w:val="00F84CDE"/>
    <w:rsid w:val="00F85A28"/>
    <w:rsid w:val="00F8670F"/>
    <w:rsid w:val="00F903B8"/>
    <w:rsid w:val="00FA07F4"/>
    <w:rsid w:val="00FA0A4E"/>
    <w:rsid w:val="00FA0F53"/>
    <w:rsid w:val="00FA19BD"/>
    <w:rsid w:val="00FA2B88"/>
    <w:rsid w:val="00FA4540"/>
    <w:rsid w:val="00FA5E35"/>
    <w:rsid w:val="00FA68E7"/>
    <w:rsid w:val="00FB374C"/>
    <w:rsid w:val="00FB4B5A"/>
    <w:rsid w:val="00FB5AB9"/>
    <w:rsid w:val="00FB69A3"/>
    <w:rsid w:val="00FB700A"/>
    <w:rsid w:val="00FC0038"/>
    <w:rsid w:val="00FC32AB"/>
    <w:rsid w:val="00FC40A7"/>
    <w:rsid w:val="00FC4D29"/>
    <w:rsid w:val="00FC7871"/>
    <w:rsid w:val="00FD1B86"/>
    <w:rsid w:val="00FD590A"/>
    <w:rsid w:val="00FD616C"/>
    <w:rsid w:val="00FE05A7"/>
    <w:rsid w:val="00FE39BE"/>
    <w:rsid w:val="00FE6A1F"/>
    <w:rsid w:val="00FF1A65"/>
    <w:rsid w:val="00FF1C45"/>
    <w:rsid w:val="00FF2DAB"/>
    <w:rsid w:val="00FF3F35"/>
    <w:rsid w:val="00FF46BC"/>
    <w:rsid w:val="00FF6842"/>
    <w:rsid w:val="2F691CAD"/>
    <w:rsid w:val="3243C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743C"/>
  <w15:docId w15:val="{9C1FE4B1-9D2B-4CB1-B678-52ED32A6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
    <w:name w:val="Antraštė 1"/>
    <w:basedOn w:val="ListParagraph"/>
    <w:link w:val="Antrat1Char"/>
    <w:qFormat/>
    <w:rsid w:val="00731547"/>
    <w:pPr>
      <w:numPr>
        <w:numId w:val="1"/>
      </w:numPr>
      <w:spacing w:after="120" w:line="240" w:lineRule="atLeast"/>
      <w:contextualSpacing w:val="0"/>
    </w:pPr>
    <w:rPr>
      <w:rFonts w:ascii="Tahoma" w:hAnsi="Tahoma" w:cs="Tahoma"/>
      <w:b/>
      <w:szCs w:val="20"/>
    </w:rPr>
  </w:style>
  <w:style w:type="paragraph" w:customStyle="1" w:styleId="Antrat2">
    <w:name w:val="Antraštė 2"/>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styleId="UnresolvedMention">
    <w:name w:val="Unresolved Mention"/>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 w:type="table" w:customStyle="1" w:styleId="TableGrid1">
    <w:name w:val="Table Grid1"/>
    <w:basedOn w:val="TableNormal"/>
    <w:next w:val="TableGrid"/>
    <w:uiPriority w:val="39"/>
    <w:rsid w:val="00C25757"/>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35A"/>
    <w:pPr>
      <w:spacing w:line="240" w:lineRule="auto"/>
    </w:pPr>
    <w:rPr>
      <w:szCs w:val="20"/>
    </w:rPr>
  </w:style>
  <w:style w:type="character" w:customStyle="1" w:styleId="FootnoteTextChar">
    <w:name w:val="Footnote Text Char"/>
    <w:basedOn w:val="DefaultParagraphFont"/>
    <w:link w:val="FootnoteText"/>
    <w:uiPriority w:val="99"/>
    <w:semiHidden/>
    <w:rsid w:val="003C535A"/>
    <w:rPr>
      <w:szCs w:val="20"/>
    </w:rPr>
  </w:style>
  <w:style w:type="character" w:styleId="FootnoteReference">
    <w:name w:val="footnote reference"/>
    <w:basedOn w:val="DefaultParagraphFont"/>
    <w:uiPriority w:val="99"/>
    <w:semiHidden/>
    <w:unhideWhenUsed/>
    <w:rsid w:val="003C5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039668248">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gl&#279;Maz&#279;tyt&#279;\Desktop\KO_atlygio_politika.v1.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gl&#279;Maz&#279;tyt&#279;\Desktop\KO_atlygio_politika.v1.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gl&#279;Maz&#279;tyt&#279;\Desktop\KO_atlygio_politika.v1.docx" TargetMode="External"/><Relationship Id="rId5" Type="http://schemas.openxmlformats.org/officeDocument/2006/relationships/numbering" Target="numbering.xml"/><Relationship Id="rId15" Type="http://schemas.openxmlformats.org/officeDocument/2006/relationships/hyperlink" Target="file:///C:\Users\Egl&#279;Maz&#279;tyt&#279;\Desktop\KO_atlygio_politika.v1.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Egl&#279;Maz&#279;tyt&#279;\Desktop\KO_atlygio_politika.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5698F-8A70-4C97-976B-C7DDA1938AD5}">
  <ds:schemaRefs>
    <ds:schemaRef ds:uri="http://schemas.microsoft.com/sharepoint/v3/contenttype/forms"/>
  </ds:schemaRefs>
</ds:datastoreItem>
</file>

<file path=customXml/itemProps2.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3466E41C-3FB8-4779-B02D-0DFCF8644C1A}">
  <ds:schemaRefs>
    <ds:schemaRef ds:uri="http://schemas.openxmlformats.org/officeDocument/2006/bibliography"/>
  </ds:schemaRefs>
</ds:datastoreItem>
</file>

<file path=customXml/itemProps4.xml><?xml version="1.0" encoding="utf-8"?>
<ds:datastoreItem xmlns:ds="http://schemas.openxmlformats.org/officeDocument/2006/customXml" ds:itemID="{4F98E16A-5CB3-4FB0-875F-DF326496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10210</Words>
  <Characters>5820</Characters>
  <Application>Microsoft Office Word</Application>
  <DocSecurity>4</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Almantas</dc:creator>
  <cp:lastModifiedBy>Laura Šebekienė</cp:lastModifiedBy>
  <cp:revision>2</cp:revision>
  <cp:lastPrinted>2020-02-20T07:22:00Z</cp:lastPrinted>
  <dcterms:created xsi:type="dcterms:W3CDTF">2024-03-27T16:49:00Z</dcterms:created>
  <dcterms:modified xsi:type="dcterms:W3CDTF">2024-03-27T16:49:00Z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0x010100ADCB50C0087B43409BF32004F28C7620</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75464948-aeeb-436c-a291-ab13687dc8ce_Enabled">
    <vt:lpwstr>true</vt:lpwstr>
  </property>
  <property fmtid="{D5CDD505-2E9C-101B-9397-08002B2CF9AE}" pid="12" name="MSIP_Label_75464948-aeeb-436c-a291-ab13687dc8ce_SetDate">
    <vt:lpwstr>2022-05-20T04:43:36Z</vt:lpwstr>
  </property>
  <property fmtid="{D5CDD505-2E9C-101B-9397-08002B2CF9AE}" pid="13" name="MSIP_Label_75464948-aeeb-436c-a291-ab13687dc8ce_Method">
    <vt:lpwstr>Standard</vt:lpwstr>
  </property>
  <property fmtid="{D5CDD505-2E9C-101B-9397-08002B2CF9AE}" pid="14" name="MSIP_Label_75464948-aeeb-436c-a291-ab13687dc8ce_Name">
    <vt:lpwstr>Internal</vt:lpwstr>
  </property>
  <property fmtid="{D5CDD505-2E9C-101B-9397-08002B2CF9AE}" pid="15" name="MSIP_Label_75464948-aeeb-436c-a291-ab13687dc8ce_SiteId">
    <vt:lpwstr>e54289c6-b630-4215-acc5-57eec01212d6</vt:lpwstr>
  </property>
  <property fmtid="{D5CDD505-2E9C-101B-9397-08002B2CF9AE}" pid="16" name="MSIP_Label_75464948-aeeb-436c-a291-ab13687dc8ce_ActionId">
    <vt:lpwstr>18331358-ea83-4602-8836-28bba489dbf1</vt:lpwstr>
  </property>
  <property fmtid="{D5CDD505-2E9C-101B-9397-08002B2CF9AE}" pid="17" name="MSIP_Label_75464948-aeeb-436c-a291-ab13687dc8ce_ContentBits">
    <vt:lpwstr>0</vt:lpwstr>
  </property>
</Properties>
</file>