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01B15" w14:textId="0891A379" w:rsidR="00773927" w:rsidRPr="008424C1" w:rsidRDefault="00773927" w:rsidP="00773927">
      <w:pPr>
        <w:jc w:val="right"/>
        <w:rPr>
          <w:rFonts w:ascii="Nunito Sans" w:hAnsi="Nunito Sans" w:cs="Times New Roman"/>
          <w:b/>
          <w:sz w:val="20"/>
          <w:szCs w:val="20"/>
          <w:lang w:val="en-US"/>
        </w:rPr>
      </w:pPr>
      <w:r w:rsidRPr="008424C1">
        <w:rPr>
          <w:lang w:val="en-US"/>
        </w:rPr>
        <w:t xml:space="preserve"> </w:t>
      </w:r>
      <w:r w:rsidRPr="008424C1">
        <w:rPr>
          <w:rFonts w:ascii="Nunito Sans" w:hAnsi="Nunito Sans" w:cs="Times New Roman"/>
          <w:b/>
          <w:sz w:val="20"/>
          <w:szCs w:val="20"/>
          <w:lang w:val="en-US"/>
        </w:rPr>
        <w:t>Press release</w:t>
      </w:r>
    </w:p>
    <w:p w14:paraId="030BE45A" w14:textId="0C8253C7" w:rsidR="00773927" w:rsidRPr="008424C1" w:rsidRDefault="00773927" w:rsidP="00773927">
      <w:pPr>
        <w:jc w:val="right"/>
        <w:rPr>
          <w:rFonts w:ascii="Nunito Sans" w:hAnsi="Nunito Sans" w:cs="Times New Roman"/>
          <w:b/>
          <w:sz w:val="20"/>
          <w:szCs w:val="20"/>
          <w:lang w:val="en-US"/>
        </w:rPr>
      </w:pPr>
      <w:r w:rsidRPr="008424C1">
        <w:rPr>
          <w:rFonts w:ascii="Nunito Sans" w:hAnsi="Nunito Sans" w:cs="Times New Roman"/>
          <w:b/>
          <w:sz w:val="20"/>
          <w:szCs w:val="20"/>
          <w:lang w:val="en-US"/>
        </w:rPr>
        <w:t>27 February</w:t>
      </w:r>
    </w:p>
    <w:p w14:paraId="7B3F96C5" w14:textId="77777777" w:rsidR="00AE1E76" w:rsidRDefault="00AE1E76" w:rsidP="00773927">
      <w:pPr>
        <w:jc w:val="both"/>
        <w:rPr>
          <w:rFonts w:ascii="Nunito Sans" w:hAnsi="Nunito Sans" w:cs="Times New Roman"/>
          <w:b/>
          <w:sz w:val="20"/>
          <w:szCs w:val="20"/>
          <w:lang w:val="en-US"/>
        </w:rPr>
      </w:pPr>
    </w:p>
    <w:p w14:paraId="7A43FD80" w14:textId="3B6DB82E" w:rsidR="00773927" w:rsidRPr="008424C1" w:rsidRDefault="00773927" w:rsidP="00773927">
      <w:pPr>
        <w:jc w:val="both"/>
        <w:rPr>
          <w:rFonts w:ascii="Nunito Sans" w:hAnsi="Nunito Sans" w:cs="Times New Roman"/>
          <w:b/>
          <w:sz w:val="20"/>
          <w:szCs w:val="20"/>
          <w:lang w:val="en-US"/>
        </w:rPr>
      </w:pPr>
      <w:r w:rsidRPr="008424C1">
        <w:rPr>
          <w:rFonts w:ascii="Nunito Sans" w:hAnsi="Nunito Sans" w:cs="Times New Roman"/>
          <w:b/>
          <w:sz w:val="20"/>
          <w:szCs w:val="20"/>
          <w:lang w:val="en-US"/>
        </w:rPr>
        <w:t>Amber Grid’s 2025 results: revenue reached EUR 69.6 million, net profit – EUR 1.3 million</w:t>
      </w:r>
    </w:p>
    <w:p w14:paraId="4A358AED" w14:textId="77777777" w:rsidR="00773927" w:rsidRPr="008424C1" w:rsidRDefault="00773927" w:rsidP="00773927">
      <w:pPr>
        <w:jc w:val="both"/>
        <w:rPr>
          <w:rFonts w:ascii="Nunito Sans" w:hAnsi="Nunito Sans" w:cs="Times New Roman"/>
          <w:b/>
          <w:sz w:val="20"/>
          <w:szCs w:val="20"/>
          <w:lang w:val="en-US"/>
        </w:rPr>
      </w:pPr>
    </w:p>
    <w:p w14:paraId="1D61092C" w14:textId="4DE79B27" w:rsidR="00773927" w:rsidRPr="008424C1" w:rsidRDefault="00773927" w:rsidP="00773927">
      <w:pPr>
        <w:jc w:val="both"/>
        <w:rPr>
          <w:rFonts w:ascii="Nunito Sans" w:hAnsi="Nunito Sans" w:cs="Times New Roman"/>
          <w:bCs/>
          <w:sz w:val="20"/>
          <w:szCs w:val="20"/>
          <w:lang w:val="en-US"/>
        </w:rPr>
      </w:pPr>
      <w:r w:rsidRPr="008424C1">
        <w:rPr>
          <w:rFonts w:ascii="Nunito Sans" w:hAnsi="Nunito Sans" w:cs="Times New Roman"/>
          <w:bCs/>
          <w:sz w:val="20"/>
          <w:szCs w:val="20"/>
          <w:lang w:val="en-US"/>
        </w:rPr>
        <w:t xml:space="preserve">The revenue of Lithuania’s gas transmission system operator Amber Grid amounted to EUR 69.6 million in 2025, which is 6% less than in 2024, when revenue reached EUR 74.3 million. The largest share of revenue – EUR 59.4 million – was generated from natural gas transmission, and EUR 9.9 million – from gas transmission system balancing products. The remaining small portion consisted of revenue from connecting new users and </w:t>
      </w:r>
      <w:r w:rsidR="00FB522A">
        <w:rPr>
          <w:rFonts w:ascii="Nunito Sans" w:hAnsi="Nunito Sans" w:cs="Times New Roman"/>
          <w:bCs/>
          <w:sz w:val="20"/>
          <w:szCs w:val="20"/>
          <w:lang w:val="en-US"/>
        </w:rPr>
        <w:t>administration</w:t>
      </w:r>
      <w:r w:rsidR="00D242B4">
        <w:rPr>
          <w:rFonts w:ascii="Nunito Sans" w:hAnsi="Nunito Sans" w:cs="Times New Roman"/>
          <w:bCs/>
          <w:sz w:val="20"/>
          <w:szCs w:val="20"/>
          <w:lang w:val="en-US"/>
        </w:rPr>
        <w:t xml:space="preserve"> </w:t>
      </w:r>
      <w:proofErr w:type="gramStart"/>
      <w:r w:rsidR="00D242B4">
        <w:rPr>
          <w:rFonts w:ascii="Nunito Sans" w:hAnsi="Nunito Sans" w:cs="Times New Roman"/>
          <w:bCs/>
          <w:sz w:val="20"/>
          <w:szCs w:val="20"/>
          <w:lang w:val="en-US"/>
        </w:rPr>
        <w:t>of</w:t>
      </w:r>
      <w:r w:rsidR="00FB522A">
        <w:rPr>
          <w:rFonts w:ascii="Nunito Sans" w:hAnsi="Nunito Sans" w:cs="Times New Roman"/>
          <w:bCs/>
          <w:sz w:val="20"/>
          <w:szCs w:val="20"/>
          <w:lang w:val="en-US"/>
        </w:rPr>
        <w:t xml:space="preserve"> </w:t>
      </w:r>
      <w:r w:rsidRPr="008424C1">
        <w:rPr>
          <w:rFonts w:ascii="Nunito Sans" w:hAnsi="Nunito Sans" w:cs="Times New Roman"/>
          <w:bCs/>
          <w:sz w:val="20"/>
          <w:szCs w:val="20"/>
          <w:lang w:val="en-US"/>
        </w:rPr>
        <w:t xml:space="preserve"> LNG</w:t>
      </w:r>
      <w:proofErr w:type="gramEnd"/>
      <w:r w:rsidRPr="008424C1">
        <w:rPr>
          <w:rFonts w:ascii="Nunito Sans" w:hAnsi="Nunito Sans" w:cs="Times New Roman"/>
          <w:bCs/>
          <w:sz w:val="20"/>
          <w:szCs w:val="20"/>
          <w:lang w:val="en-US"/>
        </w:rPr>
        <w:t xml:space="preserve"> terminal funds. The decrease in natural gas transmission revenue was mainly driven by lower transmission tariffs applied in 2025, while balancing product revenue declined due to reduced balancing needs.</w:t>
      </w:r>
    </w:p>
    <w:p w14:paraId="718684BD" w14:textId="77777777" w:rsidR="00E742A9" w:rsidRPr="003B7A3D" w:rsidRDefault="00E742A9" w:rsidP="00773927">
      <w:pPr>
        <w:jc w:val="both"/>
        <w:rPr>
          <w:rFonts w:ascii="Nunito Sans" w:hAnsi="Nunito Sans" w:cs="Times New Roman"/>
          <w:b/>
          <w:sz w:val="20"/>
          <w:szCs w:val="20"/>
          <w:lang w:val="en-US"/>
        </w:rPr>
      </w:pPr>
    </w:p>
    <w:p w14:paraId="2EA99628" w14:textId="77777777" w:rsidR="00773927" w:rsidRPr="003B7A3D" w:rsidRDefault="00773927" w:rsidP="00773927">
      <w:pPr>
        <w:jc w:val="both"/>
        <w:rPr>
          <w:rFonts w:ascii="Nunito Sans" w:hAnsi="Nunito Sans" w:cs="Times New Roman"/>
          <w:b/>
          <w:sz w:val="20"/>
          <w:szCs w:val="20"/>
          <w:lang w:val="en-US"/>
        </w:rPr>
      </w:pPr>
      <w:r w:rsidRPr="003B7A3D">
        <w:rPr>
          <w:rFonts w:ascii="Nunito Sans" w:hAnsi="Nunito Sans" w:cs="Times New Roman"/>
          <w:b/>
          <w:sz w:val="20"/>
          <w:szCs w:val="20"/>
          <w:lang w:val="en-US"/>
        </w:rPr>
        <w:t>Financial results</w:t>
      </w:r>
    </w:p>
    <w:p w14:paraId="0C8CC3A6" w14:textId="77777777" w:rsidR="00E742A9" w:rsidRPr="008424C1" w:rsidRDefault="00E742A9" w:rsidP="00773927">
      <w:pPr>
        <w:jc w:val="both"/>
        <w:rPr>
          <w:rFonts w:ascii="Nunito Sans" w:hAnsi="Nunito Sans" w:cs="Times New Roman"/>
          <w:bCs/>
          <w:sz w:val="20"/>
          <w:szCs w:val="20"/>
          <w:lang w:val="en-US"/>
        </w:rPr>
      </w:pPr>
    </w:p>
    <w:p w14:paraId="3AF246B6" w14:textId="77777777" w:rsidR="00773927" w:rsidRPr="008424C1" w:rsidRDefault="00773927" w:rsidP="00773927">
      <w:pPr>
        <w:jc w:val="both"/>
        <w:rPr>
          <w:rFonts w:ascii="Nunito Sans" w:hAnsi="Nunito Sans" w:cs="Times New Roman"/>
          <w:bCs/>
          <w:sz w:val="20"/>
          <w:szCs w:val="20"/>
          <w:lang w:val="en-US"/>
        </w:rPr>
      </w:pPr>
      <w:r w:rsidRPr="008424C1">
        <w:rPr>
          <w:rFonts w:ascii="Nunito Sans" w:hAnsi="Nunito Sans" w:cs="Times New Roman"/>
          <w:bCs/>
          <w:sz w:val="20"/>
          <w:szCs w:val="20"/>
          <w:lang w:val="en-US"/>
        </w:rPr>
        <w:t>Amber Grid’s net profit in 2025 amounted to EUR 1.3 million, an 84% decrease compared to 2024, when net profit reached EUR 8.3 million. The results were affected by lower revenue and higher expenses. Company costs were increased by the Cross-Border Cost Allocation (CBCA) payment to Poland for the Gas Interconnection Poland–Lithuania (GIPL) pipeline.</w:t>
      </w:r>
    </w:p>
    <w:p w14:paraId="16EC7CE2" w14:textId="77777777" w:rsidR="00E742A9" w:rsidRPr="008424C1" w:rsidRDefault="00E742A9" w:rsidP="00773927">
      <w:pPr>
        <w:jc w:val="both"/>
        <w:rPr>
          <w:rFonts w:ascii="Nunito Sans" w:hAnsi="Nunito Sans" w:cs="Times New Roman"/>
          <w:bCs/>
          <w:sz w:val="20"/>
          <w:szCs w:val="20"/>
          <w:lang w:val="en-US"/>
        </w:rPr>
      </w:pPr>
    </w:p>
    <w:p w14:paraId="7B8F8736" w14:textId="77777777" w:rsidR="00773927" w:rsidRPr="008424C1" w:rsidRDefault="00773927" w:rsidP="00773927">
      <w:pPr>
        <w:jc w:val="both"/>
        <w:rPr>
          <w:rFonts w:ascii="Nunito Sans" w:hAnsi="Nunito Sans" w:cs="Times New Roman"/>
          <w:bCs/>
          <w:sz w:val="20"/>
          <w:szCs w:val="20"/>
          <w:lang w:val="en-US"/>
        </w:rPr>
      </w:pPr>
      <w:r w:rsidRPr="008424C1">
        <w:rPr>
          <w:rFonts w:ascii="Nunito Sans" w:hAnsi="Nunito Sans" w:cs="Times New Roman"/>
          <w:bCs/>
          <w:sz w:val="20"/>
          <w:szCs w:val="20"/>
          <w:lang w:val="en-US"/>
        </w:rPr>
        <w:t>“Although the 2025 financial results were influenced by regulatory changes and fulfilled commitments, we recorded stable demand for our services. The increase in international gas transmission volumes at the end of the year confirms that our reliably operating gas transmission network remains a vital part of the energy system. When needed, the gas infrastructure can safely and efficiently transport large energy flows and ensure energy stability both in Lithuania and beyond,” says Amber Grid CEO Nemunas Biknius.</w:t>
      </w:r>
    </w:p>
    <w:p w14:paraId="298A709F" w14:textId="77777777" w:rsidR="00E742A9" w:rsidRPr="008424C1" w:rsidRDefault="00E742A9" w:rsidP="00773927">
      <w:pPr>
        <w:jc w:val="both"/>
        <w:rPr>
          <w:rFonts w:ascii="Nunito Sans" w:hAnsi="Nunito Sans" w:cs="Times New Roman"/>
          <w:bCs/>
          <w:sz w:val="20"/>
          <w:szCs w:val="20"/>
          <w:lang w:val="en-US"/>
        </w:rPr>
      </w:pPr>
    </w:p>
    <w:p w14:paraId="4C430D51" w14:textId="54050945" w:rsidR="00773927" w:rsidRPr="008424C1" w:rsidRDefault="00773927" w:rsidP="00773927">
      <w:pPr>
        <w:jc w:val="both"/>
        <w:rPr>
          <w:rFonts w:ascii="Nunito Sans" w:hAnsi="Nunito Sans" w:cs="Times New Roman"/>
          <w:bCs/>
          <w:sz w:val="20"/>
          <w:szCs w:val="20"/>
          <w:lang w:val="en-US"/>
        </w:rPr>
      </w:pPr>
      <w:r w:rsidRPr="008424C1">
        <w:rPr>
          <w:rFonts w:ascii="Nunito Sans" w:hAnsi="Nunito Sans" w:cs="Times New Roman"/>
          <w:bCs/>
          <w:sz w:val="20"/>
          <w:szCs w:val="20"/>
          <w:lang w:val="en-US"/>
        </w:rPr>
        <w:t>The Company’s EBITDA (earnings before interest, taxes, depreciation and amorti</w:t>
      </w:r>
      <w:r w:rsidR="00C16523">
        <w:rPr>
          <w:rFonts w:ascii="Nunito Sans" w:hAnsi="Nunito Sans" w:cs="Times New Roman"/>
          <w:bCs/>
          <w:sz w:val="20"/>
          <w:szCs w:val="20"/>
          <w:lang w:val="en-US"/>
        </w:rPr>
        <w:t>z</w:t>
      </w:r>
      <w:r w:rsidRPr="008424C1">
        <w:rPr>
          <w:rFonts w:ascii="Nunito Sans" w:hAnsi="Nunito Sans" w:cs="Times New Roman"/>
          <w:bCs/>
          <w:sz w:val="20"/>
          <w:szCs w:val="20"/>
          <w:lang w:val="en-US"/>
        </w:rPr>
        <w:t>ation) amounted to EUR 17.3 million last year, compared to EUR 26.5 million in 2024. The average return on equity (ROE) in 2025 was 0.8% (4.6% in 2024). Adjusted indicators remained stable compared to 2024 – adjusted net profit was EUR 10.0 million (EUR 10.1 million in 2024), and adjusted EBITDA reached EUR 27.4 million (EUR 27.4 million in 2024).</w:t>
      </w:r>
    </w:p>
    <w:p w14:paraId="542652AC" w14:textId="77777777" w:rsidR="00E742A9" w:rsidRPr="008424C1" w:rsidRDefault="00E742A9" w:rsidP="00773927">
      <w:pPr>
        <w:jc w:val="both"/>
        <w:rPr>
          <w:rFonts w:ascii="Nunito Sans" w:hAnsi="Nunito Sans" w:cs="Times New Roman"/>
          <w:bCs/>
          <w:sz w:val="20"/>
          <w:szCs w:val="20"/>
          <w:lang w:val="en-US"/>
        </w:rPr>
      </w:pPr>
    </w:p>
    <w:p w14:paraId="4362A914" w14:textId="77777777" w:rsidR="00773927" w:rsidRPr="003B7A3D" w:rsidRDefault="00773927" w:rsidP="00773927">
      <w:pPr>
        <w:jc w:val="both"/>
        <w:rPr>
          <w:rFonts w:ascii="Nunito Sans" w:hAnsi="Nunito Sans" w:cs="Times New Roman"/>
          <w:b/>
          <w:sz w:val="20"/>
          <w:szCs w:val="20"/>
          <w:lang w:val="en-US"/>
        </w:rPr>
      </w:pPr>
      <w:r w:rsidRPr="003B7A3D">
        <w:rPr>
          <w:rFonts w:ascii="Nunito Sans" w:hAnsi="Nunito Sans" w:cs="Times New Roman"/>
          <w:b/>
          <w:sz w:val="20"/>
          <w:szCs w:val="20"/>
          <w:lang w:val="en-US"/>
        </w:rPr>
        <w:t>Transmission volumes</w:t>
      </w:r>
    </w:p>
    <w:p w14:paraId="4105DF72" w14:textId="77777777" w:rsidR="00E742A9" w:rsidRPr="008424C1" w:rsidRDefault="00E742A9" w:rsidP="00773927">
      <w:pPr>
        <w:jc w:val="both"/>
        <w:rPr>
          <w:rFonts w:ascii="Nunito Sans" w:hAnsi="Nunito Sans" w:cs="Times New Roman"/>
          <w:bCs/>
          <w:sz w:val="20"/>
          <w:szCs w:val="20"/>
          <w:lang w:val="en-US"/>
        </w:rPr>
      </w:pPr>
    </w:p>
    <w:p w14:paraId="3AFD3723" w14:textId="77777777" w:rsidR="00773927" w:rsidRPr="008424C1" w:rsidRDefault="00773927" w:rsidP="00773927">
      <w:pPr>
        <w:jc w:val="both"/>
        <w:rPr>
          <w:rFonts w:ascii="Nunito Sans" w:hAnsi="Nunito Sans" w:cs="Times New Roman"/>
          <w:bCs/>
          <w:sz w:val="20"/>
          <w:szCs w:val="20"/>
          <w:lang w:val="en-US"/>
        </w:rPr>
      </w:pPr>
      <w:r w:rsidRPr="008424C1">
        <w:rPr>
          <w:rFonts w:ascii="Nunito Sans" w:hAnsi="Nunito Sans" w:cs="Times New Roman"/>
          <w:bCs/>
          <w:sz w:val="20"/>
          <w:szCs w:val="20"/>
          <w:lang w:val="en-US"/>
        </w:rPr>
        <w:t xml:space="preserve">Last year, gas injection through the </w:t>
      </w:r>
      <w:proofErr w:type="spellStart"/>
      <w:r w:rsidRPr="008424C1">
        <w:rPr>
          <w:rFonts w:ascii="Nunito Sans" w:hAnsi="Nunito Sans" w:cs="Times New Roman"/>
          <w:bCs/>
          <w:sz w:val="20"/>
          <w:szCs w:val="20"/>
          <w:lang w:val="en-US"/>
        </w:rPr>
        <w:t>Klaipėda</w:t>
      </w:r>
      <w:proofErr w:type="spellEnd"/>
      <w:r w:rsidRPr="008424C1">
        <w:rPr>
          <w:rFonts w:ascii="Nunito Sans" w:hAnsi="Nunito Sans" w:cs="Times New Roman"/>
          <w:bCs/>
          <w:sz w:val="20"/>
          <w:szCs w:val="20"/>
          <w:lang w:val="en-US"/>
        </w:rPr>
        <w:t xml:space="preserve"> LNG terminal again exceeded the 30 TWh threshold, reaching approximately 30.5 TWh. Increased imports via the LNG terminal enabled higher international gas flows: flows to Latvia grew by nearly one-third – to around 12.7 TWh (9.68 TWh in 2024), and flows to Poland almost doubled, from 2.55 TWh to 4.97 TWh. The increase in flows towards Poland resulted from the opportunity to redirect part of the gas to meet newly emerging demand in Ukraine. Overall, export gas </w:t>
      </w:r>
      <w:proofErr w:type="gramStart"/>
      <w:r w:rsidRPr="008424C1">
        <w:rPr>
          <w:rFonts w:ascii="Nunito Sans" w:hAnsi="Nunito Sans" w:cs="Times New Roman"/>
          <w:bCs/>
          <w:sz w:val="20"/>
          <w:szCs w:val="20"/>
          <w:lang w:val="en-US"/>
        </w:rPr>
        <w:t>flows</w:t>
      </w:r>
      <w:proofErr w:type="gramEnd"/>
      <w:r w:rsidRPr="008424C1">
        <w:rPr>
          <w:rFonts w:ascii="Nunito Sans" w:hAnsi="Nunito Sans" w:cs="Times New Roman"/>
          <w:bCs/>
          <w:sz w:val="20"/>
          <w:szCs w:val="20"/>
          <w:lang w:val="en-US"/>
        </w:rPr>
        <w:t xml:space="preserve"> grew by 15.1% last year.</w:t>
      </w:r>
    </w:p>
    <w:p w14:paraId="6FFF9BFC" w14:textId="77777777" w:rsidR="00E742A9" w:rsidRPr="008424C1" w:rsidRDefault="00E742A9" w:rsidP="00773927">
      <w:pPr>
        <w:jc w:val="both"/>
        <w:rPr>
          <w:rFonts w:ascii="Nunito Sans" w:hAnsi="Nunito Sans" w:cs="Times New Roman"/>
          <w:bCs/>
          <w:sz w:val="20"/>
          <w:szCs w:val="20"/>
          <w:lang w:val="en-US"/>
        </w:rPr>
      </w:pPr>
    </w:p>
    <w:p w14:paraId="1F390F83" w14:textId="77777777" w:rsidR="00773927" w:rsidRPr="008424C1" w:rsidRDefault="00773927" w:rsidP="00773927">
      <w:pPr>
        <w:jc w:val="both"/>
        <w:rPr>
          <w:rFonts w:ascii="Nunito Sans" w:hAnsi="Nunito Sans" w:cs="Times New Roman"/>
          <w:bCs/>
          <w:sz w:val="20"/>
          <w:szCs w:val="20"/>
          <w:lang w:val="en-US"/>
        </w:rPr>
      </w:pPr>
      <w:r w:rsidRPr="008424C1">
        <w:rPr>
          <w:rFonts w:ascii="Nunito Sans" w:hAnsi="Nunito Sans" w:cs="Times New Roman"/>
          <w:bCs/>
          <w:sz w:val="20"/>
          <w:szCs w:val="20"/>
          <w:lang w:val="en-US"/>
        </w:rPr>
        <w:t xml:space="preserve">“We note that in 2024 the </w:t>
      </w:r>
      <w:proofErr w:type="spellStart"/>
      <w:r w:rsidRPr="008424C1">
        <w:rPr>
          <w:rFonts w:ascii="Nunito Sans" w:hAnsi="Nunito Sans" w:cs="Times New Roman"/>
          <w:bCs/>
          <w:sz w:val="20"/>
          <w:szCs w:val="20"/>
          <w:lang w:val="en-US"/>
        </w:rPr>
        <w:t>Klaipėda</w:t>
      </w:r>
      <w:proofErr w:type="spellEnd"/>
      <w:r w:rsidRPr="008424C1">
        <w:rPr>
          <w:rFonts w:ascii="Nunito Sans" w:hAnsi="Nunito Sans" w:cs="Times New Roman"/>
          <w:bCs/>
          <w:sz w:val="20"/>
          <w:szCs w:val="20"/>
          <w:lang w:val="en-US"/>
        </w:rPr>
        <w:t xml:space="preserve"> LNG terminal did not operate at full capacity throughout the year, so injection volumes dropped to 23.8 TWh. In addition, during the first four months, the gas interconnection between Finland and Estonia was out of service due to damage, and planned maintenance affected the availability of the </w:t>
      </w:r>
      <w:proofErr w:type="spellStart"/>
      <w:r w:rsidRPr="008424C1">
        <w:rPr>
          <w:rFonts w:ascii="Nunito Sans" w:hAnsi="Nunito Sans" w:cs="Times New Roman"/>
          <w:bCs/>
          <w:sz w:val="20"/>
          <w:szCs w:val="20"/>
          <w:lang w:val="en-US"/>
        </w:rPr>
        <w:t>Kiemėnai</w:t>
      </w:r>
      <w:proofErr w:type="spellEnd"/>
      <w:r w:rsidRPr="008424C1">
        <w:rPr>
          <w:rFonts w:ascii="Nunito Sans" w:hAnsi="Nunito Sans" w:cs="Times New Roman"/>
          <w:bCs/>
          <w:sz w:val="20"/>
          <w:szCs w:val="20"/>
          <w:lang w:val="en-US"/>
        </w:rPr>
        <w:t xml:space="preserve"> point (between Lithuania and Latvia). Therefore, with the LNG terminal operating at full capacity in 2025, gas injection from Latvia and Poland decreased,” says N. Biknius. Imports through the </w:t>
      </w:r>
      <w:proofErr w:type="spellStart"/>
      <w:r w:rsidRPr="008424C1">
        <w:rPr>
          <w:rFonts w:ascii="Nunito Sans" w:hAnsi="Nunito Sans" w:cs="Times New Roman"/>
          <w:bCs/>
          <w:sz w:val="20"/>
          <w:szCs w:val="20"/>
          <w:lang w:val="en-US"/>
        </w:rPr>
        <w:t>Kiemėnai</w:t>
      </w:r>
      <w:proofErr w:type="spellEnd"/>
      <w:r w:rsidRPr="008424C1">
        <w:rPr>
          <w:rFonts w:ascii="Nunito Sans" w:hAnsi="Nunito Sans" w:cs="Times New Roman"/>
          <w:bCs/>
          <w:sz w:val="20"/>
          <w:szCs w:val="20"/>
          <w:lang w:val="en-US"/>
        </w:rPr>
        <w:t xml:space="preserve"> point (from Latvia) fell by 38% over the year, from 4.1 TWh to around 2.5 TWh, and through the </w:t>
      </w:r>
      <w:proofErr w:type="spellStart"/>
      <w:r w:rsidRPr="008424C1">
        <w:rPr>
          <w:rFonts w:ascii="Nunito Sans" w:hAnsi="Nunito Sans" w:cs="Times New Roman"/>
          <w:bCs/>
          <w:sz w:val="20"/>
          <w:szCs w:val="20"/>
          <w:lang w:val="en-US"/>
        </w:rPr>
        <w:t>Santaka</w:t>
      </w:r>
      <w:proofErr w:type="spellEnd"/>
      <w:r w:rsidRPr="008424C1">
        <w:rPr>
          <w:rFonts w:ascii="Nunito Sans" w:hAnsi="Nunito Sans" w:cs="Times New Roman"/>
          <w:bCs/>
          <w:sz w:val="20"/>
          <w:szCs w:val="20"/>
          <w:lang w:val="en-US"/>
        </w:rPr>
        <w:t xml:space="preserve"> point (from Poland) – from around 1.48 TWh to 0.56 TWh.</w:t>
      </w:r>
    </w:p>
    <w:p w14:paraId="27DD037C" w14:textId="77777777" w:rsidR="00E742A9" w:rsidRPr="008424C1" w:rsidRDefault="00E742A9" w:rsidP="00773927">
      <w:pPr>
        <w:jc w:val="both"/>
        <w:rPr>
          <w:rFonts w:ascii="Nunito Sans" w:hAnsi="Nunito Sans" w:cs="Times New Roman"/>
          <w:bCs/>
          <w:sz w:val="20"/>
          <w:szCs w:val="20"/>
          <w:lang w:val="en-US"/>
        </w:rPr>
      </w:pPr>
    </w:p>
    <w:p w14:paraId="6B14C73D" w14:textId="77777777" w:rsidR="00773927" w:rsidRPr="008424C1" w:rsidRDefault="00773927" w:rsidP="00773927">
      <w:pPr>
        <w:jc w:val="both"/>
        <w:rPr>
          <w:rFonts w:ascii="Nunito Sans" w:hAnsi="Nunito Sans" w:cs="Times New Roman"/>
          <w:bCs/>
          <w:sz w:val="20"/>
          <w:szCs w:val="20"/>
          <w:lang w:val="en-US"/>
        </w:rPr>
      </w:pPr>
      <w:r w:rsidRPr="008424C1">
        <w:rPr>
          <w:rFonts w:ascii="Nunito Sans" w:hAnsi="Nunito Sans" w:cs="Times New Roman"/>
          <w:bCs/>
          <w:sz w:val="20"/>
          <w:szCs w:val="20"/>
          <w:lang w:val="en-US"/>
        </w:rPr>
        <w:lastRenderedPageBreak/>
        <w:t>Lower overall imports through international points in 2025 were also influenced by slightly lower gas consumption in Lithuania and the growing volume of domestically produced biomethane injected into the system, which increased by 118% – from 0.126 TWh in 2024 to 0.277 TWh in 2025.</w:t>
      </w:r>
    </w:p>
    <w:p w14:paraId="751AACD7" w14:textId="77777777" w:rsidR="00E742A9" w:rsidRPr="008424C1" w:rsidRDefault="00E742A9" w:rsidP="00773927">
      <w:pPr>
        <w:jc w:val="both"/>
        <w:rPr>
          <w:rFonts w:ascii="Nunito Sans" w:hAnsi="Nunito Sans" w:cs="Times New Roman"/>
          <w:bCs/>
          <w:sz w:val="20"/>
          <w:szCs w:val="20"/>
          <w:lang w:val="en-US"/>
        </w:rPr>
      </w:pPr>
    </w:p>
    <w:p w14:paraId="172C6746" w14:textId="77777777" w:rsidR="00773927" w:rsidRPr="008424C1" w:rsidRDefault="00773927" w:rsidP="00773927">
      <w:pPr>
        <w:jc w:val="both"/>
        <w:rPr>
          <w:rFonts w:ascii="Nunito Sans" w:hAnsi="Nunito Sans" w:cs="Times New Roman"/>
          <w:bCs/>
          <w:sz w:val="20"/>
          <w:szCs w:val="20"/>
          <w:lang w:val="en-US"/>
        </w:rPr>
      </w:pPr>
      <w:r w:rsidRPr="008424C1">
        <w:rPr>
          <w:rFonts w:ascii="Nunito Sans" w:hAnsi="Nunito Sans" w:cs="Times New Roman"/>
          <w:bCs/>
          <w:sz w:val="20"/>
          <w:szCs w:val="20"/>
          <w:lang w:val="en-US"/>
        </w:rPr>
        <w:t>Total gas consumption in Lithuania last year amounted to 15.9 TWh, or 6.2% less than the previous year (16.9 TWh in 2024). However, consumption remained higher than in 2022 and 2023, when 15.57 TWh and 14.9 TWh were consumed respectively. The annual decline was driven by a significant drop in gas demand from the fertilizer production sector. Last year, consumption in this sector decreased by more than a quarter (28.6%) – from 8 TWh to 5.7 TWh. Excluding this sector, gas consumption in Lithuania increased – rising by nearly 14%, from 8.9 TWh to 10.1 TWh.</w:t>
      </w:r>
    </w:p>
    <w:p w14:paraId="6EF46D30" w14:textId="77777777" w:rsidR="00E742A9" w:rsidRPr="008424C1" w:rsidRDefault="00E742A9" w:rsidP="00773927">
      <w:pPr>
        <w:jc w:val="both"/>
        <w:rPr>
          <w:rFonts w:ascii="Nunito Sans" w:hAnsi="Nunito Sans" w:cs="Times New Roman"/>
          <w:bCs/>
          <w:sz w:val="20"/>
          <w:szCs w:val="20"/>
          <w:lang w:val="en-US"/>
        </w:rPr>
      </w:pPr>
    </w:p>
    <w:p w14:paraId="1D82A280" w14:textId="77777777" w:rsidR="00773927" w:rsidRPr="003B7A3D" w:rsidRDefault="00773927" w:rsidP="00773927">
      <w:pPr>
        <w:jc w:val="both"/>
        <w:rPr>
          <w:rFonts w:ascii="Nunito Sans" w:hAnsi="Nunito Sans" w:cs="Times New Roman"/>
          <w:b/>
          <w:sz w:val="20"/>
          <w:szCs w:val="20"/>
          <w:lang w:val="en-US"/>
        </w:rPr>
      </w:pPr>
      <w:r w:rsidRPr="003B7A3D">
        <w:rPr>
          <w:rFonts w:ascii="Nunito Sans" w:hAnsi="Nunito Sans" w:cs="Times New Roman"/>
          <w:b/>
          <w:sz w:val="20"/>
          <w:szCs w:val="20"/>
          <w:lang w:val="en-US"/>
        </w:rPr>
        <w:t>GET Baltic transaction</w:t>
      </w:r>
    </w:p>
    <w:p w14:paraId="5C2CDA7E" w14:textId="77777777" w:rsidR="00E742A9" w:rsidRPr="008424C1" w:rsidRDefault="00E742A9" w:rsidP="00773927">
      <w:pPr>
        <w:jc w:val="both"/>
        <w:rPr>
          <w:rFonts w:ascii="Nunito Sans" w:hAnsi="Nunito Sans" w:cs="Times New Roman"/>
          <w:bCs/>
          <w:sz w:val="20"/>
          <w:szCs w:val="20"/>
          <w:lang w:val="en-US"/>
        </w:rPr>
      </w:pPr>
    </w:p>
    <w:p w14:paraId="37A0D993" w14:textId="77777777" w:rsidR="00773927" w:rsidRPr="008424C1" w:rsidRDefault="00773927" w:rsidP="00773927">
      <w:pPr>
        <w:jc w:val="both"/>
        <w:rPr>
          <w:rFonts w:ascii="Nunito Sans" w:hAnsi="Nunito Sans" w:cs="Times New Roman"/>
          <w:bCs/>
          <w:sz w:val="20"/>
          <w:szCs w:val="20"/>
          <w:lang w:val="en-US"/>
        </w:rPr>
      </w:pPr>
      <w:r w:rsidRPr="008424C1">
        <w:rPr>
          <w:rFonts w:ascii="Nunito Sans" w:hAnsi="Nunito Sans" w:cs="Times New Roman"/>
          <w:bCs/>
          <w:sz w:val="20"/>
          <w:szCs w:val="20"/>
          <w:lang w:val="en-US"/>
        </w:rPr>
        <w:t>In 2025, Amber Grid and European Energy Exchange AG (EEX) completed a two-year strategic process – the transfer of GET Baltic shares to the partner that won the international public tender. In the first stage, in 2023, following the approval of Amber Grid’s Board and the General Meeting of Shareholders and after evaluating GET Baltic’s financial results, 66% of shares were sold for EUR 6.5 million, while the remaining 34% were valued at EUR 3.8 million.</w:t>
      </w:r>
    </w:p>
    <w:p w14:paraId="4D0FB309" w14:textId="77777777" w:rsidR="00E742A9" w:rsidRPr="008424C1" w:rsidRDefault="00E742A9" w:rsidP="00773927">
      <w:pPr>
        <w:jc w:val="both"/>
        <w:rPr>
          <w:rFonts w:ascii="Nunito Sans" w:hAnsi="Nunito Sans" w:cs="Times New Roman"/>
          <w:bCs/>
          <w:sz w:val="20"/>
          <w:szCs w:val="20"/>
          <w:lang w:val="en-US"/>
        </w:rPr>
      </w:pPr>
    </w:p>
    <w:p w14:paraId="30C7A469" w14:textId="77777777" w:rsidR="00773927" w:rsidRPr="008424C1" w:rsidRDefault="00773927" w:rsidP="00773927">
      <w:pPr>
        <w:jc w:val="both"/>
        <w:rPr>
          <w:rFonts w:ascii="Nunito Sans" w:hAnsi="Nunito Sans" w:cs="Times New Roman"/>
          <w:bCs/>
          <w:sz w:val="20"/>
          <w:szCs w:val="20"/>
          <w:lang w:val="en-US"/>
        </w:rPr>
      </w:pPr>
      <w:r w:rsidRPr="008424C1">
        <w:rPr>
          <w:rFonts w:ascii="Nunito Sans" w:hAnsi="Nunito Sans" w:cs="Times New Roman"/>
          <w:bCs/>
          <w:sz w:val="20"/>
          <w:szCs w:val="20"/>
          <w:lang w:val="en-US"/>
        </w:rPr>
        <w:t>The integration of GET Baltic into the European Energy Exchange AG (EEX) group marks an important milestone for the natural gas markets of Lithuania, Latvia, Estonia and Finland. The integration of the exchange we developed into one of Europe’s largest energy exchanges strengthened regional market liquidity and has already increased competition. The introduction of more advanced trading tools and access to a broader range of services creates value for market participants and gas consumers. “We invested slightly less than one million euros when launching this activity, and thanks to the consistent and professional work of the team, we achieved an excellent result – the total value of the transaction exceeded EUR 10.3 million,” says the CEO.</w:t>
      </w:r>
    </w:p>
    <w:p w14:paraId="3BA42264" w14:textId="77777777" w:rsidR="00E742A9" w:rsidRPr="008424C1" w:rsidRDefault="00E742A9" w:rsidP="00773927">
      <w:pPr>
        <w:jc w:val="both"/>
        <w:rPr>
          <w:rFonts w:ascii="Nunito Sans" w:hAnsi="Nunito Sans" w:cs="Times New Roman"/>
          <w:bCs/>
          <w:sz w:val="20"/>
          <w:szCs w:val="20"/>
          <w:lang w:val="en-US"/>
        </w:rPr>
      </w:pPr>
    </w:p>
    <w:p w14:paraId="75FB18F9" w14:textId="77777777" w:rsidR="00773927" w:rsidRPr="00DC01FC" w:rsidRDefault="00773927" w:rsidP="00773927">
      <w:pPr>
        <w:jc w:val="both"/>
        <w:rPr>
          <w:rFonts w:ascii="Nunito Sans" w:hAnsi="Nunito Sans" w:cs="Times New Roman"/>
          <w:bCs/>
          <w:i/>
          <w:iCs/>
          <w:sz w:val="20"/>
          <w:szCs w:val="20"/>
          <w:lang w:val="en-US"/>
        </w:rPr>
      </w:pPr>
      <w:r w:rsidRPr="00DC01FC">
        <w:rPr>
          <w:rFonts w:ascii="Nunito Sans" w:hAnsi="Nunito Sans" w:cs="Times New Roman"/>
          <w:bCs/>
          <w:i/>
          <w:iCs/>
          <w:sz w:val="20"/>
          <w:szCs w:val="20"/>
          <w:lang w:val="en-US"/>
        </w:rPr>
        <w:t>Amber Grid is Lithuania’s gas transmission system operator and a member of the EPSO-G group of companies. The Company operates a 2,288 km high-pressure gas transmission network across Lithuania. It also manages more than 60 gas distribution and metering stations and two gas compressor stations.</w:t>
      </w:r>
    </w:p>
    <w:p w14:paraId="4C86E61D" w14:textId="77777777" w:rsidR="00E742A9" w:rsidRPr="00DC01FC" w:rsidRDefault="00E742A9" w:rsidP="00773927">
      <w:pPr>
        <w:jc w:val="both"/>
        <w:rPr>
          <w:rFonts w:ascii="Nunito Sans" w:hAnsi="Nunito Sans" w:cs="Times New Roman"/>
          <w:bCs/>
          <w:i/>
          <w:iCs/>
          <w:sz w:val="20"/>
          <w:szCs w:val="20"/>
          <w:lang w:val="en-US"/>
        </w:rPr>
      </w:pPr>
    </w:p>
    <w:p w14:paraId="30304CC5" w14:textId="26507B3F" w:rsidR="00DB44AC" w:rsidRPr="00DC01FC" w:rsidRDefault="00773927" w:rsidP="00821728">
      <w:pPr>
        <w:jc w:val="both"/>
        <w:rPr>
          <w:rFonts w:ascii="Nunito Sans" w:hAnsi="Nunito Sans" w:cs="Times New Roman"/>
          <w:bCs/>
          <w:i/>
          <w:iCs/>
          <w:sz w:val="20"/>
          <w:szCs w:val="20"/>
          <w:lang w:val="en-US"/>
        </w:rPr>
      </w:pPr>
      <w:r w:rsidRPr="00DC01FC">
        <w:rPr>
          <w:rFonts w:ascii="Nunito Sans" w:hAnsi="Nunito Sans" w:cs="Times New Roman"/>
          <w:bCs/>
          <w:i/>
          <w:iCs/>
          <w:sz w:val="20"/>
          <w:szCs w:val="20"/>
          <w:lang w:val="en-US"/>
        </w:rPr>
        <w:t xml:space="preserve">The Amber Grid system is interconnected with the gas transmission systems of four </w:t>
      </w:r>
      <w:r w:rsidR="0096659E" w:rsidRPr="00DC01FC">
        <w:rPr>
          <w:rFonts w:ascii="Nunito Sans" w:hAnsi="Nunito Sans" w:cs="Times New Roman"/>
          <w:bCs/>
          <w:i/>
          <w:iCs/>
          <w:sz w:val="20"/>
          <w:szCs w:val="20"/>
          <w:lang w:val="en-US"/>
        </w:rPr>
        <w:t>neighboring</w:t>
      </w:r>
      <w:r w:rsidRPr="00DC01FC">
        <w:rPr>
          <w:rFonts w:ascii="Nunito Sans" w:hAnsi="Nunito Sans" w:cs="Times New Roman"/>
          <w:bCs/>
          <w:i/>
          <w:iCs/>
          <w:sz w:val="20"/>
          <w:szCs w:val="20"/>
          <w:lang w:val="en-US"/>
        </w:rPr>
        <w:t xml:space="preserve"> countries and the </w:t>
      </w:r>
      <w:proofErr w:type="spellStart"/>
      <w:r w:rsidRPr="00DC01FC">
        <w:rPr>
          <w:rFonts w:ascii="Nunito Sans" w:hAnsi="Nunito Sans" w:cs="Times New Roman"/>
          <w:bCs/>
          <w:i/>
          <w:iCs/>
          <w:sz w:val="20"/>
          <w:szCs w:val="20"/>
          <w:lang w:val="en-US"/>
        </w:rPr>
        <w:t>Klaipėda</w:t>
      </w:r>
      <w:proofErr w:type="spellEnd"/>
      <w:r w:rsidRPr="00DC01FC">
        <w:rPr>
          <w:rFonts w:ascii="Nunito Sans" w:hAnsi="Nunito Sans" w:cs="Times New Roman"/>
          <w:bCs/>
          <w:i/>
          <w:iCs/>
          <w:sz w:val="20"/>
          <w:szCs w:val="20"/>
          <w:lang w:val="en-US"/>
        </w:rPr>
        <w:t xml:space="preserve"> LNG terminal. Amber Grid shares are listed on the NASDAQ Vilnius Stock Exchange Baltic Secondary List. The Company’s main shareholder is EPSO-G, whose shares are 100% owned by the Ministry of Energy of the Republic of Lithuania.</w:t>
      </w:r>
    </w:p>
    <w:sectPr w:rsidR="00DB44AC" w:rsidRPr="00DC01F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4316F" w14:textId="77777777" w:rsidR="009B250B" w:rsidRDefault="009B250B" w:rsidP="00165B8B">
      <w:r>
        <w:separator/>
      </w:r>
    </w:p>
  </w:endnote>
  <w:endnote w:type="continuationSeparator" w:id="0">
    <w:p w14:paraId="73BC1922" w14:textId="77777777" w:rsidR="009B250B" w:rsidRDefault="009B250B" w:rsidP="0016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Nunito Sans">
    <w:altName w:val="Cambria"/>
    <w:charset w:val="BA"/>
    <w:family w:val="auto"/>
    <w:pitch w:val="variable"/>
    <w:sig w:usb0="A00002FF" w:usb1="5000204B" w:usb2="00000000" w:usb3="00000000" w:csb0="000001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81E6" w14:textId="33222A6B" w:rsidR="00165B8B" w:rsidRDefault="00CF0479">
    <w:pPr>
      <w:pStyle w:val="Footer"/>
    </w:pPr>
    <w:r>
      <w:rPr>
        <w:noProof/>
      </w:rPr>
      <w:drawing>
        <wp:inline distT="0" distB="0" distL="0" distR="0" wp14:anchorId="40C222B0" wp14:editId="4363B428">
          <wp:extent cx="5731510" cy="199812"/>
          <wp:effectExtent l="0" t="0" r="0" b="0"/>
          <wp:docPr id="446806934" name="Graphic 10">
            <a:extLst xmlns:a="http://schemas.openxmlformats.org/drawingml/2006/main">
              <a:ext uri="{FF2B5EF4-FFF2-40B4-BE49-F238E27FC236}">
                <a16:creationId xmlns:a16="http://schemas.microsoft.com/office/drawing/2014/main" id="{923FCA90-7F82-487B-9085-1E8C938F5A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08427" name="Graphic 10"/>
                  <pic:cNvPicPr/>
                </pic:nvPicPr>
                <pic:blipFill>
                  <a:blip r:embed="rId1">
                    <a:extLst>
                      <a:ext uri="{96DAC541-7B7A-43D3-8B79-37D633B846F1}">
                        <asvg:svgBlip xmlns:asvg="http://schemas.microsoft.com/office/drawing/2016/SVG/main" r:embed="rId2"/>
                      </a:ext>
                    </a:extLst>
                  </a:blip>
                  <a:stretch>
                    <a:fillRect/>
                  </a:stretch>
                </pic:blipFill>
                <pic:spPr>
                  <a:xfrm>
                    <a:off x="0" y="0"/>
                    <a:ext cx="5731510" cy="1998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C059A" w14:textId="77777777" w:rsidR="009B250B" w:rsidRDefault="009B250B" w:rsidP="00165B8B">
      <w:r>
        <w:separator/>
      </w:r>
    </w:p>
  </w:footnote>
  <w:footnote w:type="continuationSeparator" w:id="0">
    <w:p w14:paraId="5CC6D595" w14:textId="77777777" w:rsidR="009B250B" w:rsidRDefault="009B250B" w:rsidP="00165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3D82" w14:textId="640AFCCD" w:rsidR="00165B8B" w:rsidRPr="00165B8B" w:rsidRDefault="00165B8B" w:rsidP="00165B8B">
    <w:pPr>
      <w:pStyle w:val="Header"/>
    </w:pPr>
    <w:r>
      <w:rPr>
        <w:noProof/>
      </w:rPr>
      <w:drawing>
        <wp:inline distT="0" distB="0" distL="0" distR="0" wp14:anchorId="14912189" wp14:editId="1EC04F2D">
          <wp:extent cx="895350" cy="284884"/>
          <wp:effectExtent l="0" t="0" r="0" b="0"/>
          <wp:docPr id="2064413739" name="Graphic 1">
            <a:extLst xmlns:a="http://schemas.openxmlformats.org/drawingml/2006/main">
              <a:ext uri="{FF2B5EF4-FFF2-40B4-BE49-F238E27FC236}">
                <a16:creationId xmlns:a16="http://schemas.microsoft.com/office/drawing/2014/main" id="{90200155-151E-4F15-9728-CD469F4115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75044" name="Graphic 1412275044"/>
                  <pic:cNvPicPr/>
                </pic:nvPicPr>
                <pic:blipFill>
                  <a:blip r:embed="rId1">
                    <a:extLst>
                      <a:ext uri="{96DAC541-7B7A-43D3-8B79-37D633B846F1}">
                        <asvg:svgBlip xmlns:asvg="http://schemas.microsoft.com/office/drawing/2016/SVG/main" r:embed="rId2"/>
                      </a:ext>
                    </a:extLst>
                  </a:blip>
                  <a:stretch>
                    <a:fillRect/>
                  </a:stretch>
                </pic:blipFill>
                <pic:spPr>
                  <a:xfrm>
                    <a:off x="0" y="0"/>
                    <a:ext cx="971682" cy="30917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3D"/>
    <w:rsid w:val="00005B50"/>
    <w:rsid w:val="00011FD6"/>
    <w:rsid w:val="00021056"/>
    <w:rsid w:val="000242ED"/>
    <w:rsid w:val="00031C76"/>
    <w:rsid w:val="0004053D"/>
    <w:rsid w:val="00040A5F"/>
    <w:rsid w:val="00067A06"/>
    <w:rsid w:val="00096A7C"/>
    <w:rsid w:val="000A4329"/>
    <w:rsid w:val="000C5AD9"/>
    <w:rsid w:val="000D6287"/>
    <w:rsid w:val="000F41AF"/>
    <w:rsid w:val="001033EB"/>
    <w:rsid w:val="001067F3"/>
    <w:rsid w:val="001077CC"/>
    <w:rsid w:val="00125045"/>
    <w:rsid w:val="00165B8B"/>
    <w:rsid w:val="0018159E"/>
    <w:rsid w:val="00183CEF"/>
    <w:rsid w:val="00190D98"/>
    <w:rsid w:val="001A4F88"/>
    <w:rsid w:val="001A5A31"/>
    <w:rsid w:val="001A6EC5"/>
    <w:rsid w:val="001B4991"/>
    <w:rsid w:val="001D5142"/>
    <w:rsid w:val="001D7D16"/>
    <w:rsid w:val="001E7E20"/>
    <w:rsid w:val="001F7638"/>
    <w:rsid w:val="0020634C"/>
    <w:rsid w:val="00207FD3"/>
    <w:rsid w:val="00210661"/>
    <w:rsid w:val="00211045"/>
    <w:rsid w:val="002228C3"/>
    <w:rsid w:val="00225D3D"/>
    <w:rsid w:val="00233267"/>
    <w:rsid w:val="00244753"/>
    <w:rsid w:val="00272FD6"/>
    <w:rsid w:val="002A1F51"/>
    <w:rsid w:val="002A3A3F"/>
    <w:rsid w:val="002A3BF6"/>
    <w:rsid w:val="002A631A"/>
    <w:rsid w:val="002B282A"/>
    <w:rsid w:val="002C12BF"/>
    <w:rsid w:val="002D20E9"/>
    <w:rsid w:val="002D5D5D"/>
    <w:rsid w:val="002F38F2"/>
    <w:rsid w:val="0031313C"/>
    <w:rsid w:val="00321016"/>
    <w:rsid w:val="003242DB"/>
    <w:rsid w:val="0036098B"/>
    <w:rsid w:val="00361120"/>
    <w:rsid w:val="00380D27"/>
    <w:rsid w:val="003823D2"/>
    <w:rsid w:val="0038525B"/>
    <w:rsid w:val="003B7A3D"/>
    <w:rsid w:val="003C3805"/>
    <w:rsid w:val="003D0028"/>
    <w:rsid w:val="003D716D"/>
    <w:rsid w:val="003E1C02"/>
    <w:rsid w:val="003E359E"/>
    <w:rsid w:val="003E5A33"/>
    <w:rsid w:val="00400094"/>
    <w:rsid w:val="00403B55"/>
    <w:rsid w:val="00406123"/>
    <w:rsid w:val="00416643"/>
    <w:rsid w:val="00423A59"/>
    <w:rsid w:val="00435BBC"/>
    <w:rsid w:val="0045417D"/>
    <w:rsid w:val="0047285F"/>
    <w:rsid w:val="00490B30"/>
    <w:rsid w:val="00490C4E"/>
    <w:rsid w:val="004936B6"/>
    <w:rsid w:val="00494C42"/>
    <w:rsid w:val="00495C01"/>
    <w:rsid w:val="004D3737"/>
    <w:rsid w:val="004E6D44"/>
    <w:rsid w:val="004E7146"/>
    <w:rsid w:val="004F0EF4"/>
    <w:rsid w:val="004F2214"/>
    <w:rsid w:val="004F7D9F"/>
    <w:rsid w:val="00502BC8"/>
    <w:rsid w:val="00503554"/>
    <w:rsid w:val="00506DFF"/>
    <w:rsid w:val="005238D6"/>
    <w:rsid w:val="00541B28"/>
    <w:rsid w:val="005461B9"/>
    <w:rsid w:val="00565903"/>
    <w:rsid w:val="00585872"/>
    <w:rsid w:val="00597BD7"/>
    <w:rsid w:val="005D79EE"/>
    <w:rsid w:val="005E42FD"/>
    <w:rsid w:val="005F3A26"/>
    <w:rsid w:val="005F73A7"/>
    <w:rsid w:val="005F76B2"/>
    <w:rsid w:val="00613F98"/>
    <w:rsid w:val="0063735A"/>
    <w:rsid w:val="00642B59"/>
    <w:rsid w:val="00653936"/>
    <w:rsid w:val="0065530E"/>
    <w:rsid w:val="00691070"/>
    <w:rsid w:val="006A6701"/>
    <w:rsid w:val="006B025B"/>
    <w:rsid w:val="006D6E0E"/>
    <w:rsid w:val="006D79B4"/>
    <w:rsid w:val="006E411B"/>
    <w:rsid w:val="007143C0"/>
    <w:rsid w:val="0071532F"/>
    <w:rsid w:val="00727987"/>
    <w:rsid w:val="00727DFE"/>
    <w:rsid w:val="007309FF"/>
    <w:rsid w:val="00732188"/>
    <w:rsid w:val="00754160"/>
    <w:rsid w:val="00755404"/>
    <w:rsid w:val="00760617"/>
    <w:rsid w:val="00767EB3"/>
    <w:rsid w:val="00773927"/>
    <w:rsid w:val="007A0573"/>
    <w:rsid w:val="007A5A90"/>
    <w:rsid w:val="007D567D"/>
    <w:rsid w:val="007F2F4D"/>
    <w:rsid w:val="00804435"/>
    <w:rsid w:val="00810D2F"/>
    <w:rsid w:val="00813716"/>
    <w:rsid w:val="00814B7D"/>
    <w:rsid w:val="00821728"/>
    <w:rsid w:val="008424C1"/>
    <w:rsid w:val="0084273A"/>
    <w:rsid w:val="00845D48"/>
    <w:rsid w:val="008742AA"/>
    <w:rsid w:val="00876911"/>
    <w:rsid w:val="00890067"/>
    <w:rsid w:val="008976B6"/>
    <w:rsid w:val="008B6F8E"/>
    <w:rsid w:val="008C3D76"/>
    <w:rsid w:val="008C57A1"/>
    <w:rsid w:val="008D4AF3"/>
    <w:rsid w:val="008E3BC3"/>
    <w:rsid w:val="008F49C6"/>
    <w:rsid w:val="009040F1"/>
    <w:rsid w:val="00951D85"/>
    <w:rsid w:val="009633AC"/>
    <w:rsid w:val="00964362"/>
    <w:rsid w:val="0096659E"/>
    <w:rsid w:val="00972A5F"/>
    <w:rsid w:val="00972F63"/>
    <w:rsid w:val="00976FAB"/>
    <w:rsid w:val="00987627"/>
    <w:rsid w:val="009B250B"/>
    <w:rsid w:val="009B7AC1"/>
    <w:rsid w:val="009C46B1"/>
    <w:rsid w:val="009C4DDD"/>
    <w:rsid w:val="009D5238"/>
    <w:rsid w:val="009D7AD8"/>
    <w:rsid w:val="009E42A7"/>
    <w:rsid w:val="00A068B5"/>
    <w:rsid w:val="00A07EB2"/>
    <w:rsid w:val="00A11BDE"/>
    <w:rsid w:val="00A11DFB"/>
    <w:rsid w:val="00A12EBE"/>
    <w:rsid w:val="00A364BA"/>
    <w:rsid w:val="00A37058"/>
    <w:rsid w:val="00A37712"/>
    <w:rsid w:val="00A56266"/>
    <w:rsid w:val="00A64E1C"/>
    <w:rsid w:val="00A94AAF"/>
    <w:rsid w:val="00A96F4E"/>
    <w:rsid w:val="00AA28AF"/>
    <w:rsid w:val="00AD7032"/>
    <w:rsid w:val="00AE1E76"/>
    <w:rsid w:val="00AF107B"/>
    <w:rsid w:val="00AF133B"/>
    <w:rsid w:val="00B01C62"/>
    <w:rsid w:val="00B02381"/>
    <w:rsid w:val="00B34E13"/>
    <w:rsid w:val="00B63DB0"/>
    <w:rsid w:val="00B67651"/>
    <w:rsid w:val="00B82B8B"/>
    <w:rsid w:val="00B8542E"/>
    <w:rsid w:val="00B8625A"/>
    <w:rsid w:val="00BA19BA"/>
    <w:rsid w:val="00BD13B0"/>
    <w:rsid w:val="00BE71A1"/>
    <w:rsid w:val="00BF5522"/>
    <w:rsid w:val="00C073A6"/>
    <w:rsid w:val="00C16523"/>
    <w:rsid w:val="00C30382"/>
    <w:rsid w:val="00C44E4F"/>
    <w:rsid w:val="00C47A0F"/>
    <w:rsid w:val="00C50385"/>
    <w:rsid w:val="00C601EA"/>
    <w:rsid w:val="00C7068A"/>
    <w:rsid w:val="00C7545E"/>
    <w:rsid w:val="00C775D2"/>
    <w:rsid w:val="00C775E1"/>
    <w:rsid w:val="00C8306E"/>
    <w:rsid w:val="00C901E4"/>
    <w:rsid w:val="00C97C2C"/>
    <w:rsid w:val="00CA3488"/>
    <w:rsid w:val="00CB1318"/>
    <w:rsid w:val="00CC76AE"/>
    <w:rsid w:val="00CE5948"/>
    <w:rsid w:val="00CE69D0"/>
    <w:rsid w:val="00CF0479"/>
    <w:rsid w:val="00D00CDE"/>
    <w:rsid w:val="00D111CE"/>
    <w:rsid w:val="00D1526F"/>
    <w:rsid w:val="00D242B4"/>
    <w:rsid w:val="00D27CD8"/>
    <w:rsid w:val="00D63034"/>
    <w:rsid w:val="00D66B96"/>
    <w:rsid w:val="00D938E4"/>
    <w:rsid w:val="00D97D1A"/>
    <w:rsid w:val="00DA6141"/>
    <w:rsid w:val="00DA6FB6"/>
    <w:rsid w:val="00DB44AC"/>
    <w:rsid w:val="00DB46A0"/>
    <w:rsid w:val="00DC01FC"/>
    <w:rsid w:val="00DD3936"/>
    <w:rsid w:val="00DE4CED"/>
    <w:rsid w:val="00DF4AA8"/>
    <w:rsid w:val="00E16049"/>
    <w:rsid w:val="00E515F7"/>
    <w:rsid w:val="00E52D0A"/>
    <w:rsid w:val="00E742A9"/>
    <w:rsid w:val="00E9304C"/>
    <w:rsid w:val="00EA10CE"/>
    <w:rsid w:val="00EA2235"/>
    <w:rsid w:val="00EA22DC"/>
    <w:rsid w:val="00ED513E"/>
    <w:rsid w:val="00ED62B7"/>
    <w:rsid w:val="00EE4BF8"/>
    <w:rsid w:val="00EE4EB4"/>
    <w:rsid w:val="00EF0961"/>
    <w:rsid w:val="00F02F57"/>
    <w:rsid w:val="00F12809"/>
    <w:rsid w:val="00F159F5"/>
    <w:rsid w:val="00F27336"/>
    <w:rsid w:val="00F36F86"/>
    <w:rsid w:val="00F42B4A"/>
    <w:rsid w:val="00F65160"/>
    <w:rsid w:val="00F71110"/>
    <w:rsid w:val="00F72247"/>
    <w:rsid w:val="00F73612"/>
    <w:rsid w:val="00F77C46"/>
    <w:rsid w:val="00FB522A"/>
    <w:rsid w:val="00FC184F"/>
    <w:rsid w:val="00FC1C31"/>
    <w:rsid w:val="00FC4D44"/>
    <w:rsid w:val="00FD1E11"/>
    <w:rsid w:val="00FE263A"/>
    <w:rsid w:val="00FE7952"/>
    <w:rsid w:val="00FF14CB"/>
    <w:rsid w:val="00FF3781"/>
    <w:rsid w:val="00FF6F5C"/>
    <w:rsid w:val="19BB73C1"/>
    <w:rsid w:val="1AC0462A"/>
    <w:rsid w:val="21C5B1D2"/>
    <w:rsid w:val="21E175E5"/>
    <w:rsid w:val="224EE193"/>
    <w:rsid w:val="238BD71C"/>
    <w:rsid w:val="278E3723"/>
    <w:rsid w:val="2C9AF51C"/>
    <w:rsid w:val="34F84554"/>
    <w:rsid w:val="35665A25"/>
    <w:rsid w:val="39A5F3E9"/>
    <w:rsid w:val="3B745EFD"/>
    <w:rsid w:val="402A5517"/>
    <w:rsid w:val="405568DE"/>
    <w:rsid w:val="47B798E9"/>
    <w:rsid w:val="48F58DC3"/>
    <w:rsid w:val="4B948E4E"/>
    <w:rsid w:val="4CA085E6"/>
    <w:rsid w:val="535E661A"/>
    <w:rsid w:val="5700FAEC"/>
    <w:rsid w:val="573569AB"/>
    <w:rsid w:val="59B957D6"/>
    <w:rsid w:val="59C30362"/>
    <w:rsid w:val="5ADA6F9D"/>
    <w:rsid w:val="5DE59141"/>
    <w:rsid w:val="62D21A74"/>
    <w:rsid w:val="6AA9F2D9"/>
    <w:rsid w:val="6BE631A4"/>
    <w:rsid w:val="6CE5179D"/>
    <w:rsid w:val="73A75148"/>
    <w:rsid w:val="73D3D396"/>
    <w:rsid w:val="7493F866"/>
    <w:rsid w:val="76DA398C"/>
    <w:rsid w:val="79EE1A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F7C6"/>
  <w15:chartTrackingRefBased/>
  <w15:docId w15:val="{33075159-04CE-449F-933C-658AFC3C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D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D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D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D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D3D"/>
    <w:rPr>
      <w:rFonts w:eastAsiaTheme="majorEastAsia" w:cstheme="majorBidi"/>
      <w:color w:val="272727" w:themeColor="text1" w:themeTint="D8"/>
    </w:rPr>
  </w:style>
  <w:style w:type="paragraph" w:styleId="Title">
    <w:name w:val="Title"/>
    <w:basedOn w:val="Normal"/>
    <w:next w:val="Normal"/>
    <w:link w:val="TitleChar"/>
    <w:uiPriority w:val="10"/>
    <w:qFormat/>
    <w:rsid w:val="00225D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D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D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5D3D"/>
    <w:rPr>
      <w:i/>
      <w:iCs/>
      <w:color w:val="404040" w:themeColor="text1" w:themeTint="BF"/>
    </w:rPr>
  </w:style>
  <w:style w:type="paragraph" w:styleId="ListParagraph">
    <w:name w:val="List Paragraph"/>
    <w:basedOn w:val="Normal"/>
    <w:uiPriority w:val="34"/>
    <w:qFormat/>
    <w:rsid w:val="00225D3D"/>
    <w:pPr>
      <w:ind w:left="720"/>
      <w:contextualSpacing/>
    </w:pPr>
  </w:style>
  <w:style w:type="character" w:styleId="IntenseEmphasis">
    <w:name w:val="Intense Emphasis"/>
    <w:basedOn w:val="DefaultParagraphFont"/>
    <w:uiPriority w:val="21"/>
    <w:qFormat/>
    <w:rsid w:val="00225D3D"/>
    <w:rPr>
      <w:i/>
      <w:iCs/>
      <w:color w:val="0F4761" w:themeColor="accent1" w:themeShade="BF"/>
    </w:rPr>
  </w:style>
  <w:style w:type="paragraph" w:styleId="IntenseQuote">
    <w:name w:val="Intense Quote"/>
    <w:basedOn w:val="Normal"/>
    <w:next w:val="Normal"/>
    <w:link w:val="IntenseQuoteChar"/>
    <w:uiPriority w:val="30"/>
    <w:qFormat/>
    <w:rsid w:val="00225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D3D"/>
    <w:rPr>
      <w:i/>
      <w:iCs/>
      <w:color w:val="0F4761" w:themeColor="accent1" w:themeShade="BF"/>
    </w:rPr>
  </w:style>
  <w:style w:type="character" w:styleId="IntenseReference">
    <w:name w:val="Intense Reference"/>
    <w:basedOn w:val="DefaultParagraphFont"/>
    <w:uiPriority w:val="32"/>
    <w:qFormat/>
    <w:rsid w:val="00225D3D"/>
    <w:rPr>
      <w:b/>
      <w:bCs/>
      <w:smallCaps/>
      <w:color w:val="0F4761" w:themeColor="accent1" w:themeShade="BF"/>
      <w:spacing w:val="5"/>
    </w:rPr>
  </w:style>
  <w:style w:type="paragraph" w:styleId="NormalWeb">
    <w:name w:val="Normal (Web)"/>
    <w:basedOn w:val="Normal"/>
    <w:uiPriority w:val="99"/>
    <w:semiHidden/>
    <w:unhideWhenUsed/>
    <w:rsid w:val="00821728"/>
    <w:rPr>
      <w:rFonts w:ascii="Times New Roman" w:hAnsi="Times New Roman" w:cs="Times New Roman"/>
    </w:rPr>
  </w:style>
  <w:style w:type="paragraph" w:styleId="Header">
    <w:name w:val="header"/>
    <w:basedOn w:val="Normal"/>
    <w:link w:val="HeaderChar"/>
    <w:uiPriority w:val="99"/>
    <w:unhideWhenUsed/>
    <w:rsid w:val="00165B8B"/>
    <w:pPr>
      <w:tabs>
        <w:tab w:val="center" w:pos="4819"/>
        <w:tab w:val="right" w:pos="9638"/>
      </w:tabs>
    </w:pPr>
  </w:style>
  <w:style w:type="character" w:customStyle="1" w:styleId="HeaderChar">
    <w:name w:val="Header Char"/>
    <w:basedOn w:val="DefaultParagraphFont"/>
    <w:link w:val="Header"/>
    <w:uiPriority w:val="99"/>
    <w:rsid w:val="00165B8B"/>
  </w:style>
  <w:style w:type="paragraph" w:styleId="Footer">
    <w:name w:val="footer"/>
    <w:basedOn w:val="Normal"/>
    <w:link w:val="FooterChar"/>
    <w:uiPriority w:val="99"/>
    <w:unhideWhenUsed/>
    <w:rsid w:val="00165B8B"/>
    <w:pPr>
      <w:tabs>
        <w:tab w:val="center" w:pos="4819"/>
        <w:tab w:val="right" w:pos="9638"/>
      </w:tabs>
    </w:pPr>
  </w:style>
  <w:style w:type="character" w:customStyle="1" w:styleId="FooterChar">
    <w:name w:val="Footer Char"/>
    <w:basedOn w:val="DefaultParagraphFont"/>
    <w:link w:val="Footer"/>
    <w:uiPriority w:val="99"/>
    <w:rsid w:val="00165B8B"/>
  </w:style>
  <w:style w:type="paragraph" w:styleId="Revision">
    <w:name w:val="Revision"/>
    <w:hidden/>
    <w:uiPriority w:val="99"/>
    <w:semiHidden/>
    <w:rsid w:val="00972F63"/>
  </w:style>
  <w:style w:type="character" w:styleId="CommentReference">
    <w:name w:val="annotation reference"/>
    <w:basedOn w:val="DefaultParagraphFont"/>
    <w:uiPriority w:val="99"/>
    <w:semiHidden/>
    <w:unhideWhenUsed/>
    <w:rsid w:val="00F72247"/>
    <w:rPr>
      <w:sz w:val="16"/>
      <w:szCs w:val="16"/>
    </w:rPr>
  </w:style>
  <w:style w:type="paragraph" w:styleId="CommentText">
    <w:name w:val="annotation text"/>
    <w:basedOn w:val="Normal"/>
    <w:link w:val="CommentTextChar"/>
    <w:uiPriority w:val="99"/>
    <w:unhideWhenUsed/>
    <w:rsid w:val="00F72247"/>
    <w:rPr>
      <w:sz w:val="20"/>
      <w:szCs w:val="20"/>
    </w:rPr>
  </w:style>
  <w:style w:type="character" w:customStyle="1" w:styleId="CommentTextChar">
    <w:name w:val="Comment Text Char"/>
    <w:basedOn w:val="DefaultParagraphFont"/>
    <w:link w:val="CommentText"/>
    <w:uiPriority w:val="99"/>
    <w:rsid w:val="00F72247"/>
    <w:rPr>
      <w:sz w:val="20"/>
      <w:szCs w:val="20"/>
    </w:rPr>
  </w:style>
  <w:style w:type="paragraph" w:styleId="CommentSubject">
    <w:name w:val="annotation subject"/>
    <w:basedOn w:val="CommentText"/>
    <w:next w:val="CommentText"/>
    <w:link w:val="CommentSubjectChar"/>
    <w:uiPriority w:val="99"/>
    <w:semiHidden/>
    <w:unhideWhenUsed/>
    <w:rsid w:val="00F72247"/>
    <w:rPr>
      <w:b/>
      <w:bCs/>
    </w:rPr>
  </w:style>
  <w:style w:type="character" w:customStyle="1" w:styleId="CommentSubjectChar">
    <w:name w:val="Comment Subject Char"/>
    <w:basedOn w:val="CommentTextChar"/>
    <w:link w:val="CommentSubject"/>
    <w:uiPriority w:val="99"/>
    <w:semiHidden/>
    <w:rsid w:val="00F72247"/>
    <w:rPr>
      <w:b/>
      <w:bCs/>
      <w:sz w:val="20"/>
      <w:szCs w:val="20"/>
    </w:rPr>
  </w:style>
  <w:style w:type="character" w:styleId="Mention">
    <w:name w:val="Mention"/>
    <w:basedOn w:val="DefaultParagraphFont"/>
    <w:uiPriority w:val="99"/>
    <w:unhideWhenUsed/>
    <w:rsid w:val="00F722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64</TotalTime>
  <Pages>2</Pages>
  <Words>3873</Words>
  <Characters>2208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Matas Miknevičius</dc:creator>
  <cp:keywords/>
  <dc:description/>
  <cp:lastModifiedBy>Eglė Krasauskienė</cp:lastModifiedBy>
  <cp:revision>56</cp:revision>
  <dcterms:created xsi:type="dcterms:W3CDTF">2026-02-24T22:09:00Z</dcterms:created>
  <dcterms:modified xsi:type="dcterms:W3CDTF">2026-02-27T14:00:00Z</dcterms:modified>
</cp:coreProperties>
</file>