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2D4244E7"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5571A">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7842C6">
        <w:rPr>
          <w:rFonts w:ascii="Tahoma" w:hAnsi="Tahoma" w:cs="Tahoma"/>
          <w:b/>
          <w:bCs/>
          <w:sz w:val="20"/>
          <w:szCs w:val="20"/>
          <w:lang w:val="en-US"/>
        </w:rPr>
        <w:t>30</w:t>
      </w:r>
      <w:r w:rsidR="00044694">
        <w:rPr>
          <w:rFonts w:ascii="Tahoma" w:hAnsi="Tahoma" w:cs="Tahoma"/>
          <w:b/>
          <w:bCs/>
          <w:sz w:val="20"/>
          <w:szCs w:val="20"/>
          <w:lang w:val="en-US"/>
        </w:rPr>
        <w:t xml:space="preserve"> </w:t>
      </w:r>
      <w:r w:rsidR="007842C6">
        <w:rPr>
          <w:rFonts w:ascii="Tahoma" w:hAnsi="Tahoma" w:cs="Tahoma"/>
          <w:b/>
          <w:bCs/>
          <w:sz w:val="20"/>
          <w:szCs w:val="20"/>
          <w:lang w:val="en-US"/>
        </w:rPr>
        <w:t>August</w:t>
      </w:r>
      <w:r w:rsidRPr="00C737C7">
        <w:rPr>
          <w:rFonts w:ascii="Tahoma" w:hAnsi="Tahoma" w:cs="Tahoma"/>
          <w:b/>
          <w:bCs/>
          <w:sz w:val="20"/>
          <w:szCs w:val="20"/>
          <w:lang w:val="en-US"/>
        </w:rPr>
        <w:t xml:space="preserve"> 202</w:t>
      </w:r>
      <w:r w:rsidR="006A501D">
        <w:rPr>
          <w:rFonts w:ascii="Tahoma" w:hAnsi="Tahoma" w:cs="Tahoma"/>
          <w:b/>
          <w:bCs/>
          <w:sz w:val="20"/>
          <w:szCs w:val="20"/>
          <w:lang w:val="en-US"/>
        </w:rPr>
        <w:t>3</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63756A84" w:rsidR="005B6343" w:rsidRPr="00F05702" w:rsidRDefault="00F05702" w:rsidP="005B6343">
            <w:pPr>
              <w:spacing w:before="40" w:after="40" w:line="240" w:lineRule="exact"/>
              <w:rPr>
                <w:rFonts w:ascii="Tahoma" w:hAnsi="Tahoma" w:cs="Tahoma"/>
                <w:sz w:val="20"/>
                <w:szCs w:val="20"/>
                <w:lang w:val="en-US"/>
              </w:rPr>
            </w:pPr>
            <w:r w:rsidRPr="00F05702">
              <w:rPr>
                <w:rFonts w:ascii="Tahoma" w:hAnsi="Tahoma" w:cs="Tahoma"/>
                <w:sz w:val="20"/>
                <w:szCs w:val="20"/>
                <w:lang w:val="en-US"/>
              </w:rPr>
              <w:t>Election of the audit company of LITGRID AB and determination of the terms of payment for audit services for the period of 2023-2025.</w:t>
            </w:r>
          </w:p>
        </w:tc>
        <w:tc>
          <w:tcPr>
            <w:tcW w:w="3826" w:type="dxa"/>
            <w:vAlign w:val="center"/>
          </w:tcPr>
          <w:p w14:paraId="0C5D4845" w14:textId="0B7F5BC4" w:rsidR="005B6343" w:rsidRPr="00C737C7" w:rsidRDefault="002567AD" w:rsidP="00044694">
            <w:pPr>
              <w:spacing w:before="40" w:after="40" w:line="240" w:lineRule="exact"/>
              <w:jc w:val="both"/>
              <w:rPr>
                <w:rFonts w:ascii="Tahoma" w:hAnsi="Tahoma" w:cs="Tahoma"/>
                <w:bCs/>
                <w:iCs/>
                <w:sz w:val="20"/>
                <w:szCs w:val="20"/>
                <w:lang w:val="en-US"/>
              </w:rPr>
            </w:pPr>
            <w:r w:rsidRPr="002567AD">
              <w:rPr>
                <w:rFonts w:ascii="Tahoma" w:hAnsi="Tahoma" w:cs="Tahoma"/>
                <w:bCs/>
                <w:iCs/>
                <w:sz w:val="20"/>
                <w:szCs w:val="20"/>
                <w:lang w:val="en-US"/>
              </w:rPr>
              <w:t>1.1. UAB PricewaterhouseCoopers has been elected as the audit company that will perform the audit of the company financial statements of LITGRID AB prepared in accordance with the International Financial Reporting Standards adopted in the European Union for the period of 2023 - 2025;</w:t>
            </w:r>
            <w:r w:rsidRPr="002567AD">
              <w:rPr>
                <w:rFonts w:ascii="Tahoma" w:hAnsi="Tahoma" w:cs="Tahoma"/>
                <w:bCs/>
                <w:iCs/>
                <w:sz w:val="20"/>
                <w:szCs w:val="20"/>
                <w:lang w:val="en-US"/>
              </w:rPr>
              <w:br/>
              <w:t>1.2. To set a remuneration of no more than 482,300 euros (excluding VAT) (including the cost of the audit of interim financial statements of 160,800 euros) for the audit services referred in point 1.1 of this Decision for the years 2023 - 2025.</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Content>
                <w:r w:rsidR="005A033E">
                  <w:rPr>
                    <w:rStyle w:val="FontStyle13"/>
                    <w:rFonts w:ascii="MS Gothic" w:eastAsia="MS Gothic" w:hAnsi="MS Gothic" w:cs="Tahoma" w:hint="eastAsi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6AFF1FE5"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EEB6" w14:textId="77777777" w:rsidR="001D2840" w:rsidRDefault="001D2840">
      <w:pPr>
        <w:pStyle w:val="antraste"/>
      </w:pPr>
      <w:r>
        <w:separator/>
      </w:r>
    </w:p>
  </w:endnote>
  <w:endnote w:type="continuationSeparator" w:id="0">
    <w:p w14:paraId="0EE9B721" w14:textId="77777777" w:rsidR="001D2840" w:rsidRDefault="001D2840">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99EB" w14:textId="77777777" w:rsidR="001D2840" w:rsidRDefault="001D2840">
      <w:pPr>
        <w:pStyle w:val="antraste"/>
      </w:pPr>
      <w:r>
        <w:separator/>
      </w:r>
    </w:p>
  </w:footnote>
  <w:footnote w:type="continuationSeparator" w:id="0">
    <w:p w14:paraId="40F1B4B4" w14:textId="77777777" w:rsidR="001D2840" w:rsidRDefault="001D2840">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9489638">
    <w:abstractNumId w:val="0"/>
  </w:num>
  <w:num w:numId="2" w16cid:durableId="18626698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27B"/>
    <w:rsid w:val="00034642"/>
    <w:rsid w:val="000347B3"/>
    <w:rsid w:val="00034D05"/>
    <w:rsid w:val="00035B17"/>
    <w:rsid w:val="0003783E"/>
    <w:rsid w:val="00037C6A"/>
    <w:rsid w:val="000407E7"/>
    <w:rsid w:val="0004115E"/>
    <w:rsid w:val="000421CA"/>
    <w:rsid w:val="00042AA3"/>
    <w:rsid w:val="00042B79"/>
    <w:rsid w:val="000444B0"/>
    <w:rsid w:val="0004460D"/>
    <w:rsid w:val="00044694"/>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72"/>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169"/>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840"/>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571A"/>
    <w:rsid w:val="00256770"/>
    <w:rsid w:val="002567AD"/>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01D"/>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42C6"/>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5940"/>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925"/>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967"/>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05702"/>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25A9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123CB"/>
    <w:rsid w:val="00B70730"/>
    <w:rsid w:val="00B969A9"/>
    <w:rsid w:val="00BA4069"/>
    <w:rsid w:val="00BE6FE5"/>
    <w:rsid w:val="00C11546"/>
    <w:rsid w:val="00C11FE7"/>
    <w:rsid w:val="00C14644"/>
    <w:rsid w:val="00C45992"/>
    <w:rsid w:val="00C95D2E"/>
    <w:rsid w:val="00CA5776"/>
    <w:rsid w:val="00EB7C04"/>
    <w:rsid w:val="00EC241A"/>
    <w:rsid w:val="00FA5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18</TotalTime>
  <Pages>2</Pages>
  <Words>1919</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Vaida Kumštienė</cp:lastModifiedBy>
  <cp:revision>13</cp:revision>
  <cp:lastPrinted>2014-03-14T08:41:00Z</cp:lastPrinted>
  <dcterms:created xsi:type="dcterms:W3CDTF">2022-03-25T13:13:00Z</dcterms:created>
  <dcterms:modified xsi:type="dcterms:W3CDTF">2023-08-08T08:06:00Z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