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3FB6" w14:textId="468D8E8D" w:rsidR="007A722A" w:rsidRPr="001A5EAB" w:rsidRDefault="001426A3" w:rsidP="007A722A">
      <w:pPr>
        <w:pStyle w:val="BodyText"/>
        <w:rPr>
          <w:b/>
          <w:bCs/>
          <w:noProof/>
          <w:szCs w:val="20"/>
          <w:lang w:val="lt-LT"/>
        </w:rPr>
      </w:pPr>
      <w:r w:rsidRPr="001A5EAB">
        <w:rPr>
          <w:b/>
          <w:noProof/>
          <w:szCs w:val="20"/>
          <w:lang w:val="lt-LT"/>
        </w:rPr>
        <w:t xml:space="preserve">NESKELBTI, NEVIEŠINTI IR NEPLATINTI JOKIEMS ASMENIMS, ESANTIEMS ARBA GYVENANTIEMS JUNGTINĖSE VALSTIJOSE, JŲ TERITORIJOSE IR VALDOSE (ĮSKAITANT PUERTO RIKĄ, JAV MERGELIŲ SALAS, GUAMĄ, AMERIKOS SAMOA, VEIKO SALĄ IR ŠIAURĖS MARIANŲ SALAS), BET KURIOJE JUNGTINIŲ VALSTIJŲ VALSTIJOJE ARBA KOLUMBIJOS APYGARDOJE, TAIP PAT JOKIEMS JAV </w:t>
      </w:r>
      <w:r w:rsidR="008D3FB5">
        <w:rPr>
          <w:b/>
          <w:noProof/>
          <w:szCs w:val="20"/>
          <w:lang w:val="lt-LT"/>
        </w:rPr>
        <w:t>SUBJEKTAMS</w:t>
      </w:r>
      <w:r w:rsidRPr="001A5EAB">
        <w:rPr>
          <w:b/>
          <w:noProof/>
          <w:szCs w:val="20"/>
          <w:lang w:val="lt-LT"/>
        </w:rPr>
        <w:t xml:space="preserve"> (KAIP ŠIS TERMINAS APIBRĖŽTAS TOLIAU) ARBA JOKIEMS BET KOKIOJE KITOJE JURISDIKCIJOJE, KURIOJE PAGAL ĮSTATYMUS DRAUDŽIAMA PLATINTI ŠĮ PRANEŠIMĄ, ESANTIEMS ARBA GYVENANTIEMS ASMENIMS</w:t>
      </w:r>
      <w:r w:rsidR="00700BA2" w:rsidRPr="001A5EAB">
        <w:rPr>
          <w:b/>
          <w:bCs/>
          <w:noProof/>
          <w:szCs w:val="20"/>
          <w:lang w:val="lt-LT"/>
        </w:rPr>
        <w:t>.</w:t>
      </w:r>
    </w:p>
    <w:p w14:paraId="6C9F5102" w14:textId="301DB72D" w:rsidR="00700BA2" w:rsidRPr="001A5EAB" w:rsidRDefault="001426A3" w:rsidP="007A722A">
      <w:pPr>
        <w:pStyle w:val="BodyText"/>
        <w:rPr>
          <w:b/>
          <w:bCs/>
          <w:noProof/>
          <w:szCs w:val="20"/>
          <w:lang w:val="lt-LT"/>
        </w:rPr>
      </w:pPr>
      <w:r w:rsidRPr="001A5EAB">
        <w:rPr>
          <w:b/>
          <w:bCs/>
          <w:noProof/>
          <w:lang w:val="lt-LT"/>
        </w:rPr>
        <w:t xml:space="preserve">ŠIS PRANEŠIMAS YRA SUSIJĘS SU </w:t>
      </w:r>
      <w:r w:rsidR="00562ACF" w:rsidRPr="001A5EAB">
        <w:rPr>
          <w:b/>
          <w:bCs/>
          <w:noProof/>
          <w:lang w:val="lt-LT"/>
        </w:rPr>
        <w:t xml:space="preserve">INFORMACIJOS, KURI PAGAL </w:t>
      </w:r>
      <w:r w:rsidR="006D65DB" w:rsidRPr="001A5EAB">
        <w:rPr>
          <w:b/>
          <w:bCs/>
          <w:noProof/>
          <w:lang w:val="lt-LT"/>
        </w:rPr>
        <w:t xml:space="preserve">REGLAMENTĄ (ES) Nr. 596/2014 DĖL </w:t>
      </w:r>
      <w:r w:rsidR="00562ACF" w:rsidRPr="001A5EAB">
        <w:rPr>
          <w:b/>
          <w:bCs/>
          <w:noProof/>
          <w:lang w:val="lt-LT"/>
        </w:rPr>
        <w:t>PIKTNAUDŽIAVIMO RINKA (PRR) BUVO ARBA GALĖJO BŪTI LAIKOMA VIEŠAI NEATSKLEISTA INFORMACIJA</w:t>
      </w:r>
      <w:r w:rsidR="0099582A">
        <w:rPr>
          <w:b/>
          <w:bCs/>
          <w:noProof/>
          <w:lang w:val="lt-LT"/>
        </w:rPr>
        <w:t>, ATSKLEIDIMU</w:t>
      </w:r>
      <w:r w:rsidR="00700BA2" w:rsidRPr="001A5EAB">
        <w:rPr>
          <w:b/>
          <w:bCs/>
          <w:noProof/>
          <w:lang w:val="lt-LT"/>
        </w:rPr>
        <w:t>.</w:t>
      </w:r>
    </w:p>
    <w:p w14:paraId="4E7BE1F5" w14:textId="7F27934E" w:rsidR="00700BA2" w:rsidRPr="001A5EAB" w:rsidRDefault="00700BA2">
      <w:pPr>
        <w:pStyle w:val="BodyText"/>
        <w:rPr>
          <w:b/>
          <w:noProof/>
          <w:lang w:val="lt-LT"/>
        </w:rPr>
      </w:pPr>
      <w:r w:rsidRPr="001A5EAB">
        <w:rPr>
          <w:b/>
          <w:noProof/>
          <w:lang w:val="lt-LT"/>
        </w:rPr>
        <w:t>2022</w:t>
      </w:r>
      <w:r w:rsidR="00562ACF" w:rsidRPr="001A5EAB">
        <w:rPr>
          <w:b/>
          <w:noProof/>
          <w:lang w:val="lt-LT"/>
        </w:rPr>
        <w:t xml:space="preserve"> m. birželio </w:t>
      </w:r>
      <w:r w:rsidR="00490AD3">
        <w:rPr>
          <w:b/>
          <w:noProof/>
          <w:lang w:val="lt-LT"/>
        </w:rPr>
        <w:t>27</w:t>
      </w:r>
      <w:r w:rsidR="00490AD3" w:rsidRPr="001A5EAB">
        <w:rPr>
          <w:b/>
          <w:noProof/>
          <w:lang w:val="lt-LT"/>
        </w:rPr>
        <w:t xml:space="preserve"> </w:t>
      </w:r>
      <w:r w:rsidR="00562ACF" w:rsidRPr="001A5EAB">
        <w:rPr>
          <w:b/>
          <w:noProof/>
          <w:lang w:val="lt-LT"/>
        </w:rPr>
        <w:t>d.</w:t>
      </w:r>
    </w:p>
    <w:p w14:paraId="7D7AA5F1" w14:textId="55568480" w:rsidR="00700BA2" w:rsidRPr="001A5EAB" w:rsidRDefault="006C3E4C" w:rsidP="00BA2C37">
      <w:pPr>
        <w:pStyle w:val="BodyText"/>
        <w:rPr>
          <w:iCs/>
          <w:noProof/>
          <w:szCs w:val="28"/>
          <w:lang w:val="lt-LT"/>
        </w:rPr>
      </w:pPr>
      <w:r>
        <w:rPr>
          <w:b/>
          <w:noProof/>
          <w:lang w:val="lt-LT"/>
        </w:rPr>
        <w:t>MAXIMA GRUPĖ, UAB</w:t>
      </w:r>
      <w:r w:rsidR="00700BA2" w:rsidRPr="001A5EAB">
        <w:rPr>
          <w:b/>
          <w:iCs/>
          <w:noProof/>
          <w:szCs w:val="28"/>
          <w:lang w:val="lt-LT"/>
        </w:rPr>
        <w:t xml:space="preserve"> </w:t>
      </w:r>
      <w:r w:rsidR="00C55687" w:rsidRPr="001A5EAB">
        <w:rPr>
          <w:b/>
          <w:iCs/>
          <w:noProof/>
          <w:szCs w:val="28"/>
          <w:lang w:val="lt-LT"/>
        </w:rPr>
        <w:t>SKELB</w:t>
      </w:r>
      <w:r w:rsidR="001423EF">
        <w:rPr>
          <w:b/>
          <w:iCs/>
          <w:noProof/>
          <w:szCs w:val="28"/>
          <w:lang w:val="lt-LT"/>
        </w:rPr>
        <w:t>IA</w:t>
      </w:r>
      <w:r w:rsidR="00C55687" w:rsidRPr="001A5EAB">
        <w:rPr>
          <w:b/>
          <w:iCs/>
          <w:noProof/>
          <w:szCs w:val="28"/>
          <w:lang w:val="lt-LT"/>
        </w:rPr>
        <w:t xml:space="preserve"> </w:t>
      </w:r>
      <w:r w:rsidR="00B25A82" w:rsidRPr="001A5EAB">
        <w:rPr>
          <w:b/>
          <w:iCs/>
          <w:noProof/>
          <w:szCs w:val="28"/>
          <w:lang w:val="lt-LT"/>
        </w:rPr>
        <w:t xml:space="preserve">OFICIALŲ </w:t>
      </w:r>
      <w:r w:rsidR="00C55687" w:rsidRPr="001A5EAB">
        <w:rPr>
          <w:b/>
          <w:iCs/>
          <w:noProof/>
          <w:szCs w:val="28"/>
          <w:lang w:val="lt-LT"/>
        </w:rPr>
        <w:t xml:space="preserve">SIŪLYMĄ </w:t>
      </w:r>
      <w:r w:rsidR="00584415">
        <w:rPr>
          <w:b/>
          <w:iCs/>
          <w:noProof/>
          <w:szCs w:val="28"/>
          <w:lang w:val="lt-LT"/>
        </w:rPr>
        <w:t>IŠPIRKTI</w:t>
      </w:r>
      <w:r w:rsidR="00C55687" w:rsidRPr="001A5EAB">
        <w:rPr>
          <w:b/>
          <w:iCs/>
          <w:noProof/>
          <w:szCs w:val="28"/>
          <w:lang w:val="lt-LT"/>
        </w:rPr>
        <w:t xml:space="preserve"> </w:t>
      </w:r>
      <w:r w:rsidR="00876658">
        <w:rPr>
          <w:b/>
          <w:iCs/>
          <w:noProof/>
          <w:szCs w:val="28"/>
          <w:lang w:val="lt-LT"/>
        </w:rPr>
        <w:t>OBLIGACI</w:t>
      </w:r>
      <w:r w:rsidR="00876658">
        <w:rPr>
          <w:b/>
          <w:iCs/>
          <w:noProof/>
          <w:szCs w:val="28"/>
          <w:lang w:val="de-DE"/>
        </w:rPr>
        <w:t>J</w:t>
      </w:r>
      <w:r w:rsidR="00584415">
        <w:rPr>
          <w:b/>
          <w:iCs/>
          <w:noProof/>
          <w:szCs w:val="28"/>
          <w:lang w:val="lt-LT"/>
        </w:rPr>
        <w:t>AS</w:t>
      </w:r>
    </w:p>
    <w:p w14:paraId="4AC362F2" w14:textId="19EB31B3" w:rsidR="00700BA2" w:rsidRPr="001A5EAB" w:rsidRDefault="006C3E4C" w:rsidP="00700BA2">
      <w:pPr>
        <w:pStyle w:val="CoverPage6"/>
        <w:jc w:val="both"/>
        <w:rPr>
          <w:noProof/>
          <w:lang w:val="lt-LT"/>
        </w:rPr>
      </w:pPr>
      <w:r>
        <w:rPr>
          <w:noProof/>
          <w:lang w:val="lt-LT"/>
        </w:rPr>
        <w:t>Maxima Grupė, UAB</w:t>
      </w:r>
      <w:r w:rsidR="00CB3114" w:rsidRPr="001A5EAB">
        <w:rPr>
          <w:noProof/>
          <w:lang w:val="lt-LT"/>
        </w:rPr>
        <w:t xml:space="preserve"> (</w:t>
      </w:r>
      <w:r w:rsidR="00C55687" w:rsidRPr="001A5EAB">
        <w:rPr>
          <w:noProof/>
          <w:lang w:val="lt-LT"/>
        </w:rPr>
        <w:t xml:space="preserve">toliau – </w:t>
      </w:r>
      <w:r w:rsidR="00C55687" w:rsidRPr="001A5EAB">
        <w:rPr>
          <w:b/>
          <w:noProof/>
          <w:lang w:val="lt-LT"/>
        </w:rPr>
        <w:t>Emitentas</w:t>
      </w:r>
      <w:r w:rsidR="00C55687" w:rsidRPr="001A5EAB">
        <w:rPr>
          <w:noProof/>
          <w:lang w:val="lt-LT"/>
        </w:rPr>
        <w:t>)</w:t>
      </w:r>
      <w:r w:rsidR="00700BA2" w:rsidRPr="001A5EAB">
        <w:rPr>
          <w:noProof/>
          <w:lang w:val="lt-LT"/>
        </w:rPr>
        <w:t xml:space="preserve"> </w:t>
      </w:r>
      <w:r w:rsidR="00B25A82" w:rsidRPr="001A5EAB">
        <w:rPr>
          <w:noProof/>
          <w:lang w:val="lt-LT"/>
        </w:rPr>
        <w:t>paskelb</w:t>
      </w:r>
      <w:r w:rsidR="00CE5BF5">
        <w:rPr>
          <w:noProof/>
          <w:lang w:val="lt-LT"/>
        </w:rPr>
        <w:t>ia</w:t>
      </w:r>
      <w:r w:rsidR="00B25A82" w:rsidRPr="001A5EAB">
        <w:rPr>
          <w:noProof/>
          <w:lang w:val="lt-LT"/>
        </w:rPr>
        <w:t xml:space="preserve"> oficialų pasiūlymą </w:t>
      </w:r>
      <w:r w:rsidR="00584415">
        <w:rPr>
          <w:noProof/>
          <w:lang w:val="lt-LT"/>
        </w:rPr>
        <w:t>išpirkti jos</w:t>
      </w:r>
      <w:r w:rsidR="00B25A82" w:rsidRPr="001A5EAB">
        <w:rPr>
          <w:noProof/>
          <w:lang w:val="lt-LT"/>
        </w:rPr>
        <w:t xml:space="preserve"> 300 000 000 eurų vertės </w:t>
      </w:r>
      <w:r w:rsidR="00876658">
        <w:rPr>
          <w:noProof/>
          <w:lang w:val="lt-LT"/>
        </w:rPr>
        <w:t>obligacij</w:t>
      </w:r>
      <w:r w:rsidR="0099582A">
        <w:rPr>
          <w:noProof/>
          <w:lang w:val="lt-LT"/>
        </w:rPr>
        <w:t>as</w:t>
      </w:r>
      <w:r w:rsidR="00B25A82" w:rsidRPr="001A5EAB">
        <w:rPr>
          <w:noProof/>
          <w:lang w:val="lt-LT"/>
        </w:rPr>
        <w:t xml:space="preserve"> (palūkanų norma – </w:t>
      </w:r>
      <w:r w:rsidR="006A5CFC" w:rsidRPr="001A5EAB">
        <w:rPr>
          <w:noProof/>
          <w:lang w:val="lt-LT"/>
        </w:rPr>
        <w:t>3</w:t>
      </w:r>
      <w:r w:rsidR="00B25A82" w:rsidRPr="001A5EAB">
        <w:rPr>
          <w:noProof/>
          <w:lang w:val="lt-LT"/>
        </w:rPr>
        <w:t>,</w:t>
      </w:r>
      <w:r w:rsidR="006A5CFC" w:rsidRPr="001A5EAB">
        <w:rPr>
          <w:noProof/>
          <w:lang w:val="lt-LT"/>
        </w:rPr>
        <w:t xml:space="preserve">250 </w:t>
      </w:r>
      <w:r w:rsidR="00B25A82" w:rsidRPr="001A5EAB">
        <w:rPr>
          <w:noProof/>
          <w:lang w:val="lt-LT"/>
        </w:rPr>
        <w:t xml:space="preserve">proc., išpirkimo data – </w:t>
      </w:r>
      <w:r w:rsidR="006A5CFC" w:rsidRPr="001A5EAB">
        <w:rPr>
          <w:noProof/>
          <w:lang w:val="lt-LT"/>
        </w:rPr>
        <w:t>2023</w:t>
      </w:r>
      <w:r w:rsidR="00B25A82" w:rsidRPr="001A5EAB">
        <w:rPr>
          <w:noProof/>
          <w:lang w:val="lt-LT"/>
        </w:rPr>
        <w:t xml:space="preserve"> m. rugsėjo 13 d.) </w:t>
      </w:r>
      <w:r w:rsidR="006A5CFC" w:rsidRPr="001A5EAB">
        <w:rPr>
          <w:noProof/>
          <w:lang w:val="lt-LT"/>
        </w:rPr>
        <w:t>(</w:t>
      </w:r>
      <w:r w:rsidR="00B25A82" w:rsidRPr="001A5EAB">
        <w:rPr>
          <w:noProof/>
          <w:lang w:val="lt-LT"/>
        </w:rPr>
        <w:t>toliau –</w:t>
      </w:r>
      <w:r w:rsidR="00B25A82" w:rsidRPr="00876658">
        <w:rPr>
          <w:b/>
          <w:noProof/>
          <w:lang w:val="lt-LT"/>
        </w:rPr>
        <w:t xml:space="preserve"> </w:t>
      </w:r>
      <w:r w:rsidR="00876658" w:rsidRPr="00876658">
        <w:rPr>
          <w:b/>
          <w:noProof/>
          <w:lang w:val="lt-LT"/>
        </w:rPr>
        <w:t>Obligacijos</w:t>
      </w:r>
      <w:r w:rsidR="00B25A82" w:rsidRPr="001A5EAB">
        <w:rPr>
          <w:noProof/>
          <w:lang w:val="lt-LT"/>
        </w:rPr>
        <w:t>)</w:t>
      </w:r>
      <w:r w:rsidR="006A5CFC" w:rsidRPr="001A5EAB">
        <w:rPr>
          <w:noProof/>
          <w:lang w:val="lt-LT"/>
        </w:rPr>
        <w:t xml:space="preserve"> </w:t>
      </w:r>
      <w:r w:rsidR="00584415">
        <w:rPr>
          <w:noProof/>
          <w:lang w:val="lt-LT"/>
        </w:rPr>
        <w:t>iš esamų obligacijų savininkų</w:t>
      </w:r>
      <w:r w:rsidR="00E20E01" w:rsidRPr="001A5EAB">
        <w:rPr>
          <w:noProof/>
          <w:lang w:val="lt-LT"/>
        </w:rPr>
        <w:t xml:space="preserve">, jei </w:t>
      </w:r>
      <w:r w:rsidR="001423EF">
        <w:rPr>
          <w:noProof/>
          <w:lang w:val="lt-LT"/>
        </w:rPr>
        <w:t>bus</w:t>
      </w:r>
      <w:r w:rsidR="001423EF" w:rsidRPr="001A5EAB">
        <w:rPr>
          <w:noProof/>
          <w:lang w:val="lt-LT"/>
        </w:rPr>
        <w:t xml:space="preserve"> </w:t>
      </w:r>
      <w:r w:rsidR="00E20E01" w:rsidRPr="001A5EAB">
        <w:rPr>
          <w:noProof/>
          <w:lang w:val="lt-LT"/>
        </w:rPr>
        <w:t>įvykdyta Naujo</w:t>
      </w:r>
      <w:r w:rsidR="00B25A82" w:rsidRPr="001A5EAB">
        <w:rPr>
          <w:noProof/>
          <w:lang w:val="lt-LT"/>
        </w:rPr>
        <w:t xml:space="preserve"> finansavimo sąlyga (kaip šis terminas apibrėžtas Oficialaus pasiūlymo memorandume) bei kitos šiame dokumente nurodytos sąlygos (toliau – </w:t>
      </w:r>
      <w:r w:rsidR="00B25A82" w:rsidRPr="001A5EAB">
        <w:rPr>
          <w:b/>
          <w:noProof/>
          <w:lang w:val="lt-LT"/>
        </w:rPr>
        <w:t>Pasiūlymas</w:t>
      </w:r>
      <w:r w:rsidR="00B25A82" w:rsidRPr="001A5EAB">
        <w:rPr>
          <w:noProof/>
          <w:lang w:val="lt-LT"/>
        </w:rPr>
        <w:t>).</w:t>
      </w:r>
      <w:r w:rsidR="00700BA2" w:rsidRPr="001A5EAB">
        <w:rPr>
          <w:noProof/>
          <w:lang w:val="lt-LT"/>
        </w:rPr>
        <w:t xml:space="preserve"> </w:t>
      </w:r>
      <w:r w:rsidR="00B25A82" w:rsidRPr="001A5EAB">
        <w:rPr>
          <w:noProof/>
          <w:lang w:val="lt-LT"/>
        </w:rPr>
        <w:t xml:space="preserve">Pasiūlymas teikiamas pagal 2022 m. birželio </w:t>
      </w:r>
      <w:r w:rsidR="006C614E">
        <w:rPr>
          <w:bCs/>
          <w:noProof/>
          <w:lang w:val="lt-LT"/>
        </w:rPr>
        <w:t>27</w:t>
      </w:r>
      <w:r w:rsidR="006C614E" w:rsidRPr="001A5EAB">
        <w:rPr>
          <w:bCs/>
          <w:noProof/>
          <w:lang w:val="lt-LT"/>
        </w:rPr>
        <w:t xml:space="preserve"> </w:t>
      </w:r>
      <w:r w:rsidR="00B25A82" w:rsidRPr="001A5EAB">
        <w:rPr>
          <w:bCs/>
          <w:noProof/>
          <w:lang w:val="lt-LT"/>
        </w:rPr>
        <w:t xml:space="preserve">d. oficialaus pasiūlymo memorandumo (toliau – </w:t>
      </w:r>
      <w:r w:rsidR="00B25A82" w:rsidRPr="001A5EAB">
        <w:rPr>
          <w:b/>
          <w:bCs/>
          <w:noProof/>
          <w:lang w:val="lt-LT"/>
        </w:rPr>
        <w:t>Oficialaus pasiūlymo memorandumas</w:t>
      </w:r>
      <w:r w:rsidR="00B25A82" w:rsidRPr="001A5EAB">
        <w:rPr>
          <w:bCs/>
          <w:noProof/>
          <w:lang w:val="lt-LT"/>
        </w:rPr>
        <w:t>) sąlygas</w:t>
      </w:r>
      <w:r w:rsidR="00D447F2" w:rsidRPr="001A5EAB">
        <w:rPr>
          <w:bCs/>
          <w:noProof/>
          <w:lang w:val="lt-LT"/>
        </w:rPr>
        <w:t xml:space="preserve">. </w:t>
      </w:r>
      <w:r w:rsidR="0099582A">
        <w:rPr>
          <w:bCs/>
          <w:noProof/>
          <w:lang w:val="lt-LT"/>
        </w:rPr>
        <w:t xml:space="preserve">Šiam siūlymui </w:t>
      </w:r>
      <w:r w:rsidR="00B25A82" w:rsidRPr="001A5EAB">
        <w:rPr>
          <w:bCs/>
          <w:noProof/>
          <w:lang w:val="lt-LT"/>
        </w:rPr>
        <w:t>yra taikomi papildomi toliau išdėstyti ir Oficialaus pasiūlymo memorandume plačiau aprašyti ribojimai</w:t>
      </w:r>
      <w:r w:rsidR="00537ED1" w:rsidRPr="001A5EAB">
        <w:rPr>
          <w:noProof/>
          <w:lang w:val="lt-LT"/>
        </w:rPr>
        <w:t>.</w:t>
      </w:r>
    </w:p>
    <w:p w14:paraId="0729067E" w14:textId="63AEDC97" w:rsidR="00612F62" w:rsidRPr="001A5EAB" w:rsidRDefault="00B25A82" w:rsidP="00612F62">
      <w:pPr>
        <w:pStyle w:val="BodyText"/>
        <w:rPr>
          <w:noProof/>
          <w:lang w:val="lt-LT" w:eastAsia="en-US" w:bidi="ar-SA"/>
        </w:rPr>
      </w:pPr>
      <w:r w:rsidRPr="001A5EAB">
        <w:rPr>
          <w:noProof/>
          <w:lang w:val="lt-LT" w:eastAsia="en-US" w:bidi="ar-SA"/>
        </w:rPr>
        <w:t xml:space="preserve">Šis pranešimas turi būti skaitomas kartu su Oficialaus pasiūlymo memorandumu. </w:t>
      </w:r>
    </w:p>
    <w:p w14:paraId="36CB6125" w14:textId="2171C98D" w:rsidR="00537ED1" w:rsidRPr="001A5EAB" w:rsidRDefault="00B25A82">
      <w:pPr>
        <w:pStyle w:val="BodyText"/>
        <w:rPr>
          <w:noProof/>
          <w:lang w:val="lt-LT" w:eastAsia="en-US" w:bidi="ar-SA"/>
        </w:rPr>
      </w:pPr>
      <w:r w:rsidRPr="001A5EAB">
        <w:rPr>
          <w:noProof/>
          <w:lang w:val="lt-LT"/>
        </w:rPr>
        <w:t>Oficialaus pasiūlymo memorandumo kopij</w:t>
      </w:r>
      <w:r w:rsidR="00DA5C0B" w:rsidRPr="001A5EAB">
        <w:rPr>
          <w:noProof/>
          <w:lang w:val="lt-LT"/>
        </w:rPr>
        <w:t>as</w:t>
      </w:r>
      <w:r w:rsidRPr="001A5EAB">
        <w:rPr>
          <w:noProof/>
          <w:lang w:val="lt-LT"/>
        </w:rPr>
        <w:t xml:space="preserve"> (su siūlymo ir platinimo apribojimais) galima gauti iš Pasiūlymo agento toliau nurodytu būdu</w:t>
      </w:r>
      <w:r w:rsidR="00537ED1" w:rsidRPr="001A5EAB">
        <w:rPr>
          <w:noProof/>
          <w:lang w:val="lt-LT"/>
        </w:rPr>
        <w:t xml:space="preserve">. </w:t>
      </w:r>
      <w:r w:rsidRPr="001A5EAB">
        <w:rPr>
          <w:noProof/>
          <w:lang w:val="lt-LT"/>
        </w:rPr>
        <w:t xml:space="preserve">Didžiąja raide </w:t>
      </w:r>
      <w:r w:rsidRPr="001A5EAB">
        <w:rPr>
          <w:noProof/>
          <w:lang w:val="lt-LT" w:eastAsia="en-US" w:bidi="ar-SA"/>
        </w:rPr>
        <w:t>rašomų ir pranešime neapibrėžtų terminų reikšmė yra tokia, kokia nustatyta Oficialaus pasiūlymo memorandume</w:t>
      </w:r>
      <w:r w:rsidR="00537ED1" w:rsidRPr="001A5EAB">
        <w:rPr>
          <w:noProof/>
          <w:lang w:val="lt-LT"/>
        </w:rPr>
        <w:t>.</w:t>
      </w:r>
    </w:p>
    <w:p w14:paraId="58A0C6CF" w14:textId="0BBDAD73" w:rsidR="00700BA2" w:rsidRPr="001A5EAB" w:rsidRDefault="00B25A82" w:rsidP="00BA2C37">
      <w:pPr>
        <w:pStyle w:val="BodyText"/>
        <w:rPr>
          <w:b/>
          <w:bCs/>
          <w:noProof/>
          <w:lang w:val="lt-LT"/>
        </w:rPr>
      </w:pPr>
      <w:r w:rsidRPr="001A5EAB">
        <w:rPr>
          <w:b/>
          <w:bCs/>
          <w:noProof/>
          <w:lang w:val="lt-LT" w:eastAsia="en-US" w:bidi="ar-SA"/>
        </w:rPr>
        <w:t>Pasiūlymo santrauka</w:t>
      </w:r>
    </w:p>
    <w:tbl>
      <w:tblPr>
        <w:tblW w:w="0" w:type="auto"/>
        <w:tblLook w:val="01E0" w:firstRow="1" w:lastRow="1" w:firstColumn="1" w:lastColumn="1" w:noHBand="0" w:noVBand="0"/>
      </w:tblPr>
      <w:tblGrid>
        <w:gridCol w:w="1891"/>
        <w:gridCol w:w="1221"/>
        <w:gridCol w:w="1224"/>
        <w:gridCol w:w="1958"/>
        <w:gridCol w:w="2732"/>
      </w:tblGrid>
      <w:tr w:rsidR="008F0304" w:rsidRPr="001A5EAB" w14:paraId="5579DBE7" w14:textId="53151945" w:rsidTr="00B81D27">
        <w:trPr>
          <w:trHeight w:val="890"/>
        </w:trPr>
        <w:tc>
          <w:tcPr>
            <w:tcW w:w="0" w:type="auto"/>
            <w:vAlign w:val="bottom"/>
          </w:tcPr>
          <w:p w14:paraId="0CBC6696" w14:textId="70EA2111" w:rsidR="007A722A" w:rsidRPr="001A5EAB" w:rsidRDefault="00876658" w:rsidP="00876658">
            <w:pPr>
              <w:pStyle w:val="BodyText"/>
              <w:pBdr>
                <w:bottom w:val="single" w:sz="4" w:space="1" w:color="000000"/>
              </w:pBdr>
              <w:spacing w:after="80"/>
              <w:jc w:val="center"/>
              <w:rPr>
                <w:b/>
                <w:iCs/>
                <w:noProof/>
                <w:sz w:val="16"/>
                <w:szCs w:val="16"/>
                <w:lang w:val="lt-LT"/>
              </w:rPr>
            </w:pPr>
            <w:r>
              <w:rPr>
                <w:b/>
                <w:iCs/>
                <w:noProof/>
                <w:sz w:val="16"/>
                <w:szCs w:val="16"/>
                <w:lang w:val="lt-LT"/>
              </w:rPr>
              <w:t>Obligacijų</w:t>
            </w:r>
            <w:r w:rsidR="00B25A82" w:rsidRPr="001A5EAB">
              <w:rPr>
                <w:b/>
                <w:iCs/>
                <w:noProof/>
                <w:sz w:val="16"/>
                <w:szCs w:val="16"/>
                <w:lang w:val="lt-LT"/>
              </w:rPr>
              <w:t xml:space="preserve"> aprašymas</w:t>
            </w:r>
          </w:p>
        </w:tc>
        <w:tc>
          <w:tcPr>
            <w:tcW w:w="0" w:type="auto"/>
            <w:vAlign w:val="bottom"/>
          </w:tcPr>
          <w:p w14:paraId="32B840C4" w14:textId="24EC8714" w:rsidR="007A722A" w:rsidRPr="001A5EAB" w:rsidRDefault="007A722A" w:rsidP="007A722A">
            <w:pPr>
              <w:pStyle w:val="BodyText"/>
              <w:pBdr>
                <w:bottom w:val="single" w:sz="4" w:space="1" w:color="000000"/>
              </w:pBdr>
              <w:spacing w:after="80"/>
              <w:jc w:val="center"/>
              <w:rPr>
                <w:b/>
                <w:iCs/>
                <w:noProof/>
                <w:sz w:val="16"/>
                <w:szCs w:val="16"/>
                <w:lang w:val="lt-LT"/>
              </w:rPr>
            </w:pPr>
            <w:r w:rsidRPr="001A5EAB">
              <w:rPr>
                <w:b/>
                <w:iCs/>
                <w:noProof/>
                <w:sz w:val="16"/>
                <w:szCs w:val="16"/>
                <w:lang w:val="lt-LT"/>
              </w:rPr>
              <w:t>ISIN</w:t>
            </w:r>
          </w:p>
        </w:tc>
        <w:tc>
          <w:tcPr>
            <w:tcW w:w="0" w:type="auto"/>
            <w:vAlign w:val="bottom"/>
          </w:tcPr>
          <w:p w14:paraId="6199627D" w14:textId="4191DF51" w:rsidR="007A722A" w:rsidRPr="001A5EAB" w:rsidRDefault="00B25A82" w:rsidP="00536715">
            <w:pPr>
              <w:pStyle w:val="BodyText"/>
              <w:pBdr>
                <w:bottom w:val="single" w:sz="4" w:space="1" w:color="000000"/>
              </w:pBdr>
              <w:spacing w:after="80"/>
              <w:jc w:val="center"/>
              <w:rPr>
                <w:b/>
                <w:iCs/>
                <w:noProof/>
                <w:sz w:val="16"/>
                <w:szCs w:val="16"/>
                <w:lang w:val="lt-LT"/>
              </w:rPr>
            </w:pPr>
            <w:r w:rsidRPr="001A5EAB">
              <w:rPr>
                <w:b/>
                <w:iCs/>
                <w:noProof/>
                <w:sz w:val="16"/>
                <w:szCs w:val="16"/>
                <w:lang w:val="lt-LT"/>
              </w:rPr>
              <w:t xml:space="preserve">Visa pagrindinė </w:t>
            </w:r>
            <w:r w:rsidR="00E64E3D">
              <w:rPr>
                <w:b/>
                <w:iCs/>
                <w:noProof/>
                <w:sz w:val="16"/>
                <w:szCs w:val="16"/>
                <w:lang w:val="lt-LT"/>
              </w:rPr>
              <w:t xml:space="preserve">mokėtina </w:t>
            </w:r>
            <w:r w:rsidRPr="001A5EAB">
              <w:rPr>
                <w:b/>
                <w:iCs/>
                <w:noProof/>
                <w:sz w:val="16"/>
                <w:szCs w:val="16"/>
                <w:lang w:val="lt-LT"/>
              </w:rPr>
              <w:t>suma</w:t>
            </w:r>
            <w:r w:rsidRPr="001A5EAB">
              <w:rPr>
                <w:b/>
                <w:iCs/>
                <w:noProof/>
                <w:sz w:val="16"/>
                <w:szCs w:val="16"/>
                <w:vertAlign w:val="superscript"/>
                <w:lang w:val="lt-LT"/>
              </w:rPr>
              <w:t xml:space="preserve"> </w:t>
            </w:r>
            <w:r w:rsidR="007A722A" w:rsidRPr="001A5EAB">
              <w:rPr>
                <w:b/>
                <w:iCs/>
                <w:noProof/>
                <w:sz w:val="16"/>
                <w:szCs w:val="16"/>
                <w:vertAlign w:val="superscript"/>
                <w:lang w:val="lt-LT"/>
              </w:rPr>
              <w:t>(1)</w:t>
            </w:r>
          </w:p>
        </w:tc>
        <w:tc>
          <w:tcPr>
            <w:tcW w:w="0" w:type="auto"/>
            <w:vAlign w:val="bottom"/>
          </w:tcPr>
          <w:p w14:paraId="54643398" w14:textId="5D24E3AD" w:rsidR="007A722A" w:rsidRPr="001A5EAB" w:rsidRDefault="007A722A" w:rsidP="00B25A82">
            <w:pPr>
              <w:pStyle w:val="BodyText"/>
              <w:pBdr>
                <w:bottom w:val="single" w:sz="4" w:space="1" w:color="000000"/>
              </w:pBdr>
              <w:spacing w:after="80"/>
              <w:jc w:val="center"/>
              <w:rPr>
                <w:b/>
                <w:iCs/>
                <w:noProof/>
                <w:sz w:val="16"/>
                <w:szCs w:val="16"/>
                <w:lang w:val="lt-LT"/>
              </w:rPr>
            </w:pPr>
            <w:r w:rsidRPr="001A5EAB">
              <w:rPr>
                <w:b/>
                <w:iCs/>
                <w:noProof/>
                <w:sz w:val="16"/>
                <w:szCs w:val="16"/>
                <w:lang w:val="lt-LT"/>
              </w:rPr>
              <w:br/>
            </w:r>
            <w:r w:rsidR="00B25A82" w:rsidRPr="001A5EAB">
              <w:rPr>
                <w:b/>
                <w:iCs/>
                <w:noProof/>
                <w:sz w:val="16"/>
                <w:szCs w:val="16"/>
                <w:lang w:val="lt-LT"/>
              </w:rPr>
              <w:t>Pirkimo kaina</w:t>
            </w:r>
          </w:p>
        </w:tc>
        <w:tc>
          <w:tcPr>
            <w:tcW w:w="0" w:type="auto"/>
            <w:vAlign w:val="bottom"/>
          </w:tcPr>
          <w:p w14:paraId="6B776021" w14:textId="5B279474" w:rsidR="007A722A" w:rsidRPr="001A5EAB" w:rsidRDefault="00B25A82" w:rsidP="00B25A82">
            <w:pPr>
              <w:pStyle w:val="BodyText"/>
              <w:pBdr>
                <w:bottom w:val="single" w:sz="4" w:space="1" w:color="000000"/>
              </w:pBdr>
              <w:spacing w:after="80"/>
              <w:jc w:val="center"/>
              <w:rPr>
                <w:b/>
                <w:iCs/>
                <w:noProof/>
                <w:sz w:val="16"/>
                <w:szCs w:val="16"/>
                <w:lang w:val="lt-LT"/>
              </w:rPr>
            </w:pPr>
            <w:r w:rsidRPr="001A5EAB">
              <w:rPr>
                <w:b/>
                <w:iCs/>
                <w:noProof/>
                <w:sz w:val="16"/>
                <w:szCs w:val="16"/>
                <w:lang w:val="lt-LT"/>
              </w:rPr>
              <w:t>Suma, dėl kurios teikiamas pasiūlymas</w:t>
            </w:r>
          </w:p>
        </w:tc>
      </w:tr>
      <w:tr w:rsidR="008F0304" w:rsidRPr="00CE5BF5" w14:paraId="06B21579" w14:textId="5DAFB9B0" w:rsidTr="00B81D27">
        <w:trPr>
          <w:trHeight w:val="80"/>
        </w:trPr>
        <w:tc>
          <w:tcPr>
            <w:tcW w:w="0" w:type="auto"/>
          </w:tcPr>
          <w:p w14:paraId="3EF60E53" w14:textId="09ACE06F" w:rsidR="007A722A" w:rsidRPr="001A5EAB" w:rsidRDefault="007A722A" w:rsidP="00B25A82">
            <w:pPr>
              <w:pStyle w:val="BodyText"/>
              <w:spacing w:after="0"/>
              <w:rPr>
                <w:noProof/>
                <w:sz w:val="16"/>
                <w:szCs w:val="16"/>
                <w:lang w:val="lt-LT"/>
              </w:rPr>
            </w:pPr>
            <w:r w:rsidRPr="001A5EAB">
              <w:rPr>
                <w:noProof/>
                <w:sz w:val="16"/>
                <w:szCs w:val="16"/>
                <w:lang w:val="lt-LT"/>
              </w:rPr>
              <w:t>300</w:t>
            </w:r>
            <w:r w:rsidR="00B25A82" w:rsidRPr="001A5EAB">
              <w:rPr>
                <w:noProof/>
                <w:sz w:val="16"/>
                <w:szCs w:val="16"/>
                <w:lang w:val="lt-LT"/>
              </w:rPr>
              <w:t> </w:t>
            </w:r>
            <w:r w:rsidRPr="001A5EAB">
              <w:rPr>
                <w:noProof/>
                <w:sz w:val="16"/>
                <w:szCs w:val="16"/>
                <w:lang w:val="lt-LT"/>
              </w:rPr>
              <w:t>000</w:t>
            </w:r>
            <w:r w:rsidR="00B25A82" w:rsidRPr="001A5EAB">
              <w:rPr>
                <w:noProof/>
                <w:sz w:val="16"/>
                <w:szCs w:val="16"/>
                <w:lang w:val="lt-LT"/>
              </w:rPr>
              <w:t> 000</w:t>
            </w:r>
            <w:r w:rsidR="00DA5C0B" w:rsidRPr="001A5EAB">
              <w:rPr>
                <w:noProof/>
                <w:sz w:val="16"/>
                <w:szCs w:val="16"/>
                <w:lang w:val="lt-LT"/>
              </w:rPr>
              <w:t xml:space="preserve"> EUR</w:t>
            </w:r>
            <w:r w:rsidR="00584415">
              <w:rPr>
                <w:noProof/>
                <w:sz w:val="16"/>
                <w:szCs w:val="16"/>
                <w:lang w:val="lt-LT"/>
              </w:rPr>
              <w:t xml:space="preserve"> vertės obligacijos</w:t>
            </w:r>
            <w:r w:rsidR="00B25A82" w:rsidRPr="001A5EAB">
              <w:rPr>
                <w:noProof/>
                <w:sz w:val="16"/>
                <w:szCs w:val="16"/>
                <w:lang w:val="lt-LT"/>
              </w:rPr>
              <w:t xml:space="preserve">, palūkanų norma – </w:t>
            </w:r>
            <w:r w:rsidRPr="001A5EAB">
              <w:rPr>
                <w:noProof/>
                <w:sz w:val="16"/>
                <w:szCs w:val="16"/>
                <w:lang w:val="lt-LT"/>
              </w:rPr>
              <w:t>3</w:t>
            </w:r>
            <w:r w:rsidR="00B25A82" w:rsidRPr="001A5EAB">
              <w:rPr>
                <w:noProof/>
                <w:sz w:val="16"/>
                <w:szCs w:val="16"/>
                <w:lang w:val="lt-LT"/>
              </w:rPr>
              <w:t>,</w:t>
            </w:r>
            <w:r w:rsidRPr="001A5EAB">
              <w:rPr>
                <w:noProof/>
                <w:sz w:val="16"/>
                <w:szCs w:val="16"/>
                <w:lang w:val="lt-LT"/>
              </w:rPr>
              <w:t xml:space="preserve">250 </w:t>
            </w:r>
            <w:r w:rsidR="00B25A82" w:rsidRPr="001A5EAB">
              <w:rPr>
                <w:noProof/>
                <w:sz w:val="16"/>
                <w:szCs w:val="16"/>
                <w:lang w:val="lt-LT"/>
              </w:rPr>
              <w:t xml:space="preserve">proc., išpirkimo terminas – </w:t>
            </w:r>
            <w:r w:rsidRPr="001A5EAB">
              <w:rPr>
                <w:noProof/>
                <w:sz w:val="16"/>
                <w:szCs w:val="16"/>
                <w:lang w:val="lt-LT"/>
              </w:rPr>
              <w:t>2023</w:t>
            </w:r>
            <w:r w:rsidR="00B25A82" w:rsidRPr="001A5EAB">
              <w:rPr>
                <w:noProof/>
                <w:sz w:val="16"/>
                <w:szCs w:val="16"/>
                <w:lang w:val="lt-LT"/>
              </w:rPr>
              <w:t xml:space="preserve"> m. rugsėjo 13 d.</w:t>
            </w:r>
          </w:p>
        </w:tc>
        <w:tc>
          <w:tcPr>
            <w:tcW w:w="0" w:type="auto"/>
          </w:tcPr>
          <w:p w14:paraId="00906517" w14:textId="4DB0D3BE" w:rsidR="007A722A" w:rsidRPr="001A5EAB" w:rsidRDefault="007A722A" w:rsidP="00B81D27">
            <w:pPr>
              <w:pStyle w:val="BodyText"/>
              <w:spacing w:after="0"/>
              <w:rPr>
                <w:noProof/>
                <w:sz w:val="16"/>
                <w:szCs w:val="16"/>
                <w:lang w:val="lt-LT"/>
              </w:rPr>
            </w:pPr>
            <w:r w:rsidRPr="001A5EAB">
              <w:rPr>
                <w:noProof/>
                <w:sz w:val="16"/>
                <w:szCs w:val="16"/>
                <w:lang w:val="lt-LT"/>
              </w:rPr>
              <w:t>XS1878323499</w:t>
            </w:r>
          </w:p>
        </w:tc>
        <w:tc>
          <w:tcPr>
            <w:tcW w:w="0" w:type="auto"/>
          </w:tcPr>
          <w:p w14:paraId="3E82DC27" w14:textId="51D83A8E" w:rsidR="007A722A" w:rsidRPr="001A5EAB" w:rsidRDefault="007A722A" w:rsidP="00B25A82">
            <w:pPr>
              <w:pStyle w:val="BodyText"/>
              <w:spacing w:after="0"/>
              <w:rPr>
                <w:noProof/>
                <w:sz w:val="16"/>
                <w:szCs w:val="16"/>
                <w:lang w:val="lt-LT"/>
              </w:rPr>
            </w:pPr>
            <w:r w:rsidRPr="001A5EAB">
              <w:rPr>
                <w:noProof/>
                <w:sz w:val="16"/>
                <w:szCs w:val="16"/>
                <w:lang w:val="lt-LT"/>
              </w:rPr>
              <w:t>300</w:t>
            </w:r>
            <w:r w:rsidR="00B25A82" w:rsidRPr="001A5EAB">
              <w:rPr>
                <w:noProof/>
                <w:sz w:val="16"/>
                <w:szCs w:val="16"/>
                <w:lang w:val="lt-LT"/>
              </w:rPr>
              <w:t> </w:t>
            </w:r>
            <w:r w:rsidRPr="001A5EAB">
              <w:rPr>
                <w:noProof/>
                <w:sz w:val="16"/>
                <w:szCs w:val="16"/>
                <w:lang w:val="lt-LT"/>
              </w:rPr>
              <w:t>000</w:t>
            </w:r>
            <w:r w:rsidR="00B25A82" w:rsidRPr="001A5EAB">
              <w:rPr>
                <w:noProof/>
                <w:sz w:val="16"/>
                <w:szCs w:val="16"/>
                <w:lang w:val="lt-LT"/>
              </w:rPr>
              <w:t> </w:t>
            </w:r>
            <w:r w:rsidRPr="001A5EAB">
              <w:rPr>
                <w:noProof/>
                <w:sz w:val="16"/>
                <w:szCs w:val="16"/>
                <w:lang w:val="lt-LT"/>
              </w:rPr>
              <w:t>000</w:t>
            </w:r>
            <w:r w:rsidR="00DA5C0B" w:rsidRPr="001A5EAB">
              <w:rPr>
                <w:noProof/>
                <w:sz w:val="16"/>
                <w:szCs w:val="16"/>
                <w:lang w:val="lt-LT"/>
              </w:rPr>
              <w:t xml:space="preserve"> EUR</w:t>
            </w:r>
          </w:p>
        </w:tc>
        <w:tc>
          <w:tcPr>
            <w:tcW w:w="0" w:type="auto"/>
          </w:tcPr>
          <w:p w14:paraId="3D4491DF" w14:textId="77B7FB23" w:rsidR="007A722A" w:rsidRPr="001A5EAB" w:rsidRDefault="00EC2776" w:rsidP="00876658">
            <w:pPr>
              <w:pStyle w:val="BodyText"/>
              <w:spacing w:after="0"/>
              <w:rPr>
                <w:noProof/>
                <w:sz w:val="16"/>
                <w:szCs w:val="16"/>
                <w:lang w:val="lt-LT"/>
              </w:rPr>
            </w:pPr>
            <w:r>
              <w:rPr>
                <w:rFonts w:asciiTheme="majorHAnsi" w:hAnsiTheme="majorHAnsi" w:cstheme="majorHAnsi"/>
                <w:noProof/>
                <w:sz w:val="16"/>
                <w:szCs w:val="16"/>
                <w:lang w:val="lt-LT"/>
              </w:rPr>
              <w:t>99,5</w:t>
            </w:r>
            <w:r w:rsidR="00E30231" w:rsidRPr="001A5EAB">
              <w:rPr>
                <w:noProof/>
                <w:sz w:val="16"/>
                <w:szCs w:val="16"/>
                <w:lang w:val="lt-LT"/>
              </w:rPr>
              <w:t xml:space="preserve"> </w:t>
            </w:r>
            <w:r w:rsidR="007A722A" w:rsidRPr="001A5EAB">
              <w:rPr>
                <w:noProof/>
                <w:sz w:val="16"/>
                <w:szCs w:val="16"/>
                <w:lang w:val="lt-LT"/>
              </w:rPr>
              <w:t xml:space="preserve"> </w:t>
            </w:r>
            <w:r w:rsidR="00876658">
              <w:rPr>
                <w:noProof/>
                <w:sz w:val="16"/>
                <w:szCs w:val="16"/>
                <w:lang w:val="lt-LT"/>
              </w:rPr>
              <w:t xml:space="preserve">proc. pagrindinės Obligacijų </w:t>
            </w:r>
            <w:r w:rsidR="00B25A82" w:rsidRPr="001A5EAB">
              <w:rPr>
                <w:noProof/>
                <w:sz w:val="16"/>
                <w:szCs w:val="16"/>
                <w:lang w:val="lt-LT"/>
              </w:rPr>
              <w:t xml:space="preserve">sumos </w:t>
            </w:r>
            <w:r w:rsidR="007A722A" w:rsidRPr="001A5EAB">
              <w:rPr>
                <w:noProof/>
                <w:sz w:val="16"/>
                <w:szCs w:val="16"/>
                <w:lang w:val="lt-LT"/>
              </w:rPr>
              <w:t>(</w:t>
            </w:r>
            <w:r w:rsidR="00B25A82" w:rsidRPr="001A5EAB">
              <w:rPr>
                <w:noProof/>
                <w:sz w:val="16"/>
                <w:szCs w:val="16"/>
                <w:lang w:val="lt-LT"/>
              </w:rPr>
              <w:t xml:space="preserve">t.y. </w:t>
            </w:r>
            <w:r w:rsidR="007D63AF">
              <w:rPr>
                <w:rFonts w:asciiTheme="majorHAnsi" w:hAnsiTheme="majorHAnsi" w:cstheme="majorHAnsi"/>
                <w:noProof/>
                <w:sz w:val="16"/>
                <w:szCs w:val="16"/>
                <w:lang w:val="lt-LT"/>
              </w:rPr>
              <w:t>995,00</w:t>
            </w:r>
            <w:r w:rsidR="00F11869" w:rsidRPr="001A5EAB">
              <w:rPr>
                <w:rFonts w:asciiTheme="majorHAnsi" w:hAnsiTheme="majorHAnsi" w:cstheme="majorHAnsi"/>
                <w:noProof/>
                <w:sz w:val="16"/>
                <w:szCs w:val="16"/>
                <w:lang w:val="lt-LT"/>
              </w:rPr>
              <w:t> </w:t>
            </w:r>
            <w:r w:rsidR="00DA5C0B" w:rsidRPr="001A5EAB">
              <w:rPr>
                <w:noProof/>
                <w:sz w:val="16"/>
                <w:szCs w:val="16"/>
                <w:lang w:val="lt-LT"/>
              </w:rPr>
              <w:t xml:space="preserve">EUR </w:t>
            </w:r>
            <w:r w:rsidR="00B25A82" w:rsidRPr="001A5EAB">
              <w:rPr>
                <w:noProof/>
                <w:sz w:val="16"/>
                <w:szCs w:val="16"/>
                <w:lang w:val="lt-LT"/>
              </w:rPr>
              <w:t xml:space="preserve">už kiekvieną </w:t>
            </w:r>
            <w:r w:rsidR="007A722A" w:rsidRPr="001A5EAB">
              <w:rPr>
                <w:noProof/>
                <w:sz w:val="16"/>
                <w:szCs w:val="16"/>
                <w:lang w:val="lt-LT"/>
              </w:rPr>
              <w:t>1</w:t>
            </w:r>
            <w:r w:rsidR="00F11869" w:rsidRPr="001A5EAB">
              <w:rPr>
                <w:noProof/>
                <w:sz w:val="16"/>
                <w:szCs w:val="16"/>
                <w:lang w:val="lt-LT"/>
              </w:rPr>
              <w:t xml:space="preserve"> 000 EUR </w:t>
            </w:r>
            <w:r w:rsidR="008F0304">
              <w:rPr>
                <w:noProof/>
                <w:sz w:val="16"/>
                <w:szCs w:val="16"/>
                <w:lang w:val="lt-LT"/>
              </w:rPr>
              <w:t>iš</w:t>
            </w:r>
            <w:r w:rsidR="00584415">
              <w:rPr>
                <w:noProof/>
                <w:sz w:val="16"/>
                <w:szCs w:val="16"/>
                <w:lang w:val="lt-LT"/>
              </w:rPr>
              <w:t xml:space="preserve"> </w:t>
            </w:r>
            <w:r w:rsidR="00876658">
              <w:rPr>
                <w:noProof/>
                <w:sz w:val="16"/>
                <w:szCs w:val="16"/>
                <w:lang w:val="lt-LT"/>
              </w:rPr>
              <w:t>pagrindinės Obligacijų</w:t>
            </w:r>
            <w:r w:rsidR="00B25A82" w:rsidRPr="001A5EAB">
              <w:rPr>
                <w:noProof/>
                <w:sz w:val="16"/>
                <w:szCs w:val="16"/>
                <w:lang w:val="lt-LT"/>
              </w:rPr>
              <w:t xml:space="preserve"> sumos</w:t>
            </w:r>
            <w:r w:rsidR="007A722A" w:rsidRPr="001A5EAB">
              <w:rPr>
                <w:noProof/>
                <w:sz w:val="16"/>
                <w:szCs w:val="16"/>
                <w:lang w:val="lt-LT"/>
              </w:rPr>
              <w:t>)</w:t>
            </w:r>
            <w:r w:rsidR="007A722A" w:rsidRPr="001A5EAB">
              <w:rPr>
                <w:bCs/>
                <w:iCs/>
                <w:noProof/>
                <w:sz w:val="16"/>
                <w:szCs w:val="16"/>
                <w:vertAlign w:val="superscript"/>
                <w:lang w:val="lt-LT"/>
              </w:rPr>
              <w:t>(2)</w:t>
            </w:r>
          </w:p>
        </w:tc>
        <w:tc>
          <w:tcPr>
            <w:tcW w:w="0" w:type="auto"/>
          </w:tcPr>
          <w:p w14:paraId="39737DC3" w14:textId="751D9085" w:rsidR="007A722A" w:rsidRPr="001A5EAB" w:rsidRDefault="00536715" w:rsidP="00876658">
            <w:pPr>
              <w:pStyle w:val="BodyText"/>
              <w:spacing w:after="0"/>
              <w:rPr>
                <w:noProof/>
                <w:sz w:val="16"/>
                <w:szCs w:val="16"/>
                <w:lang w:val="lt-LT"/>
              </w:rPr>
            </w:pPr>
            <w:r w:rsidRPr="001A5EAB">
              <w:rPr>
                <w:noProof/>
                <w:sz w:val="16"/>
                <w:szCs w:val="16"/>
                <w:lang w:val="lt-LT"/>
              </w:rPr>
              <w:t xml:space="preserve">Iki Didžiausios </w:t>
            </w:r>
            <w:r w:rsidR="001255A0" w:rsidRPr="001A5EAB">
              <w:rPr>
                <w:noProof/>
                <w:sz w:val="16"/>
                <w:szCs w:val="16"/>
                <w:lang w:val="lt-LT"/>
              </w:rPr>
              <w:t>priimtinos</w:t>
            </w:r>
            <w:r w:rsidRPr="001A5EAB">
              <w:rPr>
                <w:noProof/>
                <w:sz w:val="16"/>
                <w:szCs w:val="16"/>
                <w:lang w:val="lt-LT"/>
              </w:rPr>
              <w:t xml:space="preserve"> sumos, kurią savo išimtine nuožiūra nustato Emitentas ir kuri turėtų būti lygi pagrindinei išleidžiamų Naujų </w:t>
            </w:r>
            <w:r w:rsidR="00876658">
              <w:rPr>
                <w:noProof/>
                <w:sz w:val="16"/>
                <w:szCs w:val="16"/>
                <w:lang w:val="lt-LT"/>
              </w:rPr>
              <w:t>obligacijų</w:t>
            </w:r>
            <w:r w:rsidRPr="001A5EAB">
              <w:rPr>
                <w:noProof/>
                <w:sz w:val="16"/>
                <w:szCs w:val="16"/>
                <w:lang w:val="lt-LT"/>
              </w:rPr>
              <w:t xml:space="preserve"> (kaip šis terminas apibrėžiamas šiame dokumente) sumai</w:t>
            </w:r>
            <w:r w:rsidR="00B81D27" w:rsidRPr="001A5EAB">
              <w:rPr>
                <w:noProof/>
                <w:sz w:val="16"/>
                <w:szCs w:val="16"/>
                <w:lang w:val="lt-LT"/>
              </w:rPr>
              <w:t>.</w:t>
            </w:r>
          </w:p>
        </w:tc>
      </w:tr>
    </w:tbl>
    <w:p w14:paraId="17AB4211" w14:textId="55C1D393" w:rsidR="007A722A" w:rsidRPr="001A5EAB" w:rsidRDefault="00536715" w:rsidP="007A722A">
      <w:pPr>
        <w:pStyle w:val="BodyText"/>
        <w:spacing w:after="0" w:line="290" w:lineRule="auto"/>
        <w:rPr>
          <w:noProof/>
          <w:sz w:val="14"/>
          <w:szCs w:val="14"/>
          <w:lang w:val="lt-LT"/>
        </w:rPr>
      </w:pPr>
      <w:r w:rsidRPr="001A5EAB">
        <w:rPr>
          <w:noProof/>
          <w:sz w:val="14"/>
          <w:szCs w:val="14"/>
          <w:lang w:val="lt-LT"/>
        </w:rPr>
        <w:t>Pastabos</w:t>
      </w:r>
      <w:r w:rsidR="007A722A" w:rsidRPr="001A5EAB">
        <w:rPr>
          <w:noProof/>
          <w:sz w:val="14"/>
          <w:szCs w:val="14"/>
          <w:lang w:val="lt-LT"/>
        </w:rPr>
        <w:t>:</w:t>
      </w:r>
    </w:p>
    <w:p w14:paraId="20123ED3" w14:textId="038E8300" w:rsidR="007A722A" w:rsidRPr="001A5EAB" w:rsidRDefault="007A722A" w:rsidP="007A722A">
      <w:pPr>
        <w:pStyle w:val="BodyText"/>
        <w:tabs>
          <w:tab w:val="left" w:pos="567"/>
        </w:tabs>
        <w:spacing w:after="0" w:line="290" w:lineRule="auto"/>
        <w:rPr>
          <w:noProof/>
          <w:sz w:val="14"/>
          <w:szCs w:val="14"/>
          <w:lang w:val="lt-LT"/>
        </w:rPr>
      </w:pPr>
      <w:r w:rsidRPr="001A5EAB">
        <w:rPr>
          <w:noProof/>
          <w:sz w:val="14"/>
          <w:szCs w:val="14"/>
          <w:lang w:val="lt-LT"/>
        </w:rPr>
        <w:t>(1)</w:t>
      </w:r>
      <w:r w:rsidRPr="001A5EAB">
        <w:rPr>
          <w:noProof/>
          <w:sz w:val="14"/>
          <w:szCs w:val="14"/>
          <w:lang w:val="lt-LT"/>
        </w:rPr>
        <w:tab/>
      </w:r>
      <w:r w:rsidR="00536715" w:rsidRPr="001A5EAB">
        <w:rPr>
          <w:noProof/>
          <w:sz w:val="14"/>
          <w:szCs w:val="14"/>
          <w:lang w:val="lt-LT"/>
        </w:rPr>
        <w:t>Nesumokėta Pagrindinė suma šio dokumento parengimo dieną</w:t>
      </w:r>
      <w:r w:rsidRPr="001A5EAB">
        <w:rPr>
          <w:noProof/>
          <w:sz w:val="14"/>
          <w:szCs w:val="14"/>
          <w:lang w:val="lt-LT"/>
        </w:rPr>
        <w:t>.</w:t>
      </w:r>
    </w:p>
    <w:p w14:paraId="7B296F89" w14:textId="36E1ED19" w:rsidR="001B36FF" w:rsidRPr="001A5EAB" w:rsidRDefault="007A722A" w:rsidP="00BA2C37">
      <w:pPr>
        <w:pStyle w:val="BodyText"/>
        <w:tabs>
          <w:tab w:val="left" w:pos="567"/>
        </w:tabs>
        <w:spacing w:line="290" w:lineRule="auto"/>
        <w:ind w:left="567" w:hanging="567"/>
        <w:rPr>
          <w:noProof/>
          <w:lang w:val="lt-LT"/>
        </w:rPr>
      </w:pPr>
      <w:r w:rsidRPr="001A5EAB">
        <w:rPr>
          <w:noProof/>
          <w:sz w:val="14"/>
          <w:szCs w:val="14"/>
          <w:lang w:val="lt-LT"/>
        </w:rPr>
        <w:t>(2)</w:t>
      </w:r>
      <w:r w:rsidRPr="001A5EAB">
        <w:rPr>
          <w:noProof/>
          <w:sz w:val="14"/>
          <w:szCs w:val="14"/>
          <w:lang w:val="lt-LT"/>
        </w:rPr>
        <w:tab/>
      </w:r>
      <w:r w:rsidR="00536715" w:rsidRPr="001A5EAB">
        <w:rPr>
          <w:noProof/>
          <w:sz w:val="14"/>
          <w:szCs w:val="14"/>
          <w:lang w:val="lt-LT"/>
        </w:rPr>
        <w:t xml:space="preserve">Be </w:t>
      </w:r>
      <w:r w:rsidR="008E5720">
        <w:rPr>
          <w:noProof/>
          <w:sz w:val="14"/>
          <w:szCs w:val="14"/>
          <w:lang w:val="lt-LT"/>
        </w:rPr>
        <w:t>Išp</w:t>
      </w:r>
      <w:r w:rsidR="00536715" w:rsidRPr="001A5EAB">
        <w:rPr>
          <w:noProof/>
          <w:sz w:val="14"/>
          <w:szCs w:val="14"/>
          <w:lang w:val="lt-LT"/>
        </w:rPr>
        <w:t>irkimo kainos, Emitentas taip pat Atsiskaitymo pagal</w:t>
      </w:r>
      <w:r w:rsidR="001255A0" w:rsidRPr="001A5EAB">
        <w:rPr>
          <w:noProof/>
          <w:sz w:val="14"/>
          <w:szCs w:val="14"/>
          <w:lang w:val="lt-LT"/>
        </w:rPr>
        <w:t xml:space="preserve"> oficialų</w:t>
      </w:r>
      <w:r w:rsidR="00536715" w:rsidRPr="001A5EAB">
        <w:rPr>
          <w:noProof/>
          <w:sz w:val="14"/>
          <w:szCs w:val="14"/>
          <w:lang w:val="lt-LT"/>
        </w:rPr>
        <w:t xml:space="preserve"> pasiūlymą dieną sumokės </w:t>
      </w:r>
      <w:r w:rsidR="00876658">
        <w:rPr>
          <w:noProof/>
          <w:sz w:val="14"/>
          <w:szCs w:val="14"/>
          <w:lang w:val="lt-LT"/>
        </w:rPr>
        <w:t>Obligacijų</w:t>
      </w:r>
      <w:r w:rsidR="00536715" w:rsidRPr="001A5EAB">
        <w:rPr>
          <w:noProof/>
          <w:sz w:val="14"/>
          <w:szCs w:val="14"/>
          <w:lang w:val="lt-LT"/>
        </w:rPr>
        <w:t xml:space="preserve"> (</w:t>
      </w:r>
      <w:r w:rsidR="001255A0" w:rsidRPr="001A5EAB">
        <w:rPr>
          <w:noProof/>
          <w:sz w:val="14"/>
          <w:szCs w:val="14"/>
          <w:lang w:val="lt-LT"/>
        </w:rPr>
        <w:t xml:space="preserve">tų </w:t>
      </w:r>
      <w:r w:rsidR="00876658">
        <w:rPr>
          <w:noProof/>
          <w:sz w:val="14"/>
          <w:szCs w:val="14"/>
          <w:lang w:val="lt-LT"/>
        </w:rPr>
        <w:t>Obligacijų</w:t>
      </w:r>
      <w:r w:rsidR="001255A0" w:rsidRPr="001A5EAB">
        <w:rPr>
          <w:noProof/>
          <w:sz w:val="14"/>
          <w:szCs w:val="14"/>
          <w:lang w:val="lt-LT"/>
        </w:rPr>
        <w:t>, kuri</w:t>
      </w:r>
      <w:r w:rsidR="00876658">
        <w:rPr>
          <w:noProof/>
          <w:sz w:val="14"/>
          <w:szCs w:val="14"/>
          <w:lang w:val="lt-LT"/>
        </w:rPr>
        <w:t>a</w:t>
      </w:r>
      <w:r w:rsidR="001255A0" w:rsidRPr="001A5EAB">
        <w:rPr>
          <w:noProof/>
          <w:sz w:val="14"/>
          <w:szCs w:val="14"/>
          <w:lang w:val="lt-LT"/>
        </w:rPr>
        <w:t xml:space="preserve">s Emitentas sutiks </w:t>
      </w:r>
      <w:r w:rsidR="008E5720">
        <w:rPr>
          <w:noProof/>
          <w:sz w:val="14"/>
          <w:szCs w:val="14"/>
          <w:lang w:val="lt-LT"/>
        </w:rPr>
        <w:t>iš</w:t>
      </w:r>
      <w:r w:rsidR="00E20E01" w:rsidRPr="001A5EAB">
        <w:rPr>
          <w:noProof/>
          <w:sz w:val="14"/>
          <w:szCs w:val="14"/>
          <w:lang w:val="lt-LT"/>
        </w:rPr>
        <w:t>pirkti</w:t>
      </w:r>
      <w:r w:rsidR="001255A0" w:rsidRPr="001A5EAB">
        <w:rPr>
          <w:noProof/>
          <w:sz w:val="14"/>
          <w:szCs w:val="14"/>
          <w:lang w:val="lt-LT"/>
        </w:rPr>
        <w:t xml:space="preserve">) </w:t>
      </w:r>
      <w:r w:rsidR="007F3B0C">
        <w:rPr>
          <w:noProof/>
          <w:sz w:val="14"/>
          <w:szCs w:val="14"/>
          <w:lang w:val="lt-LT"/>
        </w:rPr>
        <w:t>savinink</w:t>
      </w:r>
      <w:r w:rsidR="001255A0" w:rsidRPr="001A5EAB">
        <w:rPr>
          <w:noProof/>
          <w:sz w:val="14"/>
          <w:szCs w:val="14"/>
          <w:lang w:val="lt-LT"/>
        </w:rPr>
        <w:t>ams sumą,</w:t>
      </w:r>
      <w:r w:rsidR="00876658">
        <w:rPr>
          <w:noProof/>
          <w:sz w:val="14"/>
          <w:szCs w:val="14"/>
          <w:lang w:val="lt-LT"/>
        </w:rPr>
        <w:t xml:space="preserve"> lygią </w:t>
      </w:r>
      <w:r w:rsidR="001C25FA">
        <w:rPr>
          <w:noProof/>
          <w:sz w:val="14"/>
          <w:szCs w:val="14"/>
          <w:lang w:val="lt-LT"/>
        </w:rPr>
        <w:t xml:space="preserve">visoms </w:t>
      </w:r>
      <w:r w:rsidR="001C25FA" w:rsidRPr="001A5EAB">
        <w:rPr>
          <w:noProof/>
          <w:sz w:val="14"/>
          <w:szCs w:val="14"/>
          <w:lang w:val="lt-LT"/>
        </w:rPr>
        <w:t>priskaičiuotoms ir nesumokėtoms palūkanoms</w:t>
      </w:r>
      <w:r w:rsidR="001C25FA">
        <w:rPr>
          <w:noProof/>
          <w:sz w:val="14"/>
          <w:szCs w:val="14"/>
          <w:lang w:val="lt-LT"/>
        </w:rPr>
        <w:t xml:space="preserve"> </w:t>
      </w:r>
      <w:r w:rsidR="00876658">
        <w:rPr>
          <w:noProof/>
          <w:sz w:val="14"/>
          <w:szCs w:val="14"/>
          <w:lang w:val="lt-LT"/>
        </w:rPr>
        <w:t>už atitinkama</w:t>
      </w:r>
      <w:r w:rsidR="001255A0" w:rsidRPr="001A5EAB">
        <w:rPr>
          <w:noProof/>
          <w:sz w:val="14"/>
          <w:szCs w:val="14"/>
          <w:lang w:val="lt-LT"/>
        </w:rPr>
        <w:t xml:space="preserve">s </w:t>
      </w:r>
      <w:r w:rsidR="00876658">
        <w:rPr>
          <w:noProof/>
          <w:sz w:val="14"/>
          <w:szCs w:val="14"/>
          <w:lang w:val="lt-LT"/>
        </w:rPr>
        <w:t>Obligacijas</w:t>
      </w:r>
      <w:r w:rsidR="001255A0" w:rsidRPr="001A5EAB">
        <w:rPr>
          <w:noProof/>
          <w:sz w:val="14"/>
          <w:szCs w:val="14"/>
          <w:lang w:val="lt-LT"/>
        </w:rPr>
        <w:t xml:space="preserve"> nuo paskutinės </w:t>
      </w:r>
      <w:r w:rsidR="00366BD4" w:rsidRPr="001A5EAB">
        <w:rPr>
          <w:noProof/>
          <w:sz w:val="14"/>
          <w:szCs w:val="14"/>
          <w:lang w:val="lt-LT"/>
        </w:rPr>
        <w:t>palūkanų mokėjimo dienos</w:t>
      </w:r>
      <w:r w:rsidR="00366BD4">
        <w:rPr>
          <w:noProof/>
          <w:sz w:val="14"/>
          <w:szCs w:val="14"/>
          <w:lang w:val="lt-LT"/>
        </w:rPr>
        <w:t>, buvusios</w:t>
      </w:r>
      <w:r w:rsidR="00366BD4" w:rsidRPr="001A5EAB">
        <w:rPr>
          <w:noProof/>
          <w:sz w:val="14"/>
          <w:szCs w:val="14"/>
          <w:lang w:val="lt-LT"/>
        </w:rPr>
        <w:t xml:space="preserve"> </w:t>
      </w:r>
      <w:r w:rsidR="001255A0" w:rsidRPr="001A5EAB">
        <w:rPr>
          <w:noProof/>
          <w:sz w:val="14"/>
          <w:szCs w:val="14"/>
          <w:lang w:val="lt-LT"/>
        </w:rPr>
        <w:t>iki Atsiskaitymo pagal oficialų pasiūlymą dienos (imtinai) iki Atsiskaitymo pagal oficialų pasiūlymą dienos (šios dienos neskaitant)</w:t>
      </w:r>
      <w:r w:rsidRPr="001A5EAB">
        <w:rPr>
          <w:noProof/>
          <w:sz w:val="14"/>
          <w:szCs w:val="14"/>
          <w:lang w:val="lt-LT"/>
        </w:rPr>
        <w:t>.</w:t>
      </w:r>
    </w:p>
    <w:p w14:paraId="0A500684" w14:textId="36CE32F8" w:rsidR="001B36FF" w:rsidRPr="001A5EAB" w:rsidRDefault="001255A0">
      <w:pPr>
        <w:pStyle w:val="BodyText"/>
        <w:rPr>
          <w:b/>
          <w:bCs/>
          <w:noProof/>
          <w:lang w:val="lt-LT"/>
        </w:rPr>
      </w:pPr>
      <w:r w:rsidRPr="001A5EAB">
        <w:rPr>
          <w:b/>
          <w:bCs/>
          <w:noProof/>
          <w:lang w:val="lt-LT"/>
        </w:rPr>
        <w:t xml:space="preserve">PASIŪLYMAS ĮSIGALIOJA </w:t>
      </w:r>
      <w:r w:rsidR="00EC5841" w:rsidRPr="001A5EAB">
        <w:rPr>
          <w:b/>
          <w:bCs/>
          <w:noProof/>
          <w:lang w:val="lt-LT"/>
        </w:rPr>
        <w:t xml:space="preserve">2022 </w:t>
      </w:r>
      <w:r w:rsidRPr="001A5EAB">
        <w:rPr>
          <w:b/>
          <w:bCs/>
          <w:noProof/>
          <w:lang w:val="lt-LT"/>
        </w:rPr>
        <w:t xml:space="preserve">BIRŽELIO </w:t>
      </w:r>
      <w:r w:rsidR="007D63AF">
        <w:rPr>
          <w:b/>
          <w:noProof/>
          <w:lang w:val="lt-LT"/>
        </w:rPr>
        <w:t>27</w:t>
      </w:r>
      <w:r w:rsidR="007D63AF" w:rsidRPr="001A5EAB">
        <w:rPr>
          <w:b/>
          <w:bCs/>
          <w:noProof/>
          <w:lang w:val="lt-LT"/>
        </w:rPr>
        <w:t xml:space="preserve"> </w:t>
      </w:r>
      <w:r w:rsidRPr="001A5EAB">
        <w:rPr>
          <w:b/>
          <w:bCs/>
          <w:noProof/>
          <w:lang w:val="lt-LT"/>
        </w:rPr>
        <w:t xml:space="preserve">D. IR GALIOJA IKI </w:t>
      </w:r>
      <w:r w:rsidR="00940F31" w:rsidRPr="001A5EAB">
        <w:rPr>
          <w:b/>
          <w:bCs/>
          <w:noProof/>
          <w:lang w:val="lt-LT"/>
        </w:rPr>
        <w:t xml:space="preserve">2022 </w:t>
      </w:r>
      <w:r w:rsidRPr="001A5EAB">
        <w:rPr>
          <w:b/>
          <w:bCs/>
          <w:noProof/>
          <w:lang w:val="lt-LT"/>
        </w:rPr>
        <w:t xml:space="preserve">M. </w:t>
      </w:r>
      <w:r w:rsidR="009F794F">
        <w:rPr>
          <w:b/>
          <w:bCs/>
          <w:noProof/>
          <w:lang w:val="lt-LT"/>
        </w:rPr>
        <w:t>LIEPOS</w:t>
      </w:r>
      <w:r w:rsidR="009F794F" w:rsidRPr="001A5EAB">
        <w:rPr>
          <w:b/>
          <w:bCs/>
          <w:noProof/>
          <w:lang w:val="lt-LT"/>
        </w:rPr>
        <w:t xml:space="preserve"> </w:t>
      </w:r>
      <w:r w:rsidR="00F5373B">
        <w:rPr>
          <w:b/>
          <w:noProof/>
          <w:lang w:val="lt-LT"/>
        </w:rPr>
        <w:t>7</w:t>
      </w:r>
      <w:r w:rsidRPr="001A5EAB">
        <w:rPr>
          <w:b/>
          <w:bCs/>
          <w:noProof/>
          <w:lang w:val="lt-LT"/>
        </w:rPr>
        <w:t xml:space="preserve"> D. 17:00 VAL. (CEST) </w:t>
      </w:r>
      <w:r w:rsidR="00060C0D" w:rsidRPr="001A5EAB">
        <w:rPr>
          <w:b/>
          <w:bCs/>
          <w:noProof/>
          <w:lang w:val="lt-LT"/>
        </w:rPr>
        <w:t>(</w:t>
      </w:r>
      <w:r w:rsidRPr="001A5EAB">
        <w:rPr>
          <w:b/>
          <w:bCs/>
          <w:noProof/>
          <w:lang w:val="lt-LT"/>
        </w:rPr>
        <w:t>TOLIAU – GALIOJIMO TERMINAS</w:t>
      </w:r>
      <w:r w:rsidR="00060C0D" w:rsidRPr="001A5EAB">
        <w:rPr>
          <w:b/>
          <w:bCs/>
          <w:noProof/>
          <w:lang w:val="lt-LT"/>
        </w:rPr>
        <w:t xml:space="preserve">), </w:t>
      </w:r>
      <w:r w:rsidRPr="001A5EAB">
        <w:rPr>
          <w:b/>
          <w:bCs/>
          <w:noProof/>
          <w:lang w:val="lt-LT"/>
        </w:rPr>
        <w:t>NEBENT JIS BŪTŲ PRATĘSTAS, PATEIKTAS NAUJAI, PAKEISTAS, ATŠAUKTAS IR (ARBA) NUTRAUKTAS IŠIMTINE EMITENTO NUOŽIŪRA</w:t>
      </w:r>
      <w:r w:rsidR="00060C0D" w:rsidRPr="001A5EAB">
        <w:rPr>
          <w:b/>
          <w:bCs/>
          <w:noProof/>
          <w:lang w:val="lt-LT"/>
        </w:rPr>
        <w:t xml:space="preserve">. </w:t>
      </w:r>
      <w:r w:rsidRPr="001A5EAB">
        <w:rPr>
          <w:b/>
          <w:bCs/>
          <w:noProof/>
          <w:lang w:val="lt-LT"/>
        </w:rPr>
        <w:t xml:space="preserve">PASIŪLYMO NURODYMAI, JUOS PATEIKUS, IŠ ESMĖS GALI BŪTI ATŠAUKIAMI TIK IŠIMTINĖMIS APLINKYBĖMIS, KURIOS YRA IŠDĖSTYTOS OFICIALAUS PASIŪLYMO MEMORANDUMO SKYRIUJE </w:t>
      </w:r>
      <w:r w:rsidRPr="006D1FD4">
        <w:rPr>
          <w:b/>
          <w:bCs/>
          <w:i/>
          <w:noProof/>
          <w:lang w:val="lt-LT"/>
        </w:rPr>
        <w:t>„PAKEITIMAS IR NUTRAUKIMAS“</w:t>
      </w:r>
      <w:r w:rsidRPr="001A5EAB">
        <w:rPr>
          <w:b/>
          <w:bCs/>
          <w:noProof/>
          <w:lang w:val="lt-LT"/>
        </w:rPr>
        <w:t>.</w:t>
      </w:r>
    </w:p>
    <w:p w14:paraId="66A3A33C" w14:textId="3768DC57" w:rsidR="00537ED1" w:rsidRPr="001A5EAB" w:rsidRDefault="00157810" w:rsidP="00537ED1">
      <w:pPr>
        <w:pStyle w:val="BodyText"/>
        <w:rPr>
          <w:noProof/>
          <w:lang w:val="lt-LT"/>
        </w:rPr>
      </w:pPr>
      <w:r>
        <w:rPr>
          <w:b/>
          <w:bCs/>
          <w:noProof/>
          <w:lang w:val="lt-LT"/>
        </w:rPr>
        <w:t>Tvarkytojams</w:t>
      </w:r>
      <w:r w:rsidR="001255A0" w:rsidRPr="001A5EAB">
        <w:rPr>
          <w:b/>
          <w:bCs/>
          <w:noProof/>
          <w:lang w:val="lt-LT"/>
        </w:rPr>
        <w:t xml:space="preserve">, Tiesioginiams dalyviams ir kitiems Tarpininkams bei Atsiskaitymų sistemoms bus nustatyti terminai pateikti nurodymus iki Galiojimo termino, o </w:t>
      </w:r>
      <w:r w:rsidR="004F24B7">
        <w:rPr>
          <w:b/>
          <w:bCs/>
          <w:noProof/>
          <w:lang w:val="lt-LT"/>
        </w:rPr>
        <w:t xml:space="preserve">Obligacijų </w:t>
      </w:r>
      <w:r w:rsidR="007F3B0C">
        <w:rPr>
          <w:b/>
          <w:bCs/>
          <w:noProof/>
          <w:lang w:val="lt-LT"/>
        </w:rPr>
        <w:t>savininkai</w:t>
      </w:r>
      <w:r w:rsidR="007F3B0C" w:rsidRPr="001A5EAB">
        <w:rPr>
          <w:b/>
          <w:bCs/>
          <w:noProof/>
          <w:lang w:val="lt-LT"/>
        </w:rPr>
        <w:t xml:space="preserve"> </w:t>
      </w:r>
      <w:r w:rsidR="001255A0" w:rsidRPr="001A5EAB">
        <w:rPr>
          <w:b/>
          <w:bCs/>
          <w:noProof/>
          <w:lang w:val="lt-LT"/>
        </w:rPr>
        <w:t xml:space="preserve">turėtų kaip galima greičiau kreiptis į Tarpininką ir (arba) Atsiskaitymų sistemą arba sistemas, </w:t>
      </w:r>
      <w:r w:rsidR="007F3B0C">
        <w:rPr>
          <w:b/>
          <w:bCs/>
          <w:noProof/>
          <w:lang w:val="lt-LT"/>
        </w:rPr>
        <w:t>per kurias</w:t>
      </w:r>
      <w:r w:rsidR="007F3B0C" w:rsidRPr="001A5EAB">
        <w:rPr>
          <w:b/>
          <w:bCs/>
          <w:noProof/>
          <w:lang w:val="lt-LT"/>
        </w:rPr>
        <w:t xml:space="preserve"> </w:t>
      </w:r>
      <w:r w:rsidR="001255A0" w:rsidRPr="001A5EAB">
        <w:rPr>
          <w:b/>
          <w:bCs/>
          <w:noProof/>
          <w:lang w:val="lt-LT"/>
        </w:rPr>
        <w:t xml:space="preserve">jie </w:t>
      </w:r>
      <w:r w:rsidR="007F3B0C">
        <w:rPr>
          <w:b/>
          <w:bCs/>
          <w:noProof/>
          <w:lang w:val="lt-LT"/>
        </w:rPr>
        <w:t>įgyvendina</w:t>
      </w:r>
      <w:r w:rsidR="007F3B0C" w:rsidRPr="001A5EAB">
        <w:rPr>
          <w:b/>
          <w:bCs/>
          <w:noProof/>
          <w:lang w:val="lt-LT"/>
        </w:rPr>
        <w:t xml:space="preserve"> </w:t>
      </w:r>
      <w:r w:rsidR="001255A0" w:rsidRPr="001A5EAB">
        <w:rPr>
          <w:b/>
          <w:bCs/>
          <w:noProof/>
          <w:lang w:val="lt-LT"/>
        </w:rPr>
        <w:t xml:space="preserve">savo </w:t>
      </w:r>
      <w:r w:rsidR="007F3B0C">
        <w:rPr>
          <w:b/>
          <w:bCs/>
          <w:noProof/>
          <w:lang w:val="lt-LT"/>
        </w:rPr>
        <w:t xml:space="preserve">nuosavybės teises į </w:t>
      </w:r>
      <w:r w:rsidR="004F24B7">
        <w:rPr>
          <w:b/>
          <w:bCs/>
          <w:noProof/>
          <w:lang w:val="lt-LT"/>
        </w:rPr>
        <w:t>Obligacijas</w:t>
      </w:r>
      <w:r w:rsidR="001255A0" w:rsidRPr="001A5EAB">
        <w:rPr>
          <w:b/>
          <w:bCs/>
          <w:noProof/>
          <w:lang w:val="lt-LT"/>
        </w:rPr>
        <w:t>, kad nurodymai būtų pateikti tinkamai ir laiku</w:t>
      </w:r>
      <w:r w:rsidR="00537ED1" w:rsidRPr="001A5EAB">
        <w:rPr>
          <w:b/>
          <w:bCs/>
          <w:noProof/>
          <w:lang w:val="lt-LT"/>
        </w:rPr>
        <w:t>.</w:t>
      </w:r>
    </w:p>
    <w:p w14:paraId="3E9B81A9" w14:textId="77777777" w:rsidR="00AE5044" w:rsidRDefault="00AE5044" w:rsidP="00FE2586">
      <w:pPr>
        <w:pStyle w:val="BodyText"/>
        <w:jc w:val="center"/>
        <w:rPr>
          <w:b/>
          <w:bCs/>
          <w:noProof/>
          <w:lang w:val="lt-LT"/>
        </w:rPr>
      </w:pPr>
    </w:p>
    <w:p w14:paraId="37CCDE47" w14:textId="4DBBF464" w:rsidR="00537ED1" w:rsidRPr="001A5EAB" w:rsidRDefault="001255A0" w:rsidP="00FE2586">
      <w:pPr>
        <w:pStyle w:val="BodyText"/>
        <w:jc w:val="center"/>
        <w:rPr>
          <w:b/>
          <w:bCs/>
          <w:noProof/>
          <w:lang w:val="lt-LT"/>
        </w:rPr>
      </w:pPr>
      <w:r w:rsidRPr="001A5EAB">
        <w:rPr>
          <w:b/>
          <w:bCs/>
          <w:noProof/>
          <w:lang w:val="lt-LT"/>
        </w:rPr>
        <w:t>Pasiūlymo apžvalga</w:t>
      </w:r>
    </w:p>
    <w:p w14:paraId="5073D1E0" w14:textId="5628BC92" w:rsidR="001B36FF" w:rsidRPr="001A5EAB" w:rsidRDefault="001255A0">
      <w:pPr>
        <w:pStyle w:val="Title7"/>
        <w:rPr>
          <w:b/>
          <w:bCs/>
          <w:i w:val="0"/>
          <w:iCs/>
          <w:noProof/>
          <w:lang w:val="lt-LT"/>
        </w:rPr>
      </w:pPr>
      <w:r w:rsidRPr="001A5EAB">
        <w:rPr>
          <w:b/>
          <w:bCs/>
          <w:i w:val="0"/>
          <w:iCs/>
          <w:noProof/>
          <w:lang w:val="lt-LT"/>
        </w:rPr>
        <w:lastRenderedPageBreak/>
        <w:t>Pasiūlymo pagrindimas</w:t>
      </w:r>
    </w:p>
    <w:p w14:paraId="1CE1C60D" w14:textId="7E6C472A" w:rsidR="00537ED1" w:rsidRPr="006F0173" w:rsidRDefault="001255A0" w:rsidP="00537ED1">
      <w:pPr>
        <w:pStyle w:val="BodyText"/>
        <w:rPr>
          <w:rFonts w:asciiTheme="minorHAnsi" w:hAnsiTheme="minorHAnsi" w:cstheme="minorHAnsi"/>
          <w:noProof/>
          <w:lang w:val="lt-LT"/>
        </w:rPr>
      </w:pPr>
      <w:r w:rsidRPr="001A5EAB">
        <w:rPr>
          <w:noProof/>
          <w:lang w:val="lt-LT"/>
        </w:rPr>
        <w:t>Pasiūlymo</w:t>
      </w:r>
      <w:r w:rsidR="00413D26">
        <w:rPr>
          <w:noProof/>
          <w:lang w:val="lt-LT"/>
        </w:rPr>
        <w:t xml:space="preserve"> kartu su su</w:t>
      </w:r>
      <w:r w:rsidR="00413D26" w:rsidRPr="001A5EAB">
        <w:rPr>
          <w:noProof/>
          <w:lang w:val="lt-LT"/>
        </w:rPr>
        <w:t xml:space="preserve"> siūlom</w:t>
      </w:r>
      <w:r w:rsidR="00C263FA">
        <w:rPr>
          <w:noProof/>
          <w:lang w:val="lt-LT"/>
        </w:rPr>
        <w:t>a</w:t>
      </w:r>
      <w:r w:rsidR="00413D26" w:rsidRPr="001A5EAB">
        <w:rPr>
          <w:noProof/>
          <w:lang w:val="lt-LT"/>
        </w:rPr>
        <w:t xml:space="preserve"> naujų </w:t>
      </w:r>
      <w:r w:rsidR="00413D26" w:rsidRPr="006F0173">
        <w:rPr>
          <w:rFonts w:asciiTheme="minorHAnsi" w:hAnsiTheme="minorHAnsi" w:cstheme="minorHAnsi"/>
          <w:noProof/>
          <w:lang w:val="lt-LT"/>
        </w:rPr>
        <w:t xml:space="preserve">eurais denominuotų fiksuotos palūkanų normos obligacijų (toliau – </w:t>
      </w:r>
      <w:r w:rsidR="00413D26" w:rsidRPr="006F0173">
        <w:rPr>
          <w:rFonts w:asciiTheme="minorHAnsi" w:hAnsiTheme="minorHAnsi" w:cstheme="minorHAnsi"/>
          <w:b/>
          <w:noProof/>
          <w:lang w:val="lt-LT"/>
        </w:rPr>
        <w:t>Naujosios obligacijos</w:t>
      </w:r>
      <w:r w:rsidR="00413D26" w:rsidRPr="006F0173">
        <w:rPr>
          <w:rFonts w:asciiTheme="minorHAnsi" w:hAnsiTheme="minorHAnsi" w:cstheme="minorHAnsi"/>
          <w:noProof/>
          <w:lang w:val="lt-LT"/>
        </w:rPr>
        <w:t>) emisij</w:t>
      </w:r>
      <w:r w:rsidR="00C263FA">
        <w:rPr>
          <w:rFonts w:asciiTheme="minorHAnsi" w:hAnsiTheme="minorHAnsi" w:cstheme="minorHAnsi"/>
          <w:noProof/>
          <w:lang w:val="lt-LT"/>
        </w:rPr>
        <w:t>a</w:t>
      </w:r>
      <w:r w:rsidR="00413D26" w:rsidRPr="006F0173">
        <w:rPr>
          <w:rFonts w:asciiTheme="minorHAnsi" w:hAnsiTheme="minorHAnsi" w:cstheme="minorHAnsi"/>
          <w:noProof/>
          <w:lang w:val="lt-LT"/>
        </w:rPr>
        <w:t xml:space="preserve"> pagal </w:t>
      </w:r>
      <w:r w:rsidR="002E39DD">
        <w:rPr>
          <w:rFonts w:asciiTheme="minorHAnsi" w:hAnsiTheme="minorHAnsi" w:cstheme="minorHAnsi"/>
          <w:noProof/>
          <w:lang w:val="lt-LT"/>
        </w:rPr>
        <w:t xml:space="preserve">naują </w:t>
      </w:r>
      <w:r w:rsidR="00413D26" w:rsidRPr="006F0173">
        <w:rPr>
          <w:rFonts w:asciiTheme="minorHAnsi" w:hAnsiTheme="minorHAnsi" w:cstheme="minorHAnsi"/>
          <w:noProof/>
          <w:lang w:val="lt-LT"/>
        </w:rPr>
        <w:t xml:space="preserve">Emitento </w:t>
      </w:r>
      <w:r w:rsidR="00413D26" w:rsidRPr="006F0173">
        <w:rPr>
          <w:rStyle w:val="1LTStyle1Char"/>
          <w:rFonts w:asciiTheme="minorHAnsi" w:eastAsia="SimSun" w:hAnsiTheme="minorHAnsi" w:cstheme="minorHAnsi"/>
          <w:sz w:val="20"/>
          <w:szCs w:val="20"/>
        </w:rPr>
        <w:t>obligacijų, išleidžiamų pagal iki 1 000 000 000 eurų vidutinės trukmės ne nuosavybės vertybinių popierių (obligacijų) program</w:t>
      </w:r>
      <w:r w:rsidR="00413D26" w:rsidRPr="006F0173">
        <w:rPr>
          <w:rFonts w:asciiTheme="minorHAnsi" w:hAnsiTheme="minorHAnsi" w:cstheme="minorHAnsi"/>
          <w:noProof/>
          <w:lang w:val="lt-LT"/>
        </w:rPr>
        <w:t xml:space="preserve">ą (toliau – </w:t>
      </w:r>
      <w:r w:rsidR="00413D26" w:rsidRPr="006F0173">
        <w:rPr>
          <w:rFonts w:asciiTheme="minorHAnsi" w:hAnsiTheme="minorHAnsi" w:cstheme="minorHAnsi"/>
          <w:b/>
          <w:noProof/>
          <w:lang w:val="lt-LT"/>
        </w:rPr>
        <w:t>Programa</w:t>
      </w:r>
      <w:r w:rsidR="00413D26" w:rsidRPr="006F0173">
        <w:rPr>
          <w:rFonts w:asciiTheme="minorHAnsi" w:hAnsiTheme="minorHAnsi" w:cstheme="minorHAnsi"/>
          <w:noProof/>
          <w:lang w:val="lt-LT"/>
        </w:rPr>
        <w:t>)</w:t>
      </w:r>
      <w:r w:rsidR="00C263FA">
        <w:rPr>
          <w:rFonts w:asciiTheme="minorHAnsi" w:hAnsiTheme="minorHAnsi" w:cstheme="minorHAnsi"/>
          <w:noProof/>
          <w:lang w:val="lt-LT"/>
        </w:rPr>
        <w:t xml:space="preserve"> </w:t>
      </w:r>
      <w:r w:rsidRPr="001A5EAB">
        <w:rPr>
          <w:noProof/>
          <w:lang w:val="lt-LT"/>
        </w:rPr>
        <w:t xml:space="preserve">tikslas </w:t>
      </w:r>
      <w:r w:rsidR="00B8285D">
        <w:rPr>
          <w:noProof/>
          <w:lang w:val="lt-LT"/>
        </w:rPr>
        <w:t xml:space="preserve">yra </w:t>
      </w:r>
      <w:r w:rsidR="005253A4" w:rsidRPr="001A5EAB">
        <w:rPr>
          <w:noProof/>
          <w:lang w:val="lt-LT"/>
        </w:rPr>
        <w:t>aktyviai valdyti visus Emitento skolos išpirkimus ir pratęsti Emitento skolos grąžinimo terminus</w:t>
      </w:r>
      <w:r w:rsidR="00C263FA">
        <w:rPr>
          <w:noProof/>
          <w:lang w:val="lt-LT"/>
        </w:rPr>
        <w:t>.</w:t>
      </w:r>
      <w:r w:rsidR="00C263FA" w:rsidDel="00C263FA">
        <w:rPr>
          <w:noProof/>
          <w:lang w:val="lt-LT"/>
        </w:rPr>
        <w:t xml:space="preserve"> </w:t>
      </w:r>
    </w:p>
    <w:p w14:paraId="104B627C" w14:textId="4CD9D9A2" w:rsidR="001B36FF" w:rsidRPr="006F0173" w:rsidRDefault="00404CEC">
      <w:pPr>
        <w:pStyle w:val="Title7"/>
        <w:rPr>
          <w:rFonts w:asciiTheme="minorHAnsi" w:hAnsiTheme="minorHAnsi" w:cstheme="minorHAnsi"/>
          <w:b/>
          <w:bCs/>
          <w:i w:val="0"/>
          <w:iCs/>
          <w:noProof/>
          <w:lang w:val="lt-LT"/>
        </w:rPr>
      </w:pPr>
      <w:r>
        <w:rPr>
          <w:rFonts w:asciiTheme="minorHAnsi" w:hAnsiTheme="minorHAnsi" w:cstheme="minorHAnsi"/>
          <w:b/>
          <w:bCs/>
          <w:i w:val="0"/>
          <w:iCs/>
          <w:noProof/>
          <w:lang w:val="lt-LT"/>
        </w:rPr>
        <w:t>Išp</w:t>
      </w:r>
      <w:r w:rsidR="00AA035D" w:rsidRPr="006F0173">
        <w:rPr>
          <w:rFonts w:asciiTheme="minorHAnsi" w:hAnsiTheme="minorHAnsi" w:cstheme="minorHAnsi"/>
          <w:b/>
          <w:bCs/>
          <w:i w:val="0"/>
          <w:iCs/>
          <w:noProof/>
          <w:lang w:val="lt-LT"/>
        </w:rPr>
        <w:t>irkimo kaina</w:t>
      </w:r>
    </w:p>
    <w:p w14:paraId="0494F2F8" w14:textId="299099A2" w:rsidR="00334796" w:rsidRPr="00844BE8" w:rsidRDefault="00AA035D" w:rsidP="00334796">
      <w:pPr>
        <w:pStyle w:val="BodyText"/>
        <w:rPr>
          <w:noProof/>
          <w:lang w:val="lt-LT"/>
        </w:rPr>
      </w:pPr>
      <w:r w:rsidRPr="00844BE8">
        <w:rPr>
          <w:noProof/>
          <w:lang w:val="lt-LT"/>
        </w:rPr>
        <w:t xml:space="preserve">Atsižvelgiant į Mažiausiąją denominaciją, </w:t>
      </w:r>
      <w:r w:rsidR="008E5720">
        <w:rPr>
          <w:noProof/>
          <w:lang w:val="lt-LT"/>
        </w:rPr>
        <w:t>Išp</w:t>
      </w:r>
      <w:r w:rsidRPr="00844BE8">
        <w:rPr>
          <w:noProof/>
          <w:lang w:val="lt-LT"/>
        </w:rPr>
        <w:t xml:space="preserve">irkimo kaina sudaro </w:t>
      </w:r>
      <w:r w:rsidR="002E39DD">
        <w:rPr>
          <w:noProof/>
          <w:lang w:val="lt-LT"/>
        </w:rPr>
        <w:t>99,5</w:t>
      </w:r>
      <w:r w:rsidR="002E39DD" w:rsidRPr="00844BE8">
        <w:rPr>
          <w:noProof/>
          <w:lang w:val="lt-LT"/>
        </w:rPr>
        <w:t xml:space="preserve"> </w:t>
      </w:r>
      <w:r w:rsidRPr="00844BE8">
        <w:rPr>
          <w:noProof/>
          <w:lang w:val="lt-LT"/>
        </w:rPr>
        <w:t xml:space="preserve">proc. pagrindinės </w:t>
      </w:r>
      <w:r w:rsidR="00DF599E" w:rsidRPr="00844BE8">
        <w:rPr>
          <w:noProof/>
          <w:lang w:val="lt-LT"/>
        </w:rPr>
        <w:t>Obligacijų</w:t>
      </w:r>
      <w:r w:rsidRPr="00844BE8">
        <w:rPr>
          <w:noProof/>
          <w:lang w:val="lt-LT"/>
        </w:rPr>
        <w:t xml:space="preserve"> sumos </w:t>
      </w:r>
      <w:r w:rsidR="00334796" w:rsidRPr="00844BE8">
        <w:rPr>
          <w:noProof/>
          <w:lang w:val="lt-LT"/>
        </w:rPr>
        <w:t>(</w:t>
      </w:r>
      <w:r w:rsidRPr="00844BE8">
        <w:rPr>
          <w:noProof/>
          <w:lang w:val="lt-LT"/>
        </w:rPr>
        <w:t xml:space="preserve">t.y. </w:t>
      </w:r>
      <w:r w:rsidR="0033408F">
        <w:rPr>
          <w:noProof/>
          <w:lang w:val="lt-LT"/>
        </w:rPr>
        <w:t>995,00</w:t>
      </w:r>
      <w:r w:rsidR="0033408F" w:rsidRPr="00844BE8">
        <w:rPr>
          <w:noProof/>
          <w:lang w:val="lt-LT"/>
        </w:rPr>
        <w:t> </w:t>
      </w:r>
      <w:r w:rsidR="0002138C" w:rsidRPr="00844BE8">
        <w:rPr>
          <w:noProof/>
          <w:lang w:val="lt-LT"/>
        </w:rPr>
        <w:t xml:space="preserve">EUR </w:t>
      </w:r>
      <w:r w:rsidRPr="00844BE8">
        <w:rPr>
          <w:noProof/>
          <w:lang w:val="lt-LT"/>
        </w:rPr>
        <w:t xml:space="preserve">už kiekvieną </w:t>
      </w:r>
      <w:r w:rsidR="00334796" w:rsidRPr="00844BE8">
        <w:rPr>
          <w:noProof/>
          <w:lang w:val="lt-LT"/>
        </w:rPr>
        <w:t>1</w:t>
      </w:r>
      <w:r w:rsidRPr="00844BE8">
        <w:rPr>
          <w:noProof/>
          <w:lang w:val="lt-LT"/>
        </w:rPr>
        <w:t> 000</w:t>
      </w:r>
      <w:r w:rsidR="0002138C" w:rsidRPr="00844BE8">
        <w:rPr>
          <w:noProof/>
          <w:lang w:val="lt-LT"/>
        </w:rPr>
        <w:t> EUR</w:t>
      </w:r>
      <w:r w:rsidRPr="00844BE8">
        <w:rPr>
          <w:noProof/>
          <w:lang w:val="lt-LT"/>
        </w:rPr>
        <w:t xml:space="preserve"> </w:t>
      </w:r>
      <w:r w:rsidR="008F0304">
        <w:rPr>
          <w:noProof/>
          <w:lang w:val="lt-LT"/>
        </w:rPr>
        <w:t xml:space="preserve">iš </w:t>
      </w:r>
      <w:r w:rsidRPr="00844BE8">
        <w:rPr>
          <w:noProof/>
          <w:lang w:val="lt-LT"/>
        </w:rPr>
        <w:t xml:space="preserve">visos pagrindinės </w:t>
      </w:r>
      <w:r w:rsidR="00DF599E" w:rsidRPr="00844BE8">
        <w:rPr>
          <w:noProof/>
          <w:lang w:val="lt-LT"/>
        </w:rPr>
        <w:t>Obligacijų</w:t>
      </w:r>
      <w:r w:rsidRPr="00844BE8">
        <w:rPr>
          <w:noProof/>
          <w:lang w:val="lt-LT"/>
        </w:rPr>
        <w:t xml:space="preserve"> sumos</w:t>
      </w:r>
      <w:r w:rsidR="00334796" w:rsidRPr="00844BE8">
        <w:rPr>
          <w:noProof/>
          <w:lang w:val="lt-LT"/>
        </w:rPr>
        <w:t>).</w:t>
      </w:r>
    </w:p>
    <w:p w14:paraId="398CF2F3" w14:textId="5F2844D1" w:rsidR="00FE2586" w:rsidRPr="00844BE8" w:rsidRDefault="00AA035D" w:rsidP="00334796">
      <w:pPr>
        <w:pStyle w:val="BodyText"/>
        <w:rPr>
          <w:noProof/>
          <w:lang w:val="lt-LT"/>
        </w:rPr>
      </w:pPr>
      <w:r w:rsidRPr="00844BE8">
        <w:rPr>
          <w:noProof/>
          <w:lang w:val="lt-LT"/>
        </w:rPr>
        <w:t>Emitento pagal Pasiūlymo sąlygas išpirkt</w:t>
      </w:r>
      <w:r w:rsidR="00DF599E" w:rsidRPr="00844BE8">
        <w:rPr>
          <w:noProof/>
          <w:lang w:val="lt-LT"/>
        </w:rPr>
        <w:t>os</w:t>
      </w:r>
      <w:r w:rsidRPr="00844BE8">
        <w:rPr>
          <w:noProof/>
          <w:lang w:val="lt-LT"/>
        </w:rPr>
        <w:t xml:space="preserve"> </w:t>
      </w:r>
      <w:r w:rsidR="00DF599E" w:rsidRPr="00844BE8">
        <w:rPr>
          <w:noProof/>
          <w:lang w:val="lt-LT"/>
        </w:rPr>
        <w:t>Obligacijos nedelsiant anuliuojamos ir pakartotinai nebeišleidžiamos</w:t>
      </w:r>
      <w:r w:rsidRPr="00844BE8">
        <w:rPr>
          <w:noProof/>
          <w:lang w:val="lt-LT"/>
        </w:rPr>
        <w:t xml:space="preserve"> ir nebeparduodam</w:t>
      </w:r>
      <w:r w:rsidR="00DF599E" w:rsidRPr="00844BE8">
        <w:rPr>
          <w:noProof/>
          <w:lang w:val="lt-LT"/>
        </w:rPr>
        <w:t>os</w:t>
      </w:r>
      <w:r w:rsidR="00FE2586" w:rsidRPr="00844BE8">
        <w:rPr>
          <w:noProof/>
          <w:lang w:val="lt-LT"/>
        </w:rPr>
        <w:t xml:space="preserve">. </w:t>
      </w:r>
      <w:r w:rsidR="00DF599E" w:rsidRPr="00844BE8">
        <w:rPr>
          <w:noProof/>
          <w:lang w:val="lt-LT"/>
        </w:rPr>
        <w:t>Tinkamai nepateiktos ir nepriimtos</w:t>
      </w:r>
      <w:r w:rsidRPr="00844BE8">
        <w:rPr>
          <w:noProof/>
          <w:lang w:val="lt-LT"/>
        </w:rPr>
        <w:t xml:space="preserve"> </w:t>
      </w:r>
      <w:r w:rsidR="008F0304">
        <w:rPr>
          <w:noProof/>
          <w:lang w:val="lt-LT"/>
        </w:rPr>
        <w:t>išpirkti</w:t>
      </w:r>
      <w:r w:rsidR="008F0304" w:rsidRPr="00844BE8">
        <w:rPr>
          <w:noProof/>
          <w:lang w:val="lt-LT"/>
        </w:rPr>
        <w:t xml:space="preserve"> </w:t>
      </w:r>
      <w:r w:rsidR="00DF599E" w:rsidRPr="00844BE8">
        <w:rPr>
          <w:noProof/>
          <w:lang w:val="lt-LT"/>
        </w:rPr>
        <w:t>pagal Pasiūlymo sąlygas obligacijos</w:t>
      </w:r>
      <w:r w:rsidRPr="00844BE8">
        <w:rPr>
          <w:noProof/>
          <w:lang w:val="lt-LT"/>
        </w:rPr>
        <w:t xml:space="preserve"> po Atsiskaitymo pagal pasiūlymą dienos lieka </w:t>
      </w:r>
      <w:r w:rsidR="008F0304">
        <w:rPr>
          <w:noProof/>
          <w:lang w:val="lt-LT"/>
        </w:rPr>
        <w:t>galioti</w:t>
      </w:r>
      <w:r w:rsidR="00FE2586" w:rsidRPr="00844BE8">
        <w:rPr>
          <w:noProof/>
          <w:lang w:val="lt-LT"/>
        </w:rPr>
        <w:t>.</w:t>
      </w:r>
    </w:p>
    <w:p w14:paraId="6139CBFD" w14:textId="26CA6BE3" w:rsidR="00334796" w:rsidRPr="00844BE8" w:rsidRDefault="00AA035D" w:rsidP="00FE2586">
      <w:pPr>
        <w:pStyle w:val="Title7"/>
        <w:rPr>
          <w:b/>
          <w:bCs/>
          <w:i w:val="0"/>
          <w:iCs/>
          <w:noProof/>
          <w:lang w:val="lt-LT"/>
        </w:rPr>
      </w:pPr>
      <w:r w:rsidRPr="00844BE8">
        <w:rPr>
          <w:b/>
          <w:bCs/>
          <w:i w:val="0"/>
          <w:iCs/>
          <w:noProof/>
          <w:lang w:val="lt-LT"/>
        </w:rPr>
        <w:t>Pasiūlymo priėmimas</w:t>
      </w:r>
    </w:p>
    <w:p w14:paraId="446CD741" w14:textId="1FAD8131" w:rsidR="00B81D27" w:rsidRPr="001A5EAB" w:rsidRDefault="00AA035D" w:rsidP="00B81D27">
      <w:pPr>
        <w:rPr>
          <w:noProof/>
          <w:szCs w:val="20"/>
          <w:lang w:val="lt-LT" w:bidi="ar-SA"/>
        </w:rPr>
      </w:pPr>
      <w:r w:rsidRPr="00844BE8">
        <w:rPr>
          <w:rFonts w:eastAsia="Times New Roman"/>
          <w:noProof/>
          <w:lang w:val="lt-LT"/>
        </w:rPr>
        <w:t xml:space="preserve">Emitentui nusprendus priimti bet </w:t>
      </w:r>
      <w:r w:rsidR="00995291" w:rsidRPr="00844BE8">
        <w:rPr>
          <w:rFonts w:eastAsia="Times New Roman"/>
          <w:noProof/>
          <w:lang w:val="lt-LT"/>
        </w:rPr>
        <w:t>kur</w:t>
      </w:r>
      <w:r w:rsidR="00995291">
        <w:rPr>
          <w:rFonts w:eastAsia="Times New Roman"/>
          <w:noProof/>
          <w:lang w:val="lt-LT"/>
        </w:rPr>
        <w:t>į</w:t>
      </w:r>
      <w:r w:rsidR="00F8470D">
        <w:rPr>
          <w:rFonts w:eastAsia="Times New Roman"/>
          <w:noProof/>
          <w:lang w:val="lt-LT"/>
        </w:rPr>
        <w:t xml:space="preserve"> </w:t>
      </w:r>
      <w:r w:rsidR="00F8470D" w:rsidRPr="00844BE8">
        <w:rPr>
          <w:rFonts w:eastAsia="Times New Roman"/>
          <w:noProof/>
          <w:lang w:val="lt-LT"/>
        </w:rPr>
        <w:t>p</w:t>
      </w:r>
      <w:r w:rsidR="00F8470D">
        <w:rPr>
          <w:rFonts w:eastAsia="Times New Roman"/>
          <w:noProof/>
          <w:lang w:val="lt-LT"/>
        </w:rPr>
        <w:t>agal Pasiūlymą tinkamai pateiktą nurodymą  dėl Obligacijų</w:t>
      </w:r>
      <w:r w:rsidR="003950F6">
        <w:rPr>
          <w:rFonts w:eastAsia="Times New Roman"/>
          <w:noProof/>
          <w:lang w:val="lt-LT"/>
        </w:rPr>
        <w:t>,</w:t>
      </w:r>
      <w:r w:rsidRPr="00844BE8">
        <w:rPr>
          <w:rFonts w:eastAsia="Times New Roman"/>
          <w:noProof/>
          <w:lang w:val="lt-LT"/>
        </w:rPr>
        <w:t xml:space="preserve"> Emitentas siūlo </w:t>
      </w:r>
      <w:r w:rsidR="006A2896">
        <w:rPr>
          <w:rFonts w:eastAsia="Times New Roman"/>
          <w:noProof/>
          <w:lang w:val="lt-LT"/>
        </w:rPr>
        <w:t>priimti išpirkimui</w:t>
      </w:r>
      <w:r w:rsidR="008F0304" w:rsidRPr="00844BE8">
        <w:rPr>
          <w:rFonts w:eastAsia="Times New Roman"/>
          <w:noProof/>
          <w:lang w:val="lt-LT"/>
        </w:rPr>
        <w:t xml:space="preserve"> </w:t>
      </w:r>
      <w:r w:rsidR="003950F6">
        <w:rPr>
          <w:rFonts w:eastAsia="Times New Roman"/>
          <w:noProof/>
          <w:lang w:val="lt-LT"/>
        </w:rPr>
        <w:t>Obligacij</w:t>
      </w:r>
      <w:r w:rsidR="006C4BA5">
        <w:rPr>
          <w:rFonts w:eastAsia="Times New Roman"/>
          <w:noProof/>
          <w:lang w:val="lt-LT"/>
        </w:rPr>
        <w:t>as</w:t>
      </w:r>
      <w:r w:rsidR="00C7478F" w:rsidRPr="00844BE8">
        <w:rPr>
          <w:rFonts w:eastAsia="Times New Roman"/>
          <w:noProof/>
          <w:lang w:val="lt-LT"/>
        </w:rPr>
        <w:t xml:space="preserve">, kurių </w:t>
      </w:r>
      <w:r w:rsidR="006C4BA5">
        <w:rPr>
          <w:rFonts w:eastAsia="Times New Roman"/>
          <w:noProof/>
          <w:lang w:val="lt-LT"/>
        </w:rPr>
        <w:t>bendra</w:t>
      </w:r>
      <w:r w:rsidR="006C4BA5" w:rsidRPr="00844BE8">
        <w:rPr>
          <w:rFonts w:eastAsia="Times New Roman"/>
          <w:noProof/>
          <w:lang w:val="lt-LT"/>
        </w:rPr>
        <w:t xml:space="preserve"> </w:t>
      </w:r>
      <w:r w:rsidR="00C7478F" w:rsidRPr="00844BE8">
        <w:rPr>
          <w:rFonts w:eastAsia="Times New Roman"/>
          <w:noProof/>
          <w:lang w:val="lt-LT"/>
        </w:rPr>
        <w:t>suma negali būti didesnė nei Emitento i</w:t>
      </w:r>
      <w:r w:rsidR="007228AA" w:rsidRPr="00844BE8">
        <w:rPr>
          <w:rFonts w:eastAsia="Times New Roman"/>
          <w:noProof/>
          <w:lang w:val="lt-LT"/>
        </w:rPr>
        <w:t>šimtine nuožiūra nustatyta suma ir</w:t>
      </w:r>
      <w:r w:rsidR="00C7478F" w:rsidRPr="00844BE8">
        <w:rPr>
          <w:rFonts w:eastAsia="Times New Roman"/>
          <w:noProof/>
          <w:lang w:val="lt-LT"/>
        </w:rPr>
        <w:t xml:space="preserve"> kuri</w:t>
      </w:r>
      <w:r w:rsidR="00C7478F" w:rsidRPr="001A5EAB">
        <w:rPr>
          <w:rFonts w:eastAsia="Times New Roman"/>
          <w:noProof/>
          <w:lang w:val="lt-LT"/>
        </w:rPr>
        <w:t xml:space="preserve"> turėtų būti lygi pagrindinei išleidžiamų Naujųjų </w:t>
      </w:r>
      <w:r w:rsidR="003950F6">
        <w:rPr>
          <w:rFonts w:eastAsia="Times New Roman"/>
          <w:noProof/>
          <w:lang w:val="lt-LT"/>
        </w:rPr>
        <w:t>obligacijų</w:t>
      </w:r>
      <w:r w:rsidR="00C7478F" w:rsidRPr="001A5EAB">
        <w:rPr>
          <w:rFonts w:eastAsia="Times New Roman"/>
          <w:noProof/>
          <w:lang w:val="lt-LT"/>
        </w:rPr>
        <w:t xml:space="preserve"> sumai (toliau – </w:t>
      </w:r>
      <w:r w:rsidR="00C7478F" w:rsidRPr="001A5EAB">
        <w:rPr>
          <w:rFonts w:eastAsia="Times New Roman"/>
          <w:b/>
          <w:noProof/>
          <w:lang w:val="lt-LT"/>
        </w:rPr>
        <w:t>Didžiausia priimtina suma</w:t>
      </w:r>
      <w:r w:rsidR="00C7478F" w:rsidRPr="001A5EAB">
        <w:rPr>
          <w:rFonts w:eastAsia="Times New Roman"/>
          <w:noProof/>
          <w:lang w:val="lt-LT"/>
        </w:rPr>
        <w:t xml:space="preserve">), </w:t>
      </w:r>
      <w:r w:rsidR="007228AA" w:rsidRPr="001A5EAB">
        <w:rPr>
          <w:rFonts w:eastAsia="Times New Roman"/>
          <w:noProof/>
          <w:lang w:val="lt-LT"/>
        </w:rPr>
        <w:t xml:space="preserve">vadovaudamasis </w:t>
      </w:r>
      <w:r w:rsidR="00E20E01" w:rsidRPr="001A5EAB">
        <w:rPr>
          <w:noProof/>
          <w:lang w:val="lt-LT"/>
        </w:rPr>
        <w:t>Naujo</w:t>
      </w:r>
      <w:r w:rsidR="00C7478F" w:rsidRPr="001A5EAB">
        <w:rPr>
          <w:noProof/>
          <w:lang w:val="lt-LT"/>
        </w:rPr>
        <w:t xml:space="preserve"> finansavimo sąlyga</w:t>
      </w:r>
      <w:r w:rsidR="002E4FE2">
        <w:rPr>
          <w:noProof/>
          <w:lang w:val="lt-LT"/>
        </w:rPr>
        <w:t xml:space="preserve"> (arba nuspręsdamas taikyti išimtis)</w:t>
      </w:r>
      <w:r w:rsidR="00C7478F" w:rsidRPr="001A5EAB">
        <w:rPr>
          <w:noProof/>
          <w:lang w:val="lt-LT"/>
        </w:rPr>
        <w:t xml:space="preserve"> </w:t>
      </w:r>
      <w:r w:rsidR="008F0304">
        <w:rPr>
          <w:noProof/>
          <w:lang w:val="lt-LT"/>
        </w:rPr>
        <w:t xml:space="preserve">ir </w:t>
      </w:r>
      <w:r w:rsidR="00C7478F" w:rsidRPr="001A5EAB">
        <w:rPr>
          <w:noProof/>
          <w:lang w:val="lt-LT"/>
        </w:rPr>
        <w:t>kito</w:t>
      </w:r>
      <w:r w:rsidR="008F0304">
        <w:rPr>
          <w:noProof/>
          <w:lang w:val="lt-LT"/>
        </w:rPr>
        <w:t>mi</w:t>
      </w:r>
      <w:r w:rsidR="00C7478F" w:rsidRPr="001A5EAB">
        <w:rPr>
          <w:noProof/>
          <w:lang w:val="lt-LT"/>
        </w:rPr>
        <w:t>s Oficialaus pasiūlymo memorandume nurodyto</w:t>
      </w:r>
      <w:r w:rsidR="008F0304">
        <w:rPr>
          <w:noProof/>
          <w:lang w:val="lt-LT"/>
        </w:rPr>
        <w:t>mi</w:t>
      </w:r>
      <w:r w:rsidR="00C7478F" w:rsidRPr="001A5EAB">
        <w:rPr>
          <w:noProof/>
          <w:lang w:val="lt-LT"/>
        </w:rPr>
        <w:t>s sąlygo</w:t>
      </w:r>
      <w:r w:rsidR="008F0304">
        <w:rPr>
          <w:noProof/>
          <w:lang w:val="lt-LT"/>
        </w:rPr>
        <w:t>mi</w:t>
      </w:r>
      <w:r w:rsidR="00C7478F" w:rsidRPr="001A5EAB">
        <w:rPr>
          <w:noProof/>
          <w:lang w:val="lt-LT"/>
        </w:rPr>
        <w:t>s</w:t>
      </w:r>
      <w:r w:rsidR="00B81D27" w:rsidRPr="001A5EAB">
        <w:rPr>
          <w:noProof/>
          <w:szCs w:val="20"/>
          <w:lang w:val="lt-LT" w:bidi="ar-SA"/>
        </w:rPr>
        <w:t>.</w:t>
      </w:r>
    </w:p>
    <w:p w14:paraId="06D91D3B" w14:textId="25EF50E2" w:rsidR="00B81D27" w:rsidRPr="001A5EAB" w:rsidRDefault="00C7478F" w:rsidP="00B81D27">
      <w:pPr>
        <w:autoSpaceDE w:val="0"/>
        <w:autoSpaceDN w:val="0"/>
        <w:adjustRightInd w:val="0"/>
        <w:spacing w:after="0"/>
        <w:jc w:val="left"/>
        <w:rPr>
          <w:b/>
          <w:bCs/>
          <w:noProof/>
          <w:szCs w:val="20"/>
          <w:lang w:val="lt-LT" w:bidi="ar-SA"/>
        </w:rPr>
      </w:pPr>
      <w:r w:rsidRPr="001A5EAB">
        <w:rPr>
          <w:b/>
          <w:bCs/>
          <w:noProof/>
          <w:szCs w:val="20"/>
          <w:lang w:val="lt-LT" w:bidi="ar-SA"/>
        </w:rPr>
        <w:t xml:space="preserve">Oficialaus pasiūlymo nurodymų priėmimo </w:t>
      </w:r>
      <w:r w:rsidR="00096858" w:rsidRPr="001A5EAB">
        <w:rPr>
          <w:b/>
          <w:bCs/>
          <w:noProof/>
          <w:szCs w:val="20"/>
          <w:lang w:val="lt-LT" w:bidi="ar-SA"/>
        </w:rPr>
        <w:t>eiliškumas</w:t>
      </w:r>
    </w:p>
    <w:p w14:paraId="5243224B" w14:textId="77777777" w:rsidR="00B81D27" w:rsidRPr="001A5EAB" w:rsidRDefault="00B81D27" w:rsidP="00B81D27">
      <w:pPr>
        <w:autoSpaceDE w:val="0"/>
        <w:autoSpaceDN w:val="0"/>
        <w:adjustRightInd w:val="0"/>
        <w:spacing w:after="0"/>
        <w:jc w:val="left"/>
        <w:rPr>
          <w:noProof/>
          <w:szCs w:val="20"/>
          <w:lang w:val="lt-LT" w:bidi="ar-SA"/>
        </w:rPr>
      </w:pPr>
    </w:p>
    <w:p w14:paraId="74878A7C" w14:textId="4B857518" w:rsidR="00B81D27" w:rsidRPr="001A5EAB" w:rsidRDefault="0011375D" w:rsidP="00B81D27">
      <w:pPr>
        <w:rPr>
          <w:noProof/>
          <w:lang w:val="lt-LT"/>
        </w:rPr>
      </w:pPr>
      <w:r>
        <w:rPr>
          <w:bCs/>
          <w:noProof/>
          <w:lang w:val="lt-LT"/>
        </w:rPr>
        <w:t>Obligacijų</w:t>
      </w:r>
      <w:r w:rsidR="00C7478F" w:rsidRPr="001A5EAB">
        <w:rPr>
          <w:bCs/>
          <w:noProof/>
          <w:lang w:val="lt-LT"/>
        </w:rPr>
        <w:t xml:space="preserve"> </w:t>
      </w:r>
      <w:r w:rsidR="007F3B0C">
        <w:rPr>
          <w:bCs/>
          <w:noProof/>
          <w:lang w:val="lt-LT"/>
        </w:rPr>
        <w:t>savinink</w:t>
      </w:r>
      <w:r w:rsidR="00C7478F" w:rsidRPr="001A5EAB">
        <w:rPr>
          <w:bCs/>
          <w:noProof/>
          <w:lang w:val="lt-LT"/>
        </w:rPr>
        <w:t xml:space="preserve">ui, kuriam yra </w:t>
      </w:r>
      <w:r w:rsidR="002E4FE2">
        <w:rPr>
          <w:bCs/>
          <w:noProof/>
          <w:lang w:val="lt-LT"/>
        </w:rPr>
        <w:t>paskirstytos</w:t>
      </w:r>
      <w:r w:rsidR="00C7478F" w:rsidRPr="001A5EAB">
        <w:rPr>
          <w:bCs/>
          <w:noProof/>
          <w:lang w:val="lt-LT"/>
        </w:rPr>
        <w:t xml:space="preserve"> Nauj</w:t>
      </w:r>
      <w:r w:rsidR="007873AC">
        <w:rPr>
          <w:bCs/>
          <w:noProof/>
          <w:lang w:val="lt-LT"/>
        </w:rPr>
        <w:t>osios obligacijos</w:t>
      </w:r>
      <w:r w:rsidR="00C7478F" w:rsidRPr="001A5EAB">
        <w:rPr>
          <w:bCs/>
          <w:noProof/>
          <w:lang w:val="lt-LT"/>
        </w:rPr>
        <w:t xml:space="preserve"> ir kuris </w:t>
      </w:r>
      <w:r w:rsidR="00E20E01" w:rsidRPr="001A5EAB">
        <w:rPr>
          <w:bCs/>
          <w:noProof/>
          <w:lang w:val="lt-LT"/>
        </w:rPr>
        <w:t xml:space="preserve">pagal Pasiūlymo sąlygas </w:t>
      </w:r>
      <w:r w:rsidR="00BC533E" w:rsidRPr="001A5EAB">
        <w:rPr>
          <w:bCs/>
          <w:noProof/>
          <w:lang w:val="lt-LT"/>
        </w:rPr>
        <w:t>tinkamai</w:t>
      </w:r>
      <w:r w:rsidR="00C7478F" w:rsidRPr="001A5EAB">
        <w:rPr>
          <w:bCs/>
          <w:noProof/>
          <w:lang w:val="lt-LT"/>
        </w:rPr>
        <w:t xml:space="preserve"> pateikė savo </w:t>
      </w:r>
      <w:r>
        <w:rPr>
          <w:bCs/>
          <w:noProof/>
          <w:lang w:val="lt-LT"/>
        </w:rPr>
        <w:t>Obligacijas</w:t>
      </w:r>
      <w:r w:rsidR="00C7478F" w:rsidRPr="001A5EAB">
        <w:rPr>
          <w:bCs/>
          <w:noProof/>
          <w:lang w:val="lt-LT"/>
        </w:rPr>
        <w:t xml:space="preserve"> </w:t>
      </w:r>
      <w:r w:rsidR="00140BB0">
        <w:rPr>
          <w:bCs/>
          <w:noProof/>
          <w:lang w:val="lt-LT"/>
        </w:rPr>
        <w:t>iš</w:t>
      </w:r>
      <w:r w:rsidR="00E20E01" w:rsidRPr="001A5EAB">
        <w:rPr>
          <w:bCs/>
          <w:noProof/>
          <w:lang w:val="lt-LT"/>
        </w:rPr>
        <w:t>pirkti</w:t>
      </w:r>
      <w:r w:rsidR="00C7478F" w:rsidRPr="001A5EAB">
        <w:rPr>
          <w:bCs/>
          <w:noProof/>
          <w:lang w:val="lt-LT"/>
        </w:rPr>
        <w:t xml:space="preserve">, pagal Pasiūlymą gali būti suteikta pirmenybė, o jo </w:t>
      </w:r>
      <w:r w:rsidR="00140BB0">
        <w:rPr>
          <w:bCs/>
          <w:noProof/>
          <w:lang w:val="lt-LT"/>
        </w:rPr>
        <w:t>Obligacijų išpirkimui teikiama</w:t>
      </w:r>
      <w:r w:rsidR="00140BB0" w:rsidRPr="001A5EAB">
        <w:rPr>
          <w:bCs/>
          <w:noProof/>
          <w:lang w:val="lt-LT"/>
        </w:rPr>
        <w:t xml:space="preserve"> </w:t>
      </w:r>
      <w:r w:rsidR="00140BB0">
        <w:rPr>
          <w:bCs/>
          <w:noProof/>
          <w:lang w:val="lt-LT"/>
        </w:rPr>
        <w:t>pirmenybė prieš tuos</w:t>
      </w:r>
      <w:r w:rsidR="0022511A" w:rsidRPr="001A5EAB">
        <w:rPr>
          <w:bCs/>
          <w:noProof/>
          <w:lang w:val="lt-LT"/>
        </w:rPr>
        <w:t xml:space="preserve"> </w:t>
      </w:r>
      <w:r>
        <w:rPr>
          <w:bCs/>
          <w:noProof/>
          <w:lang w:val="lt-LT"/>
        </w:rPr>
        <w:t xml:space="preserve">Obligacijų </w:t>
      </w:r>
      <w:r w:rsidR="007F3B0C">
        <w:rPr>
          <w:bCs/>
          <w:noProof/>
          <w:lang w:val="lt-LT"/>
        </w:rPr>
        <w:t>savinink</w:t>
      </w:r>
      <w:r w:rsidR="00140BB0">
        <w:rPr>
          <w:bCs/>
          <w:noProof/>
          <w:lang w:val="lt-LT"/>
        </w:rPr>
        <w:t>us</w:t>
      </w:r>
      <w:r w:rsidR="00C7478F" w:rsidRPr="001A5EAB">
        <w:rPr>
          <w:bCs/>
          <w:noProof/>
          <w:lang w:val="lt-LT"/>
        </w:rPr>
        <w:t xml:space="preserve">, kurie savo </w:t>
      </w:r>
      <w:r>
        <w:rPr>
          <w:bCs/>
          <w:noProof/>
          <w:lang w:val="lt-LT"/>
        </w:rPr>
        <w:t>Obligacijas</w:t>
      </w:r>
      <w:r w:rsidR="00C7478F" w:rsidRPr="001A5EAB">
        <w:rPr>
          <w:bCs/>
          <w:noProof/>
          <w:lang w:val="lt-LT"/>
        </w:rPr>
        <w:t xml:space="preserve"> pateikė </w:t>
      </w:r>
      <w:r w:rsidR="008E5720">
        <w:rPr>
          <w:bCs/>
          <w:noProof/>
          <w:lang w:val="lt-LT"/>
        </w:rPr>
        <w:t>iš</w:t>
      </w:r>
      <w:r w:rsidR="00E20E01" w:rsidRPr="001A5EAB">
        <w:rPr>
          <w:bCs/>
          <w:noProof/>
          <w:lang w:val="lt-LT"/>
        </w:rPr>
        <w:t>pirkti</w:t>
      </w:r>
      <w:r w:rsidR="00C7478F" w:rsidRPr="001A5EAB">
        <w:rPr>
          <w:bCs/>
          <w:noProof/>
          <w:lang w:val="lt-LT"/>
        </w:rPr>
        <w:t xml:space="preserve"> </w:t>
      </w:r>
      <w:r w:rsidR="00BC533E" w:rsidRPr="001A5EAB">
        <w:rPr>
          <w:bCs/>
          <w:noProof/>
          <w:lang w:val="lt-LT"/>
        </w:rPr>
        <w:t>tinkamai</w:t>
      </w:r>
      <w:r w:rsidR="00C7478F" w:rsidRPr="001A5EAB">
        <w:rPr>
          <w:bCs/>
          <w:noProof/>
          <w:lang w:val="lt-LT"/>
        </w:rPr>
        <w:t xml:space="preserve">, bet kuriems Naujųjų </w:t>
      </w:r>
      <w:r>
        <w:rPr>
          <w:bCs/>
          <w:noProof/>
          <w:lang w:val="lt-LT"/>
        </w:rPr>
        <w:t>obligacijų</w:t>
      </w:r>
      <w:r w:rsidR="00C7478F" w:rsidRPr="001A5EAB">
        <w:rPr>
          <w:bCs/>
          <w:noProof/>
          <w:lang w:val="lt-LT"/>
        </w:rPr>
        <w:t xml:space="preserve"> nebuvo suteikta (toliau – </w:t>
      </w:r>
      <w:r w:rsidR="00C7478F" w:rsidRPr="001A5EAB">
        <w:rPr>
          <w:b/>
          <w:bCs/>
          <w:noProof/>
          <w:lang w:val="lt-LT"/>
        </w:rPr>
        <w:t xml:space="preserve">Oficialaus pasiūlymo </w:t>
      </w:r>
      <w:r w:rsidR="00096858" w:rsidRPr="001A5EAB">
        <w:rPr>
          <w:b/>
          <w:bCs/>
          <w:noProof/>
          <w:lang w:val="lt-LT"/>
        </w:rPr>
        <w:t>pirmumas</w:t>
      </w:r>
      <w:r w:rsidR="00C7478F" w:rsidRPr="001A5EAB">
        <w:rPr>
          <w:bCs/>
          <w:noProof/>
          <w:lang w:val="lt-LT"/>
        </w:rPr>
        <w:t xml:space="preserve">), tuo tikslu naudojant </w:t>
      </w:r>
      <w:r w:rsidR="00096858" w:rsidRPr="001A5EAB">
        <w:rPr>
          <w:bCs/>
          <w:noProof/>
          <w:lang w:val="lt-LT"/>
        </w:rPr>
        <w:t xml:space="preserve">atitinkamą </w:t>
      </w:r>
      <w:r w:rsidR="00C7478F" w:rsidRPr="001A5EAB">
        <w:rPr>
          <w:bCs/>
          <w:noProof/>
          <w:lang w:val="lt-LT"/>
        </w:rPr>
        <w:t>kod</w:t>
      </w:r>
      <w:r w:rsidR="00096858" w:rsidRPr="001A5EAB">
        <w:rPr>
          <w:bCs/>
          <w:noProof/>
          <w:lang w:val="lt-LT"/>
        </w:rPr>
        <w:t xml:space="preserve">ą (toliau – </w:t>
      </w:r>
      <w:r w:rsidR="00096858" w:rsidRPr="001A5EAB">
        <w:rPr>
          <w:b/>
          <w:bCs/>
          <w:noProof/>
          <w:lang w:val="lt-LT"/>
        </w:rPr>
        <w:t>Oficialaus pasiūlymo pirmumo kod</w:t>
      </w:r>
      <w:r w:rsidR="00871509" w:rsidRPr="001A5EAB">
        <w:rPr>
          <w:b/>
          <w:bCs/>
          <w:noProof/>
          <w:lang w:val="lt-LT"/>
        </w:rPr>
        <w:t>a</w:t>
      </w:r>
      <w:r w:rsidR="00096858" w:rsidRPr="001A5EAB">
        <w:rPr>
          <w:b/>
          <w:bCs/>
          <w:noProof/>
          <w:lang w:val="lt-LT"/>
        </w:rPr>
        <w:t>s</w:t>
      </w:r>
      <w:r w:rsidR="00096858" w:rsidRPr="001A5EAB">
        <w:rPr>
          <w:bCs/>
          <w:noProof/>
          <w:lang w:val="lt-LT"/>
        </w:rPr>
        <w:t>)</w:t>
      </w:r>
      <w:r w:rsidR="00B81D27" w:rsidRPr="001A5EAB">
        <w:rPr>
          <w:noProof/>
          <w:lang w:val="lt-LT"/>
        </w:rPr>
        <w:t xml:space="preserve">. </w:t>
      </w:r>
      <w:r w:rsidR="00096858" w:rsidRPr="001A5EAB">
        <w:rPr>
          <w:noProof/>
          <w:lang w:val="lt-LT"/>
        </w:rPr>
        <w:t xml:space="preserve">Toks Oficialaus pasiūlymo pirmumas išimtine Emitento nuožiūra gali būti suteikiamas visai pagrindinei </w:t>
      </w:r>
      <w:r>
        <w:rPr>
          <w:noProof/>
          <w:lang w:val="lt-LT"/>
        </w:rPr>
        <w:t>Obligacijų</w:t>
      </w:r>
      <w:r w:rsidR="00096858" w:rsidRPr="001A5EAB">
        <w:rPr>
          <w:noProof/>
          <w:lang w:val="lt-LT"/>
        </w:rPr>
        <w:t xml:space="preserve"> sumai, kuri negali būti didesnė</w:t>
      </w:r>
      <w:r w:rsidR="00140BB0">
        <w:rPr>
          <w:noProof/>
          <w:lang w:val="lt-LT"/>
        </w:rPr>
        <w:t>,</w:t>
      </w:r>
      <w:r w:rsidR="00096858" w:rsidRPr="001A5EAB">
        <w:rPr>
          <w:noProof/>
          <w:lang w:val="lt-LT"/>
        </w:rPr>
        <w:t xml:space="preserve"> nei visa pagrindinė atitinkamam </w:t>
      </w:r>
      <w:r>
        <w:rPr>
          <w:noProof/>
          <w:lang w:val="lt-LT"/>
        </w:rPr>
        <w:t>Obligacijų</w:t>
      </w:r>
      <w:r w:rsidR="00096858" w:rsidRPr="001A5EAB">
        <w:rPr>
          <w:noProof/>
          <w:lang w:val="lt-LT"/>
        </w:rPr>
        <w:t xml:space="preserve"> </w:t>
      </w:r>
      <w:r w:rsidR="007F3B0C">
        <w:rPr>
          <w:noProof/>
          <w:lang w:val="lt-LT"/>
        </w:rPr>
        <w:t>savinink</w:t>
      </w:r>
      <w:r w:rsidR="00096858" w:rsidRPr="001A5EAB">
        <w:rPr>
          <w:noProof/>
          <w:lang w:val="lt-LT"/>
        </w:rPr>
        <w:t xml:space="preserve">ui suteiktų Naujųjų </w:t>
      </w:r>
      <w:r>
        <w:rPr>
          <w:noProof/>
          <w:lang w:val="lt-LT"/>
        </w:rPr>
        <w:t>obligacijų</w:t>
      </w:r>
      <w:r w:rsidR="00096858" w:rsidRPr="001A5EAB">
        <w:rPr>
          <w:noProof/>
          <w:lang w:val="lt-LT"/>
        </w:rPr>
        <w:t xml:space="preserve"> suma. Daugiau informacijos </w:t>
      </w:r>
      <w:r w:rsidR="00C04FA8" w:rsidRPr="001A5EAB">
        <w:rPr>
          <w:noProof/>
          <w:lang w:val="lt-LT"/>
        </w:rPr>
        <w:t>pateikiama</w:t>
      </w:r>
      <w:r w:rsidR="00096858" w:rsidRPr="001A5EAB">
        <w:rPr>
          <w:noProof/>
          <w:lang w:val="lt-LT"/>
        </w:rPr>
        <w:t xml:space="preserve"> Oficialaus pasiūlymo memorandumo skyriuje </w:t>
      </w:r>
      <w:r w:rsidR="00096858" w:rsidRPr="001A5EAB">
        <w:rPr>
          <w:i/>
          <w:noProof/>
          <w:lang w:val="lt-LT"/>
        </w:rPr>
        <w:t>„Pasiūlymo sąlygos – Oficialaus pasiūlymo nurodymų priėmimo eiliškumas“</w:t>
      </w:r>
      <w:r w:rsidR="00096858" w:rsidRPr="001A5EAB">
        <w:rPr>
          <w:noProof/>
          <w:lang w:val="lt-LT"/>
        </w:rPr>
        <w:t>.</w:t>
      </w:r>
    </w:p>
    <w:p w14:paraId="5129BD57" w14:textId="0F629A33" w:rsidR="00595B66" w:rsidRPr="001A5EAB" w:rsidRDefault="00096858" w:rsidP="00B81D27">
      <w:pPr>
        <w:rPr>
          <w:b/>
          <w:bCs/>
          <w:noProof/>
          <w:lang w:val="lt-LT"/>
        </w:rPr>
      </w:pPr>
      <w:r w:rsidRPr="001A5EAB">
        <w:rPr>
          <w:b/>
          <w:bCs/>
          <w:noProof/>
          <w:lang w:val="lt-LT"/>
        </w:rPr>
        <w:t>Oficialaus pasiūlymo pirmumo gavimo tvarka</w:t>
      </w:r>
    </w:p>
    <w:p w14:paraId="57FD139F" w14:textId="3171D0EC" w:rsidR="0054590A" w:rsidRPr="001A5EAB" w:rsidRDefault="00096858" w:rsidP="00595B66">
      <w:pPr>
        <w:pStyle w:val="BodyText"/>
        <w:rPr>
          <w:noProof/>
          <w:lang w:val="lt-LT"/>
        </w:rPr>
      </w:pPr>
      <w:r w:rsidRPr="001A5EAB">
        <w:rPr>
          <w:noProof/>
          <w:lang w:val="lt-LT"/>
        </w:rPr>
        <w:t xml:space="preserve">Kad galėtų įgyti Oficialaus pasiūlymo pirmumą, </w:t>
      </w:r>
      <w:r w:rsidR="00141433">
        <w:rPr>
          <w:noProof/>
          <w:lang w:val="lt-LT"/>
        </w:rPr>
        <w:t xml:space="preserve">Obligacijų </w:t>
      </w:r>
      <w:r w:rsidR="007F3B0C">
        <w:rPr>
          <w:noProof/>
          <w:lang w:val="lt-LT"/>
        </w:rPr>
        <w:t>savinink</w:t>
      </w:r>
      <w:r w:rsidRPr="001A5EAB">
        <w:rPr>
          <w:noProof/>
          <w:lang w:val="lt-LT"/>
        </w:rPr>
        <w:t xml:space="preserve">as privalo (a) kreiptis į </w:t>
      </w:r>
      <w:r w:rsidR="00140BB0">
        <w:rPr>
          <w:noProof/>
          <w:lang w:val="lt-LT"/>
        </w:rPr>
        <w:t>Platinto</w:t>
      </w:r>
      <w:r w:rsidR="00BE7912">
        <w:rPr>
          <w:noProof/>
          <w:lang w:val="lt-LT"/>
        </w:rPr>
        <w:t>j</w:t>
      </w:r>
      <w:r w:rsidR="00551371">
        <w:rPr>
          <w:noProof/>
          <w:lang w:val="lt-LT"/>
        </w:rPr>
        <w:t xml:space="preserve">ą </w:t>
      </w:r>
      <w:r w:rsidR="001937E6" w:rsidRPr="001A5EAB">
        <w:rPr>
          <w:noProof/>
          <w:lang w:val="lt-LT"/>
        </w:rPr>
        <w:t>valdytoją</w:t>
      </w:r>
      <w:r w:rsidR="00871509" w:rsidRPr="001A5EAB">
        <w:rPr>
          <w:noProof/>
          <w:lang w:val="lt-LT"/>
        </w:rPr>
        <w:t xml:space="preserve">, kad užregistruotų savo </w:t>
      </w:r>
      <w:r w:rsidR="009B07C5" w:rsidRPr="001A5EAB">
        <w:rPr>
          <w:noProof/>
          <w:lang w:val="lt-LT"/>
        </w:rPr>
        <w:t>pageidavimą</w:t>
      </w:r>
      <w:r w:rsidR="00871509" w:rsidRPr="001A5EAB">
        <w:rPr>
          <w:noProof/>
          <w:lang w:val="lt-LT"/>
        </w:rPr>
        <w:t xml:space="preserve"> gauti Oficialaus pasiūlymo pirmumo kodą ir (b) iki </w:t>
      </w:r>
      <w:r w:rsidR="001E01D3" w:rsidRPr="001A5EAB">
        <w:rPr>
          <w:noProof/>
          <w:lang w:val="lt-LT"/>
        </w:rPr>
        <w:t>Galiojimo</w:t>
      </w:r>
      <w:r w:rsidR="00871509" w:rsidRPr="001A5EAB">
        <w:rPr>
          <w:noProof/>
          <w:lang w:val="lt-LT"/>
        </w:rPr>
        <w:t xml:space="preserve"> termino pateikti galiojančius Pasiūlymo nurodymus, kuriuose būtų nurodytas atitinkamas Oficialaus pasiūlymo pirmumo kodas, vadovaujantis Oficialaus pasiūlymo memorandumo skyriuje </w:t>
      </w:r>
      <w:r w:rsidR="00871509" w:rsidRPr="001A5EAB">
        <w:rPr>
          <w:i/>
          <w:noProof/>
          <w:lang w:val="lt-LT"/>
        </w:rPr>
        <w:t>„Dalyvavimo pasiūlyme tvarka“</w:t>
      </w:r>
      <w:r w:rsidR="00871509" w:rsidRPr="001A5EAB">
        <w:rPr>
          <w:noProof/>
          <w:lang w:val="lt-LT"/>
        </w:rPr>
        <w:t xml:space="preserve"> išdėstyta tvarka</w:t>
      </w:r>
      <w:r w:rsidR="00595B66" w:rsidRPr="001A5EAB">
        <w:rPr>
          <w:noProof/>
          <w:lang w:val="lt-LT"/>
        </w:rPr>
        <w:t>.</w:t>
      </w:r>
    </w:p>
    <w:p w14:paraId="07FF4234" w14:textId="2BD72E6C" w:rsidR="00595B66" w:rsidRPr="001A5EAB" w:rsidRDefault="00871509" w:rsidP="00595B66">
      <w:pPr>
        <w:pStyle w:val="BodyText"/>
        <w:rPr>
          <w:noProof/>
          <w:szCs w:val="20"/>
          <w:lang w:val="lt-LT" w:bidi="ar-SA"/>
        </w:rPr>
      </w:pPr>
      <w:r w:rsidRPr="001A5EAB">
        <w:rPr>
          <w:noProof/>
          <w:lang w:val="lt-LT"/>
        </w:rPr>
        <w:t>Oficialaus pasiūlymo pirmumo kodo gavimas nereiškia teisėto nurodymo dalyvauti Pasiūlyme</w:t>
      </w:r>
      <w:r w:rsidR="00595B66" w:rsidRPr="001A5EAB">
        <w:rPr>
          <w:noProof/>
          <w:lang w:val="lt-LT"/>
        </w:rPr>
        <w:t xml:space="preserve">. </w:t>
      </w:r>
      <w:r w:rsidR="00141433">
        <w:rPr>
          <w:noProof/>
          <w:lang w:val="lt-LT"/>
        </w:rPr>
        <w:t xml:space="preserve">Obligacijų </w:t>
      </w:r>
      <w:r w:rsidR="007F3B0C">
        <w:rPr>
          <w:noProof/>
          <w:lang w:val="lt-LT"/>
        </w:rPr>
        <w:t>savinink</w:t>
      </w:r>
      <w:r w:rsidRPr="001A5EAB">
        <w:rPr>
          <w:noProof/>
          <w:lang w:val="lt-LT"/>
        </w:rPr>
        <w:t>as privalo pateikti teisėtą Pasiūlymo nurodymą, kuriame būtų nurodytas atitinkamas Oficialaus pasiūlymo pirmumo kodas</w:t>
      </w:r>
      <w:r w:rsidR="00595B66" w:rsidRPr="001A5EAB">
        <w:rPr>
          <w:noProof/>
          <w:lang w:val="lt-LT"/>
        </w:rPr>
        <w:t>.</w:t>
      </w:r>
    </w:p>
    <w:p w14:paraId="0ED89ED3" w14:textId="7EA158DB" w:rsidR="00B81D27" w:rsidRPr="001A5EAB" w:rsidRDefault="00160DB0" w:rsidP="00B81D27">
      <w:pPr>
        <w:keepNext/>
        <w:outlineLvl w:val="0"/>
        <w:rPr>
          <w:rFonts w:cs="Times"/>
          <w:b/>
          <w:bCs/>
          <w:noProof/>
          <w:lang w:val="lt-LT" w:bidi="ar-AE"/>
        </w:rPr>
      </w:pPr>
      <w:r w:rsidRPr="001A5EAB">
        <w:rPr>
          <w:rFonts w:cs="Times"/>
          <w:b/>
          <w:bCs/>
          <w:noProof/>
          <w:lang w:val="lt-LT" w:bidi="ar-AE"/>
        </w:rPr>
        <w:t>Proporcingas Pasiūlymo ir Didžiausios priimtinos sumos paskirstymas</w:t>
      </w:r>
    </w:p>
    <w:p w14:paraId="056C2C44" w14:textId="2450EBCA" w:rsidR="0054590A" w:rsidRPr="001A5EAB" w:rsidRDefault="00442AA3" w:rsidP="00595B66">
      <w:pPr>
        <w:pStyle w:val="BodyText"/>
        <w:rPr>
          <w:noProof/>
          <w:lang w:val="lt-LT"/>
        </w:rPr>
      </w:pPr>
      <w:r>
        <w:rPr>
          <w:bCs/>
          <w:noProof/>
          <w:lang w:val="lt-LT"/>
        </w:rPr>
        <w:t>O</w:t>
      </w:r>
      <w:r w:rsidR="007233D8">
        <w:rPr>
          <w:bCs/>
          <w:noProof/>
          <w:lang w:val="lt-LT"/>
        </w:rPr>
        <w:t>bligacijų</w:t>
      </w:r>
      <w:r w:rsidR="00160DB0" w:rsidRPr="001A5EAB">
        <w:rPr>
          <w:bCs/>
          <w:noProof/>
          <w:lang w:val="lt-LT"/>
        </w:rPr>
        <w:t xml:space="preserve"> </w:t>
      </w:r>
      <w:r>
        <w:rPr>
          <w:bCs/>
          <w:noProof/>
          <w:lang w:val="lt-LT"/>
        </w:rPr>
        <w:t>kiekis</w:t>
      </w:r>
      <w:r w:rsidR="00160DB0" w:rsidRPr="001A5EAB">
        <w:rPr>
          <w:bCs/>
          <w:noProof/>
          <w:lang w:val="lt-LT"/>
        </w:rPr>
        <w:t xml:space="preserve">, </w:t>
      </w:r>
      <w:r>
        <w:rPr>
          <w:bCs/>
          <w:noProof/>
          <w:lang w:val="lt-LT"/>
        </w:rPr>
        <w:t>kurias</w:t>
      </w:r>
      <w:r w:rsidR="00160DB0" w:rsidRPr="001A5EAB">
        <w:rPr>
          <w:bCs/>
          <w:noProof/>
          <w:lang w:val="lt-LT"/>
        </w:rPr>
        <w:t xml:space="preserve"> Emitentas gali </w:t>
      </w:r>
      <w:r>
        <w:rPr>
          <w:bCs/>
          <w:noProof/>
          <w:lang w:val="lt-LT"/>
        </w:rPr>
        <w:t>priimti</w:t>
      </w:r>
      <w:r w:rsidRPr="001A5EAB">
        <w:rPr>
          <w:bCs/>
          <w:noProof/>
          <w:lang w:val="lt-LT"/>
        </w:rPr>
        <w:t xml:space="preserve"> </w:t>
      </w:r>
      <w:r>
        <w:rPr>
          <w:bCs/>
          <w:noProof/>
          <w:lang w:val="lt-LT"/>
        </w:rPr>
        <w:t>išpirkimui</w:t>
      </w:r>
      <w:r w:rsidRPr="001A5EAB">
        <w:rPr>
          <w:bCs/>
          <w:noProof/>
          <w:lang w:val="lt-LT"/>
        </w:rPr>
        <w:t xml:space="preserve"> </w:t>
      </w:r>
      <w:r w:rsidR="00160DB0" w:rsidRPr="001A5EAB">
        <w:rPr>
          <w:bCs/>
          <w:noProof/>
          <w:lang w:val="lt-LT"/>
        </w:rPr>
        <w:t xml:space="preserve">pagal Pasiūlymo sąlygas, priklauso nuo Didžiausios priimtinos sumos, o </w:t>
      </w:r>
      <w:r w:rsidR="007233D8">
        <w:rPr>
          <w:bCs/>
          <w:noProof/>
          <w:lang w:val="lt-LT"/>
        </w:rPr>
        <w:t>Obligacijų</w:t>
      </w:r>
      <w:r w:rsidR="00160DB0" w:rsidRPr="001A5EAB">
        <w:rPr>
          <w:bCs/>
          <w:noProof/>
          <w:lang w:val="lt-LT"/>
        </w:rPr>
        <w:t xml:space="preserve"> siūlymai gali būti proporcingai paskirstomi išimtine ir absoliučia Emitento nuožiūra</w:t>
      </w:r>
      <w:r w:rsidR="00B81D27" w:rsidRPr="001A5EAB">
        <w:rPr>
          <w:bCs/>
          <w:noProof/>
          <w:lang w:val="lt-LT"/>
        </w:rPr>
        <w:t xml:space="preserve">. </w:t>
      </w:r>
      <w:r w:rsidR="00160DB0" w:rsidRPr="001A5EAB">
        <w:rPr>
          <w:bCs/>
          <w:noProof/>
          <w:lang w:val="lt-LT"/>
        </w:rPr>
        <w:t xml:space="preserve">Be to, suėjus </w:t>
      </w:r>
      <w:r w:rsidR="001E01D3" w:rsidRPr="001A5EAB">
        <w:rPr>
          <w:bCs/>
          <w:noProof/>
          <w:lang w:val="lt-LT"/>
        </w:rPr>
        <w:t>Galiojimo</w:t>
      </w:r>
      <w:r w:rsidR="00160DB0" w:rsidRPr="001A5EAB">
        <w:rPr>
          <w:bCs/>
          <w:noProof/>
          <w:lang w:val="lt-LT"/>
        </w:rPr>
        <w:t xml:space="preserve"> terminui, E</w:t>
      </w:r>
      <w:r w:rsidR="00832F48" w:rsidRPr="001A5EAB">
        <w:rPr>
          <w:bCs/>
          <w:noProof/>
          <w:lang w:val="lt-LT"/>
        </w:rPr>
        <w:t xml:space="preserve">mitentas ketina </w:t>
      </w:r>
      <w:r w:rsidR="00BC533E" w:rsidRPr="001A5EAB">
        <w:rPr>
          <w:bCs/>
          <w:noProof/>
          <w:lang w:val="lt-LT"/>
        </w:rPr>
        <w:t>tinkamai</w:t>
      </w:r>
      <w:r w:rsidR="00832F48" w:rsidRPr="001A5EAB">
        <w:rPr>
          <w:bCs/>
          <w:noProof/>
          <w:lang w:val="lt-LT"/>
        </w:rPr>
        <w:t xml:space="preserve"> pateikt</w:t>
      </w:r>
      <w:r w:rsidR="007233D8">
        <w:rPr>
          <w:bCs/>
          <w:noProof/>
          <w:lang w:val="lt-LT"/>
        </w:rPr>
        <w:t>a</w:t>
      </w:r>
      <w:r w:rsidR="00832F48" w:rsidRPr="001A5EAB">
        <w:rPr>
          <w:bCs/>
          <w:noProof/>
          <w:lang w:val="lt-LT"/>
        </w:rPr>
        <w:t xml:space="preserve">s </w:t>
      </w:r>
      <w:r w:rsidR="007233D8">
        <w:rPr>
          <w:bCs/>
          <w:noProof/>
          <w:lang w:val="lt-LT"/>
        </w:rPr>
        <w:t>Obligacijas</w:t>
      </w:r>
      <w:r w:rsidR="00832F48" w:rsidRPr="001A5EAB">
        <w:rPr>
          <w:bCs/>
          <w:noProof/>
          <w:lang w:val="lt-LT"/>
        </w:rPr>
        <w:t>, kuri</w:t>
      </w:r>
      <w:r w:rsidR="007233D8">
        <w:rPr>
          <w:bCs/>
          <w:noProof/>
          <w:lang w:val="lt-LT"/>
        </w:rPr>
        <w:t>o</w:t>
      </w:r>
      <w:r w:rsidR="00832F48" w:rsidRPr="001A5EAB">
        <w:rPr>
          <w:bCs/>
          <w:noProof/>
          <w:lang w:val="lt-LT"/>
        </w:rPr>
        <w:t xml:space="preserve">ms yra suteiktas Oficialaus pasiūlymo pirmumas (toliau – </w:t>
      </w:r>
      <w:r w:rsidR="00832F48" w:rsidRPr="001A5EAB">
        <w:rPr>
          <w:b/>
          <w:bCs/>
          <w:noProof/>
          <w:lang w:val="lt-LT"/>
        </w:rPr>
        <w:t>Pirmenybin</w:t>
      </w:r>
      <w:r w:rsidR="007233D8">
        <w:rPr>
          <w:b/>
          <w:bCs/>
          <w:noProof/>
          <w:lang w:val="lt-LT"/>
        </w:rPr>
        <w:t>ės</w:t>
      </w:r>
      <w:r w:rsidR="00832F48" w:rsidRPr="001A5EAB">
        <w:rPr>
          <w:b/>
          <w:bCs/>
          <w:noProof/>
          <w:lang w:val="lt-LT"/>
        </w:rPr>
        <w:t xml:space="preserve"> </w:t>
      </w:r>
      <w:r w:rsidR="007233D8">
        <w:rPr>
          <w:b/>
          <w:bCs/>
          <w:noProof/>
          <w:lang w:val="lt-LT"/>
        </w:rPr>
        <w:t>obligacijos</w:t>
      </w:r>
      <w:r w:rsidR="00832F48" w:rsidRPr="001A5EAB">
        <w:rPr>
          <w:bCs/>
          <w:noProof/>
          <w:lang w:val="lt-LT"/>
        </w:rPr>
        <w:t>), priimti pirm</w:t>
      </w:r>
      <w:r w:rsidR="00B5331C" w:rsidRPr="001A5EAB">
        <w:rPr>
          <w:bCs/>
          <w:noProof/>
          <w:lang w:val="lt-LT"/>
        </w:rPr>
        <w:t xml:space="preserve">a </w:t>
      </w:r>
      <w:r w:rsidR="007233D8">
        <w:rPr>
          <w:bCs/>
          <w:noProof/>
          <w:lang w:val="lt-LT"/>
        </w:rPr>
        <w:t>Obligacijų, kurios</w:t>
      </w:r>
      <w:r w:rsidR="00832F48" w:rsidRPr="001A5EAB">
        <w:rPr>
          <w:bCs/>
          <w:noProof/>
          <w:lang w:val="lt-LT"/>
        </w:rPr>
        <w:t xml:space="preserve"> buvo pateikt</w:t>
      </w:r>
      <w:r w:rsidR="007233D8">
        <w:rPr>
          <w:bCs/>
          <w:noProof/>
          <w:lang w:val="lt-LT"/>
        </w:rPr>
        <w:t>os</w:t>
      </w:r>
      <w:r w:rsidR="00832F48" w:rsidRPr="001A5EAB">
        <w:rPr>
          <w:bCs/>
          <w:noProof/>
          <w:lang w:val="lt-LT"/>
        </w:rPr>
        <w:t xml:space="preserve"> </w:t>
      </w:r>
      <w:r w:rsidR="00BC533E" w:rsidRPr="001A5EAB">
        <w:rPr>
          <w:bCs/>
          <w:noProof/>
          <w:lang w:val="lt-LT"/>
        </w:rPr>
        <w:t>tinkamai</w:t>
      </w:r>
      <w:r w:rsidR="007233D8">
        <w:rPr>
          <w:bCs/>
          <w:noProof/>
          <w:lang w:val="lt-LT"/>
        </w:rPr>
        <w:t>, bet kurio</w:t>
      </w:r>
      <w:r w:rsidR="00832F48" w:rsidRPr="001A5EAB">
        <w:rPr>
          <w:bCs/>
          <w:noProof/>
          <w:lang w:val="lt-LT"/>
        </w:rPr>
        <w:t xml:space="preserve">ms toks Oficialaus pasiūlymo pirmumas suteiktas nebuvo (toliau </w:t>
      </w:r>
      <w:r w:rsidR="00B5331C" w:rsidRPr="001A5EAB">
        <w:rPr>
          <w:bCs/>
          <w:noProof/>
          <w:lang w:val="lt-LT"/>
        </w:rPr>
        <w:t>–</w:t>
      </w:r>
      <w:r w:rsidR="00832F48" w:rsidRPr="001A5EAB">
        <w:rPr>
          <w:bCs/>
          <w:noProof/>
          <w:lang w:val="lt-LT"/>
        </w:rPr>
        <w:t xml:space="preserve"> </w:t>
      </w:r>
      <w:r w:rsidR="00B5331C" w:rsidRPr="001A5EAB">
        <w:rPr>
          <w:b/>
          <w:bCs/>
          <w:noProof/>
          <w:lang w:val="lt-LT"/>
        </w:rPr>
        <w:t>Nepirmenybin</w:t>
      </w:r>
      <w:r w:rsidR="007233D8">
        <w:rPr>
          <w:b/>
          <w:bCs/>
          <w:noProof/>
          <w:lang w:val="lt-LT"/>
        </w:rPr>
        <w:t>ės</w:t>
      </w:r>
      <w:r w:rsidR="00B5331C" w:rsidRPr="001A5EAB">
        <w:rPr>
          <w:b/>
          <w:bCs/>
          <w:noProof/>
          <w:lang w:val="lt-LT"/>
        </w:rPr>
        <w:t xml:space="preserve"> </w:t>
      </w:r>
      <w:r w:rsidR="007233D8">
        <w:rPr>
          <w:b/>
          <w:bCs/>
          <w:noProof/>
          <w:lang w:val="lt-LT"/>
        </w:rPr>
        <w:t>obligacijos</w:t>
      </w:r>
      <w:r w:rsidR="00B5331C" w:rsidRPr="001A5EAB">
        <w:rPr>
          <w:bCs/>
          <w:noProof/>
          <w:lang w:val="lt-LT"/>
        </w:rPr>
        <w:t>)</w:t>
      </w:r>
      <w:r w:rsidR="00B5331C" w:rsidRPr="001A5EAB">
        <w:rPr>
          <w:noProof/>
          <w:lang w:val="lt-LT"/>
        </w:rPr>
        <w:t xml:space="preserve">. Suėjus </w:t>
      </w:r>
      <w:r w:rsidR="001E01D3" w:rsidRPr="001A5EAB">
        <w:rPr>
          <w:noProof/>
          <w:lang w:val="lt-LT"/>
        </w:rPr>
        <w:t>Galiojimo</w:t>
      </w:r>
      <w:r w:rsidR="00B5331C" w:rsidRPr="001A5EAB">
        <w:rPr>
          <w:noProof/>
          <w:lang w:val="lt-LT"/>
        </w:rPr>
        <w:t xml:space="preserve"> terminui, Emitentas jokių Nepirmenybinių </w:t>
      </w:r>
      <w:r w:rsidR="007233D8">
        <w:rPr>
          <w:noProof/>
          <w:lang w:val="lt-LT"/>
        </w:rPr>
        <w:t>obligacijų</w:t>
      </w:r>
      <w:r w:rsidR="00B5331C" w:rsidRPr="001A5EAB">
        <w:rPr>
          <w:noProof/>
          <w:lang w:val="lt-LT"/>
        </w:rPr>
        <w:t xml:space="preserve"> nepriima, nebent tuo metu jis yra priėmęs vis</w:t>
      </w:r>
      <w:r w:rsidR="007233D8">
        <w:rPr>
          <w:noProof/>
          <w:lang w:val="lt-LT"/>
        </w:rPr>
        <w:t>a</w:t>
      </w:r>
      <w:r w:rsidR="00B5331C" w:rsidRPr="001A5EAB">
        <w:rPr>
          <w:noProof/>
          <w:lang w:val="lt-LT"/>
        </w:rPr>
        <w:t>s Pirmenybin</w:t>
      </w:r>
      <w:r w:rsidR="007233D8">
        <w:rPr>
          <w:noProof/>
          <w:lang w:val="lt-LT"/>
        </w:rPr>
        <w:t>e</w:t>
      </w:r>
      <w:r w:rsidR="00B5331C" w:rsidRPr="001A5EAB">
        <w:rPr>
          <w:noProof/>
          <w:lang w:val="lt-LT"/>
        </w:rPr>
        <w:t xml:space="preserve">s </w:t>
      </w:r>
      <w:r w:rsidR="007233D8">
        <w:rPr>
          <w:noProof/>
          <w:lang w:val="lt-LT"/>
        </w:rPr>
        <w:t>obligacijas</w:t>
      </w:r>
      <w:r w:rsidR="00B81D27" w:rsidRPr="001A5EAB">
        <w:rPr>
          <w:noProof/>
          <w:lang w:val="lt-LT"/>
        </w:rPr>
        <w:t xml:space="preserve">. </w:t>
      </w:r>
      <w:r w:rsidR="007233D8">
        <w:rPr>
          <w:noProof/>
          <w:lang w:val="lt-LT"/>
        </w:rPr>
        <w:t>Jeigu bet kokios Pirmenybinės</w:t>
      </w:r>
      <w:r w:rsidR="00B5331C" w:rsidRPr="001A5EAB">
        <w:rPr>
          <w:noProof/>
          <w:lang w:val="lt-LT"/>
        </w:rPr>
        <w:t xml:space="preserve"> </w:t>
      </w:r>
      <w:r w:rsidR="007233D8">
        <w:rPr>
          <w:noProof/>
          <w:lang w:val="lt-LT"/>
        </w:rPr>
        <w:t>obligacijos</w:t>
      </w:r>
      <w:r w:rsidR="00B5331C" w:rsidRPr="001A5EAB">
        <w:rPr>
          <w:noProof/>
          <w:lang w:val="lt-LT"/>
        </w:rPr>
        <w:t xml:space="preserve"> yra </w:t>
      </w:r>
      <w:r w:rsidR="00BC533E" w:rsidRPr="001A5EAB">
        <w:rPr>
          <w:noProof/>
          <w:lang w:val="lt-LT"/>
        </w:rPr>
        <w:t>tinkamai</w:t>
      </w:r>
      <w:r w:rsidR="007233D8">
        <w:rPr>
          <w:noProof/>
          <w:lang w:val="lt-LT"/>
        </w:rPr>
        <w:t xml:space="preserve"> pateiktos ir priimtos</w:t>
      </w:r>
      <w:r w:rsidR="00B5331C" w:rsidRPr="001A5EAB">
        <w:rPr>
          <w:noProof/>
          <w:lang w:val="lt-LT"/>
        </w:rPr>
        <w:t xml:space="preserve"> </w:t>
      </w:r>
      <w:r>
        <w:rPr>
          <w:noProof/>
          <w:lang w:val="lt-LT"/>
        </w:rPr>
        <w:t>išpirkimui</w:t>
      </w:r>
      <w:r w:rsidRPr="001A5EAB">
        <w:rPr>
          <w:noProof/>
          <w:lang w:val="lt-LT"/>
        </w:rPr>
        <w:t xml:space="preserve"> </w:t>
      </w:r>
      <w:r w:rsidR="00B5331C" w:rsidRPr="001A5EAB">
        <w:rPr>
          <w:noProof/>
          <w:lang w:val="lt-LT"/>
        </w:rPr>
        <w:t>pagal Pasiūlymą, Didžiausios priimtinos sumos dalis, skirta</w:t>
      </w:r>
      <w:r w:rsidR="00E20E01" w:rsidRPr="001A5EAB">
        <w:rPr>
          <w:noProof/>
          <w:lang w:val="lt-LT"/>
        </w:rPr>
        <w:t xml:space="preserve"> </w:t>
      </w:r>
      <w:r w:rsidR="008E5720">
        <w:rPr>
          <w:noProof/>
          <w:lang w:val="lt-LT"/>
        </w:rPr>
        <w:t>iš</w:t>
      </w:r>
      <w:r w:rsidR="00E20E01" w:rsidRPr="001A5EAB">
        <w:rPr>
          <w:noProof/>
          <w:lang w:val="lt-LT"/>
        </w:rPr>
        <w:t>pirkti</w:t>
      </w:r>
      <w:r w:rsidR="00B5331C" w:rsidRPr="001A5EAB">
        <w:rPr>
          <w:noProof/>
          <w:lang w:val="lt-LT"/>
        </w:rPr>
        <w:t xml:space="preserve"> Nepirmenybin</w:t>
      </w:r>
      <w:r w:rsidR="007233D8">
        <w:rPr>
          <w:noProof/>
          <w:lang w:val="lt-LT"/>
        </w:rPr>
        <w:t>es</w:t>
      </w:r>
      <w:r w:rsidR="00B5331C" w:rsidRPr="001A5EAB">
        <w:rPr>
          <w:noProof/>
          <w:lang w:val="lt-LT"/>
        </w:rPr>
        <w:t xml:space="preserve"> </w:t>
      </w:r>
      <w:r w:rsidR="007233D8">
        <w:rPr>
          <w:noProof/>
          <w:lang w:val="lt-LT"/>
        </w:rPr>
        <w:t>obligacijas</w:t>
      </w:r>
      <w:r w:rsidR="00B5331C" w:rsidRPr="001A5EAB">
        <w:rPr>
          <w:noProof/>
          <w:lang w:val="lt-LT"/>
        </w:rPr>
        <w:t xml:space="preserve">, gali būti proporcingai paskirstoma, ženkliai sumažinama arba </w:t>
      </w:r>
      <w:r w:rsidR="00E554C5" w:rsidRPr="001A5EAB">
        <w:rPr>
          <w:noProof/>
          <w:lang w:val="lt-LT"/>
        </w:rPr>
        <w:t>iš viso</w:t>
      </w:r>
      <w:r w:rsidR="00B5331C" w:rsidRPr="001A5EAB">
        <w:rPr>
          <w:noProof/>
          <w:lang w:val="lt-LT"/>
        </w:rPr>
        <w:t xml:space="preserve"> anuliuojama</w:t>
      </w:r>
      <w:r w:rsidR="00B81D27" w:rsidRPr="001A5EAB">
        <w:rPr>
          <w:noProof/>
          <w:lang w:val="lt-LT"/>
        </w:rPr>
        <w:t>.</w:t>
      </w:r>
    </w:p>
    <w:p w14:paraId="62A45C1D" w14:textId="5A9EB606" w:rsidR="00B81D27" w:rsidRPr="001A5EAB" w:rsidRDefault="00B5331C" w:rsidP="00595B66">
      <w:pPr>
        <w:pStyle w:val="BodyText"/>
        <w:rPr>
          <w:noProof/>
          <w:lang w:val="lt-LT"/>
        </w:rPr>
      </w:pPr>
      <w:r w:rsidRPr="001A5EAB">
        <w:rPr>
          <w:noProof/>
          <w:lang w:val="lt-LT"/>
        </w:rPr>
        <w:t xml:space="preserve">Gavus Pasiūlymo nurodymus </w:t>
      </w:r>
      <w:r w:rsidR="00442AA3">
        <w:rPr>
          <w:noProof/>
          <w:lang w:val="lt-LT"/>
        </w:rPr>
        <w:t>dėl pagrindinės</w:t>
      </w:r>
      <w:r w:rsidRPr="001A5EAB">
        <w:rPr>
          <w:noProof/>
          <w:lang w:val="lt-LT"/>
        </w:rPr>
        <w:t xml:space="preserve"> </w:t>
      </w:r>
      <w:r w:rsidR="007852D4">
        <w:rPr>
          <w:noProof/>
          <w:lang w:val="lt-LT"/>
        </w:rPr>
        <w:t>Obligacijų</w:t>
      </w:r>
      <w:r w:rsidRPr="001A5EAB">
        <w:rPr>
          <w:noProof/>
          <w:lang w:val="lt-LT"/>
        </w:rPr>
        <w:t xml:space="preserve"> sum</w:t>
      </w:r>
      <w:r w:rsidR="00442AA3">
        <w:rPr>
          <w:noProof/>
          <w:lang w:val="lt-LT"/>
        </w:rPr>
        <w:t>os</w:t>
      </w:r>
      <w:r w:rsidRPr="001A5EAB">
        <w:rPr>
          <w:noProof/>
          <w:lang w:val="lt-LT"/>
        </w:rPr>
        <w:t xml:space="preserve">, kuri yra didesnė nei Didžiausia priimtina suma (atsižvelgiant į Oficialaus pasiūlymo memorandumo sąlygas), </w:t>
      </w:r>
      <w:r w:rsidR="00141433">
        <w:rPr>
          <w:noProof/>
          <w:lang w:val="lt-LT"/>
        </w:rPr>
        <w:t xml:space="preserve">Obligacijų </w:t>
      </w:r>
      <w:r w:rsidR="007F3B0C">
        <w:rPr>
          <w:noProof/>
          <w:lang w:val="lt-LT"/>
        </w:rPr>
        <w:t>savinink</w:t>
      </w:r>
      <w:r w:rsidRPr="001A5EAB">
        <w:rPr>
          <w:noProof/>
          <w:lang w:val="lt-LT"/>
        </w:rPr>
        <w:t>o pateikt</w:t>
      </w:r>
      <w:r w:rsidR="007852D4">
        <w:rPr>
          <w:noProof/>
          <w:lang w:val="lt-LT"/>
        </w:rPr>
        <w:t>os</w:t>
      </w:r>
      <w:r w:rsidRPr="001A5EAB">
        <w:rPr>
          <w:noProof/>
          <w:lang w:val="lt-LT"/>
        </w:rPr>
        <w:t xml:space="preserve"> </w:t>
      </w:r>
      <w:r w:rsidR="007852D4">
        <w:rPr>
          <w:noProof/>
          <w:lang w:val="lt-LT"/>
        </w:rPr>
        <w:t>Obligacijos</w:t>
      </w:r>
      <w:r w:rsidRPr="001A5EAB">
        <w:rPr>
          <w:noProof/>
          <w:lang w:val="lt-LT"/>
        </w:rPr>
        <w:t xml:space="preserve"> gali būti </w:t>
      </w:r>
      <w:r w:rsidR="008E5720">
        <w:rPr>
          <w:noProof/>
          <w:lang w:val="lt-LT"/>
        </w:rPr>
        <w:lastRenderedPageBreak/>
        <w:t xml:space="preserve">išperkamos </w:t>
      </w:r>
      <w:r w:rsidRPr="001A5EAB">
        <w:rPr>
          <w:noProof/>
          <w:lang w:val="lt-LT"/>
        </w:rPr>
        <w:t xml:space="preserve">proporcingai. Daugiau informacijos </w:t>
      </w:r>
      <w:r w:rsidR="009E0EBA" w:rsidRPr="001A5EAB">
        <w:rPr>
          <w:noProof/>
          <w:lang w:val="lt-LT"/>
        </w:rPr>
        <w:t>pateikiama</w:t>
      </w:r>
      <w:r w:rsidRPr="001A5EAB">
        <w:rPr>
          <w:noProof/>
          <w:lang w:val="lt-LT"/>
        </w:rPr>
        <w:t xml:space="preserve"> Oficialaus pasiūlymo memorandumo </w:t>
      </w:r>
      <w:r w:rsidR="00D90583" w:rsidRPr="001A5EAB">
        <w:rPr>
          <w:noProof/>
          <w:lang w:val="lt-LT"/>
        </w:rPr>
        <w:t xml:space="preserve">skyriuje </w:t>
      </w:r>
      <w:r w:rsidR="00D90583" w:rsidRPr="001A5EAB">
        <w:rPr>
          <w:i/>
          <w:noProof/>
          <w:lang w:val="lt-LT"/>
        </w:rPr>
        <w:t>„Pasiūlymo sąlygos – Proporcingas paskirstymas“</w:t>
      </w:r>
      <w:r w:rsidR="00B81D27" w:rsidRPr="001A5EAB">
        <w:rPr>
          <w:noProof/>
          <w:lang w:val="lt-LT"/>
        </w:rPr>
        <w:t>.</w:t>
      </w:r>
    </w:p>
    <w:p w14:paraId="199DA882" w14:textId="39560349" w:rsidR="001B36FF" w:rsidRPr="001A5EAB" w:rsidRDefault="00D90583">
      <w:pPr>
        <w:pStyle w:val="Title7"/>
        <w:rPr>
          <w:b/>
          <w:bCs/>
          <w:i w:val="0"/>
          <w:iCs/>
          <w:noProof/>
          <w:lang w:val="lt-LT"/>
        </w:rPr>
      </w:pPr>
      <w:r w:rsidRPr="001A5EAB">
        <w:rPr>
          <w:b/>
          <w:bCs/>
          <w:i w:val="0"/>
          <w:iCs/>
          <w:noProof/>
          <w:lang w:val="lt-LT"/>
        </w:rPr>
        <w:t xml:space="preserve">Priskaičiuotų palūkanų </w:t>
      </w:r>
      <w:r w:rsidR="00E20E01" w:rsidRPr="001A5EAB">
        <w:rPr>
          <w:b/>
          <w:bCs/>
          <w:i w:val="0"/>
          <w:iCs/>
          <w:noProof/>
          <w:lang w:val="lt-LT"/>
        </w:rPr>
        <w:t>suma</w:t>
      </w:r>
    </w:p>
    <w:p w14:paraId="505633A1" w14:textId="58CB6021" w:rsidR="001B36FF" w:rsidRPr="001A5EAB" w:rsidRDefault="00515E89">
      <w:pPr>
        <w:pStyle w:val="BodyText"/>
        <w:rPr>
          <w:noProof/>
          <w:lang w:val="lt-LT"/>
        </w:rPr>
      </w:pPr>
      <w:r w:rsidRPr="001A5EAB">
        <w:rPr>
          <w:noProof/>
          <w:lang w:val="lt-LT"/>
        </w:rPr>
        <w:t xml:space="preserve">Emitentas sumoka sumą, lygią </w:t>
      </w:r>
      <w:r w:rsidR="002F5073">
        <w:rPr>
          <w:noProof/>
          <w:lang w:val="lt-LT"/>
        </w:rPr>
        <w:t xml:space="preserve">visoms </w:t>
      </w:r>
      <w:r w:rsidR="002F5073" w:rsidRPr="001A5EAB">
        <w:rPr>
          <w:noProof/>
          <w:lang w:val="lt-LT"/>
        </w:rPr>
        <w:t xml:space="preserve">priskaičiuotoms ir nesumokėtoms palūkanoms </w:t>
      </w:r>
      <w:r w:rsidRPr="001A5EAB">
        <w:rPr>
          <w:noProof/>
          <w:lang w:val="lt-LT"/>
        </w:rPr>
        <w:t>už vis</w:t>
      </w:r>
      <w:r w:rsidR="00934A4A">
        <w:rPr>
          <w:noProof/>
          <w:lang w:val="lt-LT"/>
        </w:rPr>
        <w:t>a</w:t>
      </w:r>
      <w:r w:rsidRPr="001A5EAB">
        <w:rPr>
          <w:noProof/>
          <w:lang w:val="lt-LT"/>
        </w:rPr>
        <w:t xml:space="preserve">s </w:t>
      </w:r>
      <w:r w:rsidR="00934A4A">
        <w:rPr>
          <w:noProof/>
          <w:lang w:val="lt-LT"/>
        </w:rPr>
        <w:t>Obligacijas</w:t>
      </w:r>
      <w:r w:rsidRPr="001A5EAB">
        <w:rPr>
          <w:noProof/>
          <w:lang w:val="lt-LT"/>
        </w:rPr>
        <w:t>, kuri</w:t>
      </w:r>
      <w:r w:rsidR="00934A4A">
        <w:rPr>
          <w:noProof/>
          <w:lang w:val="lt-LT"/>
        </w:rPr>
        <w:t>os</w:t>
      </w:r>
      <w:r w:rsidRPr="001A5EAB">
        <w:rPr>
          <w:noProof/>
          <w:lang w:val="lt-LT"/>
        </w:rPr>
        <w:t xml:space="preserve"> buvo tinkamai pateikt</w:t>
      </w:r>
      <w:r w:rsidR="00934A4A">
        <w:rPr>
          <w:noProof/>
          <w:lang w:val="lt-LT"/>
        </w:rPr>
        <w:t>os ir kuria</w:t>
      </w:r>
      <w:r w:rsidRPr="001A5EAB">
        <w:rPr>
          <w:noProof/>
          <w:lang w:val="lt-LT"/>
        </w:rPr>
        <w:t xml:space="preserve">s Emitentas sutiko </w:t>
      </w:r>
      <w:r w:rsidR="008E5720">
        <w:rPr>
          <w:noProof/>
          <w:lang w:val="lt-LT"/>
        </w:rPr>
        <w:t>iš</w:t>
      </w:r>
      <w:r w:rsidR="00E20E01" w:rsidRPr="001A5EAB">
        <w:rPr>
          <w:noProof/>
          <w:lang w:val="lt-LT"/>
        </w:rPr>
        <w:t>pirkti</w:t>
      </w:r>
      <w:r w:rsidRPr="001A5EAB">
        <w:rPr>
          <w:noProof/>
          <w:lang w:val="lt-LT"/>
        </w:rPr>
        <w:t xml:space="preserve"> pagal Pasiūlymo sąlygas, nuo paskutinės </w:t>
      </w:r>
      <w:r w:rsidR="00E80AF6" w:rsidRPr="001A5EAB">
        <w:rPr>
          <w:noProof/>
          <w:lang w:val="lt-LT"/>
        </w:rPr>
        <w:t>palūkanų mokėjimo dienos</w:t>
      </w:r>
      <w:r w:rsidR="00E80AF6">
        <w:rPr>
          <w:noProof/>
          <w:lang w:val="lt-LT"/>
        </w:rPr>
        <w:t xml:space="preserve">, buvusios </w:t>
      </w:r>
      <w:r w:rsidRPr="001A5EAB">
        <w:rPr>
          <w:noProof/>
          <w:lang w:val="lt-LT"/>
        </w:rPr>
        <w:t>iki Atsiskaitymo pagal oficialų pasiūlymą dienos (imtinai) iki Atsiskaitymo pagal oficialų pasiūlymą dienos (šios dienos neskaitant)</w:t>
      </w:r>
      <w:r w:rsidR="00060C0D" w:rsidRPr="001A5EAB">
        <w:rPr>
          <w:noProof/>
          <w:lang w:val="lt-LT"/>
        </w:rPr>
        <w:t>.</w:t>
      </w:r>
    </w:p>
    <w:p w14:paraId="41BC14CD" w14:textId="0F4844E2" w:rsidR="001B36FF" w:rsidRPr="001A5EAB" w:rsidRDefault="00515E89">
      <w:pPr>
        <w:pStyle w:val="Title7"/>
        <w:rPr>
          <w:b/>
          <w:bCs/>
          <w:i w:val="0"/>
          <w:iCs/>
          <w:noProof/>
          <w:lang w:val="lt-LT"/>
        </w:rPr>
      </w:pPr>
      <w:r w:rsidRPr="001A5EAB">
        <w:rPr>
          <w:b/>
          <w:bCs/>
          <w:i w:val="0"/>
          <w:iCs/>
          <w:noProof/>
          <w:lang w:val="lt-LT"/>
        </w:rPr>
        <w:t>Oficialaus pasiūlymo laikotarpis</w:t>
      </w:r>
    </w:p>
    <w:p w14:paraId="6776E585" w14:textId="6DFB0E10" w:rsidR="001B36FF" w:rsidRPr="001A5EAB" w:rsidRDefault="001E01D3">
      <w:pPr>
        <w:pStyle w:val="BodyText"/>
        <w:rPr>
          <w:noProof/>
          <w:lang w:val="lt-LT"/>
        </w:rPr>
      </w:pPr>
      <w:r w:rsidRPr="001A5EAB">
        <w:rPr>
          <w:noProof/>
          <w:lang w:val="lt-LT"/>
        </w:rPr>
        <w:t xml:space="preserve">Pasiūlymas įsigalioja </w:t>
      </w:r>
      <w:r w:rsidR="002808CD" w:rsidRPr="001A5EAB">
        <w:rPr>
          <w:noProof/>
          <w:lang w:val="lt-LT"/>
        </w:rPr>
        <w:t xml:space="preserve">2022 </w:t>
      </w:r>
      <w:r w:rsidRPr="001A5EAB">
        <w:rPr>
          <w:noProof/>
          <w:lang w:val="lt-LT"/>
        </w:rPr>
        <w:t xml:space="preserve">m. birželio </w:t>
      </w:r>
      <w:r w:rsidR="0066100C">
        <w:rPr>
          <w:bCs/>
          <w:noProof/>
          <w:lang w:val="lt-LT"/>
        </w:rPr>
        <w:t>27</w:t>
      </w:r>
      <w:r w:rsidR="0066100C" w:rsidRPr="001A5EAB">
        <w:rPr>
          <w:noProof/>
          <w:lang w:val="lt-LT"/>
        </w:rPr>
        <w:t xml:space="preserve"> </w:t>
      </w:r>
      <w:r w:rsidRPr="001A5EAB">
        <w:rPr>
          <w:noProof/>
          <w:lang w:val="lt-LT"/>
        </w:rPr>
        <w:t xml:space="preserve">d. ir baigia galioti </w:t>
      </w:r>
      <w:r w:rsidR="002808CD" w:rsidRPr="001A5EAB">
        <w:rPr>
          <w:noProof/>
          <w:lang w:val="lt-LT"/>
        </w:rPr>
        <w:t xml:space="preserve">2022 </w:t>
      </w:r>
      <w:r w:rsidRPr="001A5EAB">
        <w:rPr>
          <w:noProof/>
          <w:lang w:val="lt-LT"/>
        </w:rPr>
        <w:t xml:space="preserve">m. liepos </w:t>
      </w:r>
      <w:r w:rsidR="00D233A9">
        <w:rPr>
          <w:bCs/>
          <w:noProof/>
          <w:lang w:val="lt-LT"/>
        </w:rPr>
        <w:t>7</w:t>
      </w:r>
      <w:r w:rsidRPr="001A5EAB">
        <w:rPr>
          <w:noProof/>
          <w:lang w:val="lt-LT"/>
        </w:rPr>
        <w:t xml:space="preserve"> d. 17:00 val. (CEST) </w:t>
      </w:r>
      <w:r w:rsidR="00060C0D" w:rsidRPr="001A5EAB">
        <w:rPr>
          <w:noProof/>
          <w:lang w:val="lt-LT"/>
        </w:rPr>
        <w:t>(</w:t>
      </w:r>
      <w:r w:rsidRPr="001A5EAB">
        <w:rPr>
          <w:noProof/>
          <w:lang w:val="lt-LT"/>
        </w:rPr>
        <w:t xml:space="preserve">toliau – </w:t>
      </w:r>
      <w:r w:rsidRPr="001A5EAB">
        <w:rPr>
          <w:b/>
          <w:noProof/>
          <w:lang w:val="lt-LT"/>
        </w:rPr>
        <w:t>Galiojimo terminas</w:t>
      </w:r>
      <w:r w:rsidR="00060C0D" w:rsidRPr="001A5EAB">
        <w:rPr>
          <w:noProof/>
          <w:lang w:val="lt-LT"/>
        </w:rPr>
        <w:t>)</w:t>
      </w:r>
      <w:r w:rsidR="00067409" w:rsidRPr="001A5EAB">
        <w:rPr>
          <w:noProof/>
          <w:lang w:val="lt-LT"/>
        </w:rPr>
        <w:t>, nebent Emitentas jį pratęstų, pateiktų naujai, pakeistų, atšauktų ir (arba) nutrauktų – tokiu atveju apie tai Emitento vardu pranešama per atitinkamą Pranešimų tarnybą (arba tarnybas), Atsiskaitymų sistemą ir „Euronext Dublin“ tinklalapyje</w:t>
      </w:r>
      <w:r w:rsidR="00060C0D" w:rsidRPr="001A5EAB">
        <w:rPr>
          <w:noProof/>
          <w:lang w:val="lt-LT"/>
        </w:rPr>
        <w:t>.</w:t>
      </w:r>
    </w:p>
    <w:p w14:paraId="0593556B" w14:textId="1F37D064" w:rsidR="001B36FF" w:rsidRPr="001A5EAB" w:rsidRDefault="00E20E01">
      <w:pPr>
        <w:pStyle w:val="Title7"/>
        <w:rPr>
          <w:b/>
          <w:bCs/>
          <w:i w:val="0"/>
          <w:iCs/>
          <w:noProof/>
          <w:lang w:val="lt-LT"/>
        </w:rPr>
      </w:pPr>
      <w:r w:rsidRPr="001A5EAB">
        <w:rPr>
          <w:b/>
          <w:bCs/>
          <w:i w:val="0"/>
          <w:iCs/>
          <w:noProof/>
          <w:lang w:val="lt-LT"/>
        </w:rPr>
        <w:t xml:space="preserve">Atlygis </w:t>
      </w:r>
      <w:r w:rsidR="008834F2" w:rsidRPr="001A5EAB">
        <w:rPr>
          <w:b/>
          <w:bCs/>
          <w:i w:val="0"/>
          <w:iCs/>
          <w:noProof/>
          <w:lang w:val="lt-LT"/>
        </w:rPr>
        <w:t xml:space="preserve">už </w:t>
      </w:r>
      <w:r w:rsidR="00E80AF6">
        <w:rPr>
          <w:b/>
          <w:bCs/>
          <w:i w:val="0"/>
          <w:iCs/>
          <w:noProof/>
          <w:lang w:val="lt-LT"/>
        </w:rPr>
        <w:t>iš</w:t>
      </w:r>
      <w:r w:rsidRPr="001A5EAB">
        <w:rPr>
          <w:b/>
          <w:bCs/>
          <w:i w:val="0"/>
          <w:iCs/>
          <w:noProof/>
          <w:lang w:val="lt-LT"/>
        </w:rPr>
        <w:t>pirkt</w:t>
      </w:r>
      <w:r w:rsidR="005D2CEE">
        <w:rPr>
          <w:b/>
          <w:bCs/>
          <w:i w:val="0"/>
          <w:iCs/>
          <w:noProof/>
          <w:lang w:val="lt-LT"/>
        </w:rPr>
        <w:t>a</w:t>
      </w:r>
      <w:r w:rsidRPr="001A5EAB">
        <w:rPr>
          <w:b/>
          <w:bCs/>
          <w:i w:val="0"/>
          <w:iCs/>
          <w:noProof/>
          <w:lang w:val="lt-LT"/>
        </w:rPr>
        <w:t xml:space="preserve">s </w:t>
      </w:r>
      <w:r w:rsidR="005D2CEE">
        <w:rPr>
          <w:b/>
          <w:bCs/>
          <w:i w:val="0"/>
          <w:iCs/>
          <w:noProof/>
          <w:lang w:val="lt-LT"/>
        </w:rPr>
        <w:t>Obligacijas</w:t>
      </w:r>
    </w:p>
    <w:p w14:paraId="5766F908" w14:textId="0AB899CA" w:rsidR="00595B66" w:rsidRPr="001A5EAB" w:rsidRDefault="00E20E01" w:rsidP="00595B66">
      <w:pPr>
        <w:pStyle w:val="BodyText"/>
        <w:rPr>
          <w:noProof/>
          <w:lang w:val="lt-LT"/>
        </w:rPr>
      </w:pPr>
      <w:r w:rsidRPr="001A5EAB">
        <w:rPr>
          <w:noProof/>
          <w:lang w:val="lt-LT"/>
        </w:rPr>
        <w:t xml:space="preserve">Visą kiekvienam </w:t>
      </w:r>
      <w:r w:rsidR="00141433">
        <w:rPr>
          <w:noProof/>
          <w:lang w:val="lt-LT"/>
        </w:rPr>
        <w:t xml:space="preserve">Obligacijų </w:t>
      </w:r>
      <w:r w:rsidR="007F3B0C">
        <w:rPr>
          <w:noProof/>
          <w:lang w:val="lt-LT"/>
        </w:rPr>
        <w:t>savinink</w:t>
      </w:r>
      <w:r w:rsidRPr="001A5EAB">
        <w:rPr>
          <w:noProof/>
          <w:lang w:val="lt-LT"/>
        </w:rPr>
        <w:t>ui už tinkamai pateikt</w:t>
      </w:r>
      <w:r w:rsidR="00184308">
        <w:rPr>
          <w:noProof/>
          <w:lang w:val="lt-LT"/>
        </w:rPr>
        <w:t>a</w:t>
      </w:r>
      <w:r w:rsidRPr="001A5EAB">
        <w:rPr>
          <w:noProof/>
          <w:lang w:val="lt-LT"/>
        </w:rPr>
        <w:t xml:space="preserve">s </w:t>
      </w:r>
      <w:r w:rsidR="00184308">
        <w:rPr>
          <w:noProof/>
          <w:lang w:val="lt-LT"/>
        </w:rPr>
        <w:t>Obligacijas</w:t>
      </w:r>
      <w:r w:rsidRPr="001A5EAB">
        <w:rPr>
          <w:noProof/>
          <w:lang w:val="lt-LT"/>
        </w:rPr>
        <w:t>, kuri</w:t>
      </w:r>
      <w:r w:rsidR="00184308">
        <w:rPr>
          <w:noProof/>
          <w:lang w:val="lt-LT"/>
        </w:rPr>
        <w:t>a</w:t>
      </w:r>
      <w:r w:rsidRPr="001A5EAB">
        <w:rPr>
          <w:noProof/>
          <w:lang w:val="lt-LT"/>
        </w:rPr>
        <w:t xml:space="preserve">s Emitentas sutiko </w:t>
      </w:r>
      <w:r w:rsidR="00E80AF6">
        <w:rPr>
          <w:noProof/>
          <w:lang w:val="lt-LT"/>
        </w:rPr>
        <w:t>iš</w:t>
      </w:r>
      <w:r w:rsidRPr="001A5EAB">
        <w:rPr>
          <w:noProof/>
          <w:lang w:val="lt-LT"/>
        </w:rPr>
        <w:t xml:space="preserve">pirkti, mokamą atlygį sudaro pinigų suma, apskaičiuota </w:t>
      </w:r>
      <w:r w:rsidR="00E80AF6" w:rsidRPr="001A5EAB">
        <w:rPr>
          <w:noProof/>
          <w:lang w:val="lt-LT"/>
        </w:rPr>
        <w:t>vis</w:t>
      </w:r>
      <w:r w:rsidR="00E80AF6">
        <w:rPr>
          <w:noProof/>
          <w:lang w:val="lt-LT"/>
        </w:rPr>
        <w:t>ą</w:t>
      </w:r>
      <w:r w:rsidR="00E80AF6" w:rsidRPr="001A5EAB">
        <w:rPr>
          <w:noProof/>
          <w:lang w:val="lt-LT"/>
        </w:rPr>
        <w:t xml:space="preserve"> pagrindin</w:t>
      </w:r>
      <w:r w:rsidR="00E80AF6">
        <w:rPr>
          <w:noProof/>
          <w:lang w:val="lt-LT"/>
        </w:rPr>
        <w:t>ę</w:t>
      </w:r>
      <w:r w:rsidR="00E80AF6" w:rsidRPr="001A5EAB">
        <w:rPr>
          <w:noProof/>
          <w:lang w:val="lt-LT"/>
        </w:rPr>
        <w:t xml:space="preserve"> </w:t>
      </w:r>
      <w:r w:rsidRPr="001A5EAB">
        <w:rPr>
          <w:noProof/>
          <w:lang w:val="lt-LT"/>
        </w:rPr>
        <w:t xml:space="preserve">tokio </w:t>
      </w:r>
      <w:r w:rsidR="00141433">
        <w:rPr>
          <w:noProof/>
          <w:lang w:val="lt-LT"/>
        </w:rPr>
        <w:t xml:space="preserve">Obligacijų </w:t>
      </w:r>
      <w:r w:rsidR="007F3B0C">
        <w:rPr>
          <w:noProof/>
          <w:lang w:val="lt-LT"/>
        </w:rPr>
        <w:t>savinink</w:t>
      </w:r>
      <w:r w:rsidRPr="001A5EAB">
        <w:rPr>
          <w:noProof/>
          <w:lang w:val="lt-LT"/>
        </w:rPr>
        <w:t xml:space="preserve">o tinkamai pateiktų </w:t>
      </w:r>
      <w:r w:rsidR="00184308">
        <w:rPr>
          <w:noProof/>
          <w:lang w:val="lt-LT"/>
        </w:rPr>
        <w:t>Obligacijų</w:t>
      </w:r>
      <w:r w:rsidRPr="001A5EAB">
        <w:rPr>
          <w:noProof/>
          <w:lang w:val="lt-LT"/>
        </w:rPr>
        <w:t>, kuri</w:t>
      </w:r>
      <w:r w:rsidR="00184308">
        <w:rPr>
          <w:noProof/>
          <w:lang w:val="lt-LT"/>
        </w:rPr>
        <w:t>a</w:t>
      </w:r>
      <w:r w:rsidRPr="001A5EAB">
        <w:rPr>
          <w:noProof/>
          <w:lang w:val="lt-LT"/>
        </w:rPr>
        <w:t xml:space="preserve">s Emitentas sutiko </w:t>
      </w:r>
      <w:r w:rsidR="00E80AF6">
        <w:rPr>
          <w:noProof/>
          <w:lang w:val="lt-LT"/>
        </w:rPr>
        <w:t>iš</w:t>
      </w:r>
      <w:r w:rsidRPr="001A5EAB">
        <w:rPr>
          <w:noProof/>
          <w:lang w:val="lt-LT"/>
        </w:rPr>
        <w:t>pirkti, sum</w:t>
      </w:r>
      <w:r w:rsidR="00E80AF6">
        <w:rPr>
          <w:noProof/>
          <w:lang w:val="lt-LT"/>
        </w:rPr>
        <w:t>ą</w:t>
      </w:r>
      <w:r w:rsidRPr="001A5EAB">
        <w:rPr>
          <w:noProof/>
          <w:lang w:val="lt-LT"/>
        </w:rPr>
        <w:t xml:space="preserve"> (suapvalintai iki artimiausio </w:t>
      </w:r>
      <w:r w:rsidR="00595B66" w:rsidRPr="001A5EAB">
        <w:rPr>
          <w:noProof/>
          <w:lang w:val="lt-LT"/>
        </w:rPr>
        <w:t>(0</w:t>
      </w:r>
      <w:r w:rsidRPr="001A5EAB">
        <w:rPr>
          <w:noProof/>
          <w:lang w:val="lt-LT"/>
        </w:rPr>
        <w:t>,</w:t>
      </w:r>
      <w:r w:rsidR="00595B66" w:rsidRPr="001A5EAB">
        <w:rPr>
          <w:noProof/>
          <w:lang w:val="lt-LT"/>
        </w:rPr>
        <w:t>01</w:t>
      </w:r>
      <w:r w:rsidR="0035334C" w:rsidRPr="001A5EAB">
        <w:rPr>
          <w:noProof/>
          <w:lang w:val="lt-LT"/>
        </w:rPr>
        <w:t xml:space="preserve"> EUR</w:t>
      </w:r>
      <w:r w:rsidR="00595B66" w:rsidRPr="001A5EAB">
        <w:rPr>
          <w:noProof/>
          <w:lang w:val="lt-LT"/>
        </w:rPr>
        <w:t>,</w:t>
      </w:r>
      <w:r w:rsidR="00F2292B" w:rsidRPr="001A5EAB">
        <w:rPr>
          <w:noProof/>
          <w:lang w:val="lt-LT"/>
        </w:rPr>
        <w:t xml:space="preserve"> o </w:t>
      </w:r>
      <w:r w:rsidR="00595B66" w:rsidRPr="001A5EAB">
        <w:rPr>
          <w:noProof/>
          <w:lang w:val="lt-LT"/>
        </w:rPr>
        <w:t>0</w:t>
      </w:r>
      <w:r w:rsidRPr="001A5EAB">
        <w:rPr>
          <w:noProof/>
          <w:lang w:val="lt-LT"/>
        </w:rPr>
        <w:t>,</w:t>
      </w:r>
      <w:r w:rsidR="00595B66" w:rsidRPr="001A5EAB">
        <w:rPr>
          <w:noProof/>
          <w:lang w:val="lt-LT"/>
        </w:rPr>
        <w:t xml:space="preserve">005 </w:t>
      </w:r>
      <w:r w:rsidR="0035334C" w:rsidRPr="001A5EAB">
        <w:rPr>
          <w:noProof/>
          <w:lang w:val="lt-LT"/>
        </w:rPr>
        <w:t xml:space="preserve">EUR </w:t>
      </w:r>
      <w:r w:rsidRPr="001A5EAB">
        <w:rPr>
          <w:noProof/>
          <w:lang w:val="lt-LT"/>
        </w:rPr>
        <w:t>apvalinant į didesniąją pusę</w:t>
      </w:r>
      <w:r w:rsidR="00595B66" w:rsidRPr="001A5EAB">
        <w:rPr>
          <w:noProof/>
          <w:lang w:val="lt-LT"/>
        </w:rPr>
        <w:t>)</w:t>
      </w:r>
      <w:r w:rsidRPr="001A5EAB">
        <w:rPr>
          <w:noProof/>
          <w:lang w:val="lt-LT"/>
        </w:rPr>
        <w:t xml:space="preserve"> </w:t>
      </w:r>
      <w:r w:rsidR="00E80AF6">
        <w:rPr>
          <w:noProof/>
          <w:lang w:val="lt-LT"/>
        </w:rPr>
        <w:t>padauginus iš</w:t>
      </w:r>
      <w:r w:rsidR="00E80AF6" w:rsidRPr="001A5EAB">
        <w:rPr>
          <w:noProof/>
          <w:lang w:val="lt-LT"/>
        </w:rPr>
        <w:t xml:space="preserve"> </w:t>
      </w:r>
      <w:r w:rsidR="00E80AF6">
        <w:rPr>
          <w:noProof/>
          <w:lang w:val="lt-LT"/>
        </w:rPr>
        <w:t>Išp</w:t>
      </w:r>
      <w:r w:rsidRPr="001A5EAB">
        <w:rPr>
          <w:noProof/>
          <w:lang w:val="lt-LT"/>
        </w:rPr>
        <w:t>irkimo k</w:t>
      </w:r>
      <w:r w:rsidR="00184308">
        <w:rPr>
          <w:noProof/>
          <w:lang w:val="lt-LT"/>
        </w:rPr>
        <w:t>ain</w:t>
      </w:r>
      <w:r w:rsidR="00E80AF6">
        <w:rPr>
          <w:noProof/>
          <w:lang w:val="lt-LT"/>
        </w:rPr>
        <w:t>os</w:t>
      </w:r>
      <w:r w:rsidR="00184308">
        <w:rPr>
          <w:noProof/>
          <w:lang w:val="lt-LT"/>
        </w:rPr>
        <w:t xml:space="preserve"> ir pridėjus tokio</w:t>
      </w:r>
      <w:r w:rsidRPr="001A5EAB">
        <w:rPr>
          <w:noProof/>
          <w:lang w:val="lt-LT"/>
        </w:rPr>
        <w:t xml:space="preserve">ms </w:t>
      </w:r>
      <w:r w:rsidR="00184308">
        <w:rPr>
          <w:noProof/>
          <w:lang w:val="lt-LT"/>
        </w:rPr>
        <w:t xml:space="preserve">Obligacijoms </w:t>
      </w:r>
      <w:r w:rsidRPr="001A5EAB">
        <w:rPr>
          <w:noProof/>
          <w:lang w:val="lt-LT"/>
        </w:rPr>
        <w:t>Priskaičiuotų palūkanų sumą</w:t>
      </w:r>
      <w:r w:rsidR="00595B66" w:rsidRPr="001A5EAB">
        <w:rPr>
          <w:noProof/>
          <w:lang w:val="lt-LT"/>
        </w:rPr>
        <w:t>.</w:t>
      </w:r>
    </w:p>
    <w:p w14:paraId="481545B2" w14:textId="25BFEAC4" w:rsidR="001B36FF" w:rsidRPr="001A5EAB" w:rsidRDefault="00E20E01" w:rsidP="00FE2586">
      <w:pPr>
        <w:pStyle w:val="Title7"/>
        <w:rPr>
          <w:b/>
          <w:bCs/>
          <w:i w:val="0"/>
          <w:iCs/>
          <w:noProof/>
          <w:lang w:val="lt-LT"/>
        </w:rPr>
      </w:pPr>
      <w:r w:rsidRPr="001A5EAB">
        <w:rPr>
          <w:b/>
          <w:bCs/>
          <w:i w:val="0"/>
          <w:iCs/>
          <w:noProof/>
          <w:lang w:val="lt-LT"/>
        </w:rPr>
        <w:t>Naujo finansavimo sąlyga</w:t>
      </w:r>
    </w:p>
    <w:p w14:paraId="407476AF" w14:textId="53576FA7" w:rsidR="00334796" w:rsidRPr="001A5EAB" w:rsidRDefault="00E20E01" w:rsidP="00334796">
      <w:pPr>
        <w:pStyle w:val="BodyText"/>
        <w:rPr>
          <w:noProof/>
          <w:lang w:val="lt-LT"/>
        </w:rPr>
      </w:pPr>
      <w:r w:rsidRPr="001A5EAB">
        <w:rPr>
          <w:noProof/>
          <w:lang w:val="lt-LT"/>
        </w:rPr>
        <w:t>Emitentas ne</w:t>
      </w:r>
      <w:r w:rsidR="00B42D82">
        <w:rPr>
          <w:noProof/>
          <w:lang w:val="lt-LT"/>
        </w:rPr>
        <w:t xml:space="preserve">privalo sutikti </w:t>
      </w:r>
      <w:r w:rsidR="000763AD">
        <w:rPr>
          <w:noProof/>
          <w:lang w:val="lt-LT"/>
        </w:rPr>
        <w:t>iš</w:t>
      </w:r>
      <w:r w:rsidR="00B42D82">
        <w:rPr>
          <w:noProof/>
          <w:lang w:val="lt-LT"/>
        </w:rPr>
        <w:t>pirkti</w:t>
      </w:r>
      <w:r w:rsidRPr="001A5EAB">
        <w:rPr>
          <w:noProof/>
          <w:lang w:val="lt-LT"/>
        </w:rPr>
        <w:t xml:space="preserve"> </w:t>
      </w:r>
      <w:r w:rsidR="00B42D82">
        <w:rPr>
          <w:noProof/>
          <w:lang w:val="lt-LT"/>
        </w:rPr>
        <w:t xml:space="preserve">pagal Pasiūlymo sąlygas </w:t>
      </w:r>
      <w:r w:rsidR="00477B77">
        <w:rPr>
          <w:noProof/>
          <w:lang w:val="lt-LT"/>
        </w:rPr>
        <w:t xml:space="preserve">pateiktų </w:t>
      </w:r>
      <w:r w:rsidR="00B42D82">
        <w:rPr>
          <w:noProof/>
          <w:lang w:val="lt-LT"/>
        </w:rPr>
        <w:t>Obligacij</w:t>
      </w:r>
      <w:r w:rsidR="00477B77">
        <w:rPr>
          <w:noProof/>
          <w:lang w:val="lt-LT"/>
        </w:rPr>
        <w:t>ų</w:t>
      </w:r>
      <w:r w:rsidR="00334796" w:rsidRPr="001A5EAB">
        <w:rPr>
          <w:noProof/>
          <w:lang w:val="lt-LT"/>
        </w:rPr>
        <w:t xml:space="preserve">. </w:t>
      </w:r>
      <w:r w:rsidRPr="001A5EAB">
        <w:rPr>
          <w:noProof/>
          <w:lang w:val="lt-LT"/>
        </w:rPr>
        <w:t>Pagal Pasiūlymo sąlygas pateikt</w:t>
      </w:r>
      <w:r w:rsidR="00B42D82">
        <w:rPr>
          <w:noProof/>
          <w:lang w:val="lt-LT"/>
        </w:rPr>
        <w:t>a</w:t>
      </w:r>
      <w:r w:rsidRPr="001A5EAB">
        <w:rPr>
          <w:noProof/>
          <w:lang w:val="lt-LT"/>
        </w:rPr>
        <w:t xml:space="preserve">s </w:t>
      </w:r>
      <w:r w:rsidR="00B42D82">
        <w:rPr>
          <w:noProof/>
          <w:lang w:val="lt-LT"/>
        </w:rPr>
        <w:t>Obligacijas</w:t>
      </w:r>
      <w:r w:rsidRPr="001A5EAB">
        <w:rPr>
          <w:noProof/>
          <w:lang w:val="lt-LT"/>
        </w:rPr>
        <w:t xml:space="preserve"> Emitentas sutinka </w:t>
      </w:r>
      <w:r w:rsidR="00477B77">
        <w:rPr>
          <w:noProof/>
          <w:lang w:val="lt-LT"/>
        </w:rPr>
        <w:t>iš</w:t>
      </w:r>
      <w:r w:rsidRPr="001A5EAB">
        <w:rPr>
          <w:noProof/>
          <w:lang w:val="lt-LT"/>
        </w:rPr>
        <w:t xml:space="preserve">pirkti išimtinai savo nuožiūra ir gali dėl bet kokios priežasties atsisakyti </w:t>
      </w:r>
      <w:r w:rsidR="00477B77">
        <w:rPr>
          <w:noProof/>
          <w:lang w:val="lt-LT"/>
        </w:rPr>
        <w:t>iš</w:t>
      </w:r>
      <w:r w:rsidRPr="001A5EAB">
        <w:rPr>
          <w:noProof/>
          <w:lang w:val="lt-LT"/>
        </w:rPr>
        <w:t xml:space="preserve">pirkti </w:t>
      </w:r>
      <w:r w:rsidR="00B42D82">
        <w:rPr>
          <w:noProof/>
          <w:lang w:val="lt-LT"/>
        </w:rPr>
        <w:t>Obligacijas</w:t>
      </w:r>
      <w:r w:rsidR="00334796" w:rsidRPr="001A5EAB">
        <w:rPr>
          <w:noProof/>
          <w:lang w:val="lt-LT"/>
        </w:rPr>
        <w:t xml:space="preserve">. </w:t>
      </w:r>
      <w:r w:rsidRPr="001A5EAB">
        <w:rPr>
          <w:noProof/>
          <w:lang w:val="lt-LT"/>
        </w:rPr>
        <w:t>Be to, šiandien Emitentas paskelb</w:t>
      </w:r>
      <w:r w:rsidR="00D233A9">
        <w:rPr>
          <w:noProof/>
          <w:lang w:val="lt-LT"/>
        </w:rPr>
        <w:t>s</w:t>
      </w:r>
      <w:r w:rsidRPr="001A5EAB">
        <w:rPr>
          <w:noProof/>
          <w:lang w:val="lt-LT"/>
        </w:rPr>
        <w:t xml:space="preserve"> apie savo ketinimus priklausomai nuo rinkos sąlygų p</w:t>
      </w:r>
      <w:r w:rsidR="00B42D82">
        <w:rPr>
          <w:noProof/>
          <w:lang w:val="lt-LT"/>
        </w:rPr>
        <w:t xml:space="preserve">agal Programą </w:t>
      </w:r>
      <w:r w:rsidR="00B11B76">
        <w:rPr>
          <w:noProof/>
          <w:lang w:val="lt-LT"/>
        </w:rPr>
        <w:t xml:space="preserve">išleisti </w:t>
      </w:r>
      <w:r w:rsidR="00B42D82">
        <w:rPr>
          <w:noProof/>
          <w:lang w:val="lt-LT"/>
        </w:rPr>
        <w:t xml:space="preserve">Naujųjų obligacijų </w:t>
      </w:r>
      <w:r w:rsidRPr="001A5EAB">
        <w:rPr>
          <w:noProof/>
          <w:lang w:val="lt-LT"/>
        </w:rPr>
        <w:t>emisiją</w:t>
      </w:r>
      <w:r w:rsidR="00334796" w:rsidRPr="001A5EAB">
        <w:rPr>
          <w:noProof/>
          <w:lang w:val="lt-LT"/>
        </w:rPr>
        <w:t xml:space="preserve">. </w:t>
      </w:r>
      <w:r w:rsidR="00C31C1F" w:rsidRPr="001A5EAB">
        <w:rPr>
          <w:noProof/>
          <w:lang w:val="lt-LT"/>
        </w:rPr>
        <w:t>Bet koki</w:t>
      </w:r>
      <w:r w:rsidR="00B42D82">
        <w:rPr>
          <w:noProof/>
          <w:lang w:val="lt-LT"/>
        </w:rPr>
        <w:t>a</w:t>
      </w:r>
      <w:r w:rsidR="00C31C1F" w:rsidRPr="001A5EAB">
        <w:rPr>
          <w:noProof/>
          <w:lang w:val="lt-LT"/>
        </w:rPr>
        <w:t xml:space="preserve">s </w:t>
      </w:r>
      <w:r w:rsidR="00B42D82">
        <w:rPr>
          <w:noProof/>
          <w:lang w:val="lt-LT"/>
        </w:rPr>
        <w:t>Obligacijas</w:t>
      </w:r>
      <w:r w:rsidR="00C31C1F" w:rsidRPr="001A5EAB">
        <w:rPr>
          <w:noProof/>
          <w:lang w:val="lt-LT"/>
        </w:rPr>
        <w:t xml:space="preserve"> pagal Pasiūlymą Emitentas taip pat </w:t>
      </w:r>
      <w:r w:rsidR="00B11B76">
        <w:rPr>
          <w:noProof/>
          <w:lang w:val="lt-LT"/>
        </w:rPr>
        <w:t>išpirks</w:t>
      </w:r>
      <w:r w:rsidR="00B11B76" w:rsidRPr="001A5EAB">
        <w:rPr>
          <w:noProof/>
          <w:lang w:val="lt-LT"/>
        </w:rPr>
        <w:t xml:space="preserve"> </w:t>
      </w:r>
      <w:r w:rsidR="00C31C1F" w:rsidRPr="001A5EAB">
        <w:rPr>
          <w:noProof/>
          <w:lang w:val="lt-LT"/>
        </w:rPr>
        <w:t xml:space="preserve">tik tuo atveju, jei </w:t>
      </w:r>
      <w:r w:rsidR="00362F3F" w:rsidRPr="001A5EAB">
        <w:rPr>
          <w:noProof/>
          <w:lang w:val="lt-LT"/>
        </w:rPr>
        <w:t>b</w:t>
      </w:r>
      <w:r w:rsidR="00362F3F">
        <w:rPr>
          <w:noProof/>
          <w:lang w:val="lt-LT"/>
        </w:rPr>
        <w:t>us</w:t>
      </w:r>
      <w:r w:rsidR="00362F3F" w:rsidRPr="001A5EAB">
        <w:rPr>
          <w:noProof/>
          <w:lang w:val="lt-LT"/>
        </w:rPr>
        <w:t xml:space="preserve"> </w:t>
      </w:r>
      <w:r w:rsidR="00C31C1F" w:rsidRPr="001A5EAB">
        <w:rPr>
          <w:noProof/>
          <w:lang w:val="lt-LT"/>
        </w:rPr>
        <w:t>įvykdyta Naujo finansavimo sąlyga (nebent Emitentas savo išimtine ir absoliučia nuožiūra atsisakytų šio reikalavimo)</w:t>
      </w:r>
      <w:r w:rsidR="00334796" w:rsidRPr="001A5EAB">
        <w:rPr>
          <w:noProof/>
          <w:lang w:val="lt-LT"/>
        </w:rPr>
        <w:t>.</w:t>
      </w:r>
    </w:p>
    <w:p w14:paraId="4EF9DBC2" w14:textId="36AF319C" w:rsidR="00334796" w:rsidRPr="001A5EAB" w:rsidRDefault="00EF53B5" w:rsidP="00FE2586">
      <w:pPr>
        <w:pStyle w:val="Title7"/>
        <w:rPr>
          <w:b/>
          <w:bCs/>
          <w:i w:val="0"/>
          <w:iCs/>
          <w:noProof/>
          <w:lang w:val="lt-LT"/>
        </w:rPr>
      </w:pPr>
      <w:r w:rsidRPr="001A5EAB">
        <w:rPr>
          <w:b/>
          <w:bCs/>
          <w:i w:val="0"/>
          <w:iCs/>
          <w:noProof/>
          <w:lang w:val="lt-LT"/>
        </w:rPr>
        <w:t xml:space="preserve">Emitentas sutinka </w:t>
      </w:r>
      <w:r w:rsidR="00EA0531">
        <w:rPr>
          <w:b/>
          <w:bCs/>
          <w:i w:val="0"/>
          <w:iCs/>
          <w:noProof/>
          <w:lang w:val="lt-LT"/>
        </w:rPr>
        <w:t>iš</w:t>
      </w:r>
      <w:r w:rsidRPr="001A5EAB">
        <w:rPr>
          <w:b/>
          <w:bCs/>
          <w:i w:val="0"/>
          <w:iCs/>
          <w:noProof/>
          <w:lang w:val="lt-LT"/>
        </w:rPr>
        <w:t>pirkti pagal Pasiūlymo sąlygas pateikt</w:t>
      </w:r>
      <w:r w:rsidR="00B536D1">
        <w:rPr>
          <w:b/>
          <w:bCs/>
          <w:i w:val="0"/>
          <w:iCs/>
          <w:noProof/>
          <w:lang w:val="lt-LT"/>
        </w:rPr>
        <w:t>a</w:t>
      </w:r>
      <w:r w:rsidRPr="001A5EAB">
        <w:rPr>
          <w:b/>
          <w:bCs/>
          <w:i w:val="0"/>
          <w:iCs/>
          <w:noProof/>
          <w:lang w:val="lt-LT"/>
        </w:rPr>
        <w:t xml:space="preserve">s </w:t>
      </w:r>
      <w:r w:rsidR="00B536D1">
        <w:rPr>
          <w:b/>
          <w:bCs/>
          <w:i w:val="0"/>
          <w:iCs/>
          <w:noProof/>
          <w:lang w:val="lt-LT"/>
        </w:rPr>
        <w:t>Obligacijas</w:t>
      </w:r>
      <w:r w:rsidRPr="001A5EAB">
        <w:rPr>
          <w:b/>
          <w:bCs/>
          <w:i w:val="0"/>
          <w:iCs/>
          <w:noProof/>
          <w:lang w:val="lt-LT"/>
        </w:rPr>
        <w:t xml:space="preserve"> iki Naujo finansavimo sąlygos patenkinimo tik su sąlyga, kad Naujo finansavimo sąlyga bus įvykdyta arba bus atsisakyta reikalauti ją įvykdyti</w:t>
      </w:r>
      <w:r w:rsidR="00334796" w:rsidRPr="001A5EAB">
        <w:rPr>
          <w:b/>
          <w:bCs/>
          <w:i w:val="0"/>
          <w:iCs/>
          <w:noProof/>
          <w:lang w:val="lt-LT"/>
        </w:rPr>
        <w:t>.</w:t>
      </w:r>
    </w:p>
    <w:p w14:paraId="6D351E8E" w14:textId="2CB7A464" w:rsidR="002808CD" w:rsidRPr="001A5EAB" w:rsidRDefault="00EF53B5" w:rsidP="00334796">
      <w:pPr>
        <w:pStyle w:val="BodyText"/>
        <w:rPr>
          <w:noProof/>
          <w:lang w:val="lt-LT"/>
        </w:rPr>
      </w:pPr>
      <w:r w:rsidRPr="001A5EAB">
        <w:rPr>
          <w:noProof/>
          <w:lang w:val="lt-LT"/>
        </w:rPr>
        <w:t>Emitentas pasilieka teisę bet kuriuo metu anuliuoti visas ir bet kurias Oficialaus pasiūlymo memorandume išdėstytas Pasiūlymo sąlygas (įskaitant Naujo finansavimo sąlygą)</w:t>
      </w:r>
      <w:r w:rsidR="00334796" w:rsidRPr="001A5EAB">
        <w:rPr>
          <w:noProof/>
          <w:lang w:val="lt-LT"/>
        </w:rPr>
        <w:t>.</w:t>
      </w:r>
    </w:p>
    <w:p w14:paraId="1F06C449" w14:textId="7A0F0AE1" w:rsidR="001B36FF" w:rsidRPr="001A5EAB" w:rsidRDefault="00EF53B5" w:rsidP="00FE2586">
      <w:pPr>
        <w:pStyle w:val="Title7"/>
        <w:rPr>
          <w:b/>
          <w:bCs/>
          <w:i w:val="0"/>
          <w:iCs/>
          <w:noProof/>
          <w:lang w:val="lt-LT"/>
        </w:rPr>
      </w:pPr>
      <w:r w:rsidRPr="001A5EAB">
        <w:rPr>
          <w:b/>
          <w:bCs/>
          <w:i w:val="0"/>
          <w:iCs/>
          <w:noProof/>
          <w:lang w:val="lt-LT"/>
        </w:rPr>
        <w:t xml:space="preserve">Naujųjų </w:t>
      </w:r>
      <w:r w:rsidR="00B536D1">
        <w:rPr>
          <w:b/>
          <w:bCs/>
          <w:i w:val="0"/>
          <w:iCs/>
          <w:noProof/>
          <w:lang w:val="lt-LT"/>
        </w:rPr>
        <w:t>obligacijų</w:t>
      </w:r>
      <w:r w:rsidRPr="001A5EAB">
        <w:rPr>
          <w:b/>
          <w:bCs/>
          <w:i w:val="0"/>
          <w:iCs/>
          <w:noProof/>
          <w:lang w:val="lt-LT"/>
        </w:rPr>
        <w:t xml:space="preserve"> </w:t>
      </w:r>
      <w:r w:rsidR="00EA0531">
        <w:rPr>
          <w:b/>
          <w:bCs/>
          <w:i w:val="0"/>
          <w:iCs/>
          <w:noProof/>
          <w:lang w:val="lt-LT"/>
        </w:rPr>
        <w:t>priskyrimo</w:t>
      </w:r>
      <w:r w:rsidR="00EA0531" w:rsidRPr="001A5EAB">
        <w:rPr>
          <w:b/>
          <w:bCs/>
          <w:i w:val="0"/>
          <w:iCs/>
          <w:noProof/>
          <w:lang w:val="lt-LT"/>
        </w:rPr>
        <w:t xml:space="preserve"> </w:t>
      </w:r>
      <w:r w:rsidRPr="001A5EAB">
        <w:rPr>
          <w:b/>
          <w:bCs/>
          <w:i w:val="0"/>
          <w:iCs/>
          <w:noProof/>
          <w:lang w:val="lt-LT"/>
        </w:rPr>
        <w:t>prioritetas</w:t>
      </w:r>
    </w:p>
    <w:p w14:paraId="61A4DF7D" w14:textId="27405583" w:rsidR="001B36FF" w:rsidRPr="001A5EAB" w:rsidRDefault="00EF53B5" w:rsidP="00FE2586">
      <w:pPr>
        <w:pStyle w:val="Title7"/>
        <w:rPr>
          <w:b/>
          <w:bCs/>
          <w:noProof/>
          <w:lang w:val="lt-LT"/>
        </w:rPr>
      </w:pPr>
      <w:r w:rsidRPr="001A5EAB">
        <w:rPr>
          <w:b/>
          <w:bCs/>
          <w:noProof/>
          <w:lang w:val="lt-LT"/>
        </w:rPr>
        <w:t>Naujosios emisijos prioritetas</w:t>
      </w:r>
    </w:p>
    <w:p w14:paraId="45153E5E" w14:textId="72D6A6E1" w:rsidR="00334796" w:rsidRPr="001A5EAB" w:rsidRDefault="003217EE" w:rsidP="00334796">
      <w:pPr>
        <w:pStyle w:val="BodyText"/>
        <w:rPr>
          <w:noProof/>
          <w:lang w:val="lt-LT"/>
        </w:rPr>
      </w:pPr>
      <w:r>
        <w:rPr>
          <w:noProof/>
          <w:lang w:val="lt-LT"/>
        </w:rPr>
        <w:t>Priskirdamas</w:t>
      </w:r>
      <w:r w:rsidRPr="001A5EAB">
        <w:rPr>
          <w:noProof/>
          <w:lang w:val="lt-LT"/>
        </w:rPr>
        <w:t xml:space="preserve"> </w:t>
      </w:r>
      <w:r w:rsidR="00EF53B5" w:rsidRPr="001A5EAB">
        <w:rPr>
          <w:noProof/>
          <w:lang w:val="lt-LT"/>
        </w:rPr>
        <w:t>Nauj</w:t>
      </w:r>
      <w:r w:rsidR="00B536D1">
        <w:rPr>
          <w:noProof/>
          <w:lang w:val="lt-LT"/>
        </w:rPr>
        <w:t>ąsias</w:t>
      </w:r>
      <w:r w:rsidR="00EF53B5" w:rsidRPr="001A5EAB">
        <w:rPr>
          <w:noProof/>
          <w:lang w:val="lt-LT"/>
        </w:rPr>
        <w:t xml:space="preserve"> </w:t>
      </w:r>
      <w:r w:rsidR="00B536D1">
        <w:rPr>
          <w:noProof/>
          <w:lang w:val="lt-LT"/>
        </w:rPr>
        <w:t>obligacijas</w:t>
      </w:r>
      <w:r w:rsidR="00EF53B5" w:rsidRPr="001A5EAB">
        <w:rPr>
          <w:noProof/>
          <w:lang w:val="lt-LT"/>
        </w:rPr>
        <w:t>, Emitentas</w:t>
      </w:r>
      <w:r>
        <w:rPr>
          <w:noProof/>
          <w:lang w:val="lt-LT"/>
        </w:rPr>
        <w:t>,</w:t>
      </w:r>
      <w:r w:rsidR="00EF53B5" w:rsidRPr="001A5EAB">
        <w:rPr>
          <w:noProof/>
          <w:lang w:val="lt-LT"/>
        </w:rPr>
        <w:t xml:space="preserve"> be kita ko</w:t>
      </w:r>
      <w:r>
        <w:rPr>
          <w:noProof/>
          <w:lang w:val="lt-LT"/>
        </w:rPr>
        <w:t>,</w:t>
      </w:r>
      <w:r w:rsidR="00EF53B5" w:rsidRPr="001A5EAB">
        <w:rPr>
          <w:noProof/>
          <w:lang w:val="lt-LT"/>
        </w:rPr>
        <w:t xml:space="preserve"> atsižvelgia į tai, ar atitinkamas investuotojas, pageidaujantis gauti Naujųjų </w:t>
      </w:r>
      <w:r w:rsidR="00B536D1">
        <w:rPr>
          <w:noProof/>
          <w:lang w:val="lt-LT"/>
        </w:rPr>
        <w:t>obligacijų</w:t>
      </w:r>
      <w:r w:rsidR="00EF53B5" w:rsidRPr="001A5EAB">
        <w:rPr>
          <w:noProof/>
          <w:lang w:val="lt-LT"/>
        </w:rPr>
        <w:t xml:space="preserve">, iki nustatant Naujųjų </w:t>
      </w:r>
      <w:r w:rsidR="00B536D1">
        <w:rPr>
          <w:noProof/>
          <w:lang w:val="lt-LT"/>
        </w:rPr>
        <w:t>obligacijų</w:t>
      </w:r>
      <w:r w:rsidR="00EF53B5" w:rsidRPr="001A5EAB">
        <w:rPr>
          <w:noProof/>
          <w:lang w:val="lt-LT"/>
        </w:rPr>
        <w:t xml:space="preserve"> kainą ir j</w:t>
      </w:r>
      <w:r w:rsidR="00B536D1">
        <w:rPr>
          <w:noProof/>
          <w:lang w:val="lt-LT"/>
        </w:rPr>
        <w:t>a</w:t>
      </w:r>
      <w:r w:rsidR="00EF53B5" w:rsidRPr="001A5EAB">
        <w:rPr>
          <w:noProof/>
          <w:lang w:val="lt-LT"/>
        </w:rPr>
        <w:t xml:space="preserve">s </w:t>
      </w:r>
      <w:r>
        <w:rPr>
          <w:noProof/>
          <w:lang w:val="lt-LT"/>
        </w:rPr>
        <w:t>priskiriant</w:t>
      </w:r>
      <w:r w:rsidR="00EF53B5" w:rsidRPr="001A5EAB">
        <w:rPr>
          <w:noProof/>
          <w:lang w:val="lt-LT"/>
        </w:rPr>
        <w:t>, tinkamai pateikė</w:t>
      </w:r>
      <w:r w:rsidR="004C1BE7">
        <w:rPr>
          <w:noProof/>
          <w:lang w:val="lt-LT"/>
        </w:rPr>
        <w:t xml:space="preserve"> išpirkimui</w:t>
      </w:r>
      <w:r w:rsidR="00EF53B5" w:rsidRPr="001A5EAB">
        <w:rPr>
          <w:noProof/>
          <w:lang w:val="lt-LT"/>
        </w:rPr>
        <w:t xml:space="preserve"> </w:t>
      </w:r>
      <w:r w:rsidR="00B536D1">
        <w:rPr>
          <w:noProof/>
          <w:lang w:val="lt-LT"/>
        </w:rPr>
        <w:t>Obligacijas</w:t>
      </w:r>
      <w:r w:rsidR="00EF53B5" w:rsidRPr="001A5EAB">
        <w:rPr>
          <w:noProof/>
          <w:lang w:val="lt-LT"/>
        </w:rPr>
        <w:t xml:space="preserve"> arba </w:t>
      </w:r>
      <w:r w:rsidR="00EA2779">
        <w:rPr>
          <w:noProof/>
          <w:lang w:val="lt-LT"/>
        </w:rPr>
        <w:t>Platintoj</w:t>
      </w:r>
      <w:r w:rsidR="00551371">
        <w:rPr>
          <w:noProof/>
          <w:lang w:val="lt-LT"/>
        </w:rPr>
        <w:t>ų</w:t>
      </w:r>
      <w:r w:rsidR="00596B23">
        <w:rPr>
          <w:noProof/>
          <w:lang w:val="lt-LT"/>
        </w:rPr>
        <w:t xml:space="preserve"> </w:t>
      </w:r>
      <w:r w:rsidR="00BC533E" w:rsidRPr="001A5EAB">
        <w:rPr>
          <w:noProof/>
          <w:lang w:val="lt-LT"/>
        </w:rPr>
        <w:t>valdytojams</w:t>
      </w:r>
      <w:r w:rsidR="00EF53B5" w:rsidRPr="001A5EAB">
        <w:rPr>
          <w:noProof/>
          <w:lang w:val="lt-LT"/>
        </w:rPr>
        <w:t xml:space="preserve"> nurodė savo tvirtą ketinimą j</w:t>
      </w:r>
      <w:r w:rsidR="00B536D1">
        <w:rPr>
          <w:noProof/>
          <w:lang w:val="lt-LT"/>
        </w:rPr>
        <w:t>a</w:t>
      </w:r>
      <w:r w:rsidR="00EF53B5" w:rsidRPr="001A5EAB">
        <w:rPr>
          <w:noProof/>
          <w:lang w:val="lt-LT"/>
        </w:rPr>
        <w:t>s pateikti</w:t>
      </w:r>
      <w:r w:rsidR="00334796" w:rsidRPr="001A5EAB">
        <w:rPr>
          <w:noProof/>
          <w:lang w:val="lt-LT"/>
        </w:rPr>
        <w:t xml:space="preserve">. </w:t>
      </w:r>
      <w:r w:rsidR="00EF53B5" w:rsidRPr="001A5EAB">
        <w:rPr>
          <w:noProof/>
          <w:lang w:val="lt-LT"/>
        </w:rPr>
        <w:t xml:space="preserve">Taigi, </w:t>
      </w:r>
      <w:r w:rsidR="00141433">
        <w:rPr>
          <w:noProof/>
          <w:lang w:val="lt-LT"/>
        </w:rPr>
        <w:t xml:space="preserve">Obligacijų </w:t>
      </w:r>
      <w:r w:rsidR="007F3B0C">
        <w:rPr>
          <w:noProof/>
          <w:lang w:val="lt-LT"/>
        </w:rPr>
        <w:t>savinink</w:t>
      </w:r>
      <w:r w:rsidR="00BC533E" w:rsidRPr="001A5EAB">
        <w:rPr>
          <w:noProof/>
          <w:lang w:val="lt-LT"/>
        </w:rPr>
        <w:t>ui, pageidaujančiam ne tik pateikti</w:t>
      </w:r>
      <w:r w:rsidR="00B536D1">
        <w:rPr>
          <w:noProof/>
          <w:lang w:val="lt-LT"/>
        </w:rPr>
        <w:t xml:space="preserve"> Obligacijas</w:t>
      </w:r>
      <w:r w:rsidR="00BC533E" w:rsidRPr="001A5EAB">
        <w:rPr>
          <w:noProof/>
          <w:lang w:val="lt-LT"/>
        </w:rPr>
        <w:t>, bet ir</w:t>
      </w:r>
      <w:r w:rsidR="00EF53B5" w:rsidRPr="001A5EAB">
        <w:rPr>
          <w:noProof/>
          <w:lang w:val="lt-LT"/>
        </w:rPr>
        <w:t xml:space="preserve"> įsigyti Naujųjų </w:t>
      </w:r>
      <w:r w:rsidR="00B536D1">
        <w:rPr>
          <w:noProof/>
          <w:lang w:val="lt-LT"/>
        </w:rPr>
        <w:t>obligacijų</w:t>
      </w:r>
      <w:r w:rsidR="00BC533E" w:rsidRPr="001A5EAB">
        <w:rPr>
          <w:noProof/>
          <w:lang w:val="lt-LT"/>
        </w:rPr>
        <w:t>, Emitentas savo išimtine nuožiūra šiame dokumente išdėstytomis sąlygomis gali suteikti Naujosios emisijos prioritetą,</w:t>
      </w:r>
      <w:r w:rsidR="00EF53B5" w:rsidRPr="001A5EAB">
        <w:rPr>
          <w:noProof/>
          <w:lang w:val="lt-LT"/>
        </w:rPr>
        <w:t xml:space="preserve"> </w:t>
      </w:r>
      <w:r w:rsidR="00BC533E" w:rsidRPr="001A5EAB">
        <w:rPr>
          <w:noProof/>
          <w:lang w:val="lt-LT"/>
        </w:rPr>
        <w:t xml:space="preserve">su sąlyga, kad būtų įvykdyta Naujo finansavimo sąlyga, o toks </w:t>
      </w:r>
      <w:r w:rsidR="00141433">
        <w:rPr>
          <w:noProof/>
          <w:lang w:val="lt-LT"/>
        </w:rPr>
        <w:t xml:space="preserve">Obligacijų </w:t>
      </w:r>
      <w:r w:rsidR="007F3B0C">
        <w:rPr>
          <w:noProof/>
          <w:lang w:val="lt-LT"/>
        </w:rPr>
        <w:t>savinink</w:t>
      </w:r>
      <w:r w:rsidR="00BC533E" w:rsidRPr="001A5EAB">
        <w:rPr>
          <w:noProof/>
          <w:lang w:val="lt-LT"/>
        </w:rPr>
        <w:t xml:space="preserve">as </w:t>
      </w:r>
      <w:r w:rsidR="00271911">
        <w:rPr>
          <w:noProof/>
          <w:lang w:val="lt-LT"/>
        </w:rPr>
        <w:t>Platintoj</w:t>
      </w:r>
      <w:r w:rsidR="00596B23">
        <w:rPr>
          <w:noProof/>
          <w:lang w:val="lt-LT"/>
        </w:rPr>
        <w:t>ui</w:t>
      </w:r>
      <w:r w:rsidR="00271911" w:rsidRPr="001A5EAB">
        <w:rPr>
          <w:noProof/>
          <w:lang w:val="lt-LT"/>
        </w:rPr>
        <w:t xml:space="preserve"> </w:t>
      </w:r>
      <w:r w:rsidR="00BC533E" w:rsidRPr="001A5EAB">
        <w:rPr>
          <w:noProof/>
          <w:lang w:val="lt-LT"/>
        </w:rPr>
        <w:t xml:space="preserve">valdytojui (atliekančiam Naujųjų </w:t>
      </w:r>
      <w:r w:rsidR="00B536D1">
        <w:rPr>
          <w:noProof/>
          <w:lang w:val="lt-LT"/>
        </w:rPr>
        <w:t>obligacijų</w:t>
      </w:r>
      <w:r w:rsidR="00BC533E" w:rsidRPr="001A5EAB">
        <w:rPr>
          <w:noProof/>
          <w:lang w:val="lt-LT"/>
        </w:rPr>
        <w:t xml:space="preserve"> emisijos valdytojo funkcijas) standartine tokio valdytojo naujos emisijos tvarka pateiktų atskirą prašymą įsigyti tokių Naujųjų </w:t>
      </w:r>
      <w:r w:rsidR="00B536D1">
        <w:rPr>
          <w:noProof/>
          <w:lang w:val="lt-LT"/>
        </w:rPr>
        <w:t>obligacijų</w:t>
      </w:r>
      <w:r w:rsidR="00334796" w:rsidRPr="001A5EAB">
        <w:rPr>
          <w:noProof/>
          <w:lang w:val="lt-LT"/>
        </w:rPr>
        <w:t xml:space="preserve">. </w:t>
      </w:r>
      <w:r w:rsidR="00BC533E" w:rsidRPr="001A5EAB">
        <w:rPr>
          <w:noProof/>
          <w:lang w:val="lt-LT"/>
        </w:rPr>
        <w:t xml:space="preserve">Tačiau Emitentas </w:t>
      </w:r>
      <w:r w:rsidR="00BB15E7">
        <w:rPr>
          <w:noProof/>
          <w:lang w:val="lt-LT"/>
        </w:rPr>
        <w:t xml:space="preserve">neprivalo </w:t>
      </w:r>
      <w:r w:rsidR="0078173F">
        <w:rPr>
          <w:noProof/>
          <w:lang w:val="lt-LT"/>
        </w:rPr>
        <w:t>paskirstyti</w:t>
      </w:r>
      <w:r w:rsidR="00A317E9">
        <w:rPr>
          <w:noProof/>
          <w:lang w:val="lt-LT"/>
        </w:rPr>
        <w:t xml:space="preserve"> </w:t>
      </w:r>
      <w:r w:rsidR="00BC533E" w:rsidRPr="001A5EAB">
        <w:rPr>
          <w:noProof/>
          <w:lang w:val="lt-LT"/>
        </w:rPr>
        <w:t xml:space="preserve">Naujųjų </w:t>
      </w:r>
      <w:r w:rsidR="00B536D1">
        <w:rPr>
          <w:noProof/>
          <w:lang w:val="lt-LT"/>
        </w:rPr>
        <w:t>obligacijų</w:t>
      </w:r>
      <w:r w:rsidR="00BC533E" w:rsidRPr="001A5EAB">
        <w:rPr>
          <w:noProof/>
          <w:lang w:val="lt-LT"/>
        </w:rPr>
        <w:t xml:space="preserve"> pagal Pasiūlymo sąlygas </w:t>
      </w:r>
      <w:r w:rsidR="001A5678" w:rsidRPr="001A5EAB">
        <w:rPr>
          <w:noProof/>
          <w:lang w:val="lt-LT"/>
        </w:rPr>
        <w:t>tinkamai pateikusi</w:t>
      </w:r>
      <w:r w:rsidR="001A5678">
        <w:rPr>
          <w:noProof/>
          <w:lang w:val="lt-LT"/>
        </w:rPr>
        <w:t xml:space="preserve">am </w:t>
      </w:r>
      <w:r w:rsidR="00B536D1">
        <w:rPr>
          <w:noProof/>
          <w:lang w:val="lt-LT"/>
        </w:rPr>
        <w:t>Obligacijas</w:t>
      </w:r>
      <w:r w:rsidR="00BC533E" w:rsidRPr="001A5EAB">
        <w:rPr>
          <w:noProof/>
          <w:lang w:val="lt-LT"/>
        </w:rPr>
        <w:t xml:space="preserve"> </w:t>
      </w:r>
      <w:r w:rsidR="00357EC9">
        <w:rPr>
          <w:noProof/>
          <w:lang w:val="lt-LT"/>
        </w:rPr>
        <w:t xml:space="preserve">išpirkimui </w:t>
      </w:r>
      <w:r w:rsidR="00B536D1">
        <w:rPr>
          <w:noProof/>
          <w:lang w:val="lt-LT"/>
        </w:rPr>
        <w:t>arba savo tvirtą ketinimą ja</w:t>
      </w:r>
      <w:r w:rsidR="00BC533E" w:rsidRPr="001A5EAB">
        <w:rPr>
          <w:noProof/>
          <w:lang w:val="lt-LT"/>
        </w:rPr>
        <w:t xml:space="preserve">s pateikti nurodžiusiam </w:t>
      </w:r>
      <w:r w:rsidR="00141433">
        <w:rPr>
          <w:noProof/>
          <w:lang w:val="lt-LT"/>
        </w:rPr>
        <w:t xml:space="preserve">Obligacijų </w:t>
      </w:r>
      <w:r w:rsidR="007F3B0C">
        <w:rPr>
          <w:noProof/>
          <w:lang w:val="lt-LT"/>
        </w:rPr>
        <w:t>savinink</w:t>
      </w:r>
      <w:r w:rsidR="00BC533E" w:rsidRPr="001A5EAB">
        <w:rPr>
          <w:noProof/>
          <w:lang w:val="lt-LT"/>
        </w:rPr>
        <w:t xml:space="preserve">ui, o </w:t>
      </w:r>
      <w:r w:rsidR="00141433">
        <w:rPr>
          <w:noProof/>
          <w:lang w:val="lt-LT"/>
        </w:rPr>
        <w:t xml:space="preserve">Obligacijų </w:t>
      </w:r>
      <w:r w:rsidR="007F3B0C">
        <w:rPr>
          <w:noProof/>
          <w:lang w:val="lt-LT"/>
        </w:rPr>
        <w:t>savinink</w:t>
      </w:r>
      <w:r w:rsidR="00BC533E" w:rsidRPr="001A5EAB">
        <w:rPr>
          <w:noProof/>
          <w:lang w:val="lt-LT"/>
        </w:rPr>
        <w:t xml:space="preserve">ui suteikus Naujųjų </w:t>
      </w:r>
      <w:r w:rsidR="00B536D1">
        <w:rPr>
          <w:noProof/>
          <w:lang w:val="lt-LT"/>
        </w:rPr>
        <w:t>obligacijų</w:t>
      </w:r>
      <w:r w:rsidR="00BC533E" w:rsidRPr="001A5EAB">
        <w:rPr>
          <w:noProof/>
          <w:lang w:val="lt-LT"/>
        </w:rPr>
        <w:t>, jų pagrindinė suma gali būti mažesnė</w:t>
      </w:r>
      <w:r w:rsidR="006413BB">
        <w:rPr>
          <w:noProof/>
          <w:lang w:val="lt-LT"/>
        </w:rPr>
        <w:t>,</w:t>
      </w:r>
      <w:r w:rsidR="00BC533E" w:rsidRPr="001A5EAB">
        <w:rPr>
          <w:noProof/>
          <w:lang w:val="lt-LT"/>
        </w:rPr>
        <w:t xml:space="preserve"> nei visa pagrindinė </w:t>
      </w:r>
      <w:r w:rsidR="00B536D1">
        <w:rPr>
          <w:noProof/>
          <w:lang w:val="lt-LT"/>
        </w:rPr>
        <w:t>Obligacijų</w:t>
      </w:r>
      <w:r w:rsidR="00BC533E" w:rsidRPr="001A5EAB">
        <w:rPr>
          <w:noProof/>
          <w:lang w:val="lt-LT"/>
        </w:rPr>
        <w:t>, kuri</w:t>
      </w:r>
      <w:r w:rsidR="00B536D1">
        <w:rPr>
          <w:noProof/>
          <w:lang w:val="lt-LT"/>
        </w:rPr>
        <w:t>as</w:t>
      </w:r>
      <w:r w:rsidR="00BC533E" w:rsidRPr="001A5EAB">
        <w:rPr>
          <w:noProof/>
          <w:lang w:val="lt-LT"/>
        </w:rPr>
        <w:t xml:space="preserve"> toks </w:t>
      </w:r>
      <w:r w:rsidR="00141433">
        <w:rPr>
          <w:noProof/>
          <w:lang w:val="lt-LT"/>
        </w:rPr>
        <w:t xml:space="preserve">Obligacijų </w:t>
      </w:r>
      <w:r w:rsidR="007F3B0C">
        <w:rPr>
          <w:noProof/>
          <w:lang w:val="lt-LT"/>
        </w:rPr>
        <w:t>savinink</w:t>
      </w:r>
      <w:r w:rsidR="00BC533E" w:rsidRPr="001A5EAB">
        <w:rPr>
          <w:noProof/>
          <w:lang w:val="lt-LT"/>
        </w:rPr>
        <w:t xml:space="preserve">as tinkamai pateikė pagal Pasiūlymo sąlygas, o Emitentas sutiko </w:t>
      </w:r>
      <w:r w:rsidR="006413BB">
        <w:rPr>
          <w:noProof/>
          <w:lang w:val="lt-LT"/>
        </w:rPr>
        <w:t>iš</w:t>
      </w:r>
      <w:r w:rsidR="00BC533E" w:rsidRPr="001A5EAB">
        <w:rPr>
          <w:noProof/>
          <w:lang w:val="lt-LT"/>
        </w:rPr>
        <w:t>pirkti, suma</w:t>
      </w:r>
      <w:r w:rsidR="00334796" w:rsidRPr="001A5EAB">
        <w:rPr>
          <w:noProof/>
          <w:lang w:val="lt-LT"/>
        </w:rPr>
        <w:t xml:space="preserve">. </w:t>
      </w:r>
      <w:r w:rsidR="00BC533E" w:rsidRPr="001A5EAB">
        <w:rPr>
          <w:noProof/>
          <w:lang w:val="lt-LT"/>
        </w:rPr>
        <w:t>Be to, tokiu būdu</w:t>
      </w:r>
      <w:r w:rsidR="003442AD">
        <w:rPr>
          <w:noProof/>
          <w:lang w:val="lt-LT"/>
        </w:rPr>
        <w:t xml:space="preserve"> pirmumo tvarka </w:t>
      </w:r>
      <w:r w:rsidR="006413BB">
        <w:rPr>
          <w:noProof/>
          <w:lang w:val="lt-LT"/>
        </w:rPr>
        <w:t xml:space="preserve">priskiriant </w:t>
      </w:r>
      <w:r w:rsidR="003442AD">
        <w:rPr>
          <w:noProof/>
          <w:lang w:val="lt-LT"/>
        </w:rPr>
        <w:t>Naująsias obligacijas</w:t>
      </w:r>
      <w:r w:rsidR="00BC533E" w:rsidRPr="001A5EAB">
        <w:rPr>
          <w:noProof/>
          <w:lang w:val="lt-LT"/>
        </w:rPr>
        <w:t xml:space="preserve"> taip pat (be kita ko) atsižvelgiama ir į mažiausią Naujųjų </w:t>
      </w:r>
      <w:r w:rsidR="003442AD">
        <w:rPr>
          <w:noProof/>
          <w:lang w:val="lt-LT"/>
        </w:rPr>
        <w:t xml:space="preserve">obligacijų </w:t>
      </w:r>
      <w:r w:rsidR="00BC533E" w:rsidRPr="001A5EAB">
        <w:rPr>
          <w:noProof/>
          <w:lang w:val="lt-LT"/>
        </w:rPr>
        <w:t xml:space="preserve">denominaciją, t. y. </w:t>
      </w:r>
      <w:r w:rsidR="00334796" w:rsidRPr="001A5EAB">
        <w:rPr>
          <w:noProof/>
          <w:lang w:val="lt-LT"/>
        </w:rPr>
        <w:t>100</w:t>
      </w:r>
      <w:r w:rsidR="00BC533E" w:rsidRPr="001A5EAB">
        <w:rPr>
          <w:noProof/>
          <w:lang w:val="lt-LT"/>
        </w:rPr>
        <w:t> </w:t>
      </w:r>
      <w:r w:rsidR="00334796" w:rsidRPr="001A5EAB">
        <w:rPr>
          <w:noProof/>
          <w:lang w:val="lt-LT"/>
        </w:rPr>
        <w:t>000</w:t>
      </w:r>
      <w:r w:rsidR="00FF6633" w:rsidRPr="001A5EAB">
        <w:rPr>
          <w:noProof/>
          <w:lang w:val="lt-LT"/>
        </w:rPr>
        <w:t xml:space="preserve"> EUR</w:t>
      </w:r>
      <w:r w:rsidR="00334796" w:rsidRPr="001A5EAB">
        <w:rPr>
          <w:noProof/>
          <w:lang w:val="lt-LT"/>
        </w:rPr>
        <w:t>.</w:t>
      </w:r>
    </w:p>
    <w:p w14:paraId="018E6952" w14:textId="56C7F1F0" w:rsidR="00FE2586" w:rsidRPr="001A5EAB" w:rsidRDefault="00BC533E" w:rsidP="00FE2586">
      <w:pPr>
        <w:pStyle w:val="Title7"/>
        <w:rPr>
          <w:b/>
          <w:bCs/>
          <w:i w:val="0"/>
          <w:iCs/>
          <w:noProof/>
          <w:lang w:val="lt-LT"/>
        </w:rPr>
      </w:pPr>
      <w:r w:rsidRPr="001A5EAB">
        <w:rPr>
          <w:b/>
          <w:bCs/>
          <w:i w:val="0"/>
          <w:iCs/>
          <w:noProof/>
          <w:lang w:val="lt-LT"/>
        </w:rPr>
        <w:lastRenderedPageBreak/>
        <w:t>Bendrosios sąlygos</w:t>
      </w:r>
    </w:p>
    <w:p w14:paraId="3F25A399" w14:textId="2255240C" w:rsidR="00FE2586" w:rsidRPr="001A5EAB" w:rsidRDefault="002A0C32" w:rsidP="00FE2586">
      <w:pPr>
        <w:pStyle w:val="BodyText"/>
        <w:rPr>
          <w:noProof/>
          <w:lang w:val="lt-LT"/>
        </w:rPr>
      </w:pPr>
      <w:r w:rsidRPr="001A5EAB">
        <w:rPr>
          <w:noProof/>
          <w:lang w:val="lt-LT"/>
        </w:rPr>
        <w:t>Informaciją apie o</w:t>
      </w:r>
      <w:r w:rsidR="00F9409D">
        <w:rPr>
          <w:noProof/>
          <w:lang w:val="lt-LT"/>
        </w:rPr>
        <w:t>rientacines Naujųjų obligacijų</w:t>
      </w:r>
      <w:r w:rsidR="001937E6" w:rsidRPr="001A5EAB">
        <w:rPr>
          <w:noProof/>
          <w:lang w:val="lt-LT"/>
        </w:rPr>
        <w:t xml:space="preserve"> sąlygas gali</w:t>
      </w:r>
      <w:r w:rsidRPr="001A5EAB">
        <w:rPr>
          <w:noProof/>
          <w:lang w:val="lt-LT"/>
        </w:rPr>
        <w:t xml:space="preserve"> pateikti</w:t>
      </w:r>
      <w:r w:rsidR="001937E6" w:rsidRPr="001A5EAB">
        <w:rPr>
          <w:noProof/>
          <w:lang w:val="lt-LT"/>
        </w:rPr>
        <w:t xml:space="preserve"> </w:t>
      </w:r>
      <w:r w:rsidR="00C175EC">
        <w:rPr>
          <w:noProof/>
          <w:lang w:val="lt-LT"/>
        </w:rPr>
        <w:t>Platintoj</w:t>
      </w:r>
      <w:r w:rsidR="003350EB">
        <w:rPr>
          <w:noProof/>
          <w:lang w:val="lt-LT"/>
        </w:rPr>
        <w:t>ai</w:t>
      </w:r>
      <w:r w:rsidR="001937E6" w:rsidRPr="001A5EAB">
        <w:rPr>
          <w:noProof/>
          <w:lang w:val="lt-LT"/>
        </w:rPr>
        <w:t xml:space="preserve"> valdytoj</w:t>
      </w:r>
      <w:r w:rsidRPr="001A5EAB">
        <w:rPr>
          <w:noProof/>
          <w:lang w:val="lt-LT"/>
        </w:rPr>
        <w:t>ai</w:t>
      </w:r>
      <w:r w:rsidR="001937E6" w:rsidRPr="001A5EAB">
        <w:rPr>
          <w:noProof/>
          <w:lang w:val="lt-LT"/>
        </w:rPr>
        <w:t xml:space="preserve"> (atliekan</w:t>
      </w:r>
      <w:r w:rsidRPr="001A5EAB">
        <w:rPr>
          <w:noProof/>
          <w:lang w:val="lt-LT"/>
        </w:rPr>
        <w:t>tys</w:t>
      </w:r>
      <w:r w:rsidR="001937E6" w:rsidRPr="001A5EAB">
        <w:rPr>
          <w:noProof/>
          <w:lang w:val="lt-LT"/>
        </w:rPr>
        <w:t xml:space="preserve"> Naujųjų </w:t>
      </w:r>
      <w:r w:rsidR="00F9409D">
        <w:rPr>
          <w:noProof/>
          <w:lang w:val="lt-LT"/>
        </w:rPr>
        <w:t>obligacijų</w:t>
      </w:r>
      <w:r w:rsidR="001937E6" w:rsidRPr="001A5EAB">
        <w:rPr>
          <w:noProof/>
          <w:lang w:val="lt-LT"/>
        </w:rPr>
        <w:t xml:space="preserve"> emisijos valdytojų fu</w:t>
      </w:r>
      <w:r w:rsidR="00F9409D">
        <w:rPr>
          <w:noProof/>
          <w:lang w:val="lt-LT"/>
        </w:rPr>
        <w:t>nkcijas) iki nustatant Naujųjų obligacijų</w:t>
      </w:r>
      <w:r w:rsidR="001937E6" w:rsidRPr="001A5EAB">
        <w:rPr>
          <w:noProof/>
          <w:lang w:val="lt-LT"/>
        </w:rPr>
        <w:t xml:space="preserve"> kainą, o bet kuris </w:t>
      </w:r>
      <w:r w:rsidR="00141433">
        <w:rPr>
          <w:noProof/>
          <w:lang w:val="lt-LT"/>
        </w:rPr>
        <w:t xml:space="preserve">Obligacijų </w:t>
      </w:r>
      <w:r w:rsidR="007F3B0C">
        <w:rPr>
          <w:noProof/>
          <w:lang w:val="lt-LT"/>
        </w:rPr>
        <w:t>savinink</w:t>
      </w:r>
      <w:r w:rsidR="001937E6" w:rsidRPr="001A5EAB">
        <w:rPr>
          <w:noProof/>
          <w:lang w:val="lt-LT"/>
        </w:rPr>
        <w:t xml:space="preserve">as, pageidaujantis sužinoti tokias orientacines sąlygas, privalo kreiptis į </w:t>
      </w:r>
      <w:r w:rsidR="00642D0C">
        <w:rPr>
          <w:noProof/>
          <w:lang w:val="lt-LT"/>
        </w:rPr>
        <w:t>Platintoj</w:t>
      </w:r>
      <w:r w:rsidR="00551371">
        <w:rPr>
          <w:noProof/>
          <w:lang w:val="lt-LT"/>
        </w:rPr>
        <w:t>us</w:t>
      </w:r>
      <w:r w:rsidR="00642D0C" w:rsidRPr="001A5EAB">
        <w:rPr>
          <w:noProof/>
          <w:lang w:val="lt-LT"/>
        </w:rPr>
        <w:t xml:space="preserve"> </w:t>
      </w:r>
      <w:r w:rsidR="00551371" w:rsidRPr="001A5EAB">
        <w:rPr>
          <w:noProof/>
          <w:lang w:val="lt-LT"/>
        </w:rPr>
        <w:t>valdytoj</w:t>
      </w:r>
      <w:r w:rsidR="00551371">
        <w:rPr>
          <w:noProof/>
          <w:lang w:val="lt-LT"/>
        </w:rPr>
        <w:t>us</w:t>
      </w:r>
      <w:r w:rsidR="00551371" w:rsidRPr="001A5EAB">
        <w:rPr>
          <w:noProof/>
          <w:lang w:val="lt-LT"/>
        </w:rPr>
        <w:t xml:space="preserve"> </w:t>
      </w:r>
      <w:r w:rsidR="001937E6" w:rsidRPr="001A5EAB">
        <w:rPr>
          <w:noProof/>
          <w:lang w:val="lt-LT"/>
        </w:rPr>
        <w:t>(</w:t>
      </w:r>
      <w:r w:rsidR="003350EB" w:rsidRPr="001A5EAB">
        <w:rPr>
          <w:noProof/>
          <w:lang w:val="lt-LT"/>
        </w:rPr>
        <w:t>atliekan</w:t>
      </w:r>
      <w:r w:rsidR="00551371">
        <w:rPr>
          <w:noProof/>
          <w:lang w:val="lt-LT"/>
        </w:rPr>
        <w:t>čius</w:t>
      </w:r>
      <w:r w:rsidR="003350EB" w:rsidRPr="001A5EAB">
        <w:rPr>
          <w:noProof/>
          <w:lang w:val="lt-LT"/>
        </w:rPr>
        <w:t xml:space="preserve"> </w:t>
      </w:r>
      <w:r w:rsidR="001937E6" w:rsidRPr="001A5EAB">
        <w:rPr>
          <w:noProof/>
          <w:lang w:val="lt-LT"/>
        </w:rPr>
        <w:t xml:space="preserve">Naujųjų </w:t>
      </w:r>
      <w:r w:rsidR="00BD3711">
        <w:rPr>
          <w:noProof/>
          <w:lang w:val="lt-LT"/>
        </w:rPr>
        <w:t>obligacijų</w:t>
      </w:r>
      <w:r w:rsidR="001937E6" w:rsidRPr="001A5EAB">
        <w:rPr>
          <w:noProof/>
          <w:lang w:val="lt-LT"/>
        </w:rPr>
        <w:t xml:space="preserve"> emisijos valdytojų funkcijas)</w:t>
      </w:r>
      <w:r w:rsidR="00FE2586" w:rsidRPr="001A5EAB">
        <w:rPr>
          <w:noProof/>
          <w:lang w:val="lt-LT"/>
        </w:rPr>
        <w:t xml:space="preserve">. </w:t>
      </w:r>
      <w:r w:rsidR="00141433">
        <w:rPr>
          <w:noProof/>
          <w:lang w:val="lt-LT"/>
        </w:rPr>
        <w:t xml:space="preserve">Obligacijų </w:t>
      </w:r>
      <w:r w:rsidR="007F3B0C">
        <w:rPr>
          <w:noProof/>
          <w:lang w:val="lt-LT"/>
        </w:rPr>
        <w:t>savinink</w:t>
      </w:r>
      <w:r w:rsidR="001937E6" w:rsidRPr="001A5EAB">
        <w:rPr>
          <w:noProof/>
          <w:lang w:val="lt-LT"/>
        </w:rPr>
        <w:t xml:space="preserve">ai turėtų atkreipti dėmesį, kad tokios sąlygos tėra orientacinės ir Naujųjų </w:t>
      </w:r>
      <w:r w:rsidR="00BD3711">
        <w:rPr>
          <w:noProof/>
          <w:lang w:val="lt-LT"/>
        </w:rPr>
        <w:t>obligacijų</w:t>
      </w:r>
      <w:r w:rsidR="001937E6" w:rsidRPr="001A5EAB">
        <w:rPr>
          <w:noProof/>
          <w:lang w:val="lt-LT"/>
        </w:rPr>
        <w:t xml:space="preserve"> emisijos valdytojai ir Emitentas neprivalo jų laikytis, o galutinės Naujųjų </w:t>
      </w:r>
      <w:r w:rsidR="00BD3711">
        <w:rPr>
          <w:noProof/>
          <w:lang w:val="lt-LT"/>
        </w:rPr>
        <w:t>obligacijų</w:t>
      </w:r>
      <w:r w:rsidR="001937E6" w:rsidRPr="001A5EAB">
        <w:rPr>
          <w:noProof/>
          <w:lang w:val="lt-LT"/>
        </w:rPr>
        <w:t xml:space="preserve"> sąlygos bus nustatytos ir sistemoje „Bloomberg“ paskelbtos tik nustatant Naujųjų </w:t>
      </w:r>
      <w:r w:rsidR="00BD3711">
        <w:rPr>
          <w:noProof/>
          <w:lang w:val="lt-LT"/>
        </w:rPr>
        <w:t xml:space="preserve">obligacijų </w:t>
      </w:r>
      <w:r w:rsidR="001937E6" w:rsidRPr="001A5EAB">
        <w:rPr>
          <w:noProof/>
          <w:lang w:val="lt-LT"/>
        </w:rPr>
        <w:t>kainą</w:t>
      </w:r>
      <w:r w:rsidR="00FE2586" w:rsidRPr="001A5EAB">
        <w:rPr>
          <w:noProof/>
          <w:lang w:val="lt-LT"/>
        </w:rPr>
        <w:t>.</w:t>
      </w:r>
    </w:p>
    <w:p w14:paraId="1AB0CBF0" w14:textId="31205DE0" w:rsidR="001B36FF" w:rsidRPr="001A5EAB" w:rsidRDefault="001937E6" w:rsidP="00FE2586">
      <w:pPr>
        <w:pStyle w:val="Title7"/>
        <w:rPr>
          <w:b/>
          <w:bCs/>
          <w:i w:val="0"/>
          <w:iCs/>
          <w:noProof/>
          <w:lang w:val="lt-LT"/>
        </w:rPr>
      </w:pPr>
      <w:r w:rsidRPr="001A5EAB">
        <w:rPr>
          <w:b/>
          <w:bCs/>
          <w:i w:val="0"/>
          <w:iCs/>
          <w:noProof/>
          <w:lang w:val="lt-LT"/>
        </w:rPr>
        <w:t>Naujosios emisijos prioritetas – patvirtinta sandorio šalis</w:t>
      </w:r>
    </w:p>
    <w:p w14:paraId="0B8C63AC" w14:textId="0A03E5CE" w:rsidR="001B36FF" w:rsidRPr="001A5EAB" w:rsidRDefault="001937E6">
      <w:pPr>
        <w:pStyle w:val="BodyText"/>
        <w:rPr>
          <w:noProof/>
          <w:lang w:val="lt-LT"/>
        </w:rPr>
      </w:pPr>
      <w:r w:rsidRPr="001A5EAB">
        <w:rPr>
          <w:noProof/>
          <w:lang w:val="lt-LT"/>
        </w:rPr>
        <w:t xml:space="preserve">Jeigu </w:t>
      </w:r>
      <w:r w:rsidR="00141433">
        <w:rPr>
          <w:noProof/>
          <w:lang w:val="lt-LT"/>
        </w:rPr>
        <w:t xml:space="preserve">Obligacijų </w:t>
      </w:r>
      <w:r w:rsidR="007F3B0C">
        <w:rPr>
          <w:noProof/>
          <w:lang w:val="lt-LT"/>
        </w:rPr>
        <w:t>savinink</w:t>
      </w:r>
      <w:r w:rsidRPr="001A5EAB">
        <w:rPr>
          <w:noProof/>
          <w:lang w:val="lt-LT"/>
        </w:rPr>
        <w:t xml:space="preserve">as pageidauja, kad jam būtų suteiktas Naujosios emisijos prioritetas, bet neturi </w:t>
      </w:r>
      <w:r w:rsidR="00AC43A8">
        <w:rPr>
          <w:noProof/>
          <w:lang w:val="lt-LT"/>
        </w:rPr>
        <w:t xml:space="preserve">sąskaitos </w:t>
      </w:r>
      <w:r w:rsidR="00914CF3">
        <w:rPr>
          <w:noProof/>
          <w:lang w:val="lt-LT"/>
        </w:rPr>
        <w:t xml:space="preserve">Vadovaujančio </w:t>
      </w:r>
      <w:r w:rsidR="00F73580">
        <w:rPr>
          <w:noProof/>
          <w:lang w:val="lt-LT"/>
        </w:rPr>
        <w:t>Platintojo</w:t>
      </w:r>
      <w:r w:rsidR="00914CF3" w:rsidRPr="001A5EAB">
        <w:rPr>
          <w:noProof/>
          <w:lang w:val="lt-LT"/>
        </w:rPr>
        <w:t xml:space="preserve"> </w:t>
      </w:r>
      <w:r w:rsidRPr="001A5EAB">
        <w:rPr>
          <w:noProof/>
          <w:lang w:val="lt-LT"/>
        </w:rPr>
        <w:t xml:space="preserve">(atliekančio Naujųjų </w:t>
      </w:r>
      <w:r w:rsidR="00E87E5B">
        <w:rPr>
          <w:noProof/>
          <w:lang w:val="lt-LT"/>
        </w:rPr>
        <w:t>obligacijų</w:t>
      </w:r>
      <w:r w:rsidRPr="001A5EAB">
        <w:rPr>
          <w:noProof/>
          <w:lang w:val="lt-LT"/>
        </w:rPr>
        <w:t xml:space="preserve"> emisijos valdytojo funkcijas) sistemoje arba toks valdytojas nėra jo patvirtinęs kaip sandorio šalies, toks </w:t>
      </w:r>
      <w:r w:rsidR="00141433">
        <w:rPr>
          <w:noProof/>
          <w:lang w:val="lt-LT"/>
        </w:rPr>
        <w:t xml:space="preserve">Obligacijų </w:t>
      </w:r>
      <w:r w:rsidR="007F3B0C">
        <w:rPr>
          <w:noProof/>
          <w:lang w:val="lt-LT"/>
        </w:rPr>
        <w:t>savinink</w:t>
      </w:r>
      <w:r w:rsidRPr="001A5EAB">
        <w:rPr>
          <w:noProof/>
          <w:lang w:val="lt-LT"/>
        </w:rPr>
        <w:t xml:space="preserve">as privalo pasirūpinti, kad jo prašymas suteikti naujosios emisijos prioritetą būtų pateiktas per </w:t>
      </w:r>
      <w:r w:rsidR="00157810">
        <w:rPr>
          <w:noProof/>
          <w:lang w:val="lt-LT"/>
        </w:rPr>
        <w:t xml:space="preserve">finansų </w:t>
      </w:r>
      <w:r w:rsidRPr="001A5EAB">
        <w:rPr>
          <w:noProof/>
          <w:lang w:val="lt-LT"/>
        </w:rPr>
        <w:t xml:space="preserve">maklerį, </w:t>
      </w:r>
      <w:r w:rsidR="00AC43A8">
        <w:rPr>
          <w:noProof/>
          <w:lang w:val="lt-LT"/>
        </w:rPr>
        <w:t>platintoją</w:t>
      </w:r>
      <w:r w:rsidRPr="001A5EAB">
        <w:rPr>
          <w:noProof/>
          <w:lang w:val="lt-LT"/>
        </w:rPr>
        <w:t xml:space="preserve">, komercinį banką, banką depozitoriumą, patikos bendrovę ar kitą finansų instituciją (toks </w:t>
      </w:r>
      <w:r w:rsidR="00157810">
        <w:rPr>
          <w:noProof/>
          <w:lang w:val="lt-LT"/>
        </w:rPr>
        <w:t xml:space="preserve">finansų </w:t>
      </w:r>
      <w:r w:rsidRPr="001A5EAB">
        <w:rPr>
          <w:noProof/>
          <w:lang w:val="lt-LT"/>
        </w:rPr>
        <w:t xml:space="preserve">makleris, </w:t>
      </w:r>
      <w:r w:rsidR="00730ED3">
        <w:rPr>
          <w:noProof/>
          <w:lang w:val="lt-LT"/>
        </w:rPr>
        <w:t>platintojas</w:t>
      </w:r>
      <w:r w:rsidRPr="001A5EAB">
        <w:rPr>
          <w:noProof/>
          <w:lang w:val="lt-LT"/>
        </w:rPr>
        <w:t xml:space="preserve">, komercinis bankas, bankas depozitoriumas, patikos bendrovė ar kita finansų institucija toliau – </w:t>
      </w:r>
      <w:r w:rsidRPr="001A5EAB">
        <w:rPr>
          <w:b/>
          <w:noProof/>
          <w:lang w:val="lt-LT"/>
        </w:rPr>
        <w:t>Tarpininkas</w:t>
      </w:r>
      <w:r w:rsidRPr="001A5EAB">
        <w:rPr>
          <w:noProof/>
          <w:lang w:val="lt-LT"/>
        </w:rPr>
        <w:t>)</w:t>
      </w:r>
      <w:r w:rsidR="009B07C5" w:rsidRPr="001A5EAB">
        <w:rPr>
          <w:noProof/>
          <w:lang w:val="lt-LT"/>
        </w:rPr>
        <w:t xml:space="preserve">, kuris yra </w:t>
      </w:r>
      <w:r w:rsidR="00730ED3">
        <w:rPr>
          <w:noProof/>
          <w:lang w:val="lt-LT"/>
        </w:rPr>
        <w:t>Platintojo</w:t>
      </w:r>
      <w:r w:rsidR="00730ED3" w:rsidRPr="001A5EAB">
        <w:rPr>
          <w:noProof/>
          <w:lang w:val="lt-LT"/>
        </w:rPr>
        <w:t xml:space="preserve"> </w:t>
      </w:r>
      <w:r w:rsidR="009B07C5" w:rsidRPr="001A5EAB">
        <w:rPr>
          <w:noProof/>
          <w:lang w:val="lt-LT"/>
        </w:rPr>
        <w:t xml:space="preserve">valdytojo (atliekančio Naujųjų </w:t>
      </w:r>
      <w:r w:rsidR="00E87E5B">
        <w:rPr>
          <w:noProof/>
          <w:lang w:val="lt-LT"/>
        </w:rPr>
        <w:t>obligacijų</w:t>
      </w:r>
      <w:r w:rsidR="009B07C5" w:rsidRPr="001A5EAB">
        <w:rPr>
          <w:noProof/>
          <w:lang w:val="lt-LT"/>
        </w:rPr>
        <w:t xml:space="preserve"> emisijos valdytojo funkcijas) patvirtinta sandorio šalimi</w:t>
      </w:r>
      <w:r w:rsidR="00060C0D" w:rsidRPr="001A5EAB">
        <w:rPr>
          <w:noProof/>
          <w:lang w:val="lt-LT"/>
        </w:rPr>
        <w:t>.</w:t>
      </w:r>
    </w:p>
    <w:p w14:paraId="42EAEE19" w14:textId="49895064" w:rsidR="001B36FF" w:rsidRPr="001A5EAB" w:rsidRDefault="009B07C5">
      <w:pPr>
        <w:pStyle w:val="BodyText"/>
        <w:rPr>
          <w:noProof/>
          <w:lang w:val="lt-LT"/>
        </w:rPr>
      </w:pPr>
      <w:r w:rsidRPr="001A5EAB">
        <w:rPr>
          <w:b/>
          <w:noProof/>
          <w:lang w:val="lt-LT"/>
        </w:rPr>
        <w:t xml:space="preserve">Visiems Pasiūlymo nurodymams arba prašymams įsigyti Naujųjų </w:t>
      </w:r>
      <w:r w:rsidR="00E87E5B">
        <w:rPr>
          <w:b/>
          <w:noProof/>
          <w:lang w:val="lt-LT"/>
        </w:rPr>
        <w:t>obligacijų</w:t>
      </w:r>
      <w:r w:rsidRPr="001A5EAB">
        <w:rPr>
          <w:b/>
          <w:noProof/>
          <w:lang w:val="lt-LT"/>
        </w:rPr>
        <w:t xml:space="preserve"> yra taikomos visų atitinkamoje jurisdikcijoje (įskaitant atitinkamo </w:t>
      </w:r>
      <w:r w:rsidR="00141433">
        <w:rPr>
          <w:b/>
          <w:noProof/>
          <w:lang w:val="lt-LT"/>
        </w:rPr>
        <w:t xml:space="preserve">Obligacijų </w:t>
      </w:r>
      <w:r w:rsidR="007F3B0C">
        <w:rPr>
          <w:b/>
          <w:noProof/>
          <w:lang w:val="lt-LT"/>
        </w:rPr>
        <w:t>savinink</w:t>
      </w:r>
      <w:r w:rsidRPr="001A5EAB">
        <w:rPr>
          <w:b/>
          <w:noProof/>
          <w:lang w:val="lt-LT"/>
        </w:rPr>
        <w:t>o jurisdikciją) galiojančių vertybinių popierių įstatymų ir teisės aktų nuostatos, o toks nurodymas arba prašymas turi būti pateikta</w:t>
      </w:r>
      <w:r w:rsidR="005E3923">
        <w:rPr>
          <w:b/>
          <w:noProof/>
          <w:lang w:val="lt-LT"/>
        </w:rPr>
        <w:t>s</w:t>
      </w:r>
      <w:r w:rsidRPr="001A5EAB">
        <w:rPr>
          <w:b/>
          <w:noProof/>
          <w:lang w:val="lt-LT"/>
        </w:rPr>
        <w:t xml:space="preserve"> pirmiau išdėstyta tvarka</w:t>
      </w:r>
      <w:r w:rsidR="00060C0D" w:rsidRPr="001A5EAB">
        <w:rPr>
          <w:b/>
          <w:noProof/>
          <w:lang w:val="lt-LT"/>
        </w:rPr>
        <w:t>.</w:t>
      </w:r>
    </w:p>
    <w:p w14:paraId="49BD0BB3" w14:textId="13D13461" w:rsidR="001B36FF" w:rsidRPr="001A5EAB" w:rsidRDefault="00E87E5B">
      <w:pPr>
        <w:pStyle w:val="BodyText"/>
        <w:rPr>
          <w:noProof/>
          <w:lang w:val="lt-LT"/>
        </w:rPr>
      </w:pPr>
      <w:r>
        <w:rPr>
          <w:noProof/>
          <w:lang w:val="lt-LT"/>
        </w:rPr>
        <w:t>Prieš</w:t>
      </w:r>
      <w:r w:rsidR="009B07C5" w:rsidRPr="001A5EAB">
        <w:rPr>
          <w:noProof/>
          <w:lang w:val="lt-LT"/>
        </w:rPr>
        <w:t xml:space="preserve"> </w:t>
      </w:r>
      <w:r>
        <w:rPr>
          <w:noProof/>
          <w:lang w:val="lt-LT"/>
        </w:rPr>
        <w:t>į</w:t>
      </w:r>
      <w:r w:rsidR="009B07C5" w:rsidRPr="001A5EAB">
        <w:rPr>
          <w:noProof/>
          <w:lang w:val="lt-LT"/>
        </w:rPr>
        <w:t xml:space="preserve">registruodamas savo pageidavimą ir pateikdamas </w:t>
      </w:r>
      <w:r w:rsidR="0092736F">
        <w:rPr>
          <w:noProof/>
          <w:lang w:val="lt-LT"/>
        </w:rPr>
        <w:t>Platintojui</w:t>
      </w:r>
      <w:r w:rsidR="009B07C5" w:rsidRPr="001A5EAB">
        <w:rPr>
          <w:noProof/>
          <w:lang w:val="lt-LT"/>
        </w:rPr>
        <w:t xml:space="preserve"> </w:t>
      </w:r>
      <w:r w:rsidR="0026241E">
        <w:rPr>
          <w:noProof/>
          <w:lang w:val="lt-LT"/>
        </w:rPr>
        <w:t>valdytojui</w:t>
      </w:r>
      <w:r w:rsidR="00701068">
        <w:rPr>
          <w:noProof/>
          <w:lang w:val="lt-LT"/>
        </w:rPr>
        <w:t xml:space="preserve"> </w:t>
      </w:r>
      <w:r w:rsidR="009B07C5" w:rsidRPr="001A5EAB">
        <w:rPr>
          <w:noProof/>
          <w:lang w:val="lt-LT"/>
        </w:rPr>
        <w:t xml:space="preserve">(atliekančiam Naujųjų </w:t>
      </w:r>
      <w:r w:rsidR="00EA7D6D">
        <w:rPr>
          <w:noProof/>
          <w:lang w:val="lt-LT"/>
        </w:rPr>
        <w:t>obligacijų</w:t>
      </w:r>
      <w:r w:rsidR="009B07C5" w:rsidRPr="001A5EAB">
        <w:rPr>
          <w:noProof/>
          <w:lang w:val="lt-LT"/>
        </w:rPr>
        <w:t xml:space="preserve"> emisijos valdytojo funkcijas) prašymą įsigyti Nauj</w:t>
      </w:r>
      <w:r w:rsidR="00EA7D6D">
        <w:rPr>
          <w:noProof/>
          <w:lang w:val="lt-LT"/>
        </w:rPr>
        <w:t>ąsias obligacijas</w:t>
      </w:r>
      <w:r>
        <w:rPr>
          <w:noProof/>
          <w:lang w:val="lt-LT"/>
        </w:rPr>
        <w:t>,</w:t>
      </w:r>
      <w:r w:rsidRPr="00E87E5B">
        <w:rPr>
          <w:noProof/>
          <w:lang w:val="lt-LT"/>
        </w:rPr>
        <w:t xml:space="preserve"> </w:t>
      </w:r>
      <w:r>
        <w:rPr>
          <w:noProof/>
          <w:lang w:val="lt-LT"/>
        </w:rPr>
        <w:t>k</w:t>
      </w:r>
      <w:r w:rsidRPr="001A5EAB">
        <w:rPr>
          <w:noProof/>
          <w:lang w:val="lt-LT"/>
        </w:rPr>
        <w:t xml:space="preserve">iekvienas </w:t>
      </w:r>
      <w:r>
        <w:rPr>
          <w:noProof/>
          <w:lang w:val="lt-LT"/>
        </w:rPr>
        <w:t xml:space="preserve">Obligacijų </w:t>
      </w:r>
      <w:r w:rsidR="007F3B0C">
        <w:rPr>
          <w:noProof/>
          <w:lang w:val="lt-LT"/>
        </w:rPr>
        <w:t>savinink</w:t>
      </w:r>
      <w:r w:rsidRPr="001A5EAB">
        <w:rPr>
          <w:noProof/>
          <w:lang w:val="lt-LT"/>
        </w:rPr>
        <w:t xml:space="preserve">as privalo pats įsitikinti, ar jis turi teisę įsigyti Naujųjų </w:t>
      </w:r>
      <w:r>
        <w:rPr>
          <w:noProof/>
          <w:lang w:val="lt-LT"/>
        </w:rPr>
        <w:t>obligacijų</w:t>
      </w:r>
      <w:r w:rsidR="00060C0D" w:rsidRPr="001A5EAB">
        <w:rPr>
          <w:noProof/>
          <w:lang w:val="lt-LT"/>
        </w:rPr>
        <w:t xml:space="preserve">. </w:t>
      </w:r>
      <w:r w:rsidR="009B07C5" w:rsidRPr="001A5EAB">
        <w:rPr>
          <w:noProof/>
          <w:lang w:val="lt-LT"/>
        </w:rPr>
        <w:t>Tinkamai nepateikus Pasiūlymo nurodymų (be kita ko, dėl to, kad tok</w:t>
      </w:r>
      <w:r w:rsidR="00EA7D6D">
        <w:rPr>
          <w:noProof/>
          <w:lang w:val="lt-LT"/>
        </w:rPr>
        <w:t>iam</w:t>
      </w:r>
      <w:r w:rsidR="009B07C5" w:rsidRPr="001A5EAB">
        <w:rPr>
          <w:noProof/>
          <w:lang w:val="lt-LT"/>
        </w:rPr>
        <w:t xml:space="preserve"> </w:t>
      </w:r>
      <w:r w:rsidR="00141433">
        <w:rPr>
          <w:noProof/>
          <w:lang w:val="lt-LT"/>
        </w:rPr>
        <w:t xml:space="preserve">Obligacijų </w:t>
      </w:r>
      <w:r w:rsidR="007F3B0C">
        <w:rPr>
          <w:noProof/>
          <w:lang w:val="lt-LT"/>
        </w:rPr>
        <w:t>savinink</w:t>
      </w:r>
      <w:r w:rsidR="00EA7D6D">
        <w:rPr>
          <w:noProof/>
          <w:lang w:val="lt-LT"/>
        </w:rPr>
        <w:t>ui Naujosios obligacijos</w:t>
      </w:r>
      <w:r w:rsidR="009B07C5" w:rsidRPr="001A5EAB">
        <w:rPr>
          <w:noProof/>
          <w:lang w:val="lt-LT"/>
        </w:rPr>
        <w:t xml:space="preserve"> negali būti siūlom</w:t>
      </w:r>
      <w:r w:rsidR="00EA7D6D">
        <w:rPr>
          <w:noProof/>
          <w:lang w:val="lt-LT"/>
        </w:rPr>
        <w:t>os</w:t>
      </w:r>
      <w:r w:rsidR="009B07C5" w:rsidRPr="001A5EAB">
        <w:rPr>
          <w:noProof/>
          <w:lang w:val="lt-LT"/>
        </w:rPr>
        <w:t xml:space="preserve"> arba parduoda</w:t>
      </w:r>
      <w:r w:rsidR="00EA7D6D">
        <w:rPr>
          <w:noProof/>
          <w:lang w:val="lt-LT"/>
        </w:rPr>
        <w:t>mos</w:t>
      </w:r>
      <w:r w:rsidR="009B07C5" w:rsidRPr="001A5EAB">
        <w:rPr>
          <w:noProof/>
          <w:lang w:val="lt-LT"/>
        </w:rPr>
        <w:t xml:space="preserve"> pagal bet kokių galiojančių įstatymų ar teisės aktų nuostatas) arba tokiam </w:t>
      </w:r>
      <w:r w:rsidR="00141433">
        <w:rPr>
          <w:noProof/>
          <w:lang w:val="lt-LT"/>
        </w:rPr>
        <w:t xml:space="preserve">Obligacijų </w:t>
      </w:r>
      <w:r w:rsidR="007F3B0C">
        <w:rPr>
          <w:noProof/>
          <w:lang w:val="lt-LT"/>
        </w:rPr>
        <w:t>savinink</w:t>
      </w:r>
      <w:r w:rsidR="009B07C5" w:rsidRPr="001A5EAB">
        <w:rPr>
          <w:noProof/>
          <w:lang w:val="lt-LT"/>
        </w:rPr>
        <w:t xml:space="preserve">ui </w:t>
      </w:r>
      <w:r w:rsidR="001F1EF9" w:rsidRPr="001A5EAB">
        <w:rPr>
          <w:noProof/>
          <w:lang w:val="lt-LT"/>
        </w:rPr>
        <w:t xml:space="preserve">standartine atitinkamo Naujųjų </w:t>
      </w:r>
      <w:r w:rsidR="00EA7D6D">
        <w:rPr>
          <w:noProof/>
          <w:lang w:val="lt-LT"/>
        </w:rPr>
        <w:t>obligacijų</w:t>
      </w:r>
      <w:r w:rsidR="001F1EF9" w:rsidRPr="001A5EAB">
        <w:rPr>
          <w:noProof/>
          <w:lang w:val="lt-LT"/>
        </w:rPr>
        <w:t xml:space="preserve"> emisijos valdytojo tvarka nepateikus </w:t>
      </w:r>
      <w:r w:rsidR="007712AB">
        <w:rPr>
          <w:noProof/>
          <w:lang w:val="lt-LT"/>
        </w:rPr>
        <w:t>Platintoj</w:t>
      </w:r>
      <w:r w:rsidR="0026241E">
        <w:rPr>
          <w:noProof/>
          <w:lang w:val="lt-LT"/>
        </w:rPr>
        <w:t>ui</w:t>
      </w:r>
      <w:r w:rsidR="007712AB">
        <w:rPr>
          <w:noProof/>
          <w:lang w:val="lt-LT"/>
        </w:rPr>
        <w:t xml:space="preserve"> </w:t>
      </w:r>
      <w:r w:rsidR="009B07C5" w:rsidRPr="001A5EAB">
        <w:rPr>
          <w:noProof/>
          <w:lang w:val="lt-LT"/>
        </w:rPr>
        <w:t xml:space="preserve">valdytojui </w:t>
      </w:r>
      <w:r w:rsidR="00EA7D6D">
        <w:rPr>
          <w:noProof/>
          <w:lang w:val="lt-LT"/>
        </w:rPr>
        <w:t>(atliekančiam Naujųjų obligacijų emisijos valdytojo funkcijas</w:t>
      </w:r>
      <w:r w:rsidR="009B07C5" w:rsidRPr="001A5EAB">
        <w:rPr>
          <w:noProof/>
          <w:lang w:val="lt-LT"/>
        </w:rPr>
        <w:t>) prašymo įsigyti Nauj</w:t>
      </w:r>
      <w:r w:rsidR="00B53B2A">
        <w:rPr>
          <w:noProof/>
          <w:lang w:val="lt-LT"/>
        </w:rPr>
        <w:t>ąsias obligacijas</w:t>
      </w:r>
      <w:r w:rsidR="001F1EF9" w:rsidRPr="001A5EAB">
        <w:rPr>
          <w:noProof/>
          <w:lang w:val="lt-LT"/>
        </w:rPr>
        <w:t>, tokio Pasiūlymo</w:t>
      </w:r>
      <w:r w:rsidR="009B07C5" w:rsidRPr="001A5EAB">
        <w:rPr>
          <w:noProof/>
          <w:lang w:val="lt-LT"/>
        </w:rPr>
        <w:t xml:space="preserve"> </w:t>
      </w:r>
      <w:r w:rsidR="001F1EF9" w:rsidRPr="001A5EAB">
        <w:rPr>
          <w:noProof/>
          <w:lang w:val="lt-LT"/>
        </w:rPr>
        <w:t>nurodymo atžvilgiu joks Naujosios emisijos prioritetas nesuteikiamas</w:t>
      </w:r>
      <w:r w:rsidR="00060C0D" w:rsidRPr="001A5EAB">
        <w:rPr>
          <w:noProof/>
          <w:lang w:val="lt-LT"/>
        </w:rPr>
        <w:t>.</w:t>
      </w:r>
    </w:p>
    <w:p w14:paraId="4A3CE70C" w14:textId="33D94077" w:rsidR="009920C2" w:rsidRPr="001A5EAB" w:rsidRDefault="001F1EF9" w:rsidP="009920C2">
      <w:pPr>
        <w:pStyle w:val="BodyText"/>
        <w:rPr>
          <w:noProof/>
          <w:lang w:val="lt-LT"/>
        </w:rPr>
      </w:pPr>
      <w:r w:rsidRPr="001A5EAB">
        <w:rPr>
          <w:noProof/>
          <w:lang w:val="lt-LT"/>
        </w:rPr>
        <w:t xml:space="preserve">Bazinis prospektas bus skelbiamas </w:t>
      </w:r>
      <w:r w:rsidR="000C790B">
        <w:rPr>
          <w:noProof/>
          <w:lang w:val="lt-LT"/>
        </w:rPr>
        <w:t>adresu</w:t>
      </w:r>
      <w:bookmarkStart w:id="0" w:name="_Hlk106638547"/>
      <w:r w:rsidR="00FF45A7">
        <w:rPr>
          <w:noProof/>
          <w:lang w:val="lt-LT"/>
        </w:rPr>
        <w:t xml:space="preserve"> </w:t>
      </w:r>
      <w:hyperlink r:id="rId8" w:history="1">
        <w:r w:rsidR="0012465C" w:rsidRPr="0012465C">
          <w:rPr>
            <w:rStyle w:val="Hyperlink"/>
            <w:noProof/>
            <w:lang w:val="lt-LT"/>
          </w:rPr>
          <w:t>https://live.euronext.com/</w:t>
        </w:r>
      </w:hyperlink>
      <w:bookmarkEnd w:id="0"/>
      <w:r w:rsidR="009920C2" w:rsidRPr="001A5EAB">
        <w:rPr>
          <w:noProof/>
          <w:lang w:val="lt-LT"/>
        </w:rPr>
        <w:t>.</w:t>
      </w:r>
      <w:r w:rsidR="009920C2" w:rsidRPr="001A5EAB">
        <w:rPr>
          <w:rStyle w:val="EndnoteReference"/>
          <w:noProof/>
          <w:lang w:val="lt-LT"/>
        </w:rPr>
        <w:t xml:space="preserve"> </w:t>
      </w:r>
    </w:p>
    <w:p w14:paraId="0789B6E0" w14:textId="57DD97E7" w:rsidR="001B36FF" w:rsidRPr="001A5EAB" w:rsidRDefault="006D0B8B">
      <w:pPr>
        <w:pStyle w:val="BodyText"/>
        <w:rPr>
          <w:i/>
          <w:noProof/>
          <w:lang w:val="lt-LT"/>
        </w:rPr>
      </w:pPr>
      <w:r w:rsidRPr="001A5EAB">
        <w:rPr>
          <w:i/>
          <w:noProof/>
          <w:lang w:val="lt-LT"/>
        </w:rPr>
        <w:t xml:space="preserve">Bet koks investicinis sprendimas įsigyti bet kurių Naujųjų </w:t>
      </w:r>
      <w:r w:rsidR="00141433">
        <w:rPr>
          <w:i/>
          <w:noProof/>
          <w:lang w:val="lt-LT"/>
        </w:rPr>
        <w:t>Obligacijų turėt</w:t>
      </w:r>
      <w:r w:rsidRPr="001A5EAB">
        <w:rPr>
          <w:i/>
          <w:noProof/>
          <w:lang w:val="lt-LT"/>
        </w:rPr>
        <w:t>ų būti priimamas išimtinai vadovaujantis Baziniame prospekte esančia informacija, o ne kokiais nors kitais, Baziniame prospekte nesančiais pareiškimais</w:t>
      </w:r>
      <w:r w:rsidR="00060C0D" w:rsidRPr="001A5EAB">
        <w:rPr>
          <w:i/>
          <w:noProof/>
          <w:lang w:val="lt-LT"/>
        </w:rPr>
        <w:t xml:space="preserve">. </w:t>
      </w:r>
      <w:r w:rsidRPr="001A5EAB">
        <w:rPr>
          <w:i/>
          <w:noProof/>
          <w:lang w:val="lt-LT"/>
        </w:rPr>
        <w:t>Įvykdžius visas galiojančių vertybinių popierių įstatymų ir teisės aktų sąlygas, Bazinį prospektą paprašius gali</w:t>
      </w:r>
      <w:r w:rsidR="0012465C">
        <w:rPr>
          <w:i/>
          <w:noProof/>
          <w:lang w:val="lt-LT"/>
        </w:rPr>
        <w:t>ma</w:t>
      </w:r>
      <w:r w:rsidRPr="001A5EAB">
        <w:rPr>
          <w:i/>
          <w:noProof/>
          <w:lang w:val="lt-LT"/>
        </w:rPr>
        <w:t xml:space="preserve"> </w:t>
      </w:r>
      <w:r w:rsidR="00E4159D">
        <w:rPr>
          <w:i/>
          <w:noProof/>
          <w:lang w:val="lt-LT"/>
        </w:rPr>
        <w:t>gauti iš</w:t>
      </w:r>
      <w:r w:rsidR="00E4159D" w:rsidRPr="001A5EAB">
        <w:rPr>
          <w:i/>
          <w:noProof/>
          <w:lang w:val="lt-LT"/>
        </w:rPr>
        <w:t xml:space="preserve"> </w:t>
      </w:r>
      <w:r w:rsidR="00E4159D">
        <w:rPr>
          <w:i/>
          <w:noProof/>
          <w:lang w:val="lt-LT"/>
        </w:rPr>
        <w:t>Platintoj</w:t>
      </w:r>
      <w:r w:rsidR="0026241E">
        <w:rPr>
          <w:i/>
          <w:noProof/>
          <w:lang w:val="lt-LT"/>
        </w:rPr>
        <w:t>ų</w:t>
      </w:r>
      <w:r w:rsidR="007712AB">
        <w:rPr>
          <w:i/>
          <w:noProof/>
          <w:lang w:val="lt-LT"/>
        </w:rPr>
        <w:t xml:space="preserve"> valdytojų</w:t>
      </w:r>
      <w:r w:rsidR="00060C0D" w:rsidRPr="001A5EAB">
        <w:rPr>
          <w:i/>
          <w:noProof/>
          <w:lang w:val="lt-LT"/>
        </w:rPr>
        <w:t>.</w:t>
      </w:r>
    </w:p>
    <w:p w14:paraId="49396DA4" w14:textId="6050B49C" w:rsidR="001B36FF" w:rsidRPr="001A5EAB" w:rsidRDefault="006D0B8B">
      <w:pPr>
        <w:pStyle w:val="BodyText"/>
        <w:rPr>
          <w:i/>
          <w:noProof/>
          <w:lang w:val="lt-LT"/>
        </w:rPr>
      </w:pPr>
      <w:r w:rsidRPr="001A5EAB">
        <w:rPr>
          <w:i/>
          <w:noProof/>
          <w:lang w:val="lt-LT"/>
        </w:rPr>
        <w:t>Nauj</w:t>
      </w:r>
      <w:r w:rsidR="00B53B2A">
        <w:rPr>
          <w:i/>
          <w:noProof/>
          <w:lang w:val="lt-LT"/>
        </w:rPr>
        <w:t>osios obligacijos</w:t>
      </w:r>
      <w:r w:rsidRPr="001A5EAB">
        <w:rPr>
          <w:i/>
          <w:noProof/>
          <w:lang w:val="lt-LT"/>
        </w:rPr>
        <w:t xml:space="preserve"> nėra ir nebus siūlom</w:t>
      </w:r>
      <w:r w:rsidR="00B53B2A">
        <w:rPr>
          <w:i/>
          <w:noProof/>
          <w:lang w:val="lt-LT"/>
        </w:rPr>
        <w:t>os</w:t>
      </w:r>
      <w:r w:rsidRPr="001A5EAB">
        <w:rPr>
          <w:i/>
          <w:noProof/>
          <w:lang w:val="lt-LT"/>
        </w:rPr>
        <w:t xml:space="preserve"> ar parduodam</w:t>
      </w:r>
      <w:r w:rsidR="00B53B2A">
        <w:rPr>
          <w:i/>
          <w:noProof/>
          <w:lang w:val="lt-LT"/>
        </w:rPr>
        <w:t>os</w:t>
      </w:r>
      <w:r w:rsidRPr="001A5EAB">
        <w:rPr>
          <w:i/>
          <w:noProof/>
          <w:lang w:val="lt-LT"/>
        </w:rPr>
        <w:t xml:space="preserve"> Jungtinėse Valstijose</w:t>
      </w:r>
      <w:r w:rsidR="00334796" w:rsidRPr="001A5EAB">
        <w:rPr>
          <w:i/>
          <w:noProof/>
          <w:lang w:val="lt-LT"/>
        </w:rPr>
        <w:t xml:space="preserve">. </w:t>
      </w:r>
      <w:r w:rsidRPr="001A5EAB">
        <w:rPr>
          <w:i/>
          <w:noProof/>
          <w:lang w:val="lt-LT"/>
        </w:rPr>
        <w:t>Jokia Oficialaus pasiūlymo memorandumo nuostata nereiškia pasiūlymo parduoti arba pirkti Nauj</w:t>
      </w:r>
      <w:r w:rsidR="00B53B2A">
        <w:rPr>
          <w:i/>
          <w:noProof/>
          <w:lang w:val="lt-LT"/>
        </w:rPr>
        <w:t>ąsias obligacijas</w:t>
      </w:r>
      <w:r w:rsidRPr="001A5EAB">
        <w:rPr>
          <w:i/>
          <w:noProof/>
          <w:lang w:val="lt-LT"/>
        </w:rPr>
        <w:t xml:space="preserve"> Jungtinėse Valstijose ar kurioje kitoje jurisdikcijoje</w:t>
      </w:r>
      <w:r w:rsidR="00334796" w:rsidRPr="001A5EAB">
        <w:rPr>
          <w:i/>
          <w:noProof/>
          <w:lang w:val="lt-LT"/>
        </w:rPr>
        <w:t xml:space="preserve">. </w:t>
      </w:r>
      <w:r w:rsidR="002F3CA3" w:rsidRPr="001A5EAB">
        <w:rPr>
          <w:i/>
          <w:noProof/>
          <w:lang w:val="lt-LT"/>
        </w:rPr>
        <w:t xml:space="preserve">Vertybinius popierius Jungtinėse Valstijose siūlyti, parduoti ar pristatyti galima tik juos pirma </w:t>
      </w:r>
      <w:r w:rsidR="002A0C32" w:rsidRPr="001A5EAB">
        <w:rPr>
          <w:i/>
          <w:noProof/>
          <w:lang w:val="lt-LT"/>
        </w:rPr>
        <w:t>į</w:t>
      </w:r>
      <w:r w:rsidR="002F3CA3" w:rsidRPr="001A5EAB">
        <w:rPr>
          <w:i/>
          <w:noProof/>
          <w:lang w:val="lt-LT"/>
        </w:rPr>
        <w:t xml:space="preserve">registravus arba atleidus nuo registracijos pagal </w:t>
      </w:r>
      <w:r w:rsidR="00334796" w:rsidRPr="001A5EAB">
        <w:rPr>
          <w:i/>
          <w:noProof/>
          <w:lang w:val="lt-LT"/>
        </w:rPr>
        <w:t>1933</w:t>
      </w:r>
      <w:r w:rsidR="002F3CA3" w:rsidRPr="001A5EAB">
        <w:rPr>
          <w:i/>
          <w:noProof/>
          <w:lang w:val="lt-LT"/>
        </w:rPr>
        <w:t xml:space="preserve"> m. Jungtinių Valstijų vertybinių popierių įstatymo (su pakeitimais) sąlygas (toliau – </w:t>
      </w:r>
      <w:r w:rsidR="002F3CA3" w:rsidRPr="001A5EAB">
        <w:rPr>
          <w:b/>
          <w:i/>
          <w:noProof/>
          <w:lang w:val="lt-LT"/>
        </w:rPr>
        <w:t>Vertybinių popierių įstatymas</w:t>
      </w:r>
      <w:r w:rsidR="002F3CA3" w:rsidRPr="001A5EAB">
        <w:rPr>
          <w:i/>
          <w:noProof/>
          <w:lang w:val="lt-LT"/>
        </w:rPr>
        <w:t>)</w:t>
      </w:r>
      <w:r w:rsidR="00334796" w:rsidRPr="001A5EAB">
        <w:rPr>
          <w:i/>
          <w:noProof/>
          <w:lang w:val="lt-LT"/>
        </w:rPr>
        <w:t xml:space="preserve">. </w:t>
      </w:r>
      <w:r w:rsidR="002F3CA3" w:rsidRPr="001A5EAB">
        <w:rPr>
          <w:i/>
          <w:noProof/>
          <w:lang w:val="lt-LT"/>
        </w:rPr>
        <w:t>Nauj</w:t>
      </w:r>
      <w:r w:rsidR="00B53B2A">
        <w:rPr>
          <w:i/>
          <w:noProof/>
          <w:lang w:val="lt-LT"/>
        </w:rPr>
        <w:t>osios obligacijos nėra ir nebus registruotos</w:t>
      </w:r>
      <w:r w:rsidR="002F3CA3" w:rsidRPr="001A5EAB">
        <w:rPr>
          <w:i/>
          <w:noProof/>
          <w:lang w:val="lt-LT"/>
        </w:rPr>
        <w:t xml:space="preserve"> pagal Vertybinių popierių įstatymą arba bet kurios Jungtinių Valstijų valstijos ar kitos jurisdikcijos vertybinių popierių įstatymus ir juos tiesiogiai arba netiesiogiai siūlyti, parduoti ar pristatyti bet kokiems JAV </w:t>
      </w:r>
      <w:r w:rsidR="008D3FB5">
        <w:rPr>
          <w:i/>
          <w:noProof/>
          <w:lang w:val="lt-LT"/>
        </w:rPr>
        <w:t>subjektams</w:t>
      </w:r>
      <w:r w:rsidR="002F3CA3" w:rsidRPr="001A5EAB">
        <w:rPr>
          <w:i/>
          <w:noProof/>
          <w:lang w:val="lt-LT"/>
        </w:rPr>
        <w:t xml:space="preserve"> yra draudžiama</w:t>
      </w:r>
      <w:r w:rsidR="00334796" w:rsidRPr="001A5EAB">
        <w:rPr>
          <w:i/>
          <w:noProof/>
          <w:lang w:val="lt-LT"/>
        </w:rPr>
        <w:t>.</w:t>
      </w:r>
    </w:p>
    <w:p w14:paraId="3B30043F" w14:textId="7A321A55" w:rsidR="001B36FF" w:rsidRPr="001A5EAB" w:rsidRDefault="00060C0D">
      <w:pPr>
        <w:pStyle w:val="BodyText"/>
        <w:rPr>
          <w:noProof/>
          <w:szCs w:val="20"/>
          <w:lang w:val="lt-LT" w:bidi="ar-SA"/>
        </w:rPr>
      </w:pPr>
      <w:r w:rsidRPr="001A5EAB">
        <w:rPr>
          <w:b/>
          <w:bCs/>
          <w:i/>
          <w:noProof/>
          <w:szCs w:val="20"/>
          <w:lang w:val="lt-LT" w:bidi="ar-SA"/>
        </w:rPr>
        <w:t xml:space="preserve">MiFID II </w:t>
      </w:r>
      <w:r w:rsidR="00C0712E" w:rsidRPr="001A5EAB">
        <w:rPr>
          <w:b/>
          <w:bCs/>
          <w:i/>
          <w:noProof/>
          <w:szCs w:val="20"/>
          <w:lang w:val="lt-LT" w:bidi="ar-SA"/>
        </w:rPr>
        <w:t>produkto valdymas.</w:t>
      </w:r>
      <w:r w:rsidRPr="001A5EAB">
        <w:rPr>
          <w:iCs/>
          <w:noProof/>
          <w:szCs w:val="20"/>
          <w:lang w:val="lt-LT" w:bidi="ar-SA"/>
        </w:rPr>
        <w:t xml:space="preserve"> </w:t>
      </w:r>
      <w:r w:rsidRPr="001A5EAB">
        <w:rPr>
          <w:i/>
          <w:iCs/>
          <w:noProof/>
          <w:szCs w:val="20"/>
          <w:lang w:val="lt-LT" w:bidi="ar-SA"/>
        </w:rPr>
        <w:t>T</w:t>
      </w:r>
      <w:r w:rsidR="00C0712E" w:rsidRPr="001A5EAB">
        <w:rPr>
          <w:i/>
          <w:iCs/>
          <w:noProof/>
          <w:szCs w:val="20"/>
          <w:lang w:val="lt-LT" w:bidi="ar-SA"/>
        </w:rPr>
        <w:t xml:space="preserve">ikslinę Naujųjų </w:t>
      </w:r>
      <w:r w:rsidR="00B53B2A">
        <w:rPr>
          <w:i/>
          <w:iCs/>
          <w:noProof/>
          <w:szCs w:val="20"/>
          <w:lang w:val="lt-LT" w:bidi="ar-SA"/>
        </w:rPr>
        <w:t>obligacijų</w:t>
      </w:r>
      <w:r w:rsidR="00C0712E" w:rsidRPr="001A5EAB">
        <w:rPr>
          <w:i/>
          <w:iCs/>
          <w:noProof/>
          <w:szCs w:val="20"/>
          <w:lang w:val="lt-LT" w:bidi="ar-SA"/>
        </w:rPr>
        <w:t xml:space="preserve"> rinką išimtinai sudaro tinkamos sandorio šalys ir profesionalūs klientai, kaip šie terminai apibrėžiami Direktyvoje Nr. </w:t>
      </w:r>
      <w:r w:rsidRPr="001A5EAB">
        <w:rPr>
          <w:i/>
          <w:iCs/>
          <w:noProof/>
          <w:szCs w:val="20"/>
          <w:lang w:val="lt-LT" w:bidi="ar-SA"/>
        </w:rPr>
        <w:t>2014/65/E</w:t>
      </w:r>
      <w:r w:rsidR="00C0712E" w:rsidRPr="001A5EAB">
        <w:rPr>
          <w:i/>
          <w:iCs/>
          <w:noProof/>
          <w:szCs w:val="20"/>
          <w:lang w:val="lt-LT" w:bidi="ar-SA"/>
        </w:rPr>
        <w:t>S</w:t>
      </w:r>
      <w:r w:rsidRPr="001A5EAB">
        <w:rPr>
          <w:i/>
          <w:iCs/>
          <w:noProof/>
          <w:szCs w:val="20"/>
          <w:lang w:val="lt-LT" w:bidi="ar-SA"/>
        </w:rPr>
        <w:t xml:space="preserve"> (</w:t>
      </w:r>
      <w:r w:rsidR="00C0712E" w:rsidRPr="001A5EAB">
        <w:rPr>
          <w:i/>
          <w:iCs/>
          <w:noProof/>
          <w:szCs w:val="20"/>
          <w:lang w:val="lt-LT" w:bidi="ar-SA"/>
        </w:rPr>
        <w:t>su pakeitimais, toliau –</w:t>
      </w:r>
      <w:r w:rsidR="004621DE">
        <w:rPr>
          <w:i/>
          <w:iCs/>
          <w:noProof/>
          <w:szCs w:val="20"/>
          <w:lang w:val="lt-LT" w:bidi="ar-SA"/>
        </w:rPr>
        <w:t xml:space="preserve"> </w:t>
      </w:r>
      <w:r w:rsidR="00C0712E" w:rsidRPr="001A5EAB">
        <w:rPr>
          <w:b/>
          <w:bCs/>
          <w:i/>
          <w:iCs/>
          <w:noProof/>
          <w:szCs w:val="20"/>
          <w:lang w:val="lt-LT" w:bidi="ar-SA"/>
        </w:rPr>
        <w:t>MiFID</w:t>
      </w:r>
      <w:r w:rsidR="00DB2330" w:rsidRPr="00DB2330">
        <w:rPr>
          <w:b/>
          <w:bCs/>
          <w:i/>
          <w:iCs/>
          <w:noProof/>
          <w:szCs w:val="20"/>
          <w:lang w:val="lt-LT" w:bidi="ar-SA"/>
        </w:rPr>
        <w:t xml:space="preserve"> </w:t>
      </w:r>
      <w:r w:rsidR="00DB2330" w:rsidRPr="001A5EAB">
        <w:rPr>
          <w:b/>
          <w:bCs/>
          <w:i/>
          <w:iCs/>
          <w:noProof/>
          <w:szCs w:val="20"/>
          <w:lang w:val="lt-LT" w:bidi="ar-SA"/>
        </w:rPr>
        <w:t>II</w:t>
      </w:r>
      <w:r w:rsidRPr="001A5EAB">
        <w:rPr>
          <w:i/>
          <w:iCs/>
          <w:noProof/>
          <w:szCs w:val="20"/>
          <w:lang w:val="lt-LT" w:bidi="ar-SA"/>
        </w:rPr>
        <w:t>).</w:t>
      </w:r>
    </w:p>
    <w:p w14:paraId="70EAAC33" w14:textId="7C56094F" w:rsidR="00334796" w:rsidRPr="001A5EAB" w:rsidRDefault="00611AE0" w:rsidP="00334796">
      <w:pPr>
        <w:pStyle w:val="BodyText"/>
        <w:rPr>
          <w:noProof/>
          <w:szCs w:val="20"/>
          <w:lang w:val="lt-LT" w:bidi="ar-SA"/>
        </w:rPr>
      </w:pPr>
      <w:r w:rsidRPr="001A5EAB">
        <w:rPr>
          <w:i/>
          <w:iCs/>
          <w:noProof/>
          <w:szCs w:val="20"/>
          <w:lang w:val="lt-LT" w:bidi="ar-SA"/>
        </w:rPr>
        <w:t xml:space="preserve">Naujųjų </w:t>
      </w:r>
      <w:r w:rsidR="00B53B2A">
        <w:rPr>
          <w:i/>
          <w:iCs/>
          <w:noProof/>
          <w:szCs w:val="20"/>
          <w:lang w:val="lt-LT" w:bidi="ar-SA"/>
        </w:rPr>
        <w:t>obligacijų</w:t>
      </w:r>
      <w:r w:rsidRPr="001A5EAB">
        <w:rPr>
          <w:i/>
          <w:iCs/>
          <w:noProof/>
          <w:szCs w:val="20"/>
          <w:lang w:val="lt-LT" w:bidi="ar-SA"/>
        </w:rPr>
        <w:t xml:space="preserve"> neketinama siūlyti, parduoti ar</w:t>
      </w:r>
      <w:r w:rsidR="00B53B2A">
        <w:rPr>
          <w:i/>
          <w:iCs/>
          <w:noProof/>
          <w:szCs w:val="20"/>
          <w:lang w:val="lt-LT" w:bidi="ar-SA"/>
        </w:rPr>
        <w:t>ba kitokiais būdais teikti ir jos</w:t>
      </w:r>
      <w:r w:rsidRPr="001A5EAB">
        <w:rPr>
          <w:i/>
          <w:iCs/>
          <w:noProof/>
          <w:szCs w:val="20"/>
          <w:lang w:val="lt-LT" w:bidi="ar-SA"/>
        </w:rPr>
        <w:t xml:space="preserve"> nebus siūlom</w:t>
      </w:r>
      <w:r w:rsidR="00B53B2A">
        <w:rPr>
          <w:i/>
          <w:iCs/>
          <w:noProof/>
          <w:szCs w:val="20"/>
          <w:lang w:val="lt-LT" w:bidi="ar-SA"/>
        </w:rPr>
        <w:t>os</w:t>
      </w:r>
      <w:r w:rsidRPr="001A5EAB">
        <w:rPr>
          <w:i/>
          <w:iCs/>
          <w:noProof/>
          <w:szCs w:val="20"/>
          <w:lang w:val="lt-LT" w:bidi="ar-SA"/>
        </w:rPr>
        <w:t>, parduodam</w:t>
      </w:r>
      <w:r w:rsidR="00B53B2A">
        <w:rPr>
          <w:i/>
          <w:iCs/>
          <w:noProof/>
          <w:szCs w:val="20"/>
          <w:lang w:val="lt-LT" w:bidi="ar-SA"/>
        </w:rPr>
        <w:t>os</w:t>
      </w:r>
      <w:r w:rsidRPr="001A5EAB">
        <w:rPr>
          <w:i/>
          <w:iCs/>
          <w:noProof/>
          <w:szCs w:val="20"/>
          <w:lang w:val="lt-LT" w:bidi="ar-SA"/>
        </w:rPr>
        <w:t xml:space="preserve"> ar kitokiais būdais teikiam</w:t>
      </w:r>
      <w:r w:rsidR="00B53B2A">
        <w:rPr>
          <w:i/>
          <w:iCs/>
          <w:noProof/>
          <w:szCs w:val="20"/>
          <w:lang w:val="lt-LT" w:bidi="ar-SA"/>
        </w:rPr>
        <w:t>os</w:t>
      </w:r>
      <w:r w:rsidRPr="001A5EAB">
        <w:rPr>
          <w:i/>
          <w:iCs/>
          <w:noProof/>
          <w:szCs w:val="20"/>
          <w:lang w:val="lt-LT" w:bidi="ar-SA"/>
        </w:rPr>
        <w:t xml:space="preserve"> jokiems </w:t>
      </w:r>
      <w:r w:rsidR="00C604F7">
        <w:rPr>
          <w:i/>
          <w:iCs/>
          <w:noProof/>
          <w:szCs w:val="20"/>
          <w:lang w:val="lt-LT" w:bidi="ar-SA"/>
        </w:rPr>
        <w:t>neprofesionaliems</w:t>
      </w:r>
      <w:r w:rsidR="00C604F7" w:rsidRPr="001A5EAB">
        <w:rPr>
          <w:i/>
          <w:iCs/>
          <w:noProof/>
          <w:szCs w:val="20"/>
          <w:lang w:val="lt-LT" w:bidi="ar-SA"/>
        </w:rPr>
        <w:t xml:space="preserve"> </w:t>
      </w:r>
      <w:r w:rsidRPr="001A5EAB">
        <w:rPr>
          <w:i/>
          <w:iCs/>
          <w:noProof/>
          <w:szCs w:val="20"/>
          <w:lang w:val="lt-LT" w:bidi="ar-SA"/>
        </w:rPr>
        <w:t>investuotojams Europos ekonominėje erdvėje</w:t>
      </w:r>
      <w:r w:rsidR="00334796" w:rsidRPr="001A5EAB">
        <w:rPr>
          <w:i/>
          <w:iCs/>
          <w:noProof/>
          <w:szCs w:val="20"/>
          <w:lang w:val="lt-LT" w:bidi="ar-SA"/>
        </w:rPr>
        <w:t xml:space="preserve">. </w:t>
      </w:r>
      <w:r w:rsidR="00826266" w:rsidRPr="001A5EAB">
        <w:rPr>
          <w:i/>
          <w:iCs/>
          <w:noProof/>
          <w:szCs w:val="20"/>
          <w:lang w:val="lt-LT" w:bidi="ar-SA"/>
        </w:rPr>
        <w:t xml:space="preserve">Šia prasme </w:t>
      </w:r>
      <w:r w:rsidR="00C604F7">
        <w:rPr>
          <w:i/>
          <w:iCs/>
          <w:noProof/>
          <w:szCs w:val="20"/>
          <w:lang w:val="lt-LT" w:bidi="ar-SA"/>
        </w:rPr>
        <w:t>neprofesionalus</w:t>
      </w:r>
      <w:r w:rsidR="00C604F7" w:rsidRPr="001A5EAB">
        <w:rPr>
          <w:i/>
          <w:iCs/>
          <w:noProof/>
          <w:szCs w:val="20"/>
          <w:lang w:val="lt-LT" w:bidi="ar-SA"/>
        </w:rPr>
        <w:t xml:space="preserve"> </w:t>
      </w:r>
      <w:r w:rsidRPr="001A5EAB">
        <w:rPr>
          <w:i/>
          <w:iCs/>
          <w:noProof/>
          <w:szCs w:val="20"/>
          <w:lang w:val="lt-LT" w:bidi="ar-SA"/>
        </w:rPr>
        <w:t xml:space="preserve">investuotojas – tai asmuo, atitinkantis vieną ar </w:t>
      </w:r>
      <w:r w:rsidR="00826266" w:rsidRPr="001A5EAB">
        <w:rPr>
          <w:i/>
          <w:iCs/>
          <w:noProof/>
          <w:szCs w:val="20"/>
          <w:lang w:val="lt-LT" w:bidi="ar-SA"/>
        </w:rPr>
        <w:t>daugiau</w:t>
      </w:r>
      <w:r w:rsidRPr="001A5EAB">
        <w:rPr>
          <w:i/>
          <w:iCs/>
          <w:noProof/>
          <w:szCs w:val="20"/>
          <w:lang w:val="lt-LT" w:bidi="ar-SA"/>
        </w:rPr>
        <w:t xml:space="preserve"> iš šių kriterijų: i) mažmeninis klientas, apibrėžtas MiFID</w:t>
      </w:r>
      <w:r w:rsidR="00091624">
        <w:rPr>
          <w:i/>
          <w:iCs/>
          <w:noProof/>
          <w:szCs w:val="20"/>
          <w:lang w:val="lt-LT" w:bidi="ar-SA"/>
        </w:rPr>
        <w:t xml:space="preserve"> II</w:t>
      </w:r>
      <w:r w:rsidRPr="001A5EAB">
        <w:rPr>
          <w:i/>
          <w:iCs/>
          <w:noProof/>
          <w:szCs w:val="20"/>
          <w:lang w:val="lt-LT" w:bidi="ar-SA"/>
        </w:rPr>
        <w:t xml:space="preserve"> </w:t>
      </w:r>
      <w:r w:rsidR="00334796" w:rsidRPr="001A5EAB">
        <w:rPr>
          <w:i/>
          <w:iCs/>
          <w:noProof/>
          <w:szCs w:val="20"/>
          <w:lang w:val="lt-LT" w:bidi="ar-SA"/>
        </w:rPr>
        <w:t>4</w:t>
      </w:r>
      <w:r w:rsidRPr="001A5EAB">
        <w:rPr>
          <w:i/>
          <w:iCs/>
          <w:noProof/>
          <w:szCs w:val="20"/>
          <w:lang w:val="lt-LT" w:bidi="ar-SA"/>
        </w:rPr>
        <w:t xml:space="preserve"> straipsnio </w:t>
      </w:r>
      <w:r w:rsidR="00334796" w:rsidRPr="001A5EAB">
        <w:rPr>
          <w:i/>
          <w:iCs/>
          <w:noProof/>
          <w:szCs w:val="20"/>
          <w:lang w:val="lt-LT" w:bidi="ar-SA"/>
        </w:rPr>
        <w:t>1</w:t>
      </w:r>
      <w:r w:rsidRPr="001A5EAB">
        <w:rPr>
          <w:i/>
          <w:iCs/>
          <w:noProof/>
          <w:szCs w:val="20"/>
          <w:lang w:val="lt-LT" w:bidi="ar-SA"/>
        </w:rPr>
        <w:t xml:space="preserve"> dalies</w:t>
      </w:r>
      <w:r w:rsidR="00334796" w:rsidRPr="001A5EAB">
        <w:rPr>
          <w:i/>
          <w:iCs/>
          <w:noProof/>
          <w:szCs w:val="20"/>
          <w:lang w:val="lt-LT" w:bidi="ar-SA"/>
        </w:rPr>
        <w:t xml:space="preserve"> </w:t>
      </w:r>
      <w:r w:rsidR="00826266" w:rsidRPr="001A5EAB">
        <w:rPr>
          <w:i/>
          <w:iCs/>
          <w:noProof/>
          <w:szCs w:val="20"/>
          <w:lang w:val="lt-LT" w:bidi="ar-SA"/>
        </w:rPr>
        <w:t>11 punkte</w:t>
      </w:r>
      <w:r w:rsidR="00334796" w:rsidRPr="001A5EAB">
        <w:rPr>
          <w:i/>
          <w:iCs/>
          <w:noProof/>
          <w:szCs w:val="20"/>
          <w:lang w:val="lt-LT" w:bidi="ar-SA"/>
        </w:rPr>
        <w:t xml:space="preserve">; </w:t>
      </w:r>
      <w:r w:rsidR="00826266" w:rsidRPr="001A5EAB">
        <w:rPr>
          <w:i/>
          <w:iCs/>
          <w:noProof/>
          <w:szCs w:val="20"/>
          <w:lang w:val="lt-LT" w:bidi="ar-SA"/>
        </w:rPr>
        <w:t xml:space="preserve">arba </w:t>
      </w:r>
      <w:r w:rsidR="00334796" w:rsidRPr="001A5EAB">
        <w:rPr>
          <w:i/>
          <w:iCs/>
          <w:noProof/>
          <w:szCs w:val="20"/>
          <w:lang w:val="lt-LT" w:bidi="ar-SA"/>
        </w:rPr>
        <w:t xml:space="preserve">ii) </w:t>
      </w:r>
      <w:r w:rsidR="00826266" w:rsidRPr="001A5EAB">
        <w:rPr>
          <w:i/>
          <w:iCs/>
          <w:noProof/>
          <w:szCs w:val="20"/>
          <w:lang w:val="lt-LT" w:bidi="ar-SA"/>
        </w:rPr>
        <w:t xml:space="preserve">Direktyvoje </w:t>
      </w:r>
      <w:r w:rsidR="00334796" w:rsidRPr="001A5EAB">
        <w:rPr>
          <w:i/>
          <w:iCs/>
          <w:noProof/>
          <w:szCs w:val="20"/>
          <w:lang w:val="lt-LT" w:bidi="ar-SA"/>
        </w:rPr>
        <w:t>(E</w:t>
      </w:r>
      <w:r w:rsidR="00826266" w:rsidRPr="001A5EAB">
        <w:rPr>
          <w:i/>
          <w:iCs/>
          <w:noProof/>
          <w:szCs w:val="20"/>
          <w:lang w:val="lt-LT" w:bidi="ar-SA"/>
        </w:rPr>
        <w:t>S</w:t>
      </w:r>
      <w:r w:rsidR="00334796" w:rsidRPr="001A5EAB">
        <w:rPr>
          <w:i/>
          <w:iCs/>
          <w:noProof/>
          <w:szCs w:val="20"/>
          <w:lang w:val="lt-LT" w:bidi="ar-SA"/>
        </w:rPr>
        <w:t xml:space="preserve">) </w:t>
      </w:r>
      <w:r w:rsidR="00826266" w:rsidRPr="001A5EAB">
        <w:rPr>
          <w:i/>
          <w:iCs/>
          <w:noProof/>
          <w:szCs w:val="20"/>
          <w:lang w:val="lt-LT" w:bidi="ar-SA"/>
        </w:rPr>
        <w:t xml:space="preserve">Nr. </w:t>
      </w:r>
      <w:r w:rsidR="00334796" w:rsidRPr="001A5EAB">
        <w:rPr>
          <w:i/>
          <w:iCs/>
          <w:noProof/>
          <w:szCs w:val="20"/>
          <w:lang w:val="lt-LT" w:bidi="ar-SA"/>
        </w:rPr>
        <w:t>2016/97</w:t>
      </w:r>
      <w:r w:rsidR="00826266" w:rsidRPr="001A5EAB">
        <w:rPr>
          <w:i/>
          <w:iCs/>
          <w:noProof/>
          <w:szCs w:val="20"/>
          <w:lang w:val="lt-LT" w:bidi="ar-SA"/>
        </w:rPr>
        <w:t xml:space="preserve"> apibrėžtas klientas, neatitinkantis MiFID </w:t>
      </w:r>
      <w:r w:rsidR="00091624">
        <w:rPr>
          <w:i/>
          <w:iCs/>
          <w:noProof/>
          <w:szCs w:val="20"/>
          <w:lang w:val="lt-LT" w:bidi="ar-SA"/>
        </w:rPr>
        <w:t xml:space="preserve">II </w:t>
      </w:r>
      <w:r w:rsidR="00826266" w:rsidRPr="001A5EAB">
        <w:rPr>
          <w:i/>
          <w:iCs/>
          <w:noProof/>
          <w:szCs w:val="20"/>
          <w:lang w:val="lt-LT" w:bidi="ar-SA"/>
        </w:rPr>
        <w:t>4 straipsnio 1 dalies 10 punkte nustatytų profesionalaus kliento kriterijų</w:t>
      </w:r>
      <w:r w:rsidR="00334796" w:rsidRPr="001A5EAB">
        <w:rPr>
          <w:i/>
          <w:iCs/>
          <w:noProof/>
          <w:szCs w:val="20"/>
          <w:lang w:val="lt-LT" w:bidi="ar-SA"/>
        </w:rPr>
        <w:t>.</w:t>
      </w:r>
    </w:p>
    <w:p w14:paraId="75DD0EAB" w14:textId="5D59F582" w:rsidR="00334796" w:rsidRPr="001A5EAB" w:rsidRDefault="00826266" w:rsidP="00334796">
      <w:pPr>
        <w:pStyle w:val="BodyText"/>
        <w:rPr>
          <w:iCs/>
          <w:noProof/>
          <w:szCs w:val="20"/>
          <w:lang w:val="lt-LT" w:bidi="ar-SA"/>
        </w:rPr>
      </w:pPr>
      <w:r w:rsidRPr="001A5EAB">
        <w:rPr>
          <w:i/>
          <w:iCs/>
          <w:noProof/>
          <w:szCs w:val="20"/>
          <w:lang w:val="lt-LT" w:bidi="ar-SA"/>
        </w:rPr>
        <w:t>Naujųjų</w:t>
      </w:r>
      <w:r w:rsidR="00B53B2A">
        <w:rPr>
          <w:i/>
          <w:iCs/>
          <w:noProof/>
          <w:szCs w:val="20"/>
          <w:lang w:val="lt-LT" w:bidi="ar-SA"/>
        </w:rPr>
        <w:t xml:space="preserve"> obligacijų</w:t>
      </w:r>
      <w:r w:rsidRPr="001A5EAB">
        <w:rPr>
          <w:i/>
          <w:iCs/>
          <w:noProof/>
          <w:szCs w:val="20"/>
          <w:lang w:val="lt-LT" w:bidi="ar-SA"/>
        </w:rPr>
        <w:t xml:space="preserve"> neketinama siūlyti, parduoti arba kitokiais būdais teikti ir j</w:t>
      </w:r>
      <w:r w:rsidR="00B53B2A">
        <w:rPr>
          <w:i/>
          <w:iCs/>
          <w:noProof/>
          <w:szCs w:val="20"/>
          <w:lang w:val="lt-LT" w:bidi="ar-SA"/>
        </w:rPr>
        <w:t>os</w:t>
      </w:r>
      <w:r w:rsidRPr="001A5EAB">
        <w:rPr>
          <w:i/>
          <w:iCs/>
          <w:noProof/>
          <w:szCs w:val="20"/>
          <w:lang w:val="lt-LT" w:bidi="ar-SA"/>
        </w:rPr>
        <w:t xml:space="preserve"> nebus siūlom</w:t>
      </w:r>
      <w:r w:rsidR="00B53B2A">
        <w:rPr>
          <w:i/>
          <w:iCs/>
          <w:noProof/>
          <w:szCs w:val="20"/>
          <w:lang w:val="lt-LT" w:bidi="ar-SA"/>
        </w:rPr>
        <w:t>os</w:t>
      </w:r>
      <w:r w:rsidRPr="001A5EAB">
        <w:rPr>
          <w:i/>
          <w:iCs/>
          <w:noProof/>
          <w:szCs w:val="20"/>
          <w:lang w:val="lt-LT" w:bidi="ar-SA"/>
        </w:rPr>
        <w:t>, parduodam</w:t>
      </w:r>
      <w:r w:rsidR="00B53B2A">
        <w:rPr>
          <w:i/>
          <w:iCs/>
          <w:noProof/>
          <w:szCs w:val="20"/>
          <w:lang w:val="lt-LT" w:bidi="ar-SA"/>
        </w:rPr>
        <w:t>os</w:t>
      </w:r>
      <w:r w:rsidRPr="001A5EAB">
        <w:rPr>
          <w:i/>
          <w:iCs/>
          <w:noProof/>
          <w:szCs w:val="20"/>
          <w:lang w:val="lt-LT" w:bidi="ar-SA"/>
        </w:rPr>
        <w:t xml:space="preserve"> ar kitokiais būdais teikiam</w:t>
      </w:r>
      <w:r w:rsidR="00B53B2A">
        <w:rPr>
          <w:i/>
          <w:iCs/>
          <w:noProof/>
          <w:szCs w:val="20"/>
          <w:lang w:val="lt-LT" w:bidi="ar-SA"/>
        </w:rPr>
        <w:t>os</w:t>
      </w:r>
      <w:r w:rsidRPr="001A5EAB">
        <w:rPr>
          <w:i/>
          <w:iCs/>
          <w:noProof/>
          <w:szCs w:val="20"/>
          <w:lang w:val="lt-LT" w:bidi="ar-SA"/>
        </w:rPr>
        <w:t xml:space="preserve"> jokiems </w:t>
      </w:r>
      <w:r w:rsidR="00A779F3">
        <w:rPr>
          <w:i/>
          <w:iCs/>
          <w:noProof/>
          <w:szCs w:val="20"/>
          <w:lang w:val="lt-LT" w:bidi="ar-SA"/>
        </w:rPr>
        <w:t>neprofesionaliems</w:t>
      </w:r>
      <w:r w:rsidR="00A779F3" w:rsidRPr="001A5EAB">
        <w:rPr>
          <w:i/>
          <w:iCs/>
          <w:noProof/>
          <w:szCs w:val="20"/>
          <w:lang w:val="lt-LT" w:bidi="ar-SA"/>
        </w:rPr>
        <w:t xml:space="preserve"> </w:t>
      </w:r>
      <w:r w:rsidRPr="001A5EAB">
        <w:rPr>
          <w:i/>
          <w:iCs/>
          <w:noProof/>
          <w:szCs w:val="20"/>
          <w:lang w:val="lt-LT" w:bidi="ar-SA"/>
        </w:rPr>
        <w:t>investuotojams Jungtinėje Karalystėje</w:t>
      </w:r>
      <w:r w:rsidR="00334796" w:rsidRPr="001A5EAB">
        <w:rPr>
          <w:i/>
          <w:iCs/>
          <w:noProof/>
          <w:szCs w:val="20"/>
          <w:lang w:val="lt-LT" w:bidi="ar-SA"/>
        </w:rPr>
        <w:t xml:space="preserve">. </w:t>
      </w:r>
      <w:r w:rsidRPr="001A5EAB">
        <w:rPr>
          <w:i/>
          <w:iCs/>
          <w:noProof/>
          <w:szCs w:val="20"/>
          <w:lang w:val="lt-LT" w:bidi="ar-SA"/>
        </w:rPr>
        <w:t xml:space="preserve">Šia prasme </w:t>
      </w:r>
      <w:r w:rsidR="00A779F3">
        <w:rPr>
          <w:i/>
          <w:iCs/>
          <w:noProof/>
          <w:szCs w:val="20"/>
          <w:lang w:val="lt-LT" w:bidi="ar-SA"/>
        </w:rPr>
        <w:t>neprofesionalus</w:t>
      </w:r>
      <w:r w:rsidR="00A779F3" w:rsidRPr="001A5EAB">
        <w:rPr>
          <w:i/>
          <w:iCs/>
          <w:noProof/>
          <w:szCs w:val="20"/>
          <w:lang w:val="lt-LT" w:bidi="ar-SA"/>
        </w:rPr>
        <w:t xml:space="preserve"> </w:t>
      </w:r>
      <w:r w:rsidRPr="001A5EAB">
        <w:rPr>
          <w:i/>
          <w:iCs/>
          <w:noProof/>
          <w:szCs w:val="20"/>
          <w:lang w:val="lt-LT" w:bidi="ar-SA"/>
        </w:rPr>
        <w:t>investuotojas – tai asmuo, atitinkantis vieną ar daugiau iš šių kriterijų</w:t>
      </w:r>
      <w:r w:rsidR="00334796" w:rsidRPr="001A5EAB">
        <w:rPr>
          <w:i/>
          <w:iCs/>
          <w:noProof/>
          <w:szCs w:val="20"/>
          <w:lang w:val="lt-LT" w:bidi="ar-SA"/>
        </w:rPr>
        <w:t xml:space="preserve">: i) </w:t>
      </w:r>
      <w:r w:rsidR="00FC6AF1" w:rsidRPr="001A5EAB">
        <w:rPr>
          <w:i/>
          <w:iCs/>
          <w:noProof/>
          <w:szCs w:val="20"/>
          <w:lang w:val="lt-LT" w:bidi="ar-SA"/>
        </w:rPr>
        <w:t xml:space="preserve">mažmeninis klientas, </w:t>
      </w:r>
      <w:r w:rsidR="00FC6AF1" w:rsidRPr="001A5EAB">
        <w:rPr>
          <w:i/>
          <w:iCs/>
          <w:noProof/>
          <w:szCs w:val="20"/>
          <w:lang w:val="lt-LT" w:bidi="ar-SA"/>
        </w:rPr>
        <w:lastRenderedPageBreak/>
        <w:t xml:space="preserve">apibrėžtas </w:t>
      </w:r>
      <w:r w:rsidR="009626AF" w:rsidRPr="001A5EAB">
        <w:rPr>
          <w:i/>
          <w:iCs/>
          <w:noProof/>
          <w:szCs w:val="20"/>
          <w:lang w:val="lt-LT" w:bidi="ar-SA"/>
        </w:rPr>
        <w:t>Reglamento</w:t>
      </w:r>
      <w:r w:rsidR="00334796" w:rsidRPr="001A5EAB">
        <w:rPr>
          <w:i/>
          <w:iCs/>
          <w:noProof/>
          <w:szCs w:val="20"/>
          <w:lang w:val="lt-LT" w:bidi="ar-SA"/>
        </w:rPr>
        <w:t xml:space="preserve"> (E</w:t>
      </w:r>
      <w:r w:rsidR="009626AF" w:rsidRPr="001A5EAB">
        <w:rPr>
          <w:i/>
          <w:iCs/>
          <w:noProof/>
          <w:szCs w:val="20"/>
          <w:lang w:val="lt-LT" w:bidi="ar-SA"/>
        </w:rPr>
        <w:t>S</w:t>
      </w:r>
      <w:r w:rsidR="00334796" w:rsidRPr="001A5EAB">
        <w:rPr>
          <w:i/>
          <w:iCs/>
          <w:noProof/>
          <w:szCs w:val="20"/>
          <w:lang w:val="lt-LT" w:bidi="ar-SA"/>
        </w:rPr>
        <w:t xml:space="preserve">) </w:t>
      </w:r>
      <w:r w:rsidR="009626AF" w:rsidRPr="001A5EAB">
        <w:rPr>
          <w:i/>
          <w:iCs/>
          <w:noProof/>
          <w:szCs w:val="20"/>
          <w:lang w:val="lt-LT" w:bidi="ar-SA"/>
        </w:rPr>
        <w:t xml:space="preserve">Nr. </w:t>
      </w:r>
      <w:r w:rsidR="00FC6AF1" w:rsidRPr="001A5EAB">
        <w:rPr>
          <w:i/>
          <w:iCs/>
          <w:noProof/>
          <w:szCs w:val="20"/>
          <w:lang w:val="lt-LT" w:bidi="ar-SA"/>
        </w:rPr>
        <w:t>2017/565,</w:t>
      </w:r>
      <w:r w:rsidR="009626AF" w:rsidRPr="001A5EAB">
        <w:rPr>
          <w:i/>
          <w:iCs/>
          <w:noProof/>
          <w:szCs w:val="20"/>
          <w:lang w:val="lt-LT" w:bidi="ar-SA"/>
        </w:rPr>
        <w:t xml:space="preserve"> </w:t>
      </w:r>
      <w:r w:rsidR="00A779F3">
        <w:rPr>
          <w:i/>
          <w:iCs/>
          <w:noProof/>
          <w:szCs w:val="20"/>
          <w:lang w:val="lt-LT" w:bidi="ar-SA"/>
        </w:rPr>
        <w:t>remiantis</w:t>
      </w:r>
      <w:r w:rsidR="00A779F3" w:rsidRPr="001A5EAB">
        <w:rPr>
          <w:i/>
          <w:iCs/>
          <w:noProof/>
          <w:szCs w:val="20"/>
          <w:lang w:val="lt-LT" w:bidi="ar-SA"/>
        </w:rPr>
        <w:t xml:space="preserve"> </w:t>
      </w:r>
      <w:r w:rsidR="00A779F3">
        <w:rPr>
          <w:i/>
          <w:iCs/>
          <w:noProof/>
          <w:szCs w:val="20"/>
          <w:lang w:val="lt-LT" w:bidi="ar-SA"/>
        </w:rPr>
        <w:t xml:space="preserve">2018 m. </w:t>
      </w:r>
      <w:r w:rsidR="00A779F3" w:rsidRPr="003021D2">
        <w:rPr>
          <w:i/>
          <w:iCs/>
          <w:noProof/>
          <w:szCs w:val="20"/>
          <w:lang w:val="lt-LT" w:bidi="ar-SA"/>
        </w:rPr>
        <w:t>J</w:t>
      </w:r>
      <w:r w:rsidR="00A779F3">
        <w:rPr>
          <w:i/>
          <w:iCs/>
          <w:noProof/>
          <w:szCs w:val="20"/>
          <w:lang w:val="lt-LT" w:bidi="ar-SA"/>
        </w:rPr>
        <w:t>ungtinės Karalystės</w:t>
      </w:r>
      <w:r w:rsidR="00A779F3" w:rsidRPr="003021D2">
        <w:rPr>
          <w:i/>
          <w:iCs/>
          <w:noProof/>
          <w:szCs w:val="20"/>
          <w:lang w:val="lt-LT" w:bidi="ar-SA"/>
        </w:rPr>
        <w:t xml:space="preserve"> </w:t>
      </w:r>
      <w:r w:rsidR="00A779F3">
        <w:rPr>
          <w:i/>
          <w:iCs/>
          <w:noProof/>
          <w:szCs w:val="20"/>
          <w:lang w:val="lt-LT" w:bidi="ar-SA"/>
        </w:rPr>
        <w:t>i</w:t>
      </w:r>
      <w:r w:rsidR="00A779F3" w:rsidRPr="003021D2">
        <w:rPr>
          <w:i/>
          <w:iCs/>
          <w:noProof/>
          <w:szCs w:val="20"/>
          <w:lang w:val="lt-LT" w:bidi="ar-SA"/>
        </w:rPr>
        <w:t>šstojimo susitarim</w:t>
      </w:r>
      <w:r w:rsidR="00A779F3">
        <w:rPr>
          <w:i/>
          <w:iCs/>
          <w:noProof/>
          <w:szCs w:val="20"/>
          <w:lang w:val="lt-LT" w:bidi="ar-SA"/>
        </w:rPr>
        <w:t>u</w:t>
      </w:r>
      <w:r w:rsidR="00A779F3" w:rsidRPr="003021D2" w:rsidDel="003021D2">
        <w:rPr>
          <w:i/>
          <w:iCs/>
          <w:noProof/>
          <w:szCs w:val="20"/>
          <w:lang w:val="lt-LT" w:bidi="ar-SA"/>
        </w:rPr>
        <w:t xml:space="preserve"> </w:t>
      </w:r>
      <w:r w:rsidR="00A779F3">
        <w:rPr>
          <w:i/>
          <w:iCs/>
          <w:noProof/>
          <w:szCs w:val="20"/>
          <w:lang w:val="lt-LT" w:bidi="ar-SA"/>
        </w:rPr>
        <w:t xml:space="preserve">(angl. </w:t>
      </w:r>
      <w:r w:rsidR="00A779F3" w:rsidRPr="003021D2">
        <w:rPr>
          <w:i/>
          <w:iCs/>
          <w:noProof/>
          <w:szCs w:val="20"/>
          <w:lang w:val="lt-LT" w:bidi="ar-SA"/>
        </w:rPr>
        <w:t>European Union (Withdrawal) Act 2018</w:t>
      </w:r>
      <w:r w:rsidR="00A779F3">
        <w:rPr>
          <w:i/>
          <w:iCs/>
          <w:noProof/>
          <w:szCs w:val="20"/>
          <w:lang w:val="lt-LT" w:bidi="ar-SA"/>
        </w:rPr>
        <w:t xml:space="preserve">, toliau – </w:t>
      </w:r>
      <w:r w:rsidR="00A779F3" w:rsidRPr="006B2FFB">
        <w:rPr>
          <w:b/>
          <w:bCs/>
          <w:i/>
          <w:iCs/>
          <w:noProof/>
          <w:szCs w:val="20"/>
          <w:lang w:val="lt-LT" w:bidi="ar-SA"/>
        </w:rPr>
        <w:t>EUWA</w:t>
      </w:r>
      <w:r w:rsidR="00A779F3">
        <w:rPr>
          <w:i/>
          <w:iCs/>
          <w:noProof/>
          <w:szCs w:val="20"/>
          <w:lang w:val="lt-LT" w:bidi="ar-SA"/>
        </w:rPr>
        <w:t>)</w:t>
      </w:r>
      <w:r w:rsidR="009626AF" w:rsidRPr="001A5EAB">
        <w:rPr>
          <w:i/>
          <w:iCs/>
          <w:noProof/>
          <w:szCs w:val="20"/>
          <w:lang w:val="lt-LT" w:bidi="ar-SA"/>
        </w:rPr>
        <w:t xml:space="preserve"> </w:t>
      </w:r>
      <w:r w:rsidR="00A779F3">
        <w:rPr>
          <w:i/>
          <w:iCs/>
          <w:noProof/>
          <w:szCs w:val="20"/>
          <w:lang w:val="lt-LT" w:bidi="ar-SA"/>
        </w:rPr>
        <w:t>perkleto</w:t>
      </w:r>
      <w:r w:rsidR="00A779F3" w:rsidRPr="001A5EAB">
        <w:rPr>
          <w:i/>
          <w:iCs/>
          <w:noProof/>
          <w:szCs w:val="20"/>
          <w:lang w:val="lt-LT" w:bidi="ar-SA"/>
        </w:rPr>
        <w:t xml:space="preserve"> </w:t>
      </w:r>
      <w:r w:rsidR="009626AF" w:rsidRPr="001A5EAB">
        <w:rPr>
          <w:i/>
          <w:iCs/>
          <w:noProof/>
          <w:szCs w:val="20"/>
          <w:lang w:val="lt-LT" w:bidi="ar-SA"/>
        </w:rPr>
        <w:t xml:space="preserve">į </w:t>
      </w:r>
      <w:r w:rsidR="00A779F3">
        <w:rPr>
          <w:i/>
          <w:iCs/>
          <w:noProof/>
          <w:szCs w:val="20"/>
          <w:lang w:val="lt-LT" w:bidi="ar-SA"/>
        </w:rPr>
        <w:t>nacionalinę</w:t>
      </w:r>
      <w:r w:rsidR="00A779F3" w:rsidRPr="001A5EAB">
        <w:rPr>
          <w:i/>
          <w:iCs/>
          <w:noProof/>
          <w:szCs w:val="20"/>
          <w:lang w:val="lt-LT" w:bidi="ar-SA"/>
        </w:rPr>
        <w:t xml:space="preserve"> </w:t>
      </w:r>
      <w:r w:rsidR="009626AF" w:rsidRPr="001A5EAB">
        <w:rPr>
          <w:i/>
          <w:iCs/>
          <w:noProof/>
          <w:szCs w:val="20"/>
          <w:lang w:val="lt-LT" w:bidi="ar-SA"/>
        </w:rPr>
        <w:t>teisę,</w:t>
      </w:r>
      <w:r w:rsidR="00334796" w:rsidRPr="001A5EAB">
        <w:rPr>
          <w:i/>
          <w:iCs/>
          <w:noProof/>
          <w:szCs w:val="20"/>
          <w:lang w:val="lt-LT" w:bidi="ar-SA"/>
        </w:rPr>
        <w:t xml:space="preserve"> </w:t>
      </w:r>
      <w:r w:rsidR="009626AF" w:rsidRPr="001A5EAB">
        <w:rPr>
          <w:i/>
          <w:iCs/>
          <w:noProof/>
          <w:szCs w:val="20"/>
          <w:lang w:val="lt-LT" w:bidi="ar-SA"/>
        </w:rPr>
        <w:t xml:space="preserve">2 straipsnio 8 </w:t>
      </w:r>
      <w:r w:rsidR="00A779F3" w:rsidRPr="001A5EAB">
        <w:rPr>
          <w:i/>
          <w:iCs/>
          <w:noProof/>
          <w:szCs w:val="20"/>
          <w:lang w:val="lt-LT" w:bidi="ar-SA"/>
        </w:rPr>
        <w:t>punkt</w:t>
      </w:r>
      <w:r w:rsidR="00A779F3">
        <w:rPr>
          <w:i/>
          <w:iCs/>
          <w:noProof/>
          <w:szCs w:val="20"/>
          <w:lang w:val="lt-LT" w:bidi="ar-SA"/>
        </w:rPr>
        <w:t>u</w:t>
      </w:r>
      <w:r w:rsidR="009626AF" w:rsidRPr="001A5EAB">
        <w:rPr>
          <w:i/>
          <w:iCs/>
          <w:noProof/>
          <w:szCs w:val="20"/>
          <w:lang w:val="lt-LT" w:bidi="ar-SA"/>
        </w:rPr>
        <w:t xml:space="preserve">; arba </w:t>
      </w:r>
      <w:r w:rsidR="00334796" w:rsidRPr="001A5EAB">
        <w:rPr>
          <w:i/>
          <w:iCs/>
          <w:noProof/>
          <w:szCs w:val="20"/>
          <w:lang w:val="lt-LT" w:bidi="ar-SA"/>
        </w:rPr>
        <w:t xml:space="preserve">ii) </w:t>
      </w:r>
      <w:r w:rsidR="009626AF" w:rsidRPr="001A5EAB">
        <w:rPr>
          <w:i/>
          <w:iCs/>
          <w:noProof/>
          <w:szCs w:val="20"/>
          <w:lang w:val="lt-LT" w:bidi="ar-SA"/>
        </w:rPr>
        <w:t xml:space="preserve">klientas, kaip šis terminas apibrėžtas </w:t>
      </w:r>
      <w:r w:rsidR="00334796" w:rsidRPr="001A5EAB">
        <w:rPr>
          <w:i/>
          <w:iCs/>
          <w:noProof/>
          <w:szCs w:val="20"/>
          <w:lang w:val="lt-LT" w:bidi="ar-SA"/>
        </w:rPr>
        <w:t>2000</w:t>
      </w:r>
      <w:r w:rsidR="009626AF" w:rsidRPr="001A5EAB">
        <w:rPr>
          <w:i/>
          <w:iCs/>
          <w:noProof/>
          <w:szCs w:val="20"/>
          <w:lang w:val="lt-LT" w:bidi="ar-SA"/>
        </w:rPr>
        <w:t xml:space="preserve"> m. Finansinių paslaugų ir rinkų įstatyme su pakeitimais (angl. Financial Services and Markets Act, toliau – </w:t>
      </w:r>
      <w:r w:rsidR="00334796" w:rsidRPr="001A5EAB">
        <w:rPr>
          <w:b/>
          <w:bCs/>
          <w:i/>
          <w:iCs/>
          <w:noProof/>
          <w:szCs w:val="20"/>
          <w:lang w:val="lt-LT" w:bidi="ar-SA"/>
        </w:rPr>
        <w:t>FSMA</w:t>
      </w:r>
      <w:r w:rsidR="00334796" w:rsidRPr="001A5EAB">
        <w:rPr>
          <w:i/>
          <w:iCs/>
          <w:noProof/>
          <w:szCs w:val="20"/>
          <w:lang w:val="lt-LT" w:bidi="ar-SA"/>
        </w:rPr>
        <w:t xml:space="preserve">) </w:t>
      </w:r>
      <w:r w:rsidR="009626AF" w:rsidRPr="001A5EAB">
        <w:rPr>
          <w:i/>
          <w:iCs/>
          <w:noProof/>
          <w:szCs w:val="20"/>
          <w:lang w:val="lt-LT" w:bidi="ar-SA"/>
        </w:rPr>
        <w:t xml:space="preserve">ir bet kokiose FSMA taisyklėse ir nuostatose, skirtose įgyvendinti Direktyvą </w:t>
      </w:r>
      <w:r w:rsidR="00334796" w:rsidRPr="001A5EAB">
        <w:rPr>
          <w:i/>
          <w:iCs/>
          <w:noProof/>
          <w:szCs w:val="20"/>
          <w:lang w:val="lt-LT" w:bidi="ar-SA"/>
        </w:rPr>
        <w:t>(E</w:t>
      </w:r>
      <w:r w:rsidR="009626AF" w:rsidRPr="001A5EAB">
        <w:rPr>
          <w:i/>
          <w:iCs/>
          <w:noProof/>
          <w:szCs w:val="20"/>
          <w:lang w:val="lt-LT" w:bidi="ar-SA"/>
        </w:rPr>
        <w:t>S</w:t>
      </w:r>
      <w:r w:rsidR="00334796" w:rsidRPr="001A5EAB">
        <w:rPr>
          <w:i/>
          <w:iCs/>
          <w:noProof/>
          <w:szCs w:val="20"/>
          <w:lang w:val="lt-LT" w:bidi="ar-SA"/>
        </w:rPr>
        <w:t xml:space="preserve">) </w:t>
      </w:r>
      <w:r w:rsidR="009626AF" w:rsidRPr="001A5EAB">
        <w:rPr>
          <w:i/>
          <w:iCs/>
          <w:noProof/>
          <w:szCs w:val="20"/>
          <w:lang w:val="lt-LT" w:bidi="ar-SA"/>
        </w:rPr>
        <w:t xml:space="preserve">Nr. </w:t>
      </w:r>
      <w:r w:rsidR="00334796" w:rsidRPr="001A5EAB">
        <w:rPr>
          <w:i/>
          <w:iCs/>
          <w:noProof/>
          <w:szCs w:val="20"/>
          <w:lang w:val="lt-LT" w:bidi="ar-SA"/>
        </w:rPr>
        <w:t xml:space="preserve">2016/97, </w:t>
      </w:r>
      <w:r w:rsidR="009626AF" w:rsidRPr="001A5EAB">
        <w:rPr>
          <w:i/>
          <w:iCs/>
          <w:noProof/>
          <w:szCs w:val="20"/>
          <w:lang w:val="lt-LT" w:bidi="ar-SA"/>
        </w:rPr>
        <w:t xml:space="preserve">jei toks klientas neatitinka Reglamento (ES) 600/2014, per EUWA </w:t>
      </w:r>
      <w:r w:rsidR="00B75A11">
        <w:rPr>
          <w:i/>
          <w:iCs/>
          <w:noProof/>
          <w:szCs w:val="20"/>
          <w:lang w:val="lt-LT" w:bidi="ar-SA"/>
        </w:rPr>
        <w:t>perkelto</w:t>
      </w:r>
      <w:r w:rsidR="00B75A11" w:rsidRPr="001A5EAB">
        <w:rPr>
          <w:i/>
          <w:iCs/>
          <w:noProof/>
          <w:szCs w:val="20"/>
          <w:lang w:val="lt-LT" w:bidi="ar-SA"/>
        </w:rPr>
        <w:t xml:space="preserve"> </w:t>
      </w:r>
      <w:r w:rsidR="009626AF" w:rsidRPr="001A5EAB">
        <w:rPr>
          <w:i/>
          <w:iCs/>
          <w:noProof/>
          <w:szCs w:val="20"/>
          <w:lang w:val="lt-LT" w:bidi="ar-SA"/>
        </w:rPr>
        <w:t xml:space="preserve">į </w:t>
      </w:r>
      <w:r w:rsidR="00B75A11">
        <w:rPr>
          <w:i/>
          <w:iCs/>
          <w:noProof/>
          <w:szCs w:val="20"/>
          <w:lang w:val="lt-LT" w:bidi="ar-SA"/>
        </w:rPr>
        <w:t>nacionalinę</w:t>
      </w:r>
      <w:r w:rsidR="00B75A11" w:rsidRPr="001A5EAB">
        <w:rPr>
          <w:i/>
          <w:iCs/>
          <w:noProof/>
          <w:szCs w:val="20"/>
          <w:lang w:val="lt-LT" w:bidi="ar-SA"/>
        </w:rPr>
        <w:t xml:space="preserve"> </w:t>
      </w:r>
      <w:r w:rsidR="009626AF" w:rsidRPr="001A5EAB">
        <w:rPr>
          <w:i/>
          <w:iCs/>
          <w:noProof/>
          <w:szCs w:val="20"/>
          <w:lang w:val="lt-LT" w:bidi="ar-SA"/>
        </w:rPr>
        <w:t>teisę,</w:t>
      </w:r>
      <w:r w:rsidR="00334796" w:rsidRPr="001A5EAB">
        <w:rPr>
          <w:i/>
          <w:iCs/>
          <w:noProof/>
          <w:szCs w:val="20"/>
          <w:lang w:val="lt-LT" w:bidi="ar-SA"/>
        </w:rPr>
        <w:t xml:space="preserve"> 2</w:t>
      </w:r>
      <w:r w:rsidR="009626AF" w:rsidRPr="001A5EAB">
        <w:rPr>
          <w:i/>
          <w:iCs/>
          <w:noProof/>
          <w:szCs w:val="20"/>
          <w:lang w:val="lt-LT" w:bidi="ar-SA"/>
        </w:rPr>
        <w:t xml:space="preserve"> straipsnio </w:t>
      </w:r>
      <w:r w:rsidR="00334796" w:rsidRPr="001A5EAB">
        <w:rPr>
          <w:i/>
          <w:iCs/>
          <w:noProof/>
          <w:szCs w:val="20"/>
          <w:lang w:val="lt-LT" w:bidi="ar-SA"/>
        </w:rPr>
        <w:t>1</w:t>
      </w:r>
      <w:r w:rsidR="009626AF" w:rsidRPr="001A5EAB">
        <w:rPr>
          <w:i/>
          <w:iCs/>
          <w:noProof/>
          <w:szCs w:val="20"/>
          <w:lang w:val="lt-LT" w:bidi="ar-SA"/>
        </w:rPr>
        <w:t xml:space="preserve"> dalies</w:t>
      </w:r>
      <w:r w:rsidR="00334796" w:rsidRPr="001A5EAB">
        <w:rPr>
          <w:i/>
          <w:iCs/>
          <w:noProof/>
          <w:szCs w:val="20"/>
          <w:lang w:val="lt-LT" w:bidi="ar-SA"/>
        </w:rPr>
        <w:t xml:space="preserve"> </w:t>
      </w:r>
      <w:r w:rsidR="009626AF" w:rsidRPr="001A5EAB">
        <w:rPr>
          <w:i/>
          <w:iCs/>
          <w:noProof/>
          <w:szCs w:val="20"/>
          <w:lang w:val="lt-LT" w:bidi="ar-SA"/>
        </w:rPr>
        <w:t>8 punkte nustatytų profesionalaus kliento kriterijų</w:t>
      </w:r>
      <w:r w:rsidR="00334796" w:rsidRPr="001A5EAB">
        <w:rPr>
          <w:i/>
          <w:iCs/>
          <w:noProof/>
          <w:szCs w:val="20"/>
          <w:lang w:val="lt-LT" w:bidi="ar-SA"/>
        </w:rPr>
        <w:t>.</w:t>
      </w:r>
    </w:p>
    <w:p w14:paraId="0FC6335B" w14:textId="600D35A7" w:rsidR="001B36FF" w:rsidRPr="001A5EAB" w:rsidRDefault="00646C6F">
      <w:pPr>
        <w:pStyle w:val="BodyText"/>
        <w:rPr>
          <w:noProof/>
          <w:lang w:val="lt-LT"/>
        </w:rPr>
      </w:pPr>
      <w:r w:rsidRPr="001A5EAB">
        <w:rPr>
          <w:i/>
          <w:noProof/>
          <w:lang w:val="lt-LT"/>
        </w:rPr>
        <w:t xml:space="preserve">Naujųjų </w:t>
      </w:r>
      <w:r w:rsidR="00A7787B">
        <w:rPr>
          <w:i/>
          <w:noProof/>
          <w:lang w:val="lt-LT"/>
        </w:rPr>
        <w:t>obligacijų</w:t>
      </w:r>
      <w:r w:rsidRPr="001A5EAB">
        <w:rPr>
          <w:i/>
          <w:noProof/>
          <w:lang w:val="lt-LT"/>
        </w:rPr>
        <w:t xml:space="preserve"> atžvilgiu jokioje jurisdikcijoje nebus imamasi jokių veiksmų, siekiant gauti leidimą įvykdyti viešąjį vertybinių popierių siūlymą</w:t>
      </w:r>
      <w:r w:rsidR="00060C0D" w:rsidRPr="001A5EAB">
        <w:rPr>
          <w:i/>
          <w:noProof/>
          <w:lang w:val="lt-LT"/>
        </w:rPr>
        <w:t>.</w:t>
      </w:r>
    </w:p>
    <w:p w14:paraId="6FA2EF1B" w14:textId="19B4BB6F" w:rsidR="001B36FF" w:rsidRPr="001A5EAB" w:rsidRDefault="00101ED2">
      <w:pPr>
        <w:pStyle w:val="Title7"/>
        <w:rPr>
          <w:b/>
          <w:bCs/>
          <w:i w:val="0"/>
          <w:iCs/>
          <w:noProof/>
          <w:lang w:val="lt-LT"/>
        </w:rPr>
      </w:pPr>
      <w:r w:rsidRPr="001A5EAB">
        <w:rPr>
          <w:b/>
          <w:bCs/>
          <w:i w:val="0"/>
          <w:iCs/>
          <w:noProof/>
          <w:lang w:val="lt-LT"/>
        </w:rPr>
        <w:t>Pasiūlymo sąlygos</w:t>
      </w:r>
    </w:p>
    <w:p w14:paraId="58BBC516" w14:textId="23A41564" w:rsidR="001B36FF" w:rsidRPr="001A5EAB" w:rsidRDefault="00101ED2">
      <w:pPr>
        <w:pStyle w:val="BodyText"/>
        <w:rPr>
          <w:noProof/>
          <w:lang w:val="lt-LT"/>
        </w:rPr>
      </w:pPr>
      <w:r w:rsidRPr="001A5EAB">
        <w:rPr>
          <w:noProof/>
          <w:lang w:val="lt-LT"/>
        </w:rPr>
        <w:t xml:space="preserve">Pasiūlymą išpirkti </w:t>
      </w:r>
      <w:r w:rsidR="0050482F">
        <w:rPr>
          <w:noProof/>
          <w:lang w:val="lt-LT"/>
        </w:rPr>
        <w:t>Obligacijas</w:t>
      </w:r>
      <w:r w:rsidRPr="001A5EAB">
        <w:rPr>
          <w:noProof/>
          <w:lang w:val="lt-LT"/>
        </w:rPr>
        <w:t xml:space="preserve"> galima pateikti tik pateikus galiojantį Pasiūlymo nurodymą</w:t>
      </w:r>
      <w:r w:rsidR="00060C0D" w:rsidRPr="001A5EAB">
        <w:rPr>
          <w:noProof/>
          <w:lang w:val="lt-LT"/>
        </w:rPr>
        <w:t xml:space="preserve">. </w:t>
      </w:r>
      <w:r w:rsidRPr="001A5EAB">
        <w:rPr>
          <w:noProof/>
          <w:lang w:val="lt-LT"/>
        </w:rPr>
        <w:t>Pasiūlymas bus užbaigtas tik įvykdžius Naujo finansavimo sąlygą</w:t>
      </w:r>
      <w:r w:rsidR="00060C0D" w:rsidRPr="001A5EAB">
        <w:rPr>
          <w:noProof/>
          <w:lang w:val="lt-LT"/>
        </w:rPr>
        <w:t>.</w:t>
      </w:r>
    </w:p>
    <w:p w14:paraId="2A47CD01" w14:textId="5AF9979D" w:rsidR="001B36FF" w:rsidRPr="001A5EAB" w:rsidRDefault="00101ED2">
      <w:pPr>
        <w:pStyle w:val="Title7"/>
        <w:rPr>
          <w:b/>
          <w:bCs/>
          <w:i w:val="0"/>
          <w:iCs/>
          <w:noProof/>
          <w:lang w:val="lt-LT"/>
        </w:rPr>
      </w:pPr>
      <w:r w:rsidRPr="001A5EAB">
        <w:rPr>
          <w:b/>
          <w:bCs/>
          <w:i w:val="0"/>
          <w:iCs/>
          <w:noProof/>
          <w:lang w:val="lt-LT"/>
        </w:rPr>
        <w:t>Sąnaudos ir išlaidos</w:t>
      </w:r>
    </w:p>
    <w:p w14:paraId="1F906E6A" w14:textId="13DAD480" w:rsidR="001B36FF" w:rsidRPr="001A5EAB" w:rsidRDefault="00101ED2">
      <w:pPr>
        <w:pStyle w:val="BodyText"/>
        <w:rPr>
          <w:noProof/>
          <w:lang w:val="lt-LT"/>
        </w:rPr>
      </w:pPr>
      <w:r w:rsidRPr="001A5EAB">
        <w:rPr>
          <w:noProof/>
          <w:lang w:val="lt-LT"/>
        </w:rPr>
        <w:t xml:space="preserve">Bet kokius mokesčius, sąnaudas ir išlaidas, kuriuos </w:t>
      </w:r>
      <w:r w:rsidR="00141433">
        <w:rPr>
          <w:noProof/>
          <w:lang w:val="lt-LT"/>
        </w:rPr>
        <w:t xml:space="preserve">Obligacijų </w:t>
      </w:r>
      <w:r w:rsidR="007F3B0C">
        <w:rPr>
          <w:noProof/>
          <w:lang w:val="lt-LT"/>
        </w:rPr>
        <w:t>savinink</w:t>
      </w:r>
      <w:r w:rsidRPr="001A5EAB">
        <w:rPr>
          <w:noProof/>
          <w:lang w:val="lt-LT"/>
        </w:rPr>
        <w:t xml:space="preserve">ai arba kuris nors Tarpininkas patiria </w:t>
      </w:r>
      <w:r w:rsidR="002A1DC1" w:rsidRPr="001A5EAB">
        <w:rPr>
          <w:noProof/>
          <w:lang w:val="lt-LT"/>
        </w:rPr>
        <w:t xml:space="preserve">Pasiūlymo kontekste, padengia atitinkamas </w:t>
      </w:r>
      <w:r w:rsidR="00141433">
        <w:rPr>
          <w:noProof/>
          <w:lang w:val="lt-LT"/>
        </w:rPr>
        <w:t xml:space="preserve">Obligacijų </w:t>
      </w:r>
      <w:r w:rsidR="007F3B0C">
        <w:rPr>
          <w:noProof/>
          <w:lang w:val="lt-LT"/>
        </w:rPr>
        <w:t>savinink</w:t>
      </w:r>
      <w:r w:rsidR="002A1DC1" w:rsidRPr="001A5EAB">
        <w:rPr>
          <w:noProof/>
          <w:lang w:val="lt-LT"/>
        </w:rPr>
        <w:t>as</w:t>
      </w:r>
      <w:r w:rsidR="00EE6AD1" w:rsidRPr="001A5EAB">
        <w:rPr>
          <w:noProof/>
          <w:lang w:val="lt-LT"/>
        </w:rPr>
        <w:t xml:space="preserve">. </w:t>
      </w:r>
      <w:r w:rsidR="00B57D2E">
        <w:rPr>
          <w:noProof/>
          <w:lang w:val="lt-LT"/>
        </w:rPr>
        <w:t>Platintoj</w:t>
      </w:r>
      <w:r w:rsidR="0026241E">
        <w:rPr>
          <w:noProof/>
          <w:lang w:val="lt-LT"/>
        </w:rPr>
        <w:t>ų</w:t>
      </w:r>
      <w:r w:rsidR="00B57D2E" w:rsidRPr="001A5EAB">
        <w:rPr>
          <w:noProof/>
          <w:lang w:val="lt-LT"/>
        </w:rPr>
        <w:t xml:space="preserve"> </w:t>
      </w:r>
      <w:r w:rsidR="002A1DC1" w:rsidRPr="001A5EAB">
        <w:rPr>
          <w:noProof/>
          <w:lang w:val="lt-LT"/>
        </w:rPr>
        <w:t xml:space="preserve">valdytojai arba </w:t>
      </w:r>
      <w:r w:rsidR="00F5393D">
        <w:rPr>
          <w:noProof/>
          <w:lang w:val="lt-LT"/>
        </w:rPr>
        <w:t>Pasiūlymo</w:t>
      </w:r>
      <w:r w:rsidR="00F5393D" w:rsidRPr="001A5EAB">
        <w:rPr>
          <w:noProof/>
          <w:lang w:val="lt-LT"/>
        </w:rPr>
        <w:t xml:space="preserve"> </w:t>
      </w:r>
      <w:r w:rsidR="002A1DC1" w:rsidRPr="001A5EAB">
        <w:rPr>
          <w:noProof/>
          <w:lang w:val="lt-LT"/>
        </w:rPr>
        <w:t xml:space="preserve">agentas </w:t>
      </w:r>
      <w:r w:rsidR="00D93859" w:rsidRPr="001A5EAB">
        <w:rPr>
          <w:noProof/>
          <w:lang w:val="lt-LT"/>
        </w:rPr>
        <w:t xml:space="preserve">nenustato </w:t>
      </w:r>
      <w:r w:rsidR="002A1DC1" w:rsidRPr="001A5EAB">
        <w:rPr>
          <w:noProof/>
          <w:lang w:val="lt-LT"/>
        </w:rPr>
        <w:t>jokių tarpininkavimo mokesčių</w:t>
      </w:r>
      <w:r w:rsidR="00EE6AD1" w:rsidRPr="001A5EAB">
        <w:rPr>
          <w:noProof/>
          <w:lang w:val="lt-LT"/>
        </w:rPr>
        <w:t xml:space="preserve">. </w:t>
      </w:r>
      <w:r w:rsidR="00141433">
        <w:rPr>
          <w:noProof/>
          <w:lang w:val="lt-LT"/>
        </w:rPr>
        <w:t xml:space="preserve">Obligacijų </w:t>
      </w:r>
      <w:r w:rsidR="007F3B0C">
        <w:rPr>
          <w:noProof/>
          <w:lang w:val="lt-LT"/>
        </w:rPr>
        <w:t>savinink</w:t>
      </w:r>
      <w:r w:rsidR="002A1DC1" w:rsidRPr="001A5EAB">
        <w:rPr>
          <w:noProof/>
          <w:lang w:val="lt-LT"/>
        </w:rPr>
        <w:t xml:space="preserve">ai turėtų pasitikslinti, ar jų </w:t>
      </w:r>
      <w:r w:rsidR="00157810">
        <w:rPr>
          <w:noProof/>
          <w:lang w:val="lt-LT"/>
        </w:rPr>
        <w:t xml:space="preserve">finansų </w:t>
      </w:r>
      <w:r w:rsidR="002A1DC1" w:rsidRPr="001A5EAB">
        <w:rPr>
          <w:noProof/>
          <w:lang w:val="lt-LT"/>
        </w:rPr>
        <w:t xml:space="preserve">makleriai arba </w:t>
      </w:r>
      <w:r w:rsidR="00157810">
        <w:rPr>
          <w:noProof/>
          <w:lang w:val="lt-LT"/>
        </w:rPr>
        <w:t>tvarkytojai</w:t>
      </w:r>
      <w:r w:rsidR="00D93859" w:rsidRPr="001A5EAB">
        <w:rPr>
          <w:noProof/>
          <w:lang w:val="lt-LT"/>
        </w:rPr>
        <w:t xml:space="preserve"> </w:t>
      </w:r>
      <w:r w:rsidR="002A1DC1" w:rsidRPr="001A5EAB">
        <w:rPr>
          <w:noProof/>
          <w:lang w:val="lt-LT"/>
        </w:rPr>
        <w:t>taiko kokius nors mokesčius</w:t>
      </w:r>
      <w:r w:rsidR="00EE6AD1" w:rsidRPr="001A5EAB">
        <w:rPr>
          <w:noProof/>
          <w:lang w:val="lt-LT"/>
        </w:rPr>
        <w:t>.</w:t>
      </w:r>
    </w:p>
    <w:p w14:paraId="73A98B9D" w14:textId="77777777" w:rsidR="00F13A82" w:rsidRPr="001A5EAB" w:rsidRDefault="00F13A82" w:rsidP="00F13A82">
      <w:pPr>
        <w:pStyle w:val="Title7"/>
        <w:rPr>
          <w:b/>
          <w:bCs/>
          <w:i w:val="0"/>
          <w:iCs/>
          <w:noProof/>
          <w:lang w:val="lt-LT"/>
        </w:rPr>
      </w:pPr>
      <w:bookmarkStart w:id="1" w:name="_Toc27470034"/>
      <w:bookmarkStart w:id="2" w:name="_Toc102163897"/>
      <w:r w:rsidRPr="001A5EAB">
        <w:rPr>
          <w:b/>
          <w:bCs/>
          <w:i w:val="0"/>
          <w:iCs/>
          <w:noProof/>
          <w:lang w:val="lt-LT"/>
        </w:rPr>
        <w:t>Dalyvavimo Pasiūlyme tvarka</w:t>
      </w:r>
      <w:bookmarkEnd w:id="1"/>
      <w:bookmarkEnd w:id="2"/>
    </w:p>
    <w:p w14:paraId="4A5DFB39" w14:textId="2425242D" w:rsidR="00F13A82" w:rsidRPr="001A5EAB" w:rsidRDefault="00F13A82" w:rsidP="00F13A82">
      <w:pPr>
        <w:pStyle w:val="BodyText"/>
        <w:rPr>
          <w:noProof/>
          <w:lang w:val="lt-LT"/>
        </w:rPr>
      </w:pPr>
      <w:r w:rsidRPr="001A5EAB">
        <w:rPr>
          <w:noProof/>
          <w:lang w:val="lt-LT"/>
        </w:rPr>
        <w:t xml:space="preserve">Bet kurie Pasiūlyme dalyvauti pageidaujantys </w:t>
      </w:r>
      <w:r w:rsidR="00141433">
        <w:rPr>
          <w:noProof/>
          <w:lang w:val="lt-LT"/>
        </w:rPr>
        <w:t xml:space="preserve">Obligacijų </w:t>
      </w:r>
      <w:r w:rsidR="007F3B0C">
        <w:rPr>
          <w:noProof/>
          <w:lang w:val="lt-LT"/>
        </w:rPr>
        <w:t>savinink</w:t>
      </w:r>
      <w:r w:rsidRPr="001A5EAB">
        <w:rPr>
          <w:noProof/>
          <w:lang w:val="lt-LT"/>
        </w:rPr>
        <w:t>ai privalo pateikti savo Pasiūlymo nurodymus arba pasirūpinti, kad jų nurodymas būtų pateiktas jų vardu toliau</w:t>
      </w:r>
      <w:r w:rsidR="00627FB6" w:rsidRPr="001A5EAB">
        <w:rPr>
          <w:noProof/>
          <w:lang w:val="lt-LT"/>
        </w:rPr>
        <w:t xml:space="preserve"> šiame dokumente</w:t>
      </w:r>
      <w:r w:rsidRPr="001A5EAB">
        <w:rPr>
          <w:noProof/>
          <w:lang w:val="lt-LT"/>
        </w:rPr>
        <w:t xml:space="preserve"> ir Oficialaus pasiūlymo memorandume nustatyta tvarka. </w:t>
      </w:r>
      <w:r w:rsidR="00851D6B" w:rsidRPr="001A5EAB">
        <w:rPr>
          <w:noProof/>
          <w:lang w:val="lt-LT"/>
        </w:rPr>
        <w:t>Norėdamas pateikti</w:t>
      </w:r>
      <w:r w:rsidRPr="001A5EAB">
        <w:rPr>
          <w:noProof/>
          <w:lang w:val="lt-LT"/>
        </w:rPr>
        <w:t xml:space="preserve"> </w:t>
      </w:r>
      <w:r w:rsidR="0050482F">
        <w:rPr>
          <w:noProof/>
          <w:lang w:val="lt-LT"/>
        </w:rPr>
        <w:t>Obligacijas</w:t>
      </w:r>
      <w:r w:rsidRPr="001A5EAB">
        <w:rPr>
          <w:noProof/>
          <w:lang w:val="lt-LT"/>
        </w:rPr>
        <w:t xml:space="preserve"> pagal Pasiūlymą, </w:t>
      </w:r>
      <w:r w:rsidR="00141433">
        <w:rPr>
          <w:noProof/>
          <w:lang w:val="lt-LT"/>
        </w:rPr>
        <w:t xml:space="preserve">Obligacijų </w:t>
      </w:r>
      <w:r w:rsidR="007F3B0C">
        <w:rPr>
          <w:noProof/>
          <w:lang w:val="lt-LT"/>
        </w:rPr>
        <w:t>savinink</w:t>
      </w:r>
      <w:r w:rsidRPr="001A5EAB">
        <w:rPr>
          <w:noProof/>
          <w:lang w:val="lt-LT"/>
        </w:rPr>
        <w:t xml:space="preserve">as turėtų pateikti arba pasirūpinti, kad jo vardu per atitinkamą Atsiskaitymų sistemą pagal tokios sistemos reikalavimus būtų pateiktas galiojantis Pasiūlymo nurodymas, kurį Pasiūlymo </w:t>
      </w:r>
      <w:r w:rsidR="00E83574">
        <w:rPr>
          <w:noProof/>
          <w:lang w:val="lt-LT"/>
        </w:rPr>
        <w:t>A</w:t>
      </w:r>
      <w:r w:rsidRPr="001A5EAB">
        <w:rPr>
          <w:noProof/>
          <w:lang w:val="lt-LT"/>
        </w:rPr>
        <w:t>gentas kiekvienu atveju privalo gauti iki Galutinio termino dienos.</w:t>
      </w:r>
    </w:p>
    <w:p w14:paraId="127B96D9" w14:textId="7393658A" w:rsidR="00F13A82" w:rsidRPr="001A5EAB" w:rsidRDefault="00F13A82" w:rsidP="00F13A82">
      <w:pPr>
        <w:pStyle w:val="BodyText"/>
        <w:rPr>
          <w:noProof/>
          <w:lang w:val="lt-LT"/>
        </w:rPr>
      </w:pPr>
      <w:r w:rsidRPr="001A5EAB">
        <w:rPr>
          <w:noProof/>
          <w:lang w:val="lt-LT"/>
        </w:rPr>
        <w:t>Pasiūlymo nurodym</w:t>
      </w:r>
      <w:r w:rsidR="0050482F">
        <w:rPr>
          <w:noProof/>
          <w:lang w:val="lt-LT"/>
        </w:rPr>
        <w:t>ai turi būti teikiami pagrindinei</w:t>
      </w:r>
      <w:r w:rsidRPr="001A5EAB">
        <w:rPr>
          <w:noProof/>
          <w:lang w:val="lt-LT"/>
        </w:rPr>
        <w:t xml:space="preserve"> </w:t>
      </w:r>
      <w:r w:rsidR="0050482F">
        <w:rPr>
          <w:noProof/>
          <w:lang w:val="lt-LT"/>
        </w:rPr>
        <w:t xml:space="preserve">Obligacijų </w:t>
      </w:r>
      <w:r w:rsidRPr="001A5EAB">
        <w:rPr>
          <w:noProof/>
          <w:lang w:val="lt-LT"/>
        </w:rPr>
        <w:t>sum</w:t>
      </w:r>
      <w:r w:rsidR="0050482F">
        <w:rPr>
          <w:noProof/>
          <w:lang w:val="lt-LT"/>
        </w:rPr>
        <w:t>ai</w:t>
      </w:r>
      <w:r w:rsidRPr="001A5EAB">
        <w:rPr>
          <w:noProof/>
          <w:lang w:val="lt-LT"/>
        </w:rPr>
        <w:t>, kuri negali būti mažesnė nei</w:t>
      </w:r>
      <w:r w:rsidR="0050482F">
        <w:rPr>
          <w:noProof/>
          <w:lang w:val="lt-LT"/>
        </w:rPr>
        <w:t xml:space="preserve"> Mažiausia denominacija, </w:t>
      </w:r>
      <w:r w:rsidRPr="001A5EAB">
        <w:rPr>
          <w:noProof/>
          <w:lang w:val="lt-LT"/>
        </w:rPr>
        <w:t xml:space="preserve">ir po to teikiami </w:t>
      </w:r>
      <w:r w:rsidR="007874EF" w:rsidRPr="001A5EAB">
        <w:rPr>
          <w:noProof/>
          <w:lang w:val="lt-LT"/>
        </w:rPr>
        <w:t>nedalom</w:t>
      </w:r>
      <w:r w:rsidR="009C43BE" w:rsidRPr="001A5EAB">
        <w:rPr>
          <w:noProof/>
          <w:lang w:val="lt-LT"/>
        </w:rPr>
        <w:t>omis</w:t>
      </w:r>
      <w:r w:rsidRPr="001A5EAB">
        <w:rPr>
          <w:noProof/>
          <w:lang w:val="lt-LT"/>
        </w:rPr>
        <w:t xml:space="preserve"> 1 000 </w:t>
      </w:r>
      <w:r w:rsidR="004F65CC" w:rsidRPr="001A5EAB">
        <w:rPr>
          <w:noProof/>
          <w:lang w:val="lt-LT"/>
        </w:rPr>
        <w:t xml:space="preserve">EUR </w:t>
      </w:r>
      <w:r w:rsidR="009C43BE" w:rsidRPr="001A5EAB">
        <w:rPr>
          <w:noProof/>
          <w:lang w:val="lt-LT"/>
        </w:rPr>
        <w:t>kartotinėmi</w:t>
      </w:r>
      <w:r w:rsidRPr="001A5EAB">
        <w:rPr>
          <w:noProof/>
          <w:lang w:val="lt-LT"/>
        </w:rPr>
        <w:t>s</w:t>
      </w:r>
      <w:r w:rsidR="009C43BE" w:rsidRPr="001A5EAB">
        <w:rPr>
          <w:noProof/>
          <w:lang w:val="lt-LT"/>
        </w:rPr>
        <w:t xml:space="preserve"> sumomis</w:t>
      </w:r>
      <w:r w:rsidRPr="001A5EAB">
        <w:rPr>
          <w:noProof/>
          <w:lang w:val="lt-LT"/>
        </w:rPr>
        <w:t>.</w:t>
      </w:r>
    </w:p>
    <w:p w14:paraId="2A56ADD8" w14:textId="77777777" w:rsidR="00F13A82" w:rsidRPr="001A5EAB" w:rsidRDefault="00F13A82" w:rsidP="00F13A82">
      <w:pPr>
        <w:pStyle w:val="Title7"/>
        <w:rPr>
          <w:b/>
          <w:bCs/>
          <w:i w:val="0"/>
          <w:iCs/>
          <w:noProof/>
          <w:lang w:val="lt-LT"/>
        </w:rPr>
      </w:pPr>
      <w:bookmarkStart w:id="3" w:name="_Toc27470035"/>
      <w:bookmarkStart w:id="4" w:name="_Toc102163898"/>
      <w:r w:rsidRPr="001A5EAB">
        <w:rPr>
          <w:rFonts w:ascii="Times New Roman Bold" w:hAnsi="Times New Roman Bold"/>
          <w:b/>
          <w:bCs/>
          <w:i w:val="0"/>
          <w:noProof/>
          <w:lang w:val="lt-LT" w:bidi="ar-SA"/>
        </w:rPr>
        <w:t>Pratęsimas, pakeitimas ir nutraukimas</w:t>
      </w:r>
      <w:bookmarkEnd w:id="3"/>
      <w:bookmarkEnd w:id="4"/>
    </w:p>
    <w:p w14:paraId="5A57F4FC" w14:textId="013AADBA" w:rsidR="00F13A82" w:rsidRPr="001A5EAB" w:rsidRDefault="00F13A82" w:rsidP="00F13A82">
      <w:pPr>
        <w:pStyle w:val="BodyText"/>
        <w:rPr>
          <w:noProof/>
          <w:lang w:val="lt-LT"/>
        </w:rPr>
      </w:pPr>
      <w:r w:rsidRPr="001A5EAB">
        <w:rPr>
          <w:noProof/>
          <w:lang w:val="lt-LT"/>
        </w:rPr>
        <w:t xml:space="preserve">Atsižvelgiant į galiojančius įstatymus, Emitentas pasilieka teisę savo išimtine ir absoliučia nuožiūra bet kuriuo metu po Pasiūlymo paskelbimo pratęsti, naujai pateikti, atšaukti ir (arba) nutraukti Pasiūlymą ir pakeisti bet kurias iš Pasiūlymo sąlygų ir nuostatų ir (arba) jų atsisakyti (ir, be kita ko, nupirkti </w:t>
      </w:r>
      <w:r w:rsidR="00DE111E">
        <w:rPr>
          <w:noProof/>
          <w:lang w:val="lt-LT"/>
        </w:rPr>
        <w:t>Obligacijų</w:t>
      </w:r>
      <w:r w:rsidRPr="001A5EAB">
        <w:rPr>
          <w:noProof/>
          <w:lang w:val="lt-LT"/>
        </w:rPr>
        <w:t xml:space="preserve"> už suma, kuri gali būti didesnė arba mažesnė nei Didžiausia priimtina suma) Oficialaus pasiūlymo memorandumo skyriuje </w:t>
      </w:r>
      <w:r w:rsidRPr="001A5EAB">
        <w:rPr>
          <w:i/>
          <w:noProof/>
          <w:lang w:val="lt-LT"/>
        </w:rPr>
        <w:t xml:space="preserve">„Pakeitimas ir nutraukimas“ </w:t>
      </w:r>
      <w:r w:rsidRPr="001A5EAB">
        <w:rPr>
          <w:noProof/>
          <w:lang w:val="lt-LT"/>
        </w:rPr>
        <w:t xml:space="preserve">nurodyta tvarka. Priėmus atitinkamą nutarimą, informacija apie tokį pratęsimą, naują pateikimą, atidėtą priėmimą, atšaukimą, pakeitimą ar atsisakymą kaip galima greičiau pateikiama </w:t>
      </w:r>
      <w:r w:rsidR="00141433">
        <w:rPr>
          <w:noProof/>
          <w:lang w:val="lt-LT"/>
        </w:rPr>
        <w:t xml:space="preserve">Obligacijų </w:t>
      </w:r>
      <w:r w:rsidR="007F3B0C">
        <w:rPr>
          <w:noProof/>
          <w:lang w:val="lt-LT"/>
        </w:rPr>
        <w:t>savinink</w:t>
      </w:r>
      <w:r w:rsidRPr="001A5EAB">
        <w:rPr>
          <w:noProof/>
          <w:lang w:val="lt-LT"/>
        </w:rPr>
        <w:t>ams.</w:t>
      </w:r>
    </w:p>
    <w:p w14:paraId="7B5E4641" w14:textId="77777777" w:rsidR="00F13A82" w:rsidRPr="001A5EAB" w:rsidRDefault="00F13A82" w:rsidP="00F13A82">
      <w:pPr>
        <w:pStyle w:val="Title7"/>
        <w:rPr>
          <w:rFonts w:ascii="Times New Roman Bold" w:hAnsi="Times New Roman Bold"/>
          <w:b/>
          <w:bCs/>
          <w:i w:val="0"/>
          <w:noProof/>
          <w:lang w:val="lt-LT" w:bidi="ar-SA"/>
        </w:rPr>
      </w:pPr>
      <w:r w:rsidRPr="001A5EAB">
        <w:rPr>
          <w:rFonts w:ascii="Times New Roman Bold" w:hAnsi="Times New Roman Bold"/>
          <w:b/>
          <w:bCs/>
          <w:i w:val="0"/>
          <w:noProof/>
          <w:lang w:val="lt-LT" w:bidi="ar-SA"/>
        </w:rPr>
        <w:t>Orientacinis grafikas</w:t>
      </w:r>
    </w:p>
    <w:p w14:paraId="6ABA1C3A" w14:textId="432770EB" w:rsidR="00F13A82" w:rsidRPr="001A5EAB" w:rsidRDefault="00F13A82" w:rsidP="00F13A82">
      <w:pPr>
        <w:pStyle w:val="BodyText"/>
        <w:rPr>
          <w:iCs/>
          <w:noProof/>
          <w:lang w:val="lt-LT"/>
        </w:rPr>
      </w:pPr>
      <w:r w:rsidRPr="001A5EAB">
        <w:rPr>
          <w:iCs/>
          <w:noProof/>
          <w:lang w:val="lt-LT"/>
        </w:rPr>
        <w:t xml:space="preserve">Toliau pateikiamas orientacinis grafikas, kuriame parodytas vienas galimas Pasiūlymo grafiko variantas, parengtas remiantis Oficialaus pasiūlymo memorandume </w:t>
      </w:r>
      <w:r w:rsidR="007B3EB2">
        <w:rPr>
          <w:iCs/>
          <w:noProof/>
          <w:lang w:val="lt-LT"/>
        </w:rPr>
        <w:t>nurodytomis</w:t>
      </w:r>
      <w:r w:rsidR="007B3EB2" w:rsidRPr="001A5EAB">
        <w:rPr>
          <w:iCs/>
          <w:noProof/>
          <w:lang w:val="lt-LT"/>
        </w:rPr>
        <w:t xml:space="preserve"> </w:t>
      </w:r>
      <w:r w:rsidRPr="001A5EAB">
        <w:rPr>
          <w:iCs/>
          <w:noProof/>
          <w:lang w:val="lt-LT"/>
        </w:rPr>
        <w:t>datomis. Šis grafikas gali būti keičiam</w:t>
      </w:r>
      <w:r w:rsidR="007B7876" w:rsidRPr="001A5EAB">
        <w:rPr>
          <w:iCs/>
          <w:noProof/>
          <w:lang w:val="lt-LT"/>
        </w:rPr>
        <w:t>a</w:t>
      </w:r>
      <w:r w:rsidRPr="001A5EAB">
        <w:rPr>
          <w:iCs/>
          <w:noProof/>
          <w:lang w:val="lt-LT"/>
        </w:rPr>
        <w:t>s ir Emitentas gali pratęsti arba pakeisti jame nurodytus terminus bei laiką vadovaudamasis Oficialaus pasiūlymo memorandume išdėstytomis Pasiūlymo sąlygomis. Atitinkamai, faktinis laiko grafikas gali iš esmės skirtis nuo to, kuris pateikiamas toliau.</w:t>
      </w:r>
    </w:p>
    <w:tbl>
      <w:tblPr>
        <w:tblW w:w="5000" w:type="pct"/>
        <w:tblCellMar>
          <w:left w:w="115" w:type="dxa"/>
          <w:right w:w="115" w:type="dxa"/>
        </w:tblCellMar>
        <w:tblLook w:val="01E0" w:firstRow="1" w:lastRow="1" w:firstColumn="1" w:lastColumn="1" w:noHBand="0" w:noVBand="0"/>
      </w:tblPr>
      <w:tblGrid>
        <w:gridCol w:w="2249"/>
        <w:gridCol w:w="6777"/>
      </w:tblGrid>
      <w:tr w:rsidR="00F13A82" w:rsidRPr="001A5EAB" w14:paraId="07939E67" w14:textId="77777777" w:rsidTr="00E212F5">
        <w:trPr>
          <w:trHeight w:val="565"/>
        </w:trPr>
        <w:tc>
          <w:tcPr>
            <w:tcW w:w="1246" w:type="pct"/>
            <w:vAlign w:val="bottom"/>
          </w:tcPr>
          <w:p w14:paraId="00D9DD94" w14:textId="77777777" w:rsidR="00F13A82" w:rsidRPr="001A5EAB" w:rsidRDefault="00F13A82" w:rsidP="00E212F5">
            <w:pPr>
              <w:pStyle w:val="BodyText"/>
              <w:pBdr>
                <w:bottom w:val="single" w:sz="4" w:space="1" w:color="auto"/>
              </w:pBdr>
              <w:spacing w:after="80"/>
              <w:jc w:val="left"/>
              <w:rPr>
                <w:b/>
                <w:noProof/>
                <w:lang w:val="lt-LT"/>
              </w:rPr>
            </w:pPr>
            <w:r w:rsidRPr="001A5EAB">
              <w:rPr>
                <w:b/>
                <w:noProof/>
                <w:lang w:val="lt-LT"/>
              </w:rPr>
              <w:t>Data</w:t>
            </w:r>
          </w:p>
        </w:tc>
        <w:tc>
          <w:tcPr>
            <w:tcW w:w="3754" w:type="pct"/>
            <w:vAlign w:val="bottom"/>
          </w:tcPr>
          <w:p w14:paraId="41161796" w14:textId="77777777" w:rsidR="00F13A82" w:rsidRPr="001A5EAB" w:rsidRDefault="00F13A82" w:rsidP="00E212F5">
            <w:pPr>
              <w:pStyle w:val="BodyText"/>
              <w:pBdr>
                <w:bottom w:val="single" w:sz="4" w:space="1" w:color="auto"/>
              </w:pBdr>
              <w:spacing w:after="80"/>
              <w:jc w:val="left"/>
              <w:rPr>
                <w:noProof/>
                <w:lang w:val="lt-LT"/>
              </w:rPr>
            </w:pPr>
            <w:r w:rsidRPr="001A5EAB">
              <w:rPr>
                <w:b/>
                <w:noProof/>
                <w:lang w:val="lt-LT"/>
              </w:rPr>
              <w:t>Veiksmas</w:t>
            </w:r>
          </w:p>
        </w:tc>
      </w:tr>
      <w:tr w:rsidR="00F13A82" w:rsidRPr="001A5EAB" w14:paraId="5ACF8BB5" w14:textId="77777777" w:rsidTr="00E212F5">
        <w:tc>
          <w:tcPr>
            <w:tcW w:w="1246" w:type="pct"/>
          </w:tcPr>
          <w:p w14:paraId="45308A3E" w14:textId="5C632C9D" w:rsidR="00F13A82" w:rsidRPr="001A5EAB" w:rsidRDefault="00F13A82" w:rsidP="00E212F5">
            <w:pPr>
              <w:pStyle w:val="BodyText"/>
              <w:rPr>
                <w:noProof/>
                <w:lang w:val="lt-LT"/>
              </w:rPr>
            </w:pPr>
            <w:r w:rsidRPr="001A5EAB">
              <w:rPr>
                <w:noProof/>
                <w:lang w:val="lt-LT"/>
              </w:rPr>
              <w:t xml:space="preserve">2022 m. birželio </w:t>
            </w:r>
            <w:r w:rsidR="004621DE">
              <w:rPr>
                <w:bCs/>
                <w:noProof/>
                <w:lang w:val="lt-LT"/>
              </w:rPr>
              <w:t>27</w:t>
            </w:r>
            <w:r w:rsidR="004621DE" w:rsidRPr="001A5EAB">
              <w:rPr>
                <w:bCs/>
                <w:noProof/>
                <w:lang w:val="lt-LT"/>
              </w:rPr>
              <w:t xml:space="preserve"> </w:t>
            </w:r>
            <w:r w:rsidRPr="001A5EAB">
              <w:rPr>
                <w:bCs/>
                <w:noProof/>
                <w:lang w:val="lt-LT"/>
              </w:rPr>
              <w:t>d.</w:t>
            </w:r>
          </w:p>
        </w:tc>
        <w:tc>
          <w:tcPr>
            <w:tcW w:w="3754" w:type="pct"/>
          </w:tcPr>
          <w:p w14:paraId="72344888" w14:textId="77777777" w:rsidR="00F13A82" w:rsidRPr="001A5EAB" w:rsidRDefault="00F13A82" w:rsidP="00E212F5">
            <w:pPr>
              <w:pStyle w:val="BodyText"/>
              <w:rPr>
                <w:b/>
                <w:bCs/>
                <w:i/>
                <w:noProof/>
                <w:lang w:val="lt-LT"/>
              </w:rPr>
            </w:pPr>
            <w:r w:rsidRPr="001A5EAB">
              <w:rPr>
                <w:b/>
                <w:bCs/>
                <w:i/>
                <w:noProof/>
                <w:lang w:val="lt-LT"/>
              </w:rPr>
              <w:t>Pasiūlymo pradžia</w:t>
            </w:r>
          </w:p>
        </w:tc>
      </w:tr>
      <w:tr w:rsidR="00F13A82" w:rsidRPr="00CE5BF5" w14:paraId="45EFFB37" w14:textId="77777777" w:rsidTr="00E212F5">
        <w:tc>
          <w:tcPr>
            <w:tcW w:w="1246" w:type="pct"/>
          </w:tcPr>
          <w:p w14:paraId="672F73CC" w14:textId="77777777" w:rsidR="00F13A82" w:rsidRPr="001A5EAB" w:rsidRDefault="00F13A82" w:rsidP="00E212F5">
            <w:pPr>
              <w:pStyle w:val="BodyText"/>
              <w:rPr>
                <w:noProof/>
                <w:lang w:val="lt-LT"/>
              </w:rPr>
            </w:pPr>
          </w:p>
        </w:tc>
        <w:tc>
          <w:tcPr>
            <w:tcW w:w="3754" w:type="pct"/>
          </w:tcPr>
          <w:p w14:paraId="227A392B" w14:textId="5B23B1A0" w:rsidR="00F13A82" w:rsidRPr="001A5EAB" w:rsidRDefault="00F13A82" w:rsidP="00E212F5">
            <w:pPr>
              <w:pStyle w:val="BodyText"/>
              <w:rPr>
                <w:i/>
                <w:noProof/>
                <w:lang w:val="lt-LT"/>
              </w:rPr>
            </w:pPr>
            <w:r w:rsidRPr="001A5EAB">
              <w:rPr>
                <w:noProof/>
                <w:lang w:val="lt-LT"/>
              </w:rPr>
              <w:t>Pasiūlymas paskelbiamas per atitinkamą Pranešimų tarnybą (arba tarnybas), Atsiskaitymų sistemą ir „Euronext Dublin“ tinklalapyje.</w:t>
            </w:r>
          </w:p>
        </w:tc>
      </w:tr>
      <w:tr w:rsidR="00F13A82" w:rsidRPr="00CE5BF5" w14:paraId="369D7FB6" w14:textId="77777777" w:rsidTr="00E212F5">
        <w:tc>
          <w:tcPr>
            <w:tcW w:w="1246" w:type="pct"/>
          </w:tcPr>
          <w:p w14:paraId="22854998" w14:textId="77777777" w:rsidR="00F13A82" w:rsidRPr="001A5EAB" w:rsidRDefault="00F13A82" w:rsidP="00E212F5">
            <w:pPr>
              <w:pStyle w:val="BodyText"/>
              <w:rPr>
                <w:noProof/>
                <w:lang w:val="lt-LT"/>
              </w:rPr>
            </w:pPr>
          </w:p>
        </w:tc>
        <w:tc>
          <w:tcPr>
            <w:tcW w:w="3754" w:type="pct"/>
          </w:tcPr>
          <w:p w14:paraId="6E65132C" w14:textId="2CE29B42" w:rsidR="00F13A82" w:rsidRPr="001A5EAB" w:rsidRDefault="00F13A82" w:rsidP="00E212F5">
            <w:pPr>
              <w:pStyle w:val="BodyText"/>
              <w:rPr>
                <w:noProof/>
                <w:lang w:val="lt-LT"/>
              </w:rPr>
            </w:pPr>
            <w:r w:rsidRPr="001A5EAB">
              <w:rPr>
                <w:noProof/>
                <w:lang w:val="lt-LT"/>
              </w:rPr>
              <w:t xml:space="preserve">Iš Pasiūlymo agento (su skyriuje </w:t>
            </w:r>
            <w:r w:rsidRPr="001A5EAB">
              <w:rPr>
                <w:i/>
                <w:noProof/>
                <w:lang w:val="lt-LT"/>
              </w:rPr>
              <w:t>„Siūlymo ir platinimo apribojimai“</w:t>
            </w:r>
            <w:r w:rsidRPr="001A5EAB">
              <w:rPr>
                <w:noProof/>
                <w:lang w:val="lt-LT"/>
              </w:rPr>
              <w:t xml:space="preserve"> išdėstytais apribojimais) galima gauti Oficialaus pasiūlymo memorandumą.</w:t>
            </w:r>
          </w:p>
        </w:tc>
      </w:tr>
      <w:tr w:rsidR="00F13A82" w:rsidRPr="001A5EAB" w14:paraId="7AD13CBC" w14:textId="77777777" w:rsidTr="00E212F5">
        <w:tc>
          <w:tcPr>
            <w:tcW w:w="1246" w:type="pct"/>
          </w:tcPr>
          <w:p w14:paraId="5339455A" w14:textId="77777777" w:rsidR="00F13A82" w:rsidRPr="001A5EAB" w:rsidRDefault="00F13A82" w:rsidP="00E212F5">
            <w:pPr>
              <w:autoSpaceDE w:val="0"/>
              <w:autoSpaceDN w:val="0"/>
              <w:adjustRightInd w:val="0"/>
              <w:spacing w:after="0"/>
              <w:jc w:val="left"/>
              <w:rPr>
                <w:noProof/>
                <w:lang w:val="lt-LT"/>
              </w:rPr>
            </w:pPr>
            <w:r w:rsidRPr="001A5EAB">
              <w:rPr>
                <w:noProof/>
                <w:szCs w:val="20"/>
                <w:lang w:val="lt-LT" w:bidi="ar-SA"/>
              </w:rPr>
              <w:lastRenderedPageBreak/>
              <w:t>Iki Galutinio termino dienos</w:t>
            </w:r>
          </w:p>
        </w:tc>
        <w:tc>
          <w:tcPr>
            <w:tcW w:w="3754" w:type="pct"/>
          </w:tcPr>
          <w:p w14:paraId="57267E89" w14:textId="0091FC87" w:rsidR="00F13A82" w:rsidRPr="001A5EAB" w:rsidRDefault="00F13A82" w:rsidP="00DE111E">
            <w:pPr>
              <w:pStyle w:val="BodyText"/>
              <w:rPr>
                <w:b/>
                <w:bCs/>
                <w:i/>
                <w:noProof/>
                <w:lang w:val="lt-LT"/>
              </w:rPr>
            </w:pPr>
            <w:r w:rsidRPr="001A5EAB">
              <w:rPr>
                <w:b/>
                <w:bCs/>
                <w:i/>
                <w:noProof/>
                <w:lang w:val="lt-LT"/>
              </w:rPr>
              <w:t xml:space="preserve">Nustatoma Naujųjų </w:t>
            </w:r>
            <w:r w:rsidR="00DE111E">
              <w:rPr>
                <w:b/>
                <w:bCs/>
                <w:i/>
                <w:noProof/>
                <w:lang w:val="lt-LT"/>
              </w:rPr>
              <w:t>obligacijų</w:t>
            </w:r>
            <w:r w:rsidRPr="001A5EAB">
              <w:rPr>
                <w:b/>
                <w:bCs/>
                <w:i/>
                <w:noProof/>
                <w:lang w:val="lt-LT"/>
              </w:rPr>
              <w:t xml:space="preserve"> kaina</w:t>
            </w:r>
          </w:p>
        </w:tc>
      </w:tr>
      <w:tr w:rsidR="00F13A82" w:rsidRPr="00CE5BF5" w14:paraId="3AD93AD4" w14:textId="77777777" w:rsidTr="00E212F5">
        <w:tc>
          <w:tcPr>
            <w:tcW w:w="1246" w:type="pct"/>
          </w:tcPr>
          <w:p w14:paraId="4813F8E0" w14:textId="77777777" w:rsidR="00F13A82" w:rsidRPr="001A5EAB" w:rsidRDefault="00F13A82" w:rsidP="00E212F5">
            <w:pPr>
              <w:autoSpaceDE w:val="0"/>
              <w:autoSpaceDN w:val="0"/>
              <w:adjustRightInd w:val="0"/>
              <w:spacing w:after="0"/>
              <w:jc w:val="left"/>
              <w:rPr>
                <w:noProof/>
                <w:szCs w:val="20"/>
                <w:lang w:val="lt-LT" w:bidi="ar-SA"/>
              </w:rPr>
            </w:pPr>
          </w:p>
        </w:tc>
        <w:tc>
          <w:tcPr>
            <w:tcW w:w="3754" w:type="pct"/>
          </w:tcPr>
          <w:p w14:paraId="413F7787" w14:textId="6DC88593" w:rsidR="00F13A82" w:rsidRPr="001A5EAB" w:rsidRDefault="007B7876" w:rsidP="00DE111E">
            <w:pPr>
              <w:pStyle w:val="BodyText"/>
              <w:rPr>
                <w:b/>
                <w:bCs/>
                <w:i/>
                <w:noProof/>
                <w:lang w:val="lt-LT"/>
              </w:rPr>
            </w:pPr>
            <w:r w:rsidRPr="001A5EAB">
              <w:rPr>
                <w:iCs/>
                <w:noProof/>
                <w:lang w:val="lt-LT"/>
              </w:rPr>
              <w:t xml:space="preserve">Planuojama </w:t>
            </w:r>
            <w:r w:rsidR="00F13A82" w:rsidRPr="001A5EAB">
              <w:rPr>
                <w:iCs/>
                <w:noProof/>
                <w:lang w:val="lt-LT"/>
              </w:rPr>
              <w:t xml:space="preserve">nustatyti Naujųjų </w:t>
            </w:r>
            <w:r w:rsidR="00DE111E">
              <w:rPr>
                <w:iCs/>
                <w:noProof/>
                <w:lang w:val="lt-LT"/>
              </w:rPr>
              <w:t>obligacijų</w:t>
            </w:r>
            <w:r w:rsidR="00F13A82" w:rsidRPr="001A5EAB">
              <w:rPr>
                <w:iCs/>
                <w:noProof/>
                <w:lang w:val="lt-LT"/>
              </w:rPr>
              <w:t xml:space="preserve"> kainą ir pranešti Didžiausią priimtiną </w:t>
            </w:r>
            <w:r w:rsidR="005C7D45">
              <w:rPr>
                <w:iCs/>
                <w:noProof/>
                <w:lang w:val="lt-LT"/>
              </w:rPr>
              <w:t>sumą</w:t>
            </w:r>
            <w:r w:rsidR="00F13A82" w:rsidRPr="001A5EAB">
              <w:rPr>
                <w:iCs/>
                <w:noProof/>
                <w:lang w:val="lt-LT"/>
              </w:rPr>
              <w:t xml:space="preserve">, atitinkamą pranešimą kaip galima greičiau po Naujųjų </w:t>
            </w:r>
            <w:r w:rsidR="00DE111E">
              <w:rPr>
                <w:iCs/>
                <w:noProof/>
                <w:lang w:val="lt-LT"/>
              </w:rPr>
              <w:t>obligacijų</w:t>
            </w:r>
            <w:r w:rsidR="00F13A82" w:rsidRPr="001A5EAB">
              <w:rPr>
                <w:iCs/>
                <w:noProof/>
                <w:lang w:val="lt-LT"/>
              </w:rPr>
              <w:t xml:space="preserve"> kainos nustatymo paskelbiant per atitinkamą </w:t>
            </w:r>
            <w:r w:rsidR="00F13A82" w:rsidRPr="001A5EAB">
              <w:rPr>
                <w:noProof/>
                <w:lang w:val="lt-LT"/>
              </w:rPr>
              <w:t>Pranešimų tarnybą (arba tarnybas), Atsiskaitymų sistemą ir „Euronext Dublin“ tinklalapyje</w:t>
            </w:r>
            <w:r w:rsidR="00F13A82" w:rsidRPr="001A5EAB">
              <w:rPr>
                <w:iCs/>
                <w:noProof/>
                <w:lang w:val="lt-LT"/>
              </w:rPr>
              <w:t>.</w:t>
            </w:r>
          </w:p>
        </w:tc>
      </w:tr>
      <w:tr w:rsidR="00F13A82" w:rsidRPr="00CE5BF5" w14:paraId="24945065" w14:textId="77777777" w:rsidTr="00E212F5">
        <w:tc>
          <w:tcPr>
            <w:tcW w:w="1246" w:type="pct"/>
          </w:tcPr>
          <w:p w14:paraId="3AB2A71D" w14:textId="63B35FCB" w:rsidR="00F13A82" w:rsidRPr="001A5EAB" w:rsidRDefault="00F13A82" w:rsidP="00E212F5">
            <w:pPr>
              <w:pStyle w:val="BodyText"/>
              <w:spacing w:after="0"/>
              <w:rPr>
                <w:noProof/>
                <w:lang w:val="lt-LT"/>
              </w:rPr>
            </w:pPr>
            <w:r w:rsidRPr="001A5EAB">
              <w:rPr>
                <w:noProof/>
                <w:lang w:val="lt-LT"/>
              </w:rPr>
              <w:t xml:space="preserve">2022 m. liepos </w:t>
            </w:r>
            <w:r w:rsidR="004621DE">
              <w:rPr>
                <w:bCs/>
                <w:noProof/>
                <w:lang w:val="lt-LT"/>
              </w:rPr>
              <w:t>7</w:t>
            </w:r>
            <w:r w:rsidR="004621DE" w:rsidRPr="001A5EAB">
              <w:rPr>
                <w:bCs/>
                <w:noProof/>
                <w:lang w:val="lt-LT"/>
              </w:rPr>
              <w:t xml:space="preserve"> </w:t>
            </w:r>
            <w:r w:rsidRPr="001A5EAB">
              <w:rPr>
                <w:bCs/>
                <w:noProof/>
                <w:lang w:val="lt-LT"/>
              </w:rPr>
              <w:t>d.</w:t>
            </w:r>
          </w:p>
          <w:p w14:paraId="72C1E40A" w14:textId="77777777" w:rsidR="00F13A82" w:rsidRPr="001A5EAB" w:rsidRDefault="00F13A82" w:rsidP="00E212F5">
            <w:pPr>
              <w:pStyle w:val="BodyText"/>
              <w:rPr>
                <w:noProof/>
                <w:lang w:val="lt-LT"/>
              </w:rPr>
            </w:pPr>
            <w:r w:rsidRPr="001A5EAB">
              <w:rPr>
                <w:noProof/>
                <w:lang w:val="lt-LT"/>
              </w:rPr>
              <w:t>17:00 val. (CEST)</w:t>
            </w:r>
          </w:p>
        </w:tc>
        <w:tc>
          <w:tcPr>
            <w:tcW w:w="3754" w:type="pct"/>
          </w:tcPr>
          <w:p w14:paraId="1356520A" w14:textId="6857E13A" w:rsidR="00F13A82" w:rsidRPr="001A5EAB" w:rsidRDefault="00F13A82" w:rsidP="00E212F5">
            <w:pPr>
              <w:pStyle w:val="BodyText"/>
              <w:rPr>
                <w:b/>
                <w:bCs/>
                <w:i/>
                <w:noProof/>
                <w:lang w:val="lt-LT"/>
              </w:rPr>
            </w:pPr>
            <w:r w:rsidRPr="001A5EAB">
              <w:rPr>
                <w:b/>
                <w:bCs/>
                <w:i/>
                <w:noProof/>
                <w:lang w:val="lt-LT"/>
              </w:rPr>
              <w:t>Galutinis terminas</w:t>
            </w:r>
          </w:p>
          <w:p w14:paraId="71960D97" w14:textId="2B17D6EA" w:rsidR="00F13A82" w:rsidRPr="001A5EAB" w:rsidRDefault="005906B0" w:rsidP="00E212F5">
            <w:pPr>
              <w:pStyle w:val="BodyText"/>
              <w:rPr>
                <w:noProof/>
                <w:lang w:val="lt-LT"/>
              </w:rPr>
            </w:pPr>
            <w:r>
              <w:rPr>
                <w:noProof/>
                <w:lang w:val="lt-LT"/>
              </w:rPr>
              <w:t>T</w:t>
            </w:r>
            <w:r w:rsidR="00F13A82" w:rsidRPr="001A5EAB">
              <w:rPr>
                <w:noProof/>
                <w:lang w:val="lt-LT"/>
              </w:rPr>
              <w:t xml:space="preserve">erminas, iki kurio Pasiūlymo agentas turi gauti visus Pasiūlymo nurodymus, kad </w:t>
            </w:r>
            <w:r w:rsidR="00141433">
              <w:rPr>
                <w:noProof/>
                <w:lang w:val="lt-LT"/>
              </w:rPr>
              <w:t xml:space="preserve">Obligacijų </w:t>
            </w:r>
            <w:r w:rsidR="007F3B0C">
              <w:rPr>
                <w:noProof/>
                <w:lang w:val="lt-LT"/>
              </w:rPr>
              <w:t>savinink</w:t>
            </w:r>
            <w:r w:rsidR="00F13A82" w:rsidRPr="001A5EAB">
              <w:rPr>
                <w:noProof/>
                <w:lang w:val="lt-LT"/>
              </w:rPr>
              <w:t>ai galėtų dalyvauti Pasiūlyme.</w:t>
            </w:r>
          </w:p>
        </w:tc>
      </w:tr>
      <w:tr w:rsidR="00F13A82" w:rsidRPr="00CE5BF5" w14:paraId="43C53092" w14:textId="77777777" w:rsidTr="00E212F5">
        <w:tc>
          <w:tcPr>
            <w:tcW w:w="1246" w:type="pct"/>
          </w:tcPr>
          <w:p w14:paraId="68DCF3F4" w14:textId="0113FA7D" w:rsidR="00F13A82" w:rsidRPr="001A5EAB" w:rsidRDefault="00F13A82" w:rsidP="00E212F5">
            <w:pPr>
              <w:pStyle w:val="BodyText"/>
              <w:spacing w:after="0"/>
              <w:rPr>
                <w:noProof/>
                <w:lang w:val="lt-LT"/>
              </w:rPr>
            </w:pPr>
            <w:r w:rsidRPr="001A5EAB">
              <w:rPr>
                <w:noProof/>
                <w:lang w:val="lt-LT"/>
              </w:rPr>
              <w:t xml:space="preserve">Kaip galima </w:t>
            </w:r>
            <w:r w:rsidR="000B67A6">
              <w:rPr>
                <w:noProof/>
                <w:lang w:val="lt-LT"/>
              </w:rPr>
              <w:t>anksčiau</w:t>
            </w:r>
            <w:r w:rsidR="000B67A6" w:rsidRPr="001A5EAB">
              <w:rPr>
                <w:noProof/>
                <w:lang w:val="lt-LT"/>
              </w:rPr>
              <w:t xml:space="preserve"> </w:t>
            </w:r>
            <w:r w:rsidRPr="001A5EAB">
              <w:rPr>
                <w:noProof/>
                <w:lang w:val="lt-LT"/>
              </w:rPr>
              <w:t xml:space="preserve">2022 m. liepos </w:t>
            </w:r>
            <w:r w:rsidR="000B67A6">
              <w:rPr>
                <w:bCs/>
                <w:noProof/>
                <w:lang w:val="lt-LT"/>
              </w:rPr>
              <w:t>8</w:t>
            </w:r>
            <w:r w:rsidR="000B67A6" w:rsidRPr="001A5EAB">
              <w:rPr>
                <w:bCs/>
                <w:noProof/>
                <w:lang w:val="lt-LT"/>
              </w:rPr>
              <w:t xml:space="preserve"> </w:t>
            </w:r>
            <w:r w:rsidRPr="001A5EAB">
              <w:rPr>
                <w:bCs/>
                <w:noProof/>
                <w:lang w:val="lt-LT"/>
              </w:rPr>
              <w:t>d.</w:t>
            </w:r>
          </w:p>
          <w:p w14:paraId="7F87B97E" w14:textId="77777777" w:rsidR="00F13A82" w:rsidRPr="001A5EAB" w:rsidRDefault="00F13A82" w:rsidP="00E212F5">
            <w:pPr>
              <w:pStyle w:val="BodyText"/>
              <w:spacing w:after="0"/>
              <w:rPr>
                <w:noProof/>
                <w:lang w:val="lt-LT"/>
              </w:rPr>
            </w:pPr>
          </w:p>
        </w:tc>
        <w:tc>
          <w:tcPr>
            <w:tcW w:w="3754" w:type="pct"/>
          </w:tcPr>
          <w:p w14:paraId="14E41F85" w14:textId="77777777" w:rsidR="00F13A82" w:rsidRPr="001A5EAB" w:rsidRDefault="00F13A82" w:rsidP="00E212F5">
            <w:pPr>
              <w:pStyle w:val="BodyText"/>
              <w:rPr>
                <w:i/>
                <w:noProof/>
                <w:lang w:val="lt-LT"/>
              </w:rPr>
            </w:pPr>
            <w:r w:rsidRPr="001A5EAB">
              <w:rPr>
                <w:b/>
                <w:bCs/>
                <w:i/>
                <w:noProof/>
                <w:lang w:val="lt-LT"/>
              </w:rPr>
              <w:t>Paskelbiami Pasiūlymo rezultatai</w:t>
            </w:r>
          </w:p>
          <w:p w14:paraId="0E99F7D4" w14:textId="40B95755" w:rsidR="00F13A82" w:rsidRPr="001A5EAB" w:rsidRDefault="00F13A82" w:rsidP="00DE111E">
            <w:pPr>
              <w:pStyle w:val="BodyText"/>
              <w:rPr>
                <w:noProof/>
                <w:lang w:val="lt-LT"/>
              </w:rPr>
            </w:pPr>
            <w:r w:rsidRPr="001A5EAB">
              <w:rPr>
                <w:noProof/>
                <w:lang w:val="lt-LT"/>
              </w:rPr>
              <w:t xml:space="preserve">Emitentas paskelbia, ar jis </w:t>
            </w:r>
            <w:r w:rsidR="00A016FD" w:rsidRPr="001A5EAB">
              <w:rPr>
                <w:noProof/>
                <w:lang w:val="lt-LT"/>
              </w:rPr>
              <w:t xml:space="preserve">pagal Pasiūlymo sąlygas </w:t>
            </w:r>
            <w:r w:rsidRPr="001A5EAB">
              <w:rPr>
                <w:noProof/>
                <w:lang w:val="lt-LT"/>
              </w:rPr>
              <w:t xml:space="preserve">priims tinkamai </w:t>
            </w:r>
            <w:r w:rsidR="00A016FD">
              <w:rPr>
                <w:noProof/>
                <w:lang w:val="lt-LT"/>
              </w:rPr>
              <w:t xml:space="preserve">išpirkti </w:t>
            </w:r>
            <w:r w:rsidRPr="001A5EAB">
              <w:rPr>
                <w:noProof/>
                <w:lang w:val="lt-LT"/>
              </w:rPr>
              <w:t>pateikt</w:t>
            </w:r>
            <w:r w:rsidR="00DE111E">
              <w:rPr>
                <w:noProof/>
                <w:lang w:val="lt-LT"/>
              </w:rPr>
              <w:t>a</w:t>
            </w:r>
            <w:r w:rsidRPr="001A5EAB">
              <w:rPr>
                <w:noProof/>
                <w:lang w:val="lt-LT"/>
              </w:rPr>
              <w:t xml:space="preserve">s </w:t>
            </w:r>
            <w:r w:rsidR="00DE111E">
              <w:rPr>
                <w:noProof/>
                <w:lang w:val="lt-LT"/>
              </w:rPr>
              <w:t>Obligacijas</w:t>
            </w:r>
            <w:r w:rsidRPr="001A5EAB">
              <w:rPr>
                <w:noProof/>
                <w:lang w:val="lt-LT"/>
              </w:rPr>
              <w:t>, jei ne vėliau nei iki Atsiskaitymo pagal oficialųjį pasiūlymą dienos būtų įvykdyta Naujo finansavimo sąlyga arba būtų atsisakyta reikalauti ją įvykdyti.</w:t>
            </w:r>
          </w:p>
        </w:tc>
      </w:tr>
      <w:tr w:rsidR="00F13A82" w:rsidRPr="00CE5BF5" w14:paraId="117B754E" w14:textId="77777777" w:rsidTr="00E212F5">
        <w:tc>
          <w:tcPr>
            <w:tcW w:w="1246" w:type="pct"/>
          </w:tcPr>
          <w:p w14:paraId="7EE51F7C" w14:textId="77777777" w:rsidR="00F13A82" w:rsidRPr="001A5EAB" w:rsidRDefault="00F13A82" w:rsidP="00E212F5">
            <w:pPr>
              <w:pStyle w:val="BodyText"/>
              <w:spacing w:after="0"/>
              <w:rPr>
                <w:noProof/>
                <w:lang w:val="lt-LT"/>
              </w:rPr>
            </w:pPr>
          </w:p>
        </w:tc>
        <w:tc>
          <w:tcPr>
            <w:tcW w:w="3754" w:type="pct"/>
          </w:tcPr>
          <w:p w14:paraId="36F5DF12" w14:textId="2C743042" w:rsidR="00F13A82" w:rsidRPr="001A5EAB" w:rsidRDefault="00DE111E" w:rsidP="00DE111E">
            <w:pPr>
              <w:pStyle w:val="BodyText"/>
              <w:rPr>
                <w:noProof/>
                <w:lang w:val="lt-LT"/>
              </w:rPr>
            </w:pPr>
            <w:r>
              <w:rPr>
                <w:noProof/>
                <w:lang w:val="lt-LT"/>
              </w:rPr>
              <w:t>Priėmus Obligacijas</w:t>
            </w:r>
            <w:r w:rsidR="00F13A82" w:rsidRPr="001A5EAB">
              <w:rPr>
                <w:noProof/>
                <w:lang w:val="lt-LT"/>
              </w:rPr>
              <w:t>, pateikiama tokia informacija:</w:t>
            </w:r>
          </w:p>
        </w:tc>
      </w:tr>
      <w:tr w:rsidR="00F13A82" w:rsidRPr="00CE5BF5" w14:paraId="72D0C9EE" w14:textId="77777777" w:rsidTr="00E212F5">
        <w:tc>
          <w:tcPr>
            <w:tcW w:w="1246" w:type="pct"/>
          </w:tcPr>
          <w:p w14:paraId="484FFAEA" w14:textId="77777777" w:rsidR="00F13A82" w:rsidRPr="001A5EAB" w:rsidRDefault="00F13A82" w:rsidP="00E212F5">
            <w:pPr>
              <w:pStyle w:val="BodyText"/>
              <w:spacing w:after="0"/>
              <w:rPr>
                <w:noProof/>
                <w:lang w:val="lt-LT"/>
              </w:rPr>
            </w:pPr>
          </w:p>
        </w:tc>
        <w:tc>
          <w:tcPr>
            <w:tcW w:w="3754" w:type="pct"/>
          </w:tcPr>
          <w:p w14:paraId="3F59CB15" w14:textId="1112BDBD" w:rsidR="00F13A82" w:rsidRPr="001A5EAB" w:rsidRDefault="00F13A82" w:rsidP="00DE111E">
            <w:pPr>
              <w:pStyle w:val="BodyText"/>
              <w:ind w:left="680" w:hanging="680"/>
              <w:rPr>
                <w:noProof/>
                <w:lang w:val="lt-LT"/>
              </w:rPr>
            </w:pPr>
            <w:r w:rsidRPr="001A5EAB">
              <w:rPr>
                <w:noProof/>
                <w:lang w:val="lt-LT"/>
              </w:rPr>
              <w:t>i)</w:t>
            </w:r>
            <w:r w:rsidRPr="001A5EAB">
              <w:rPr>
                <w:noProof/>
                <w:lang w:val="lt-LT"/>
              </w:rPr>
              <w:tab/>
              <w:t xml:space="preserve">visa galutinė pagal Pasiūlymą tinkamai pateiktų ir priimtų </w:t>
            </w:r>
            <w:r w:rsidR="00DE111E">
              <w:rPr>
                <w:noProof/>
                <w:lang w:val="lt-LT"/>
              </w:rPr>
              <w:t>Obligacijų</w:t>
            </w:r>
            <w:r w:rsidRPr="001A5EAB">
              <w:rPr>
                <w:noProof/>
                <w:lang w:val="lt-LT"/>
              </w:rPr>
              <w:t xml:space="preserve"> suma; ir</w:t>
            </w:r>
          </w:p>
        </w:tc>
      </w:tr>
      <w:tr w:rsidR="00F13A82" w:rsidRPr="00CE5BF5" w14:paraId="3E9582D7" w14:textId="77777777" w:rsidTr="00E212F5">
        <w:tc>
          <w:tcPr>
            <w:tcW w:w="1246" w:type="pct"/>
          </w:tcPr>
          <w:p w14:paraId="4EDF9F7A" w14:textId="77777777" w:rsidR="00F13A82" w:rsidRPr="001A5EAB" w:rsidRDefault="00F13A82" w:rsidP="00E212F5">
            <w:pPr>
              <w:pStyle w:val="BodyText"/>
              <w:spacing w:after="0"/>
              <w:rPr>
                <w:noProof/>
                <w:lang w:val="lt-LT"/>
              </w:rPr>
            </w:pPr>
          </w:p>
        </w:tc>
        <w:tc>
          <w:tcPr>
            <w:tcW w:w="3754" w:type="pct"/>
          </w:tcPr>
          <w:p w14:paraId="73F5FA70" w14:textId="0E546912" w:rsidR="00F13A82" w:rsidRPr="001A5EAB" w:rsidRDefault="00F13A82" w:rsidP="00DE111E">
            <w:pPr>
              <w:pStyle w:val="BodyText"/>
              <w:ind w:left="680" w:hanging="680"/>
              <w:rPr>
                <w:noProof/>
                <w:lang w:val="lt-LT"/>
              </w:rPr>
            </w:pPr>
            <w:r w:rsidRPr="001A5EAB">
              <w:rPr>
                <w:noProof/>
                <w:lang w:val="lt-LT"/>
              </w:rPr>
              <w:t>ii)</w:t>
            </w:r>
            <w:r w:rsidRPr="001A5EAB">
              <w:rPr>
                <w:noProof/>
                <w:lang w:val="lt-LT"/>
              </w:rPr>
              <w:tab/>
              <w:t xml:space="preserve">Didžiausia priimtina suma, bet koks pagrindinės po Atsiskaitymo pagal oficialųjį pasiūlymą dienos likusių neapmokėtų </w:t>
            </w:r>
            <w:r w:rsidR="00DE111E">
              <w:rPr>
                <w:noProof/>
                <w:lang w:val="lt-LT"/>
              </w:rPr>
              <w:t>Obligacijų</w:t>
            </w:r>
            <w:r w:rsidRPr="001A5EAB">
              <w:rPr>
                <w:noProof/>
                <w:lang w:val="lt-LT"/>
              </w:rPr>
              <w:t xml:space="preserve"> sumos proporcingo paskirstymo koeficientas,</w:t>
            </w:r>
          </w:p>
        </w:tc>
      </w:tr>
      <w:tr w:rsidR="00F13A82" w:rsidRPr="00CE5BF5" w14:paraId="03E3A4C0" w14:textId="77777777" w:rsidTr="00E212F5">
        <w:tc>
          <w:tcPr>
            <w:tcW w:w="1246" w:type="pct"/>
          </w:tcPr>
          <w:p w14:paraId="08C9382B" w14:textId="77777777" w:rsidR="00F13A82" w:rsidRPr="001A5EAB" w:rsidRDefault="00F13A82" w:rsidP="00E212F5">
            <w:pPr>
              <w:pStyle w:val="BodyText"/>
              <w:spacing w:after="0"/>
              <w:rPr>
                <w:noProof/>
                <w:lang w:val="lt-LT"/>
              </w:rPr>
            </w:pPr>
          </w:p>
        </w:tc>
        <w:tc>
          <w:tcPr>
            <w:tcW w:w="3754" w:type="pct"/>
          </w:tcPr>
          <w:p w14:paraId="2A7C76BB" w14:textId="30290877" w:rsidR="00F13A82" w:rsidRPr="001A5EAB" w:rsidRDefault="00F13A82" w:rsidP="00E212F5">
            <w:pPr>
              <w:pStyle w:val="BodyText"/>
              <w:rPr>
                <w:noProof/>
                <w:lang w:val="lt-LT"/>
              </w:rPr>
            </w:pPr>
            <w:r w:rsidRPr="001A5EAB">
              <w:rPr>
                <w:noProof/>
                <w:lang w:val="lt-LT"/>
              </w:rPr>
              <w:t xml:space="preserve">kuri išplatinama per </w:t>
            </w:r>
            <w:r w:rsidRPr="001A5EAB">
              <w:rPr>
                <w:iCs/>
                <w:noProof/>
                <w:lang w:val="lt-LT"/>
              </w:rPr>
              <w:t xml:space="preserve">atitinkamą </w:t>
            </w:r>
            <w:r w:rsidRPr="001A5EAB">
              <w:rPr>
                <w:noProof/>
                <w:lang w:val="lt-LT"/>
              </w:rPr>
              <w:t>Pranešimų tarnybą (arba tarnybas), Atsiskaitymų sistemą ir „Euronext Dublin“ tinklalapyje.</w:t>
            </w:r>
          </w:p>
        </w:tc>
      </w:tr>
      <w:tr w:rsidR="00F13A82" w:rsidRPr="00CE5BF5" w14:paraId="7483EA19" w14:textId="77777777" w:rsidTr="00E212F5">
        <w:tc>
          <w:tcPr>
            <w:tcW w:w="1246" w:type="pct"/>
          </w:tcPr>
          <w:p w14:paraId="4F3411CC" w14:textId="767D43E1" w:rsidR="00F13A82" w:rsidRPr="001A5EAB" w:rsidRDefault="00F13A82" w:rsidP="00E212F5">
            <w:pPr>
              <w:pStyle w:val="BodyText"/>
              <w:rPr>
                <w:noProof/>
                <w:lang w:val="lt-LT"/>
              </w:rPr>
            </w:pPr>
            <w:r w:rsidRPr="001A5EAB">
              <w:rPr>
                <w:noProof/>
                <w:lang w:val="lt-LT"/>
              </w:rPr>
              <w:t xml:space="preserve">2022 m. liepos </w:t>
            </w:r>
            <w:r w:rsidR="000B67A6">
              <w:rPr>
                <w:bCs/>
                <w:noProof/>
                <w:lang w:val="lt-LT"/>
              </w:rPr>
              <w:t>13</w:t>
            </w:r>
            <w:r w:rsidR="000B67A6" w:rsidRPr="001A5EAB">
              <w:rPr>
                <w:bCs/>
                <w:noProof/>
                <w:lang w:val="lt-LT"/>
              </w:rPr>
              <w:t xml:space="preserve"> </w:t>
            </w:r>
            <w:r w:rsidRPr="001A5EAB">
              <w:rPr>
                <w:bCs/>
                <w:noProof/>
                <w:lang w:val="lt-LT"/>
              </w:rPr>
              <w:t>d.</w:t>
            </w:r>
          </w:p>
        </w:tc>
        <w:tc>
          <w:tcPr>
            <w:tcW w:w="3754" w:type="pct"/>
          </w:tcPr>
          <w:p w14:paraId="1B9B93DB" w14:textId="77777777" w:rsidR="00F13A82" w:rsidRPr="001A5EAB" w:rsidRDefault="00F13A82" w:rsidP="00E212F5">
            <w:pPr>
              <w:pStyle w:val="BodyText"/>
              <w:rPr>
                <w:b/>
                <w:bCs/>
                <w:i/>
                <w:iCs/>
                <w:noProof/>
                <w:lang w:val="lt-LT"/>
              </w:rPr>
            </w:pPr>
            <w:r w:rsidRPr="001A5EAB">
              <w:rPr>
                <w:b/>
                <w:bCs/>
                <w:i/>
                <w:iCs/>
                <w:noProof/>
                <w:lang w:val="lt-LT"/>
              </w:rPr>
              <w:t>Atsiskaitymo pagal oficialųjį pasiūlymą diena</w:t>
            </w:r>
          </w:p>
          <w:p w14:paraId="3A83FCBE" w14:textId="31367AAC" w:rsidR="00F13A82" w:rsidRPr="001A5EAB" w:rsidRDefault="002B019F" w:rsidP="00DE111E">
            <w:pPr>
              <w:pStyle w:val="BodyText"/>
              <w:rPr>
                <w:noProof/>
                <w:lang w:val="lt-LT"/>
              </w:rPr>
            </w:pPr>
            <w:r>
              <w:rPr>
                <w:noProof/>
                <w:lang w:val="lt-LT"/>
              </w:rPr>
              <w:t>Tikėtina</w:t>
            </w:r>
            <w:r w:rsidRPr="001A5EAB">
              <w:rPr>
                <w:noProof/>
                <w:lang w:val="lt-LT"/>
              </w:rPr>
              <w:t xml:space="preserve"> </w:t>
            </w:r>
            <w:r w:rsidR="00F13A82" w:rsidRPr="001A5EAB">
              <w:rPr>
                <w:noProof/>
                <w:lang w:val="lt-LT"/>
              </w:rPr>
              <w:t>Atsiskaitymo pagal oficialųjį pasiūlymą diena. Pagal Pasiūlymo sąlyg</w:t>
            </w:r>
            <w:r w:rsidR="00DE111E">
              <w:rPr>
                <w:noProof/>
                <w:lang w:val="lt-LT"/>
              </w:rPr>
              <w:t>as sumokamas Atlygis už nupirkta</w:t>
            </w:r>
            <w:r w:rsidR="00F13A82" w:rsidRPr="001A5EAB">
              <w:rPr>
                <w:noProof/>
                <w:lang w:val="lt-LT"/>
              </w:rPr>
              <w:t xml:space="preserve">s </w:t>
            </w:r>
            <w:r w:rsidR="00DE111E">
              <w:rPr>
                <w:noProof/>
                <w:lang w:val="lt-LT"/>
              </w:rPr>
              <w:t>Obligacijas</w:t>
            </w:r>
            <w:r w:rsidR="00F13A82" w:rsidRPr="001A5EAB">
              <w:rPr>
                <w:noProof/>
                <w:lang w:val="lt-LT"/>
              </w:rPr>
              <w:t xml:space="preserve"> ir Priskaičiuotų palūkanų suma.</w:t>
            </w:r>
          </w:p>
        </w:tc>
      </w:tr>
    </w:tbl>
    <w:p w14:paraId="03B8C290" w14:textId="5659F027" w:rsidR="00F13A82" w:rsidRPr="001A5EAB" w:rsidRDefault="00F13A82" w:rsidP="00F13A82">
      <w:pPr>
        <w:pStyle w:val="BodyText"/>
        <w:rPr>
          <w:bCs/>
          <w:noProof/>
          <w:lang w:val="lt-LT"/>
        </w:rPr>
      </w:pPr>
      <w:r w:rsidRPr="001A5EAB">
        <w:rPr>
          <w:bCs/>
          <w:noProof/>
          <w:lang w:val="lt-LT"/>
        </w:rPr>
        <w:t>Jeigu nenurodoma kitaip, su Pasiūlymu susiję pranešimai skelbiami „Euronext Dublin“ tinklalapyje</w:t>
      </w:r>
      <w:r w:rsidRPr="001A5EAB">
        <w:rPr>
          <w:noProof/>
          <w:lang w:val="lt-LT"/>
        </w:rPr>
        <w:t>.</w:t>
      </w:r>
      <w:r w:rsidRPr="001A5EAB">
        <w:rPr>
          <w:bCs/>
          <w:noProof/>
          <w:lang w:val="lt-LT"/>
        </w:rPr>
        <w:t xml:space="preserve"> Pranešimas, paskelbtas „Euronext Dublin“ tinklalapyje, taip pat paskelbiamas NASDAQ Vilnius tinklalapyje</w:t>
      </w:r>
      <w:r w:rsidRPr="001A5EAB">
        <w:rPr>
          <w:noProof/>
          <w:lang w:val="lt-LT"/>
        </w:rPr>
        <w:t>.</w:t>
      </w:r>
      <w:r w:rsidRPr="001A5EAB">
        <w:rPr>
          <w:bCs/>
          <w:noProof/>
          <w:lang w:val="lt-LT"/>
        </w:rPr>
        <w:t xml:space="preserve"> Tokie pranešimai taip pat gali būti skelbiami i) Pranešimų tarnybai pateikiant pranešimą spaudai ir ii) Atsiskaitymų sistemoms pateikiant pranešimus, skirtus perduoti Tiesioginiams dalyviams. Visų tokių skelbimų, pranešimų spaudai ir kitokių pranešimų kopijas galima taip pat gauti iš Pasiūlymo agento, kurio kontaktiniai duomenys skelbiami paskutiniame Oficialaus pasiūlymo memorandumo lape. Teikiant pranešimus Atsiskaitymų sistemoms, gali </w:t>
      </w:r>
      <w:r w:rsidR="00D849C1">
        <w:rPr>
          <w:bCs/>
          <w:noProof/>
          <w:lang w:val="lt-LT"/>
        </w:rPr>
        <w:t>būti reikšmingai vėluojama</w:t>
      </w:r>
      <w:r w:rsidR="00D849C1" w:rsidRPr="001A5EAB">
        <w:rPr>
          <w:bCs/>
          <w:noProof/>
          <w:lang w:val="lt-LT"/>
        </w:rPr>
        <w:t xml:space="preserve"> </w:t>
      </w:r>
      <w:r w:rsidRPr="001A5EAB">
        <w:rPr>
          <w:bCs/>
          <w:noProof/>
          <w:lang w:val="lt-LT"/>
        </w:rPr>
        <w:t xml:space="preserve">ir </w:t>
      </w:r>
      <w:r w:rsidR="00141433">
        <w:rPr>
          <w:bCs/>
          <w:noProof/>
          <w:lang w:val="lt-LT"/>
        </w:rPr>
        <w:t xml:space="preserve">Obligacijų </w:t>
      </w:r>
      <w:r w:rsidR="007F3B0C">
        <w:rPr>
          <w:bCs/>
          <w:noProof/>
          <w:lang w:val="lt-LT"/>
        </w:rPr>
        <w:t>savinink</w:t>
      </w:r>
      <w:r w:rsidRPr="001A5EAB">
        <w:rPr>
          <w:bCs/>
          <w:noProof/>
          <w:lang w:val="lt-LT"/>
        </w:rPr>
        <w:t xml:space="preserve">ai, norėdami gauti atitinkamus su Pasiūlymų susijusius pranešimus, yra raginami kreiptis į Pasiūlymo agentą. Be to, </w:t>
      </w:r>
      <w:r w:rsidR="00141433">
        <w:rPr>
          <w:bCs/>
          <w:noProof/>
          <w:lang w:val="lt-LT"/>
        </w:rPr>
        <w:t xml:space="preserve">Obligacijų </w:t>
      </w:r>
      <w:r w:rsidR="007F3B0C">
        <w:rPr>
          <w:bCs/>
          <w:noProof/>
          <w:lang w:val="lt-LT"/>
        </w:rPr>
        <w:t>savinink</w:t>
      </w:r>
      <w:r w:rsidRPr="001A5EAB">
        <w:rPr>
          <w:bCs/>
          <w:noProof/>
          <w:lang w:val="lt-LT"/>
        </w:rPr>
        <w:t xml:space="preserve">ai informacijos gali kreiptis ir į </w:t>
      </w:r>
      <w:r w:rsidR="00B777F5">
        <w:rPr>
          <w:bCs/>
          <w:noProof/>
          <w:lang w:val="lt-LT"/>
        </w:rPr>
        <w:t>Platintoj</w:t>
      </w:r>
      <w:r w:rsidR="0026241E">
        <w:rPr>
          <w:bCs/>
          <w:noProof/>
          <w:lang w:val="lt-LT"/>
        </w:rPr>
        <w:t>us</w:t>
      </w:r>
      <w:r w:rsidR="00B777F5" w:rsidRPr="001A5EAB">
        <w:rPr>
          <w:bCs/>
          <w:noProof/>
          <w:lang w:val="lt-LT"/>
        </w:rPr>
        <w:t xml:space="preserve"> </w:t>
      </w:r>
      <w:r w:rsidRPr="001A5EAB">
        <w:rPr>
          <w:bCs/>
          <w:noProof/>
          <w:lang w:val="lt-LT"/>
        </w:rPr>
        <w:t xml:space="preserve">valdytojus, kurių kontaktiniai duomenys yra skelbiami paskutiniame Oficialaus pasiūlymo memorandumo lape. </w:t>
      </w:r>
    </w:p>
    <w:p w14:paraId="620CBCFE" w14:textId="77777777" w:rsidR="00F13A82" w:rsidRPr="001A5EAB" w:rsidRDefault="00F13A82" w:rsidP="00F13A82">
      <w:pPr>
        <w:pStyle w:val="Title7"/>
        <w:rPr>
          <w:rFonts w:ascii="Times New Roman Bold" w:hAnsi="Times New Roman Bold"/>
          <w:b/>
          <w:bCs/>
          <w:i w:val="0"/>
          <w:noProof/>
          <w:lang w:val="lt-LT" w:bidi="ar-SA"/>
        </w:rPr>
      </w:pPr>
      <w:r w:rsidRPr="001A5EAB">
        <w:rPr>
          <w:rFonts w:ascii="Times New Roman Bold" w:hAnsi="Times New Roman Bold"/>
          <w:b/>
          <w:bCs/>
          <w:i w:val="0"/>
          <w:noProof/>
          <w:lang w:val="lt-LT" w:bidi="ar-SA"/>
        </w:rPr>
        <w:t>Papildoma informacija</w:t>
      </w:r>
    </w:p>
    <w:p w14:paraId="1DBB3C55" w14:textId="21582655" w:rsidR="00F13A82" w:rsidRPr="001A5EAB" w:rsidRDefault="00F13A82" w:rsidP="00F13A82">
      <w:pPr>
        <w:pStyle w:val="BodyText"/>
        <w:rPr>
          <w:bCs/>
          <w:noProof/>
          <w:lang w:val="lt-LT"/>
        </w:rPr>
      </w:pPr>
      <w:r w:rsidRPr="001A5EAB">
        <w:rPr>
          <w:bCs/>
          <w:noProof/>
          <w:lang w:val="lt-LT"/>
        </w:rPr>
        <w:t xml:space="preserve">Bet kokius su Oficialaus pasiūlymo memorandumu arba Pasiūlymais susijusius klausimus arba pagalbos prašymus galima siųsti </w:t>
      </w:r>
      <w:r w:rsidR="00E4364E">
        <w:rPr>
          <w:bCs/>
          <w:noProof/>
          <w:lang w:val="lt-LT"/>
        </w:rPr>
        <w:t>Platintoj</w:t>
      </w:r>
      <w:r w:rsidR="005C5F0C">
        <w:rPr>
          <w:bCs/>
          <w:noProof/>
          <w:lang w:val="lt-LT"/>
        </w:rPr>
        <w:t>ams</w:t>
      </w:r>
      <w:r w:rsidR="00E4364E" w:rsidRPr="001A5EAB">
        <w:rPr>
          <w:bCs/>
          <w:noProof/>
          <w:lang w:val="lt-LT"/>
        </w:rPr>
        <w:t xml:space="preserve"> </w:t>
      </w:r>
      <w:r w:rsidRPr="001A5EAB">
        <w:rPr>
          <w:bCs/>
          <w:noProof/>
          <w:lang w:val="lt-LT"/>
        </w:rPr>
        <w:t xml:space="preserve">valdytojams, o bet kokius su Pasiūlymo nurodymais susijusius klausimus arba pagalbos prašymus, prašymus </w:t>
      </w:r>
      <w:r w:rsidR="004549FB" w:rsidRPr="001A5EAB">
        <w:rPr>
          <w:bCs/>
          <w:noProof/>
          <w:lang w:val="lt-LT"/>
        </w:rPr>
        <w:t>pa</w:t>
      </w:r>
      <w:r w:rsidRPr="001A5EAB">
        <w:rPr>
          <w:bCs/>
          <w:noProof/>
          <w:lang w:val="lt-LT"/>
        </w:rPr>
        <w:t>teikti papildom</w:t>
      </w:r>
      <w:r w:rsidR="004549FB" w:rsidRPr="001A5EAB">
        <w:rPr>
          <w:bCs/>
          <w:noProof/>
          <w:lang w:val="lt-LT"/>
        </w:rPr>
        <w:t>as</w:t>
      </w:r>
      <w:r w:rsidRPr="001A5EAB">
        <w:rPr>
          <w:bCs/>
          <w:noProof/>
          <w:lang w:val="lt-LT"/>
        </w:rPr>
        <w:t xml:space="preserve"> nemokam</w:t>
      </w:r>
      <w:r w:rsidR="004549FB" w:rsidRPr="001A5EAB">
        <w:rPr>
          <w:bCs/>
          <w:noProof/>
          <w:lang w:val="lt-LT"/>
        </w:rPr>
        <w:t>as</w:t>
      </w:r>
      <w:r w:rsidRPr="001A5EAB">
        <w:rPr>
          <w:bCs/>
          <w:noProof/>
          <w:lang w:val="lt-LT"/>
        </w:rPr>
        <w:t xml:space="preserve"> Oficialaus pasiūlymo memorandumo, šio pranešimo ar su juo susijusių dokumentų kopij</w:t>
      </w:r>
      <w:r w:rsidR="004549FB" w:rsidRPr="001A5EAB">
        <w:rPr>
          <w:bCs/>
          <w:noProof/>
          <w:lang w:val="lt-LT"/>
        </w:rPr>
        <w:t>as</w:t>
      </w:r>
      <w:r w:rsidRPr="001A5EAB">
        <w:rPr>
          <w:bCs/>
          <w:noProof/>
          <w:lang w:val="lt-LT"/>
        </w:rPr>
        <w:t xml:space="preserve"> – Pasiūlymo agentui, kiekvienu atveju </w:t>
      </w:r>
      <w:r w:rsidR="004E6A3C" w:rsidRPr="001A5EAB">
        <w:rPr>
          <w:bCs/>
          <w:noProof/>
          <w:lang w:val="lt-LT"/>
        </w:rPr>
        <w:t>kreipiantis</w:t>
      </w:r>
      <w:r w:rsidRPr="001A5EAB">
        <w:rPr>
          <w:bCs/>
          <w:noProof/>
          <w:lang w:val="lt-LT"/>
        </w:rPr>
        <w:t xml:space="preserve"> toliau nurodytu telefono numeriu arba el. pašto adresu. Iki priimdami bet kokį su Pasiūlymu susijusį sprendimą, </w:t>
      </w:r>
      <w:r w:rsidR="00141433">
        <w:rPr>
          <w:bCs/>
          <w:noProof/>
          <w:lang w:val="lt-LT"/>
        </w:rPr>
        <w:t xml:space="preserve">Obligacijų </w:t>
      </w:r>
      <w:r w:rsidR="007F3B0C">
        <w:rPr>
          <w:bCs/>
          <w:noProof/>
          <w:lang w:val="lt-LT"/>
        </w:rPr>
        <w:t>savinink</w:t>
      </w:r>
      <w:r w:rsidRPr="001A5EAB">
        <w:rPr>
          <w:bCs/>
          <w:noProof/>
          <w:lang w:val="lt-LT"/>
        </w:rPr>
        <w:t>ai turėtų atidžiai apsvarstyti visą Oficialaus pasiūlymo memorandume išdėstytą informaciją.</w:t>
      </w:r>
    </w:p>
    <w:p w14:paraId="33065D79" w14:textId="371DE723" w:rsidR="00F13A82" w:rsidRPr="001A5EAB" w:rsidRDefault="00141433" w:rsidP="00F13A82">
      <w:pPr>
        <w:pStyle w:val="BodyText"/>
        <w:rPr>
          <w:b/>
          <w:bCs/>
          <w:noProof/>
          <w:lang w:val="lt-LT"/>
        </w:rPr>
      </w:pPr>
      <w:r>
        <w:rPr>
          <w:b/>
          <w:bCs/>
          <w:noProof/>
          <w:lang w:val="lt-LT"/>
        </w:rPr>
        <w:t xml:space="preserve">Obligacijų </w:t>
      </w:r>
      <w:r w:rsidR="007F3B0C">
        <w:rPr>
          <w:b/>
          <w:bCs/>
          <w:noProof/>
          <w:lang w:val="lt-LT"/>
        </w:rPr>
        <w:t>savinink</w:t>
      </w:r>
      <w:r w:rsidR="00F13A82" w:rsidRPr="001A5EAB">
        <w:rPr>
          <w:b/>
          <w:bCs/>
          <w:noProof/>
          <w:lang w:val="lt-LT"/>
        </w:rPr>
        <w:t>ams rekomenduojama atidžiai perskaityti Oficialaus pasiūlymo memorandumą ir susipažinti su visa informacij</w:t>
      </w:r>
      <w:r w:rsidR="007472E8" w:rsidRPr="001A5EAB">
        <w:rPr>
          <w:b/>
          <w:bCs/>
          <w:noProof/>
          <w:lang w:val="lt-LT"/>
        </w:rPr>
        <w:t>a</w:t>
      </w:r>
      <w:r w:rsidR="00F13A82" w:rsidRPr="001A5EAB">
        <w:rPr>
          <w:b/>
          <w:bCs/>
          <w:noProof/>
          <w:lang w:val="lt-LT"/>
        </w:rPr>
        <w:t xml:space="preserve"> apie dalyvavimo Pasiūlyme tvarką.</w:t>
      </w:r>
    </w:p>
    <w:p w14:paraId="163CC792" w14:textId="41248F8E" w:rsidR="00F13A82" w:rsidRPr="001A5EAB" w:rsidRDefault="00F13A82" w:rsidP="00F13A82">
      <w:pPr>
        <w:rPr>
          <w:bCs/>
          <w:noProof/>
          <w:lang w:val="lt-LT"/>
        </w:rPr>
      </w:pPr>
      <w:r w:rsidRPr="001A5EAB">
        <w:rPr>
          <w:bCs/>
          <w:noProof/>
          <w:lang w:val="lt-LT"/>
        </w:rPr>
        <w:t>Šį pranešimą paskelb</w:t>
      </w:r>
      <w:r w:rsidR="00CE5BF5">
        <w:rPr>
          <w:bCs/>
          <w:noProof/>
          <w:lang w:val="lt-LT"/>
        </w:rPr>
        <w:t>ia</w:t>
      </w:r>
      <w:r w:rsidRPr="001A5EAB">
        <w:rPr>
          <w:bCs/>
          <w:noProof/>
          <w:lang w:val="lt-LT"/>
        </w:rPr>
        <w:t xml:space="preserve"> Emitentas, jame pateikiama informacija, kuri pagal PRR 7 straipsnį buvo arba galėjo būti laikoma viešai neatskleista informacija ir kurią sudaro su pirmiau aprašytu Pasiūlymu susijusi informacija. </w:t>
      </w:r>
      <w:r w:rsidRPr="001A5EAB">
        <w:rPr>
          <w:bCs/>
          <w:noProof/>
          <w:lang w:val="lt-LT"/>
        </w:rPr>
        <w:lastRenderedPageBreak/>
        <w:t>Vadovaujantis PRR ir Komisijos įgyvendinimo reglamento (ES) Nr. 2016/1055 2 straipsnio sąlygomis, šį pranešimą Emitento vardu paskelb</w:t>
      </w:r>
      <w:r w:rsidR="00CE5BF5">
        <w:rPr>
          <w:bCs/>
          <w:noProof/>
          <w:lang w:val="lt-LT"/>
        </w:rPr>
        <w:t>ia</w:t>
      </w:r>
      <w:r w:rsidRPr="001A5EAB">
        <w:rPr>
          <w:bCs/>
          <w:noProof/>
          <w:lang w:val="lt-LT"/>
        </w:rPr>
        <w:t xml:space="preserve"> Finansų direktorius </w:t>
      </w:r>
      <w:r w:rsidRPr="001A5EAB">
        <w:rPr>
          <w:bCs/>
          <w:noProof/>
          <w:lang w:val="lt-LT" w:eastAsia="en-GB"/>
        </w:rPr>
        <w:t>Povilas Šulys</w:t>
      </w:r>
      <w:r w:rsidRPr="001A5EAB">
        <w:rPr>
          <w:bCs/>
          <w:noProof/>
          <w:lang w:val="lt-LT"/>
        </w:rPr>
        <w:t>.</w:t>
      </w:r>
    </w:p>
    <w:p w14:paraId="34C0F2FF" w14:textId="77777777" w:rsidR="00F13A82" w:rsidRPr="001A5EAB" w:rsidRDefault="00F13A82" w:rsidP="00F13A82">
      <w:pPr>
        <w:pStyle w:val="BodyText"/>
        <w:rPr>
          <w:b/>
          <w:noProof/>
          <w:lang w:val="lt-LT"/>
        </w:rPr>
      </w:pPr>
      <w:r w:rsidRPr="001A5EAB">
        <w:rPr>
          <w:b/>
          <w:noProof/>
          <w:lang w:val="lt-LT"/>
        </w:rPr>
        <w:t>Kontaktinė informacija</w:t>
      </w:r>
    </w:p>
    <w:p w14:paraId="6936FB00" w14:textId="2F288A7D" w:rsidR="00F13A82" w:rsidRPr="001A5EAB" w:rsidRDefault="00C147C4" w:rsidP="00F13A82">
      <w:pPr>
        <w:autoSpaceDE w:val="0"/>
        <w:autoSpaceDN w:val="0"/>
        <w:adjustRightInd w:val="0"/>
        <w:spacing w:after="0"/>
        <w:rPr>
          <w:b/>
          <w:bCs/>
          <w:noProof/>
          <w:szCs w:val="20"/>
          <w:lang w:val="lt-LT" w:bidi="ar-SA"/>
        </w:rPr>
      </w:pPr>
      <w:r>
        <w:rPr>
          <w:b/>
          <w:bCs/>
          <w:noProof/>
          <w:szCs w:val="20"/>
          <w:lang w:val="lt-LT" w:bidi="ar-SA"/>
        </w:rPr>
        <w:t>PLATINTOJ</w:t>
      </w:r>
      <w:r w:rsidR="00B00FB4">
        <w:rPr>
          <w:b/>
          <w:bCs/>
          <w:noProof/>
          <w:szCs w:val="20"/>
          <w:lang w:val="lt-LT" w:bidi="ar-SA"/>
        </w:rPr>
        <w:t>AI</w:t>
      </w:r>
      <w:r w:rsidRPr="001A5EAB">
        <w:rPr>
          <w:b/>
          <w:bCs/>
          <w:noProof/>
          <w:szCs w:val="20"/>
          <w:lang w:val="lt-LT" w:bidi="ar-SA"/>
        </w:rPr>
        <w:t xml:space="preserve"> </w:t>
      </w:r>
      <w:r w:rsidR="00F13A82" w:rsidRPr="001A5EAB">
        <w:rPr>
          <w:b/>
          <w:bCs/>
          <w:noProof/>
          <w:szCs w:val="20"/>
          <w:lang w:val="lt-LT" w:bidi="ar-SA"/>
        </w:rPr>
        <w:t>VALDYTOJAI</w:t>
      </w:r>
    </w:p>
    <w:p w14:paraId="7D480B15" w14:textId="77777777" w:rsidR="00F13A82" w:rsidRPr="001A5EAB" w:rsidRDefault="00F13A82" w:rsidP="00F13A82">
      <w:pPr>
        <w:pStyle w:val="BodyText"/>
        <w:rPr>
          <w:b/>
          <w:bCs/>
          <w:noProof/>
          <w:szCs w:val="20"/>
          <w:lang w:val="lt-LT" w:bidi="ar-SA"/>
        </w:rPr>
      </w:pPr>
    </w:p>
    <w:p w14:paraId="4FDE2DE6" w14:textId="12AD4547" w:rsidR="00F13A82" w:rsidRPr="001A5EAB" w:rsidRDefault="00F13A82" w:rsidP="00F13A82">
      <w:pPr>
        <w:pStyle w:val="BodyText"/>
        <w:rPr>
          <w:noProof/>
          <w:szCs w:val="20"/>
          <w:lang w:val="lt-LT" w:bidi="ar-SA"/>
        </w:rPr>
      </w:pPr>
      <w:r w:rsidRPr="001A5EAB">
        <w:rPr>
          <w:b/>
          <w:bCs/>
          <w:noProof/>
          <w:szCs w:val="20"/>
          <w:lang w:val="lt-LT" w:bidi="ar-SA"/>
        </w:rPr>
        <w:t>„Citigroup Global Markets Europe“ AG</w:t>
      </w:r>
      <w:r w:rsidRPr="001A5EAB">
        <w:rPr>
          <w:noProof/>
          <w:szCs w:val="20"/>
          <w:lang w:val="lt-LT" w:bidi="ar-SA"/>
        </w:rPr>
        <w:t xml:space="preserve"> (tel. +44 20 7986 8969; el. paštas </w:t>
      </w:r>
      <w:hyperlink r:id="rId9" w:history="1">
        <w:r w:rsidRPr="001A5EAB">
          <w:rPr>
            <w:rStyle w:val="Hyperlink"/>
            <w:noProof/>
            <w:szCs w:val="20"/>
            <w:lang w:val="lt-LT" w:bidi="ar-SA"/>
          </w:rPr>
          <w:t>liabilitymanagement.europe@citi.com</w:t>
        </w:r>
      </w:hyperlink>
      <w:r w:rsidRPr="001A5EAB">
        <w:rPr>
          <w:noProof/>
          <w:szCs w:val="20"/>
          <w:lang w:val="lt-LT" w:bidi="ar-SA"/>
        </w:rPr>
        <w:t xml:space="preserve">; adresuoti Įsipareigojimų valdymo grupei), </w:t>
      </w:r>
      <w:r w:rsidRPr="001A5EAB">
        <w:rPr>
          <w:b/>
          <w:noProof/>
          <w:szCs w:val="20"/>
          <w:lang w:val="lt-LT" w:bidi="ar-SA"/>
        </w:rPr>
        <w:t>„</w:t>
      </w:r>
      <w:r w:rsidRPr="001A5EAB">
        <w:rPr>
          <w:b/>
          <w:bCs/>
          <w:noProof/>
          <w:szCs w:val="20"/>
          <w:lang w:val="lt-LT" w:bidi="ar-SA"/>
        </w:rPr>
        <w:t>J.P.Morgan“ SE (</w:t>
      </w:r>
      <w:r w:rsidRPr="001A5EAB">
        <w:rPr>
          <w:noProof/>
          <w:szCs w:val="20"/>
          <w:lang w:val="lt-LT" w:bidi="ar-SA"/>
        </w:rPr>
        <w:t xml:space="preserve">el. paštas </w:t>
      </w:r>
      <w:hyperlink r:id="rId10" w:history="1">
        <w:r w:rsidRPr="001A5EAB">
          <w:rPr>
            <w:rStyle w:val="Hyperlink"/>
            <w:noProof/>
            <w:szCs w:val="20"/>
            <w:lang w:val="lt-LT" w:bidi="ar-SA"/>
          </w:rPr>
          <w:t>em_europe_lm@jpmorgan.com</w:t>
        </w:r>
      </w:hyperlink>
      <w:r w:rsidRPr="001A5EAB">
        <w:rPr>
          <w:noProof/>
          <w:szCs w:val="20"/>
          <w:lang w:val="lt-LT" w:bidi="ar-SA"/>
        </w:rPr>
        <w:t>; adresuoti Europos</w:t>
      </w:r>
      <w:r w:rsidR="00191895">
        <w:rPr>
          <w:noProof/>
          <w:szCs w:val="20"/>
          <w:lang w:val="lt-LT" w:bidi="ar-SA"/>
        </w:rPr>
        <w:t>,</w:t>
      </w:r>
      <w:r w:rsidRPr="001A5EAB">
        <w:rPr>
          <w:noProof/>
          <w:szCs w:val="20"/>
          <w:lang w:val="lt-LT" w:bidi="ar-SA"/>
        </w:rPr>
        <w:t xml:space="preserve"> </w:t>
      </w:r>
      <w:r w:rsidR="00965277">
        <w:rPr>
          <w:noProof/>
          <w:szCs w:val="20"/>
          <w:lang w:val="lt-LT" w:bidi="ar-SA"/>
        </w:rPr>
        <w:t>Vidurio Rytų ir Afrikos (EMEA)</w:t>
      </w:r>
      <w:r w:rsidR="0080501C">
        <w:rPr>
          <w:noProof/>
          <w:szCs w:val="20"/>
          <w:lang w:val="lt-LT" w:bidi="ar-SA"/>
        </w:rPr>
        <w:t xml:space="preserve"> </w:t>
      </w:r>
      <w:r w:rsidRPr="001A5EAB">
        <w:rPr>
          <w:noProof/>
          <w:szCs w:val="20"/>
          <w:lang w:val="lt-LT" w:bidi="ar-SA"/>
        </w:rPr>
        <w:t xml:space="preserve">įsipareigojimų valdymo grupei), </w:t>
      </w:r>
      <w:r w:rsidRPr="001A5EAB">
        <w:rPr>
          <w:b/>
          <w:noProof/>
          <w:szCs w:val="20"/>
          <w:lang w:val="lt-LT" w:bidi="ar-SA"/>
        </w:rPr>
        <w:t>„</w:t>
      </w:r>
      <w:r w:rsidRPr="001A5EAB">
        <w:rPr>
          <w:b/>
          <w:bCs/>
          <w:noProof/>
          <w:szCs w:val="20"/>
          <w:lang w:val="lt-LT" w:bidi="ar-SA"/>
        </w:rPr>
        <w:t xml:space="preserve">Luminor Bank“ AS </w:t>
      </w:r>
      <w:r w:rsidRPr="001A5EAB">
        <w:rPr>
          <w:noProof/>
          <w:szCs w:val="20"/>
          <w:lang w:val="lt-LT" w:bidi="ar-SA"/>
        </w:rPr>
        <w:t xml:space="preserve">(tel. +37068248548; el. paštas </w:t>
      </w:r>
      <w:hyperlink r:id="rId11" w:history="1">
        <w:r w:rsidRPr="001A5EAB">
          <w:rPr>
            <w:rStyle w:val="Hyperlink"/>
            <w:noProof/>
            <w:szCs w:val="20"/>
            <w:lang w:val="lt-LT" w:bidi="ar-SA"/>
          </w:rPr>
          <w:t>dcm@luminorgroup.com</w:t>
        </w:r>
      </w:hyperlink>
      <w:r w:rsidRPr="001A5EAB">
        <w:rPr>
          <w:noProof/>
          <w:szCs w:val="20"/>
          <w:lang w:val="lt-LT" w:bidi="ar-SA"/>
        </w:rPr>
        <w:t xml:space="preserve">; adresuoti Ignui Šablevičiui, Skolos kapitalo rinkų skyrius) ir </w:t>
      </w:r>
      <w:r w:rsidRPr="001A5EAB">
        <w:rPr>
          <w:b/>
          <w:noProof/>
          <w:szCs w:val="20"/>
          <w:lang w:val="lt-LT" w:bidi="ar-SA"/>
        </w:rPr>
        <w:t>„</w:t>
      </w:r>
      <w:r w:rsidRPr="001A5EAB">
        <w:rPr>
          <w:b/>
          <w:bCs/>
          <w:noProof/>
          <w:szCs w:val="20"/>
          <w:lang w:val="lt-LT" w:bidi="ar-SA"/>
        </w:rPr>
        <w:t xml:space="preserve">MUFG Securities (Europe)“ N.V. </w:t>
      </w:r>
      <w:r w:rsidRPr="001A5EAB">
        <w:rPr>
          <w:noProof/>
          <w:szCs w:val="20"/>
          <w:lang w:val="lt-LT" w:bidi="ar-SA"/>
        </w:rPr>
        <w:t xml:space="preserve">(tel. +33 (0)1 7091 4255; el. paštas </w:t>
      </w:r>
      <w:hyperlink r:id="rId12" w:history="1">
        <w:r w:rsidRPr="001A5EAB">
          <w:rPr>
            <w:rStyle w:val="Hyperlink"/>
            <w:noProof/>
            <w:szCs w:val="20"/>
            <w:lang w:val="lt-LT" w:bidi="ar-SA"/>
          </w:rPr>
          <w:t>liability.management@mufgsecurities.com</w:t>
        </w:r>
      </w:hyperlink>
      <w:r w:rsidRPr="001A5EAB">
        <w:rPr>
          <w:noProof/>
          <w:szCs w:val="20"/>
          <w:lang w:val="lt-LT" w:bidi="ar-SA"/>
        </w:rPr>
        <w:t>; adresuoti Įsipareigojimų valdymo grupei).</w:t>
      </w:r>
    </w:p>
    <w:p w14:paraId="1993A168" w14:textId="77777777" w:rsidR="00F13A82" w:rsidRPr="001A5EAB" w:rsidRDefault="00F13A82" w:rsidP="00F13A82">
      <w:pPr>
        <w:pStyle w:val="BodyText"/>
        <w:rPr>
          <w:b/>
          <w:bCs/>
          <w:noProof/>
          <w:szCs w:val="20"/>
          <w:lang w:val="lt-LT" w:bidi="ar-SA"/>
        </w:rPr>
      </w:pPr>
      <w:r w:rsidRPr="001A5EAB">
        <w:rPr>
          <w:b/>
          <w:bCs/>
          <w:noProof/>
          <w:szCs w:val="20"/>
          <w:lang w:val="lt-LT" w:bidi="ar-SA"/>
        </w:rPr>
        <w:t>PASIŪLYMO AGENTAS</w:t>
      </w:r>
    </w:p>
    <w:p w14:paraId="4FA3C5E2" w14:textId="45E4195B" w:rsidR="00F13A82" w:rsidRPr="001A5EAB" w:rsidRDefault="00F13A82" w:rsidP="00F13A82">
      <w:pPr>
        <w:pStyle w:val="BodyText"/>
        <w:rPr>
          <w:noProof/>
          <w:szCs w:val="20"/>
          <w:lang w:val="lt-LT" w:bidi="ar-SA"/>
        </w:rPr>
      </w:pPr>
      <w:r w:rsidRPr="001A5EAB">
        <w:rPr>
          <w:b/>
          <w:bCs/>
          <w:noProof/>
          <w:szCs w:val="20"/>
          <w:lang w:val="lt-LT" w:bidi="ar-SA"/>
        </w:rPr>
        <w:t>„Kroll Issuer Services“</w:t>
      </w:r>
      <w:r w:rsidR="0080501C">
        <w:rPr>
          <w:b/>
          <w:bCs/>
          <w:noProof/>
          <w:szCs w:val="20"/>
          <w:lang w:val="lt-LT" w:bidi="ar-SA"/>
        </w:rPr>
        <w:t xml:space="preserve"> Limited</w:t>
      </w:r>
      <w:r w:rsidRPr="001A5EAB">
        <w:rPr>
          <w:noProof/>
          <w:szCs w:val="20"/>
          <w:lang w:val="lt-LT" w:bidi="ar-SA"/>
        </w:rPr>
        <w:t xml:space="preserve"> (tel. + 44 20 7704 0880; el. paštas </w:t>
      </w:r>
      <w:hyperlink r:id="rId13" w:history="1">
        <w:r w:rsidRPr="001A5EAB">
          <w:rPr>
            <w:rStyle w:val="Hyperlink"/>
            <w:noProof/>
            <w:lang w:val="lt-LT"/>
          </w:rPr>
          <w:t>maximagrupe@is.kroll.com</w:t>
        </w:r>
      </w:hyperlink>
      <w:r w:rsidRPr="001A5EAB">
        <w:rPr>
          <w:noProof/>
          <w:szCs w:val="20"/>
          <w:lang w:val="lt-LT" w:bidi="ar-SA"/>
        </w:rPr>
        <w:t xml:space="preserve">; adresuoti </w:t>
      </w:r>
      <w:r w:rsidRPr="001A5EAB">
        <w:rPr>
          <w:noProof/>
          <w:lang w:val="lt-LT"/>
        </w:rPr>
        <w:t>David Shilson</w:t>
      </w:r>
      <w:r w:rsidRPr="001A5EAB">
        <w:rPr>
          <w:noProof/>
          <w:szCs w:val="20"/>
          <w:lang w:val="lt-LT" w:bidi="ar-SA"/>
        </w:rPr>
        <w:t>).</w:t>
      </w:r>
    </w:p>
    <w:p w14:paraId="58EB444B" w14:textId="77777777" w:rsidR="00F13A82" w:rsidRPr="001A5EAB" w:rsidRDefault="00F13A82" w:rsidP="00F13A82">
      <w:pPr>
        <w:pStyle w:val="Title7"/>
        <w:rPr>
          <w:rFonts w:ascii="Times New Roman Bold" w:hAnsi="Times New Roman Bold"/>
          <w:b/>
          <w:bCs/>
          <w:i w:val="0"/>
          <w:noProof/>
          <w:lang w:val="lt-LT" w:bidi="ar-SA"/>
        </w:rPr>
      </w:pPr>
      <w:r w:rsidRPr="001A5EAB">
        <w:rPr>
          <w:rFonts w:ascii="Times New Roman Bold" w:hAnsi="Times New Roman Bold"/>
          <w:b/>
          <w:bCs/>
          <w:i w:val="0"/>
          <w:noProof/>
          <w:lang w:val="lt-LT" w:bidi="ar-SA"/>
        </w:rPr>
        <w:t>Atsakomybės apribojimas</w:t>
      </w:r>
    </w:p>
    <w:p w14:paraId="54A7DF3D" w14:textId="09165561" w:rsidR="00F13A82" w:rsidRPr="001A5EAB" w:rsidRDefault="00F13A82" w:rsidP="00F13A82">
      <w:pPr>
        <w:pStyle w:val="BodyText"/>
        <w:rPr>
          <w:noProof/>
          <w:szCs w:val="20"/>
          <w:lang w:val="lt-LT" w:bidi="ar-SA"/>
        </w:rPr>
      </w:pPr>
      <w:r w:rsidRPr="001A5EAB">
        <w:rPr>
          <w:noProof/>
          <w:szCs w:val="20"/>
          <w:lang w:val="lt-LT" w:bidi="ar-SA"/>
        </w:rPr>
        <w:t xml:space="preserve">Šį pranešimą būtina skaityti </w:t>
      </w:r>
      <w:r w:rsidR="00114846" w:rsidRPr="001A5EAB">
        <w:rPr>
          <w:noProof/>
          <w:szCs w:val="20"/>
          <w:lang w:val="lt-LT" w:bidi="ar-SA"/>
        </w:rPr>
        <w:t xml:space="preserve">kartu su </w:t>
      </w:r>
      <w:r w:rsidRPr="001A5EAB">
        <w:rPr>
          <w:noProof/>
          <w:szCs w:val="20"/>
          <w:lang w:val="lt-LT" w:bidi="ar-SA"/>
        </w:rPr>
        <w:t>Oficialaus pasiūlymo memorandum</w:t>
      </w:r>
      <w:r w:rsidR="00114846" w:rsidRPr="001A5EAB">
        <w:rPr>
          <w:noProof/>
          <w:szCs w:val="20"/>
          <w:lang w:val="lt-LT" w:bidi="ar-SA"/>
        </w:rPr>
        <w:t>u</w:t>
      </w:r>
      <w:r w:rsidRPr="001A5EAB">
        <w:rPr>
          <w:noProof/>
          <w:szCs w:val="20"/>
          <w:lang w:val="lt-LT" w:bidi="ar-SA"/>
        </w:rPr>
        <w:t xml:space="preserve">. Šiame pranešime ir Oficialaus pasiūlymo memorandume yra pateikiama svarbi informacija, su kuria derėtų atidžiai susipažinti </w:t>
      </w:r>
      <w:r w:rsidR="006A0BC0" w:rsidRPr="001A5EAB">
        <w:rPr>
          <w:noProof/>
          <w:szCs w:val="20"/>
          <w:lang w:val="lt-LT" w:bidi="ar-SA"/>
        </w:rPr>
        <w:t>prieš</w:t>
      </w:r>
      <w:r w:rsidRPr="001A5EAB">
        <w:rPr>
          <w:noProof/>
          <w:szCs w:val="20"/>
          <w:lang w:val="lt-LT" w:bidi="ar-SA"/>
        </w:rPr>
        <w:t xml:space="preserve"> priimant bet kokį su Pasiūlymu susijusį sprendimą. Jei kuris nors </w:t>
      </w:r>
      <w:r w:rsidR="00141433">
        <w:rPr>
          <w:noProof/>
          <w:szCs w:val="20"/>
          <w:lang w:val="lt-LT" w:bidi="ar-SA"/>
        </w:rPr>
        <w:t xml:space="preserve">Obligacijų </w:t>
      </w:r>
      <w:r w:rsidR="007F3B0C">
        <w:rPr>
          <w:noProof/>
          <w:szCs w:val="20"/>
          <w:lang w:val="lt-LT" w:bidi="ar-SA"/>
        </w:rPr>
        <w:t>savinink</w:t>
      </w:r>
      <w:r w:rsidRPr="001A5EAB">
        <w:rPr>
          <w:noProof/>
          <w:szCs w:val="20"/>
          <w:lang w:val="lt-LT" w:bidi="ar-SA"/>
        </w:rPr>
        <w:t xml:space="preserve">as abejoja dėl to, ką jam derėtų daryti, tokiam </w:t>
      </w:r>
      <w:r w:rsidR="00141433">
        <w:rPr>
          <w:noProof/>
          <w:szCs w:val="20"/>
          <w:lang w:val="lt-LT" w:bidi="ar-SA"/>
        </w:rPr>
        <w:t xml:space="preserve">Obligacijų </w:t>
      </w:r>
      <w:r w:rsidR="007F3B0C">
        <w:rPr>
          <w:noProof/>
          <w:szCs w:val="20"/>
          <w:lang w:val="lt-LT" w:bidi="ar-SA"/>
        </w:rPr>
        <w:t>savinink</w:t>
      </w:r>
      <w:r w:rsidRPr="001A5EAB">
        <w:rPr>
          <w:noProof/>
          <w:szCs w:val="20"/>
          <w:lang w:val="lt-LT" w:bidi="ar-SA"/>
        </w:rPr>
        <w:t xml:space="preserve">ui rekomenduojama kreiptis į savo </w:t>
      </w:r>
      <w:r w:rsidR="00157810">
        <w:rPr>
          <w:noProof/>
          <w:szCs w:val="20"/>
          <w:lang w:val="lt-LT" w:bidi="ar-SA"/>
        </w:rPr>
        <w:t>finansų</w:t>
      </w:r>
      <w:r w:rsidR="00157810" w:rsidRPr="001A5EAB">
        <w:rPr>
          <w:noProof/>
          <w:szCs w:val="20"/>
          <w:lang w:val="lt-LT" w:bidi="ar-SA"/>
        </w:rPr>
        <w:t xml:space="preserve"> </w:t>
      </w:r>
      <w:r w:rsidRPr="001A5EAB">
        <w:rPr>
          <w:noProof/>
          <w:szCs w:val="20"/>
          <w:lang w:val="lt-LT" w:bidi="ar-SA"/>
        </w:rPr>
        <w:t xml:space="preserve">maklerį, banko vadybininką, advokatą, buhalterį ar kitą nepriklausomą </w:t>
      </w:r>
      <w:r w:rsidR="00402EC9" w:rsidRPr="001A5EAB">
        <w:rPr>
          <w:noProof/>
          <w:szCs w:val="20"/>
          <w:lang w:val="lt-LT" w:bidi="ar-SA"/>
        </w:rPr>
        <w:t xml:space="preserve">finansų arba teisės </w:t>
      </w:r>
      <w:r w:rsidRPr="001A5EAB">
        <w:rPr>
          <w:noProof/>
          <w:szCs w:val="20"/>
          <w:lang w:val="lt-LT" w:bidi="ar-SA"/>
        </w:rPr>
        <w:t>konsultantą, kuris galėtų jam suteikti finansinę ir teisinę konsultaciją. Bet kuris fizinis arba jurid</w:t>
      </w:r>
      <w:r w:rsidR="004D457C">
        <w:rPr>
          <w:noProof/>
          <w:szCs w:val="20"/>
          <w:lang w:val="lt-LT" w:bidi="ar-SA"/>
        </w:rPr>
        <w:t>inis asmuo, kuriam priklausančia</w:t>
      </w:r>
      <w:r w:rsidRPr="001A5EAB">
        <w:rPr>
          <w:noProof/>
          <w:szCs w:val="20"/>
          <w:lang w:val="lt-LT" w:bidi="ar-SA"/>
        </w:rPr>
        <w:t xml:space="preserve">s </w:t>
      </w:r>
      <w:r w:rsidR="004D457C">
        <w:rPr>
          <w:noProof/>
          <w:szCs w:val="20"/>
          <w:lang w:val="lt-LT" w:bidi="ar-SA"/>
        </w:rPr>
        <w:t xml:space="preserve">Obligacijas </w:t>
      </w:r>
      <w:r w:rsidRPr="001A5EAB">
        <w:rPr>
          <w:noProof/>
          <w:szCs w:val="20"/>
          <w:lang w:val="lt-LT" w:bidi="ar-SA"/>
        </w:rPr>
        <w:t xml:space="preserve">jo vardu </w:t>
      </w:r>
      <w:r w:rsidR="00173CE0">
        <w:rPr>
          <w:noProof/>
          <w:szCs w:val="20"/>
          <w:lang w:val="lt-LT" w:bidi="ar-SA"/>
        </w:rPr>
        <w:t>apskaito</w:t>
      </w:r>
      <w:r w:rsidR="00173CE0" w:rsidRPr="001A5EAB">
        <w:rPr>
          <w:noProof/>
          <w:szCs w:val="20"/>
          <w:lang w:val="lt-LT" w:bidi="ar-SA"/>
        </w:rPr>
        <w:t xml:space="preserve"> </w:t>
      </w:r>
      <w:r w:rsidR="004D0E8D">
        <w:rPr>
          <w:noProof/>
          <w:szCs w:val="20"/>
          <w:lang w:val="lt-LT" w:bidi="ar-SA"/>
        </w:rPr>
        <w:t xml:space="preserve">finansų </w:t>
      </w:r>
      <w:r w:rsidRPr="001A5EAB">
        <w:rPr>
          <w:noProof/>
          <w:szCs w:val="20"/>
          <w:lang w:val="lt-LT" w:bidi="ar-SA"/>
        </w:rPr>
        <w:t xml:space="preserve">makleris, </w:t>
      </w:r>
      <w:r w:rsidR="00173CE0">
        <w:rPr>
          <w:noProof/>
          <w:szCs w:val="20"/>
          <w:lang w:val="lt-LT" w:bidi="ar-SA"/>
        </w:rPr>
        <w:t>platintojas</w:t>
      </w:r>
      <w:r w:rsidRPr="001A5EAB">
        <w:rPr>
          <w:noProof/>
          <w:szCs w:val="20"/>
          <w:lang w:val="lt-LT" w:bidi="ar-SA"/>
        </w:rPr>
        <w:t xml:space="preserve">, bankas, </w:t>
      </w:r>
      <w:r w:rsidR="004D0E8D">
        <w:rPr>
          <w:noProof/>
          <w:szCs w:val="20"/>
          <w:lang w:val="lt-LT" w:bidi="ar-SA"/>
        </w:rPr>
        <w:t>tvarkytojas</w:t>
      </w:r>
      <w:r w:rsidRPr="001A5EAB">
        <w:rPr>
          <w:noProof/>
          <w:szCs w:val="20"/>
          <w:lang w:val="lt-LT" w:bidi="ar-SA"/>
        </w:rPr>
        <w:t>, patikos bendrovė arba kitas paskirtas asmuo ar tarpinink</w:t>
      </w:r>
      <w:r w:rsidR="004D457C">
        <w:rPr>
          <w:noProof/>
          <w:szCs w:val="20"/>
          <w:lang w:val="lt-LT" w:bidi="ar-SA"/>
        </w:rPr>
        <w:t>as, pageidaudamas pateikti tokia</w:t>
      </w:r>
      <w:r w:rsidRPr="001A5EAB">
        <w:rPr>
          <w:noProof/>
          <w:szCs w:val="20"/>
          <w:lang w:val="lt-LT" w:bidi="ar-SA"/>
        </w:rPr>
        <w:t xml:space="preserve">s </w:t>
      </w:r>
      <w:r w:rsidR="004D457C">
        <w:rPr>
          <w:noProof/>
          <w:szCs w:val="20"/>
          <w:lang w:val="lt-LT" w:bidi="ar-SA"/>
        </w:rPr>
        <w:t xml:space="preserve">Obligacijas </w:t>
      </w:r>
      <w:r w:rsidRPr="001A5EAB">
        <w:rPr>
          <w:noProof/>
          <w:szCs w:val="20"/>
          <w:lang w:val="lt-LT" w:bidi="ar-SA"/>
        </w:rPr>
        <w:t xml:space="preserve">pagal Pasiūlymo sąlygas, privalo kreiptis į atitinkamą subjektą. Nei Emitentas, nei </w:t>
      </w:r>
      <w:r w:rsidR="00173CE0">
        <w:rPr>
          <w:noProof/>
          <w:szCs w:val="20"/>
          <w:lang w:val="lt-LT" w:bidi="ar-SA"/>
        </w:rPr>
        <w:t>Platintojai</w:t>
      </w:r>
      <w:r w:rsidR="00173CE0" w:rsidRPr="001A5EAB">
        <w:rPr>
          <w:noProof/>
          <w:szCs w:val="20"/>
          <w:lang w:val="lt-LT" w:bidi="ar-SA"/>
        </w:rPr>
        <w:t xml:space="preserve"> </w:t>
      </w:r>
      <w:r w:rsidRPr="001A5EAB">
        <w:rPr>
          <w:noProof/>
          <w:szCs w:val="20"/>
          <w:lang w:val="lt-LT" w:bidi="ar-SA"/>
        </w:rPr>
        <w:t xml:space="preserve">valdytojai, nei Pasiūlymo agentas neteikia jokių rekomendacijų, ar </w:t>
      </w:r>
      <w:r w:rsidR="00141433">
        <w:rPr>
          <w:noProof/>
          <w:szCs w:val="20"/>
          <w:lang w:val="lt-LT" w:bidi="ar-SA"/>
        </w:rPr>
        <w:t xml:space="preserve">Obligacijų </w:t>
      </w:r>
      <w:r w:rsidR="007F3B0C">
        <w:rPr>
          <w:noProof/>
          <w:szCs w:val="20"/>
          <w:lang w:val="lt-LT" w:bidi="ar-SA"/>
        </w:rPr>
        <w:t>savinink</w:t>
      </w:r>
      <w:r w:rsidRPr="001A5EAB">
        <w:rPr>
          <w:noProof/>
          <w:szCs w:val="20"/>
          <w:lang w:val="lt-LT" w:bidi="ar-SA"/>
        </w:rPr>
        <w:t xml:space="preserve">ai derėtų pateikti savo </w:t>
      </w:r>
      <w:r w:rsidR="004D457C">
        <w:rPr>
          <w:noProof/>
          <w:szCs w:val="20"/>
          <w:lang w:val="lt-LT" w:bidi="ar-SA"/>
        </w:rPr>
        <w:t>Obligacijas</w:t>
      </w:r>
      <w:r w:rsidRPr="001A5EAB">
        <w:rPr>
          <w:noProof/>
          <w:szCs w:val="20"/>
          <w:lang w:val="lt-LT" w:bidi="ar-SA"/>
        </w:rPr>
        <w:t xml:space="preserve"> pagal Pasiūlymą.</w:t>
      </w:r>
    </w:p>
    <w:p w14:paraId="472C19E0" w14:textId="77777777" w:rsidR="00F13A82" w:rsidRPr="001A5EAB" w:rsidRDefault="00F13A82" w:rsidP="00F13A82">
      <w:pPr>
        <w:pStyle w:val="Title7"/>
        <w:rPr>
          <w:rFonts w:ascii="Times New Roman Bold" w:hAnsi="Times New Roman Bold"/>
          <w:b/>
          <w:bCs/>
          <w:i w:val="0"/>
          <w:noProof/>
          <w:lang w:val="lt-LT" w:bidi="ar-SA"/>
        </w:rPr>
      </w:pPr>
      <w:bookmarkStart w:id="5" w:name="_Toc27470038"/>
      <w:bookmarkStart w:id="6" w:name="_Toc102163901"/>
      <w:r w:rsidRPr="001A5EAB">
        <w:rPr>
          <w:rFonts w:ascii="Times New Roman Bold" w:hAnsi="Times New Roman Bold"/>
          <w:b/>
          <w:bCs/>
          <w:i w:val="0"/>
          <w:noProof/>
          <w:lang w:val="lt-LT" w:bidi="ar-SA"/>
        </w:rPr>
        <w:t>Siūlymo ir platinimo apribojimai</w:t>
      </w:r>
      <w:bookmarkEnd w:id="5"/>
      <w:bookmarkEnd w:id="6"/>
    </w:p>
    <w:p w14:paraId="01E983BD" w14:textId="625236E9" w:rsidR="00F13A82" w:rsidRPr="001A5EAB" w:rsidRDefault="00F13A82" w:rsidP="00F13A82">
      <w:pPr>
        <w:pStyle w:val="BodyText"/>
        <w:rPr>
          <w:noProof/>
          <w:lang w:val="lt-LT" w:eastAsia="zh-CN"/>
        </w:rPr>
      </w:pPr>
      <w:r w:rsidRPr="001A5EAB">
        <w:rPr>
          <w:iCs/>
          <w:noProof/>
          <w:lang w:val="lt-LT"/>
        </w:rPr>
        <w:t xml:space="preserve">Oficialaus pasiūlymo memorandumo ir šio pranešimo platinimui tam tikrose jurisdikcijose gali būti taikomi įstatymuose ir teisės aktuose nustatyti apribojimai. Emitentas, </w:t>
      </w:r>
      <w:r w:rsidR="0013515B">
        <w:rPr>
          <w:iCs/>
          <w:noProof/>
          <w:lang w:val="lt-LT"/>
        </w:rPr>
        <w:t>Platintojai</w:t>
      </w:r>
      <w:r w:rsidR="0013515B" w:rsidRPr="001A5EAB">
        <w:rPr>
          <w:iCs/>
          <w:noProof/>
          <w:lang w:val="lt-LT"/>
        </w:rPr>
        <w:t xml:space="preserve"> </w:t>
      </w:r>
      <w:r w:rsidRPr="001A5EAB">
        <w:rPr>
          <w:iCs/>
          <w:noProof/>
          <w:lang w:val="lt-LT"/>
        </w:rPr>
        <w:t>valdytojai ir Pasiūlymo agentas reikalauja, kad asmenys, gavę Oficialaus pasiūlymo memorandumą ir šį pranešimą, patys susipažintų su tokiais apribojimais ir jų laikytųsi.</w:t>
      </w:r>
    </w:p>
    <w:p w14:paraId="766FA992" w14:textId="77777777" w:rsidR="00F13A82" w:rsidRPr="001A5EAB" w:rsidRDefault="00F13A82" w:rsidP="00F13A82">
      <w:pPr>
        <w:pStyle w:val="Title7"/>
        <w:rPr>
          <w:b/>
          <w:bCs/>
          <w:noProof/>
          <w:lang w:val="lt-LT"/>
        </w:rPr>
      </w:pPr>
      <w:r w:rsidRPr="001A5EAB">
        <w:rPr>
          <w:b/>
          <w:bCs/>
          <w:noProof/>
          <w:lang w:val="lt-LT"/>
        </w:rPr>
        <w:t>Jungtinės Valstijos</w:t>
      </w:r>
    </w:p>
    <w:p w14:paraId="34C943EC" w14:textId="45C489A0" w:rsidR="00F13A82" w:rsidRPr="001A5EAB" w:rsidRDefault="00F13A82" w:rsidP="00F13A82">
      <w:pPr>
        <w:pStyle w:val="BodyText"/>
        <w:rPr>
          <w:noProof/>
          <w:lang w:val="lt-LT"/>
        </w:rPr>
      </w:pPr>
      <w:r w:rsidRPr="001A5EAB">
        <w:rPr>
          <w:noProof/>
          <w:lang w:val="lt-LT"/>
        </w:rPr>
        <w:t xml:space="preserve">Pasiūlymas nėra ir nebus nei tiesiogiai, nei netiesiogiai, nei naudojantis paštu, nei kitokiomis tarpvalstybinės arba užsienio prekybos priemonėmis arba per nacionalinę akcijų biržą, teikiamas Jungtinėse Valstijose ir jokiam JAV </w:t>
      </w:r>
      <w:r w:rsidR="008D3FB5">
        <w:rPr>
          <w:noProof/>
          <w:lang w:val="lt-LT"/>
        </w:rPr>
        <w:t>subjektui</w:t>
      </w:r>
      <w:r w:rsidRPr="001A5EAB">
        <w:rPr>
          <w:noProof/>
          <w:lang w:val="lt-LT"/>
        </w:rPr>
        <w:t xml:space="preserve"> (kaip šis terminas apibrėžtas 1933 m. Jungtinių Valstijų vertybinių popie</w:t>
      </w:r>
      <w:r w:rsidR="008D3FB5">
        <w:rPr>
          <w:noProof/>
          <w:lang w:val="lt-LT"/>
        </w:rPr>
        <w:t>rių įstatymo (su pakeitimais) S </w:t>
      </w:r>
      <w:r w:rsidRPr="001A5EAB">
        <w:rPr>
          <w:noProof/>
          <w:lang w:val="lt-LT"/>
        </w:rPr>
        <w:t xml:space="preserve">reglamente (toliau – </w:t>
      </w:r>
      <w:r w:rsidR="008D3FB5">
        <w:rPr>
          <w:b/>
          <w:noProof/>
          <w:lang w:val="lt-LT"/>
        </w:rPr>
        <w:t>JAV subjektas</w:t>
      </w:r>
      <w:r w:rsidRPr="001A5EAB">
        <w:rPr>
          <w:noProof/>
          <w:lang w:val="lt-LT"/>
        </w:rPr>
        <w:t xml:space="preserve">)). Be kita ko, tai reiškia perdavimą faksu, el. paštu, teleksu, telefonu, internetu ir kitokiomis elektroninėmis ryšio priemonėmis. Atitinkamai, Oficialaus pasiūlymo memorandumo ir bet kokių kitų su Pasiūlymu susijusių dokumentų arba medžiagos kopijos nėra ir nebus nei tiesiogiai, nei netiesiogiai siunčiamos paštu ar kitokiais būdais perduodamos, platinamos arba persiunčiamos (be kita ko, jų neperduos, neplatins ir nepersiųs nei </w:t>
      </w:r>
      <w:r w:rsidR="00157810">
        <w:rPr>
          <w:noProof/>
          <w:lang w:val="lt-LT"/>
        </w:rPr>
        <w:t>tvarkytojai</w:t>
      </w:r>
      <w:r w:rsidRPr="001A5EAB">
        <w:rPr>
          <w:noProof/>
          <w:lang w:val="lt-LT"/>
        </w:rPr>
        <w:t xml:space="preserve">, nei kiti paskirtieji asmenys arba patikėtiniai) į Jungtines Valstijas arba JAV </w:t>
      </w:r>
      <w:r w:rsidR="008D3FB5">
        <w:rPr>
          <w:noProof/>
          <w:lang w:val="lt-LT"/>
        </w:rPr>
        <w:t>subjektams</w:t>
      </w:r>
      <w:r w:rsidRPr="001A5EAB">
        <w:rPr>
          <w:noProof/>
          <w:lang w:val="lt-LT"/>
        </w:rPr>
        <w:t xml:space="preserve">, o </w:t>
      </w:r>
      <w:r w:rsidR="004D457C">
        <w:rPr>
          <w:noProof/>
          <w:lang w:val="lt-LT"/>
        </w:rPr>
        <w:t>Obligacijos</w:t>
      </w:r>
      <w:r w:rsidRPr="001A5EAB">
        <w:rPr>
          <w:noProof/>
          <w:lang w:val="lt-LT"/>
        </w:rPr>
        <w:t xml:space="preserve"> pagal Pasiūlymą negali būti teikiam</w:t>
      </w:r>
      <w:r w:rsidR="004D457C">
        <w:rPr>
          <w:noProof/>
          <w:lang w:val="lt-LT"/>
        </w:rPr>
        <w:t>os</w:t>
      </w:r>
      <w:r w:rsidRPr="001A5EAB">
        <w:rPr>
          <w:noProof/>
          <w:lang w:val="lt-LT"/>
        </w:rPr>
        <w:t xml:space="preserve"> naudojantis jokiomis priemonėmis, kurias suteikia Jungtinėse Valstijose esantys arba gyvenantys asmenys, kaip šis terminas apibrėžtas 1933 m. Jungtinių Valstijų vertybinių popierių įstatymo (su pakeitimais) S reglamente, arba bet kokie asmenys, veikiantys JAV </w:t>
      </w:r>
      <w:r w:rsidR="008D3FB5">
        <w:rPr>
          <w:noProof/>
          <w:lang w:val="lt-LT"/>
        </w:rPr>
        <w:t>subjekto</w:t>
      </w:r>
      <w:r w:rsidRPr="001A5EAB">
        <w:rPr>
          <w:noProof/>
          <w:lang w:val="lt-LT"/>
        </w:rPr>
        <w:t xml:space="preserve"> vardu arba naudai. Bet kokių pagal Pasiūlymo sąlygas teikiamų </w:t>
      </w:r>
      <w:r w:rsidR="004D457C">
        <w:rPr>
          <w:noProof/>
          <w:lang w:val="lt-LT"/>
        </w:rPr>
        <w:t>Obligacijų</w:t>
      </w:r>
      <w:r w:rsidRPr="001A5EAB">
        <w:rPr>
          <w:noProof/>
          <w:lang w:val="lt-LT"/>
        </w:rPr>
        <w:t xml:space="preserve">, pateiktų tiesiogiai arba netiesiogiai pažeidžiant pirmiau nurodytus apribojimus, pateikimas yra neteisėtas, o bet kokių </w:t>
      </w:r>
      <w:r w:rsidR="009D5787">
        <w:rPr>
          <w:noProof/>
          <w:lang w:val="lt-LT"/>
        </w:rPr>
        <w:t>Obligacijų</w:t>
      </w:r>
      <w:r w:rsidRPr="001A5EAB">
        <w:rPr>
          <w:noProof/>
          <w:lang w:val="lt-LT"/>
        </w:rPr>
        <w:t>, kuri</w:t>
      </w:r>
      <w:r w:rsidR="00106162">
        <w:rPr>
          <w:noProof/>
          <w:lang w:val="lt-LT"/>
        </w:rPr>
        <w:t>a</w:t>
      </w:r>
      <w:r w:rsidRPr="001A5EAB">
        <w:rPr>
          <w:noProof/>
          <w:lang w:val="lt-LT"/>
        </w:rPr>
        <w:t xml:space="preserve">s Jungtinėse Valstijose kaip įtariama pateikė Jungtinėse Valstijose esantis arba gyvenantis asmuo, JAV </w:t>
      </w:r>
      <w:r w:rsidR="008D3FB5">
        <w:rPr>
          <w:noProof/>
          <w:lang w:val="lt-LT"/>
        </w:rPr>
        <w:t>subjektas</w:t>
      </w:r>
      <w:r w:rsidRPr="001A5EAB">
        <w:rPr>
          <w:noProof/>
          <w:lang w:val="lt-LT"/>
        </w:rPr>
        <w:t xml:space="preserve"> ar bet koks asmuo, veikiantis JAV </w:t>
      </w:r>
      <w:r w:rsidR="008D3FB5">
        <w:rPr>
          <w:noProof/>
          <w:lang w:val="lt-LT"/>
        </w:rPr>
        <w:t>subjekto</w:t>
      </w:r>
      <w:r w:rsidRPr="001A5EAB">
        <w:rPr>
          <w:noProof/>
          <w:lang w:val="lt-LT"/>
        </w:rPr>
        <w:t xml:space="preserve"> vardu arba naudai, taip pat bet koks agentas, patikėtinis ar kitoks tarpininkas, besąlygiškai vykdantis jį įgaliojusio asmens nurodymus Jungtinėse Valstijose, pateikimas</w:t>
      </w:r>
      <w:r w:rsidR="004D457C">
        <w:rPr>
          <w:noProof/>
          <w:lang w:val="lt-LT"/>
        </w:rPr>
        <w:t xml:space="preserve"> yra laikomas neteisėtu, o tokios</w:t>
      </w:r>
      <w:r w:rsidRPr="001A5EAB">
        <w:rPr>
          <w:noProof/>
          <w:lang w:val="lt-LT"/>
        </w:rPr>
        <w:t xml:space="preserve"> </w:t>
      </w:r>
      <w:r w:rsidR="004D457C">
        <w:rPr>
          <w:noProof/>
          <w:lang w:val="lt-LT"/>
        </w:rPr>
        <w:t>obligacijos nėra priimamos</w:t>
      </w:r>
      <w:r w:rsidRPr="001A5EAB">
        <w:rPr>
          <w:noProof/>
          <w:lang w:val="lt-LT"/>
        </w:rPr>
        <w:t>.</w:t>
      </w:r>
    </w:p>
    <w:p w14:paraId="283F8549" w14:textId="1FEAE091" w:rsidR="00F13A82" w:rsidRPr="001A5EAB" w:rsidRDefault="00F13A82" w:rsidP="00F13A82">
      <w:pPr>
        <w:pStyle w:val="BodyText"/>
        <w:rPr>
          <w:noProof/>
          <w:lang w:val="lt-LT"/>
        </w:rPr>
      </w:pPr>
      <w:r w:rsidRPr="001A5EAB">
        <w:rPr>
          <w:noProof/>
          <w:lang w:val="lt-LT"/>
        </w:rPr>
        <w:t xml:space="preserve">Oficialaus pasiūlymo memorandumas nėra pasiūlymas parduoti vertybinius popierius Jungtinėse Valstijose arba JAV </w:t>
      </w:r>
      <w:r w:rsidR="008D3FB5">
        <w:rPr>
          <w:noProof/>
          <w:lang w:val="lt-LT"/>
        </w:rPr>
        <w:t>subjektams</w:t>
      </w:r>
      <w:r w:rsidRPr="001A5EAB">
        <w:rPr>
          <w:noProof/>
          <w:lang w:val="lt-LT"/>
        </w:rPr>
        <w:t xml:space="preserve">. Vertybinius popierius Jungtinėse Valstijose siūlyti, parduoti ar pristatyti galima tik juos pirma </w:t>
      </w:r>
      <w:r w:rsidRPr="001A5EAB">
        <w:rPr>
          <w:noProof/>
          <w:lang w:val="lt-LT"/>
        </w:rPr>
        <w:lastRenderedPageBreak/>
        <w:t>užregistravus arba atleidus nuo registracijos pagal 1933 m. Jungtinių Valstijų vertybinių popierių įstatymo sąlygas. Nauj</w:t>
      </w:r>
      <w:r w:rsidR="00224CB9">
        <w:rPr>
          <w:noProof/>
          <w:lang w:val="lt-LT"/>
        </w:rPr>
        <w:t>osios obligacijos</w:t>
      </w:r>
      <w:r w:rsidRPr="001A5EAB">
        <w:rPr>
          <w:noProof/>
          <w:lang w:val="lt-LT"/>
        </w:rPr>
        <w:t xml:space="preserve"> nėra ir nebus registruoti pagal Vertybinių popierių įstatymą arba bet kurios Jungtinių Valstijų valstijos ar kitos jurisdikcijos vertybinių popierių įstatymus ir juos tiesiogiai arba netiesiogiai siūlyti, parduoti ar pristatyti Jungtinėse Valstijose arba bet kokiems JAV </w:t>
      </w:r>
      <w:r w:rsidR="008D3FB5">
        <w:rPr>
          <w:noProof/>
          <w:lang w:val="lt-LT"/>
        </w:rPr>
        <w:t>subjektams</w:t>
      </w:r>
      <w:r w:rsidRPr="001A5EAB">
        <w:rPr>
          <w:noProof/>
          <w:lang w:val="lt-LT"/>
        </w:rPr>
        <w:t>, jų vardu arba naudai yra draudžiama.</w:t>
      </w:r>
    </w:p>
    <w:p w14:paraId="27E8FF1D" w14:textId="07A67E67" w:rsidR="00F13A82" w:rsidRPr="001A5EAB" w:rsidRDefault="00F13A82" w:rsidP="00F13A82">
      <w:pPr>
        <w:pStyle w:val="BodyText"/>
        <w:rPr>
          <w:noProof/>
          <w:lang w:val="lt-LT"/>
        </w:rPr>
      </w:pPr>
      <w:r w:rsidRPr="001A5EAB">
        <w:rPr>
          <w:noProof/>
          <w:lang w:val="lt-LT"/>
        </w:rPr>
        <w:t xml:space="preserve">Kiekvienas Pasiūlyme dalyvaujantis </w:t>
      </w:r>
      <w:r w:rsidR="00141433">
        <w:rPr>
          <w:noProof/>
          <w:lang w:val="lt-LT"/>
        </w:rPr>
        <w:t xml:space="preserve">Obligacijų </w:t>
      </w:r>
      <w:r w:rsidR="007F3B0C">
        <w:rPr>
          <w:noProof/>
          <w:lang w:val="lt-LT"/>
        </w:rPr>
        <w:t>savinink</w:t>
      </w:r>
      <w:r w:rsidR="008D3FB5">
        <w:rPr>
          <w:noProof/>
          <w:lang w:val="lt-LT"/>
        </w:rPr>
        <w:t>as pareiškia, kad jis nėra JAV subjektas</w:t>
      </w:r>
      <w:r w:rsidRPr="001A5EAB">
        <w:rPr>
          <w:noProof/>
          <w:lang w:val="lt-LT"/>
        </w:rPr>
        <w:t>, jis nėra Jungtinėse Valstijose ir Pasiūlyme nedalyvauja iš Jungtinių Valstijų arba kad jis dalyvauja, besąlygiškai atstovaudamas jį įgaliojusiam asmeniui, kuris nėra JAV</w:t>
      </w:r>
      <w:r w:rsidR="008D3FB5">
        <w:rPr>
          <w:noProof/>
          <w:lang w:val="lt-LT"/>
        </w:rPr>
        <w:t xml:space="preserve"> subjektas</w:t>
      </w:r>
      <w:r w:rsidRPr="001A5EAB">
        <w:rPr>
          <w:noProof/>
          <w:lang w:val="lt-LT"/>
        </w:rPr>
        <w:t xml:space="preserve"> ir yra bei nurodymus dalyvauti Pasiūlyme duoda iš už Jungtinių Valstijų ribų. Šioje ir pirmesnėje pastraipoje </w:t>
      </w:r>
      <w:r w:rsidRPr="001A5EAB">
        <w:rPr>
          <w:b/>
          <w:noProof/>
          <w:lang w:val="lt-LT"/>
        </w:rPr>
        <w:t>Jungtinės Valstijos</w:t>
      </w:r>
      <w:r w:rsidRPr="001A5EAB">
        <w:rPr>
          <w:noProof/>
          <w:lang w:val="lt-LT"/>
        </w:rPr>
        <w:t xml:space="preserve"> reiškia Jungtines Amerikos Valstijas, jų teritorijas ir valdas (įskaitant Puerto Riką, JAV Mergelių salas, Guamą, Amerikos Samoa, Veiko salą ir Šiaurės Marianų salas), bet kurią Jungtinių Valstijų valstiją ir Kolumbijos apygardą.</w:t>
      </w:r>
    </w:p>
    <w:p w14:paraId="308FBADA" w14:textId="77777777" w:rsidR="00F13A82" w:rsidRPr="001A5EAB" w:rsidRDefault="00F13A82" w:rsidP="00F13A82">
      <w:pPr>
        <w:pStyle w:val="Title7"/>
        <w:rPr>
          <w:b/>
          <w:bCs/>
          <w:noProof/>
          <w:lang w:val="lt-LT"/>
        </w:rPr>
      </w:pPr>
      <w:r w:rsidRPr="001A5EAB">
        <w:rPr>
          <w:b/>
          <w:bCs/>
          <w:noProof/>
          <w:lang w:val="lt-LT"/>
        </w:rPr>
        <w:t>Jungtinė Karalystė</w:t>
      </w:r>
    </w:p>
    <w:p w14:paraId="15000355" w14:textId="77777777" w:rsidR="00F13A82" w:rsidRPr="001A5EAB" w:rsidRDefault="00F13A82" w:rsidP="00F13A82">
      <w:pPr>
        <w:pStyle w:val="BodyText"/>
        <w:rPr>
          <w:noProof/>
          <w:lang w:val="lt-LT"/>
        </w:rPr>
      </w:pPr>
      <w:r w:rsidRPr="001A5EAB">
        <w:rPr>
          <w:noProof/>
          <w:lang w:val="lt-LT"/>
        </w:rPr>
        <w:t xml:space="preserve">Oficialaus pasiūlymo memorandumo ir bet kokių kitų su Pasiūlymu susijusių dokumentų arba medžiagos nepristato ir tokių dokumentų ir (arba) medžiagos nepatvirtino joks įgaliotasis asmuo, nurodytas Finansinių paslaugų ir rinkų įstatymo 21 skyriuje. Atitinkamai, tokius dokumentus ir (arba) medžiagą platinti arba perduoti Jungtinės Karalystės gyventojams draudžiama. Šie dokumentai ir (arba) medžiaga yra pristatomi kaip finansinio pobūdžio reklama tik tiems Jungtinėje Karalystėje esantiems asmenims, kurie atitinka profesionalių investuotojų apibrėžimą (kuris pateikiamas 2000 m. Finansinių paslaugų ir rinkų įstatymo 2005 m. potvarkio (dėl finansinio pobūdžio reklamos) (toliau – </w:t>
      </w:r>
      <w:r w:rsidRPr="001A5EAB">
        <w:rPr>
          <w:b/>
          <w:noProof/>
          <w:lang w:val="lt-LT"/>
        </w:rPr>
        <w:t>Potvarkis dėl finansinio pobūdžio reklamos</w:t>
      </w:r>
      <w:r w:rsidRPr="001A5EAB">
        <w:rPr>
          <w:noProof/>
          <w:lang w:val="lt-LT"/>
        </w:rPr>
        <w:t>) 19 straipsnio 5 dalyje), asmenims, nurodytiems Potvarkio dėl finansinio pobūdžio reklamos 43 straipsnio 2 dalyje arba bet kokiems kitiems asmenims, kuriems jie gali būti teisėtai pristatyti pagal Potvarkio dėl finansinio pobūdžio reklamos nuostatas.</w:t>
      </w:r>
    </w:p>
    <w:p w14:paraId="3C8C87F4" w14:textId="77777777" w:rsidR="00F13A82" w:rsidRPr="001A5EAB" w:rsidRDefault="00F13A82" w:rsidP="00F13A82">
      <w:pPr>
        <w:pStyle w:val="Title7"/>
        <w:rPr>
          <w:b/>
          <w:bCs/>
          <w:noProof/>
          <w:lang w:val="lt-LT"/>
        </w:rPr>
      </w:pPr>
      <w:r w:rsidRPr="001A5EAB">
        <w:rPr>
          <w:b/>
          <w:bCs/>
          <w:noProof/>
          <w:lang w:val="lt-LT"/>
        </w:rPr>
        <w:t>Prancūzija</w:t>
      </w:r>
    </w:p>
    <w:p w14:paraId="76487EB1" w14:textId="2FD48FE7" w:rsidR="00F13A82" w:rsidRPr="001A5EAB" w:rsidRDefault="00F13A82" w:rsidP="00F13A82">
      <w:pPr>
        <w:pStyle w:val="BodyText"/>
        <w:rPr>
          <w:noProof/>
          <w:lang w:val="lt-LT"/>
        </w:rPr>
      </w:pPr>
      <w:r w:rsidRPr="001A5EAB">
        <w:rPr>
          <w:noProof/>
          <w:lang w:val="lt-LT"/>
        </w:rPr>
        <w:t xml:space="preserve">Pasiūlymas Prancūzijos Respublikoje (toliau – </w:t>
      </w:r>
      <w:r w:rsidRPr="001A5EAB">
        <w:rPr>
          <w:b/>
          <w:noProof/>
          <w:lang w:val="lt-LT"/>
        </w:rPr>
        <w:t>Prancūzija</w:t>
      </w:r>
      <w:r w:rsidRPr="001A5EAB">
        <w:rPr>
          <w:noProof/>
          <w:lang w:val="lt-LT"/>
        </w:rPr>
        <w:t>) yra teikiamas išimtinai kvalifikuotiesiems investuotojams (</w:t>
      </w:r>
      <w:r w:rsidR="00E8040A">
        <w:rPr>
          <w:noProof/>
          <w:lang w:val="lt-LT"/>
        </w:rPr>
        <w:t xml:space="preserve">pranc. </w:t>
      </w:r>
      <w:r w:rsidRPr="001A5EAB">
        <w:rPr>
          <w:i/>
          <w:iCs/>
          <w:noProof/>
          <w:lang w:val="lt-LT"/>
        </w:rPr>
        <w:t>investisseurs qualifiés</w:t>
      </w:r>
      <w:r w:rsidRPr="001A5EAB">
        <w:rPr>
          <w:noProof/>
          <w:lang w:val="lt-LT"/>
        </w:rPr>
        <w:t xml:space="preserve">), kaip šis terminas apibrėžtas Prancūzijos </w:t>
      </w:r>
      <w:r w:rsidRPr="001A5EAB">
        <w:rPr>
          <w:i/>
          <w:iCs/>
          <w:noProof/>
          <w:lang w:val="lt-LT"/>
        </w:rPr>
        <w:t>Code</w:t>
      </w:r>
      <w:r w:rsidRPr="001A5EAB">
        <w:rPr>
          <w:noProof/>
          <w:lang w:val="lt-LT"/>
        </w:rPr>
        <w:t xml:space="preserve"> </w:t>
      </w:r>
      <w:r w:rsidRPr="001A5EAB">
        <w:rPr>
          <w:i/>
          <w:iCs/>
          <w:noProof/>
          <w:lang w:val="lt-LT"/>
        </w:rPr>
        <w:t>monétaire et financier</w:t>
      </w:r>
      <w:r w:rsidRPr="001A5EAB">
        <w:rPr>
          <w:noProof/>
          <w:lang w:val="lt-LT"/>
        </w:rPr>
        <w:t xml:space="preserve"> L straipsnio 411-2 1 dalyje. Ir Oficialaus pasiūlymo memorandumas, ir bet kokie kiti su Pasiūlymu susiję dokumentai arba medžiaga Prancūzijoje yra platinami tik kvalifikuotiesiems investuotojams (</w:t>
      </w:r>
      <w:r w:rsidR="00E8040A">
        <w:rPr>
          <w:noProof/>
          <w:lang w:val="lt-LT"/>
        </w:rPr>
        <w:t xml:space="preserve">pranc. </w:t>
      </w:r>
      <w:r w:rsidRPr="001A5EAB">
        <w:rPr>
          <w:i/>
          <w:iCs/>
          <w:noProof/>
          <w:lang w:val="lt-LT"/>
        </w:rPr>
        <w:t>investisseurs qualifiés</w:t>
      </w:r>
      <w:r w:rsidRPr="001A5EAB">
        <w:rPr>
          <w:noProof/>
          <w:lang w:val="lt-LT"/>
        </w:rPr>
        <w:t>) ir tik kvalifikuotieji investuotojai (</w:t>
      </w:r>
      <w:r w:rsidR="00E8040A">
        <w:rPr>
          <w:noProof/>
          <w:lang w:val="lt-LT"/>
        </w:rPr>
        <w:t xml:space="preserve">pranc. </w:t>
      </w:r>
      <w:r w:rsidRPr="001A5EAB">
        <w:rPr>
          <w:i/>
          <w:noProof/>
          <w:lang w:val="lt-LT"/>
        </w:rPr>
        <w:t>investisseurs qualifiés</w:t>
      </w:r>
      <w:r w:rsidRPr="001A5EAB">
        <w:rPr>
          <w:noProof/>
          <w:lang w:val="lt-LT"/>
        </w:rPr>
        <w:t xml:space="preserve">) turi teisę dalyvauti Pasiūlyme. Oficialaus pasiūlymo memorandumas ir bet kokie kiti su Pasiūlymu susiję dokumentai ar medžiaga nebuvo ir nebus pateikti suderinti arba patvirtinti </w:t>
      </w:r>
      <w:r w:rsidRPr="001A5EAB">
        <w:rPr>
          <w:i/>
          <w:noProof/>
          <w:lang w:val="lt-LT"/>
        </w:rPr>
        <w:t>Autorité des marchés financiers</w:t>
      </w:r>
      <w:r w:rsidRPr="001A5EAB">
        <w:rPr>
          <w:noProof/>
          <w:lang w:val="lt-LT"/>
        </w:rPr>
        <w:t>.</w:t>
      </w:r>
    </w:p>
    <w:p w14:paraId="56315173" w14:textId="77777777" w:rsidR="00F13A82" w:rsidRPr="001A5EAB" w:rsidRDefault="00F13A82" w:rsidP="00F13A82">
      <w:pPr>
        <w:pStyle w:val="Title7"/>
        <w:rPr>
          <w:b/>
          <w:bCs/>
          <w:noProof/>
          <w:lang w:val="lt-LT"/>
        </w:rPr>
      </w:pPr>
      <w:r w:rsidRPr="001A5EAB">
        <w:rPr>
          <w:b/>
          <w:bCs/>
          <w:noProof/>
          <w:lang w:val="lt-LT"/>
        </w:rPr>
        <w:t>Italija</w:t>
      </w:r>
    </w:p>
    <w:p w14:paraId="3D0E7A13" w14:textId="77777777" w:rsidR="00F13A82" w:rsidRPr="001A5EAB" w:rsidRDefault="00F13A82" w:rsidP="00F13A82">
      <w:pPr>
        <w:pStyle w:val="BodyText"/>
        <w:rPr>
          <w:noProof/>
          <w:lang w:val="lt-LT"/>
        </w:rPr>
      </w:pPr>
      <w:r w:rsidRPr="001A5EAB">
        <w:rPr>
          <w:noProof/>
          <w:lang w:val="lt-LT"/>
        </w:rPr>
        <w:t xml:space="preserve">Nei Pasiūlymas, nei Oficialaus pasiūlymo memorandumas ar kurie nors kiti su Pasiūlymu susiję dokumentai ar medžiaga nebuvo ir nebus pateikti patvirtinti </w:t>
      </w:r>
      <w:r w:rsidRPr="001A5EAB">
        <w:rPr>
          <w:i/>
          <w:iCs/>
          <w:noProof/>
          <w:lang w:val="lt-LT"/>
        </w:rPr>
        <w:t>Commissione Nazionale per le Società e la Borsa</w:t>
      </w:r>
      <w:r w:rsidRPr="001A5EAB">
        <w:rPr>
          <w:noProof/>
          <w:lang w:val="lt-LT"/>
        </w:rPr>
        <w:t xml:space="preserve"> (toliau – </w:t>
      </w:r>
      <w:r w:rsidRPr="001A5EAB">
        <w:rPr>
          <w:b/>
          <w:bCs/>
          <w:noProof/>
          <w:lang w:val="lt-LT"/>
        </w:rPr>
        <w:t>CONSOB</w:t>
      </w:r>
      <w:r w:rsidRPr="001A5EAB">
        <w:rPr>
          <w:noProof/>
          <w:lang w:val="lt-LT"/>
        </w:rPr>
        <w:t>) Italijos įstatymuose ir teisės aktuose nustatyta tvarka.</w:t>
      </w:r>
    </w:p>
    <w:p w14:paraId="6F6E07D0" w14:textId="77777777" w:rsidR="00F13A82" w:rsidRPr="001A5EAB" w:rsidRDefault="00F13A82" w:rsidP="00F13A82">
      <w:pPr>
        <w:pStyle w:val="BodyText"/>
        <w:rPr>
          <w:noProof/>
          <w:lang w:val="lt-LT"/>
        </w:rPr>
      </w:pPr>
      <w:r w:rsidRPr="001A5EAB">
        <w:rPr>
          <w:noProof/>
          <w:lang w:val="lt-LT"/>
        </w:rPr>
        <w:t xml:space="preserve">Pasiūlymas Italijos Respublikoje (toliau – </w:t>
      </w:r>
      <w:r w:rsidRPr="001A5EAB">
        <w:rPr>
          <w:b/>
          <w:noProof/>
          <w:lang w:val="lt-LT"/>
        </w:rPr>
        <w:t>Italija</w:t>
      </w:r>
      <w:r w:rsidRPr="001A5EAB">
        <w:rPr>
          <w:noProof/>
          <w:lang w:val="lt-LT"/>
        </w:rPr>
        <w:t xml:space="preserve">) įgyvendinamas kaip pasiūlymas, kuriam taikoma išimtis, numatyta 1998 m. vasario 24 d. Įstatyminio potvarkio Nr. 58 su pakeitimais (toliau – </w:t>
      </w:r>
      <w:r w:rsidRPr="001A5EAB">
        <w:rPr>
          <w:b/>
          <w:noProof/>
          <w:lang w:val="lt-LT"/>
        </w:rPr>
        <w:t>Finansinių paslaugų įstatymas</w:t>
      </w:r>
      <w:r w:rsidRPr="001A5EAB">
        <w:rPr>
          <w:noProof/>
          <w:lang w:val="lt-LT"/>
        </w:rPr>
        <w:t>) 101-bis straipsnio 3-bis punkte ir CONSOB 1999 m. gegužės 14 d. reglamento Nr. 11971 su pakeitimais 35-bis straipsnio 4 punkte.</w:t>
      </w:r>
    </w:p>
    <w:p w14:paraId="6B2E9964" w14:textId="133A87F3" w:rsidR="00F13A82" w:rsidRPr="001A5EAB" w:rsidRDefault="00F13A82" w:rsidP="00F13A82">
      <w:pPr>
        <w:pStyle w:val="BodyText"/>
        <w:rPr>
          <w:noProof/>
          <w:lang w:val="lt-LT"/>
        </w:rPr>
      </w:pPr>
      <w:r w:rsidRPr="001A5EAB">
        <w:rPr>
          <w:noProof/>
          <w:lang w:val="lt-LT"/>
        </w:rPr>
        <w:t xml:space="preserve">Italijoje esantys </w:t>
      </w:r>
      <w:r w:rsidR="00141433">
        <w:rPr>
          <w:noProof/>
          <w:lang w:val="lt-LT"/>
        </w:rPr>
        <w:t xml:space="preserve">Obligacijų </w:t>
      </w:r>
      <w:r w:rsidR="007F3B0C">
        <w:rPr>
          <w:noProof/>
          <w:lang w:val="lt-LT"/>
        </w:rPr>
        <w:t>savinink</w:t>
      </w:r>
      <w:r w:rsidRPr="001A5EAB">
        <w:rPr>
          <w:noProof/>
          <w:lang w:val="lt-LT"/>
        </w:rPr>
        <w:t xml:space="preserve">ai arba tikrieji </w:t>
      </w:r>
      <w:r w:rsidR="00224CB9">
        <w:rPr>
          <w:noProof/>
          <w:lang w:val="lt-LT"/>
        </w:rPr>
        <w:t>Obligacijų savininkai kai kuria</w:t>
      </w:r>
      <w:r w:rsidRPr="001A5EAB">
        <w:rPr>
          <w:noProof/>
          <w:lang w:val="lt-LT"/>
        </w:rPr>
        <w:t>s arba vis</w:t>
      </w:r>
      <w:r w:rsidR="00224CB9">
        <w:rPr>
          <w:noProof/>
          <w:lang w:val="lt-LT"/>
        </w:rPr>
        <w:t>a</w:t>
      </w:r>
      <w:r w:rsidRPr="001A5EAB">
        <w:rPr>
          <w:noProof/>
          <w:lang w:val="lt-LT"/>
        </w:rPr>
        <w:t xml:space="preserve">s savo </w:t>
      </w:r>
      <w:r w:rsidR="00224CB9">
        <w:rPr>
          <w:noProof/>
          <w:lang w:val="lt-LT"/>
        </w:rPr>
        <w:t>Obligacijas</w:t>
      </w:r>
      <w:r w:rsidRPr="001A5EAB">
        <w:rPr>
          <w:noProof/>
          <w:lang w:val="lt-LT"/>
        </w:rPr>
        <w:t xml:space="preserve"> pateikti nupirkti pagal Pasiūlymo sąlygas gali per įgaliotuosius asmenis (pvz., investicines firmas, bankus ar finansų tarpininkus, turinčius leidimą verstis tokia veikla Italijoje pagal Finansinių paslaugų įstatymo, CONSOB 2018 m. vasario 15 d. reglamento Nr. 20307 su </w:t>
      </w:r>
      <w:r w:rsidR="00067CC9" w:rsidRPr="001A5EAB">
        <w:rPr>
          <w:noProof/>
          <w:lang w:val="lt-LT"/>
        </w:rPr>
        <w:t>atitinkamais</w:t>
      </w:r>
      <w:r w:rsidRPr="001A5EAB">
        <w:rPr>
          <w:noProof/>
          <w:lang w:val="lt-LT"/>
        </w:rPr>
        <w:t xml:space="preserve"> pakeitimais ir 1993 m. rugsėjo 1 d. Įstatyminio potvarkio Nr. 385 su pakeitimais nuostatas) ir vadovaudamiesi galiojančių įstatymų ir teisės aktų nuostatomis arba CONSOB ar bet kurios kitos Italijos valdžios institucijos nustatytais reikalavimais.</w:t>
      </w:r>
    </w:p>
    <w:p w14:paraId="75BF81A5" w14:textId="4ED0B842" w:rsidR="00F13A82" w:rsidRPr="001A5EAB" w:rsidRDefault="00F13A82" w:rsidP="00067CC9">
      <w:pPr>
        <w:pStyle w:val="BodyText"/>
        <w:rPr>
          <w:noProof/>
          <w:lang w:val="lt-LT"/>
        </w:rPr>
      </w:pPr>
      <w:r w:rsidRPr="001A5EAB">
        <w:rPr>
          <w:noProof/>
          <w:lang w:val="lt-LT"/>
        </w:rPr>
        <w:t xml:space="preserve">Kiekvienas tarpininkas privalo vykdyti visus galiojančių įstatymų ir teisės aktų reikalavimus, susijusius su pareiga teikti </w:t>
      </w:r>
      <w:r w:rsidR="00067CC9" w:rsidRPr="001A5EAB">
        <w:rPr>
          <w:noProof/>
          <w:lang w:val="lt-LT"/>
        </w:rPr>
        <w:t xml:space="preserve">savo klientams </w:t>
      </w:r>
      <w:r w:rsidRPr="001A5EAB">
        <w:rPr>
          <w:noProof/>
          <w:lang w:val="lt-LT"/>
        </w:rPr>
        <w:t xml:space="preserve">informaciją </w:t>
      </w:r>
      <w:r w:rsidR="00067CC9" w:rsidRPr="001A5EAB">
        <w:rPr>
          <w:noProof/>
          <w:lang w:val="lt-LT"/>
        </w:rPr>
        <w:t xml:space="preserve">apie </w:t>
      </w:r>
      <w:r w:rsidR="00224CB9">
        <w:rPr>
          <w:noProof/>
          <w:lang w:val="lt-LT"/>
        </w:rPr>
        <w:t>Obligacijas</w:t>
      </w:r>
      <w:r w:rsidR="00067CC9" w:rsidRPr="001A5EAB">
        <w:rPr>
          <w:noProof/>
          <w:lang w:val="lt-LT"/>
        </w:rPr>
        <w:t xml:space="preserve"> arba Pasiūlymą</w:t>
      </w:r>
      <w:r w:rsidRPr="001A5EAB">
        <w:rPr>
          <w:noProof/>
          <w:lang w:val="lt-LT"/>
        </w:rPr>
        <w:t>.</w:t>
      </w:r>
      <w:bookmarkStart w:id="7" w:name="Update"/>
      <w:bookmarkEnd w:id="7"/>
    </w:p>
    <w:p w14:paraId="4EDD7B92" w14:textId="77777777" w:rsidR="00F13A82" w:rsidRPr="001A5EAB" w:rsidRDefault="00F13A82" w:rsidP="00F13A82">
      <w:pPr>
        <w:pStyle w:val="Title7"/>
        <w:rPr>
          <w:b/>
          <w:bCs/>
          <w:noProof/>
          <w:lang w:val="lt-LT"/>
        </w:rPr>
      </w:pPr>
      <w:r w:rsidRPr="001A5EAB">
        <w:rPr>
          <w:b/>
          <w:bCs/>
          <w:noProof/>
          <w:lang w:val="lt-LT"/>
        </w:rPr>
        <w:t>Bendrosios nuostatos</w:t>
      </w:r>
    </w:p>
    <w:p w14:paraId="21DA67C8" w14:textId="47E0D1DB" w:rsidR="00F13A82" w:rsidRPr="001A5EAB" w:rsidRDefault="00F13A82" w:rsidP="00F13A82">
      <w:pPr>
        <w:pStyle w:val="BodyText"/>
        <w:rPr>
          <w:noProof/>
          <w:lang w:val="lt-LT"/>
        </w:rPr>
      </w:pPr>
      <w:r w:rsidRPr="001A5EAB">
        <w:rPr>
          <w:noProof/>
          <w:lang w:val="lt-LT"/>
        </w:rPr>
        <w:t>Nei Oficialaus pasiūlymo memorandumas, nei šis pranešimas</w:t>
      </w:r>
      <w:r w:rsidR="00AD2ACD" w:rsidRPr="001A5EAB">
        <w:rPr>
          <w:noProof/>
          <w:lang w:val="lt-LT"/>
        </w:rPr>
        <w:t>,</w:t>
      </w:r>
      <w:r w:rsidRPr="001A5EAB">
        <w:rPr>
          <w:noProof/>
          <w:lang w:val="lt-LT"/>
        </w:rPr>
        <w:t xml:space="preserve"> nei jų perdavimas elektroninėmis ryšio priemonėmis nereiškia pasiūlymo pirkti arba kvietimo siūlyti parduoti </w:t>
      </w:r>
      <w:r w:rsidR="00224CB9">
        <w:rPr>
          <w:noProof/>
          <w:lang w:val="lt-LT"/>
        </w:rPr>
        <w:t>Obligacijas</w:t>
      </w:r>
      <w:r w:rsidRPr="001A5EAB">
        <w:rPr>
          <w:noProof/>
          <w:lang w:val="lt-LT"/>
        </w:rPr>
        <w:t xml:space="preserve"> (o joki</w:t>
      </w:r>
      <w:r w:rsidR="00224CB9">
        <w:rPr>
          <w:noProof/>
          <w:lang w:val="lt-LT"/>
        </w:rPr>
        <w:t>os</w:t>
      </w:r>
      <w:r w:rsidRPr="001A5EAB">
        <w:rPr>
          <w:noProof/>
          <w:lang w:val="lt-LT"/>
        </w:rPr>
        <w:t xml:space="preserve"> </w:t>
      </w:r>
      <w:r w:rsidR="00141433">
        <w:rPr>
          <w:noProof/>
          <w:lang w:val="lt-LT"/>
        </w:rPr>
        <w:t xml:space="preserve">Obligacijų </w:t>
      </w:r>
      <w:r w:rsidR="007F3B0C">
        <w:rPr>
          <w:noProof/>
          <w:lang w:val="lt-LT"/>
        </w:rPr>
        <w:t>savinink</w:t>
      </w:r>
      <w:r w:rsidRPr="001A5EAB">
        <w:rPr>
          <w:noProof/>
          <w:lang w:val="lt-LT"/>
        </w:rPr>
        <w:t xml:space="preserve">ų </w:t>
      </w:r>
      <w:r w:rsidR="00224CB9">
        <w:rPr>
          <w:noProof/>
          <w:lang w:val="lt-LT"/>
        </w:rPr>
        <w:t>pagal Pasiūlymo sąlygas teikiamos</w:t>
      </w:r>
      <w:r w:rsidRPr="001A5EAB">
        <w:rPr>
          <w:noProof/>
          <w:lang w:val="lt-LT"/>
        </w:rPr>
        <w:t xml:space="preserve"> nupirkti </w:t>
      </w:r>
      <w:r w:rsidR="00224CB9">
        <w:rPr>
          <w:noProof/>
          <w:lang w:val="lt-LT"/>
        </w:rPr>
        <w:t>Obligacijos</w:t>
      </w:r>
      <w:r w:rsidRPr="001A5EAB">
        <w:rPr>
          <w:noProof/>
          <w:lang w:val="lt-LT"/>
        </w:rPr>
        <w:t xml:space="preserve"> nėra priimam</w:t>
      </w:r>
      <w:r w:rsidR="00224CB9">
        <w:rPr>
          <w:noProof/>
          <w:lang w:val="lt-LT"/>
        </w:rPr>
        <w:t>os</w:t>
      </w:r>
      <w:r w:rsidRPr="001A5EAB">
        <w:rPr>
          <w:noProof/>
          <w:lang w:val="lt-LT"/>
        </w:rPr>
        <w:t xml:space="preserve">), jei toks siūlymas arba kvietimas prieštarauja įstatymams. Tose jurisdikcijose, kuriose pagal vertybinių popierių, </w:t>
      </w:r>
      <w:r w:rsidR="00471753" w:rsidRPr="00D4025F">
        <w:rPr>
          <w:noProof/>
          <w:lang w:val="lt-LT"/>
        </w:rPr>
        <w:t>valstijų finansų rinkų</w:t>
      </w:r>
      <w:r w:rsidR="00471753">
        <w:rPr>
          <w:noProof/>
          <w:lang w:val="lt-LT"/>
        </w:rPr>
        <w:t xml:space="preserve"> įstatymus</w:t>
      </w:r>
      <w:r w:rsidR="00471753" w:rsidRPr="001A5EAB" w:rsidDel="00471753">
        <w:rPr>
          <w:noProof/>
          <w:lang w:val="lt-LT"/>
        </w:rPr>
        <w:t xml:space="preserve"> </w:t>
      </w:r>
      <w:r w:rsidRPr="001A5EAB">
        <w:rPr>
          <w:noProof/>
          <w:lang w:val="lt-LT"/>
        </w:rPr>
        <w:lastRenderedPageBreak/>
        <w:t xml:space="preserve">arba kitokius įstatymus Pasiūlymą privalo teikti licencijuotasis </w:t>
      </w:r>
      <w:r w:rsidR="00157810">
        <w:rPr>
          <w:noProof/>
          <w:lang w:val="lt-LT"/>
        </w:rPr>
        <w:t xml:space="preserve">finansų </w:t>
      </w:r>
      <w:r w:rsidRPr="001A5EAB">
        <w:rPr>
          <w:noProof/>
          <w:lang w:val="lt-LT"/>
        </w:rPr>
        <w:t xml:space="preserve">makleris, </w:t>
      </w:r>
      <w:r w:rsidR="00471753">
        <w:rPr>
          <w:noProof/>
          <w:lang w:val="lt-LT"/>
        </w:rPr>
        <w:t>platintojas</w:t>
      </w:r>
      <w:r w:rsidR="00471753" w:rsidRPr="001A5EAB">
        <w:rPr>
          <w:noProof/>
          <w:lang w:val="lt-LT"/>
        </w:rPr>
        <w:t xml:space="preserve"> </w:t>
      </w:r>
      <w:r w:rsidRPr="001A5EAB">
        <w:rPr>
          <w:noProof/>
          <w:lang w:val="lt-LT"/>
        </w:rPr>
        <w:t xml:space="preserve">arba panašaus pobūdžio subjektas ir bet kuris iš Prekybos valdytojų arba jų atitinkamų partnerių tokiose jurisdikcijose yra licencijuotuoju </w:t>
      </w:r>
      <w:r w:rsidR="00157810">
        <w:rPr>
          <w:noProof/>
          <w:lang w:val="lt-LT"/>
        </w:rPr>
        <w:t xml:space="preserve">finansų </w:t>
      </w:r>
      <w:r w:rsidRPr="001A5EAB">
        <w:rPr>
          <w:noProof/>
          <w:lang w:val="lt-LT"/>
        </w:rPr>
        <w:t xml:space="preserve">makleriu, </w:t>
      </w:r>
      <w:r w:rsidR="00471753">
        <w:rPr>
          <w:noProof/>
          <w:lang w:val="lt-LT"/>
        </w:rPr>
        <w:t>platintoju</w:t>
      </w:r>
      <w:r w:rsidR="00471753" w:rsidRPr="001A5EAB">
        <w:rPr>
          <w:noProof/>
          <w:lang w:val="lt-LT"/>
        </w:rPr>
        <w:t xml:space="preserve"> </w:t>
      </w:r>
      <w:r w:rsidRPr="001A5EAB">
        <w:rPr>
          <w:noProof/>
          <w:lang w:val="lt-LT"/>
        </w:rPr>
        <w:t xml:space="preserve">arba panašaus pobūdžio subjektu, manoma, kad Pasiūlymą tokioje jurisdikcijoje Emitento vardu pateikė tokie </w:t>
      </w:r>
      <w:r w:rsidR="00471753">
        <w:rPr>
          <w:noProof/>
          <w:lang w:val="lt-LT"/>
        </w:rPr>
        <w:t>Platintojai</w:t>
      </w:r>
      <w:r w:rsidR="00471753" w:rsidRPr="001A5EAB">
        <w:rPr>
          <w:noProof/>
          <w:lang w:val="lt-LT"/>
        </w:rPr>
        <w:t xml:space="preserve"> </w:t>
      </w:r>
      <w:r w:rsidRPr="001A5EAB">
        <w:rPr>
          <w:noProof/>
          <w:lang w:val="lt-LT"/>
        </w:rPr>
        <w:t>valdytojai arba, atitinkamai, jų partneriai.</w:t>
      </w:r>
    </w:p>
    <w:p w14:paraId="52CC3208" w14:textId="499AB45F" w:rsidR="00F13A82" w:rsidRPr="001A5EAB" w:rsidRDefault="00F13A82" w:rsidP="00F13A82">
      <w:pPr>
        <w:pStyle w:val="BodyText"/>
        <w:rPr>
          <w:noProof/>
          <w:lang w:val="lt-LT"/>
        </w:rPr>
      </w:pPr>
      <w:r w:rsidRPr="001A5EAB">
        <w:rPr>
          <w:noProof/>
          <w:lang w:val="lt-LT"/>
        </w:rPr>
        <w:t xml:space="preserve">Be pirmiau išdėstytų pareiškimų, susijusių su Jungtinėmis Valstijomis, manoma, kad kiekvienas Pasiūlyme dalyvaujantis </w:t>
      </w:r>
      <w:r w:rsidR="00141433">
        <w:rPr>
          <w:noProof/>
          <w:lang w:val="lt-LT"/>
        </w:rPr>
        <w:t xml:space="preserve">Obligacijų </w:t>
      </w:r>
      <w:r w:rsidR="007F3B0C">
        <w:rPr>
          <w:noProof/>
          <w:lang w:val="lt-LT"/>
        </w:rPr>
        <w:t>savinink</w:t>
      </w:r>
      <w:r w:rsidRPr="001A5EAB">
        <w:rPr>
          <w:noProof/>
          <w:lang w:val="lt-LT"/>
        </w:rPr>
        <w:t xml:space="preserve">as taip pat </w:t>
      </w:r>
      <w:r w:rsidR="00471753">
        <w:rPr>
          <w:noProof/>
          <w:lang w:val="lt-LT"/>
        </w:rPr>
        <w:t>pateikia</w:t>
      </w:r>
      <w:r w:rsidR="00471753" w:rsidRPr="001A5EAB">
        <w:rPr>
          <w:noProof/>
          <w:lang w:val="lt-LT"/>
        </w:rPr>
        <w:t xml:space="preserve"> </w:t>
      </w:r>
      <w:r w:rsidRPr="001A5EAB">
        <w:rPr>
          <w:noProof/>
          <w:lang w:val="lt-LT"/>
        </w:rPr>
        <w:t xml:space="preserve">tam tikrus pareiškimus dėl kitų pirmiau nurodytų jurisdikcijų, kurie yra iš esmės išdėstyti Oficialaus pasiūlymo memorandumo skyriuje </w:t>
      </w:r>
      <w:r w:rsidRPr="00EB3050">
        <w:rPr>
          <w:i/>
          <w:noProof/>
          <w:lang w:val="lt-LT"/>
        </w:rPr>
        <w:t>„Dalyvavimo Pasiūlyme tvarka“</w:t>
      </w:r>
      <w:r w:rsidRPr="001A5EAB">
        <w:rPr>
          <w:noProof/>
          <w:lang w:val="lt-LT"/>
        </w:rPr>
        <w:t xml:space="preserve">. </w:t>
      </w:r>
      <w:r w:rsidR="0015193A">
        <w:rPr>
          <w:noProof/>
          <w:lang w:val="lt-LT"/>
        </w:rPr>
        <w:t xml:space="preserve">Obligacijas </w:t>
      </w:r>
      <w:r w:rsidR="00471753">
        <w:rPr>
          <w:noProof/>
          <w:lang w:val="lt-LT"/>
        </w:rPr>
        <w:t>iš</w:t>
      </w:r>
      <w:r w:rsidR="00471753" w:rsidRPr="001A5EAB">
        <w:rPr>
          <w:noProof/>
          <w:lang w:val="lt-LT"/>
        </w:rPr>
        <w:t xml:space="preserve">pirkti </w:t>
      </w:r>
      <w:r w:rsidRPr="001A5EAB">
        <w:rPr>
          <w:noProof/>
          <w:lang w:val="lt-LT"/>
        </w:rPr>
        <w:t xml:space="preserve">pagal Pasiūlymo sąlygas teikiančio </w:t>
      </w:r>
      <w:r w:rsidR="00141433">
        <w:rPr>
          <w:noProof/>
          <w:lang w:val="lt-LT"/>
        </w:rPr>
        <w:t xml:space="preserve">Obligacijų </w:t>
      </w:r>
      <w:r w:rsidR="007F3B0C">
        <w:rPr>
          <w:noProof/>
          <w:lang w:val="lt-LT"/>
        </w:rPr>
        <w:t>savinink</w:t>
      </w:r>
      <w:r w:rsidR="0015193A">
        <w:rPr>
          <w:noProof/>
          <w:lang w:val="lt-LT"/>
        </w:rPr>
        <w:t xml:space="preserve">o, negalinčio </w:t>
      </w:r>
      <w:r w:rsidR="00471753">
        <w:rPr>
          <w:noProof/>
          <w:lang w:val="lt-LT"/>
        </w:rPr>
        <w:t>pateikti</w:t>
      </w:r>
      <w:r w:rsidR="00471753" w:rsidRPr="001A5EAB">
        <w:rPr>
          <w:noProof/>
          <w:lang w:val="lt-LT"/>
        </w:rPr>
        <w:t xml:space="preserve"> </w:t>
      </w:r>
      <w:r w:rsidRPr="001A5EAB">
        <w:rPr>
          <w:noProof/>
          <w:lang w:val="lt-LT"/>
        </w:rPr>
        <w:t>toki</w:t>
      </w:r>
      <w:r w:rsidR="0015193A">
        <w:rPr>
          <w:noProof/>
          <w:lang w:val="lt-LT"/>
        </w:rPr>
        <w:t>ų</w:t>
      </w:r>
      <w:r w:rsidRPr="001A5EAB">
        <w:rPr>
          <w:noProof/>
          <w:lang w:val="lt-LT"/>
        </w:rPr>
        <w:t xml:space="preserve"> pareiškim</w:t>
      </w:r>
      <w:r w:rsidR="0015193A">
        <w:rPr>
          <w:noProof/>
          <w:lang w:val="lt-LT"/>
        </w:rPr>
        <w:t>ų</w:t>
      </w:r>
      <w:r w:rsidRPr="001A5EAB">
        <w:rPr>
          <w:noProof/>
          <w:lang w:val="lt-LT"/>
        </w:rPr>
        <w:t xml:space="preserve">, </w:t>
      </w:r>
      <w:r w:rsidR="0015193A">
        <w:rPr>
          <w:noProof/>
          <w:lang w:val="lt-LT"/>
        </w:rPr>
        <w:t>Obligacijos negali būti priimtos</w:t>
      </w:r>
      <w:r w:rsidRPr="001A5EAB">
        <w:rPr>
          <w:noProof/>
          <w:lang w:val="lt-LT"/>
        </w:rPr>
        <w:t>.</w:t>
      </w:r>
    </w:p>
    <w:p w14:paraId="7EA83698" w14:textId="3E6C9761" w:rsidR="00F13A82" w:rsidRPr="001A5EAB" w:rsidRDefault="00F13A82" w:rsidP="00F13A82">
      <w:pPr>
        <w:pStyle w:val="BodyText"/>
        <w:rPr>
          <w:noProof/>
          <w:lang w:val="lt-LT"/>
        </w:rPr>
      </w:pPr>
      <w:r w:rsidRPr="001A5EAB">
        <w:rPr>
          <w:noProof/>
          <w:lang w:val="lt-LT"/>
        </w:rPr>
        <w:t xml:space="preserve">Emitentas, </w:t>
      </w:r>
      <w:r w:rsidR="00471753">
        <w:rPr>
          <w:noProof/>
          <w:lang w:val="lt-LT"/>
        </w:rPr>
        <w:t>Platintojai</w:t>
      </w:r>
      <w:r w:rsidR="00471753" w:rsidRPr="001A5EAB">
        <w:rPr>
          <w:noProof/>
          <w:lang w:val="lt-LT"/>
        </w:rPr>
        <w:t xml:space="preserve"> </w:t>
      </w:r>
      <w:r w:rsidRPr="001A5EAB">
        <w:rPr>
          <w:noProof/>
          <w:lang w:val="lt-LT"/>
        </w:rPr>
        <w:t xml:space="preserve">valdytojai ir Pasiūlymo agentas </w:t>
      </w:r>
      <w:r w:rsidR="005A3A33" w:rsidRPr="001A5EAB">
        <w:rPr>
          <w:noProof/>
          <w:lang w:val="lt-LT"/>
        </w:rPr>
        <w:t xml:space="preserve">pasilieka teisę </w:t>
      </w:r>
      <w:r w:rsidRPr="001A5EAB">
        <w:rPr>
          <w:noProof/>
          <w:lang w:val="lt-LT"/>
        </w:rPr>
        <w:t xml:space="preserve">savo išimtine ir absoliučia nuožiūra (nepažeidžiant atitinkamo </w:t>
      </w:r>
      <w:r w:rsidR="00141433">
        <w:rPr>
          <w:noProof/>
          <w:lang w:val="lt-LT"/>
        </w:rPr>
        <w:t xml:space="preserve">Obligacijų </w:t>
      </w:r>
      <w:r w:rsidR="007F3B0C">
        <w:rPr>
          <w:noProof/>
          <w:lang w:val="lt-LT"/>
        </w:rPr>
        <w:t>savinink</w:t>
      </w:r>
      <w:r w:rsidRPr="001A5EAB">
        <w:rPr>
          <w:noProof/>
          <w:lang w:val="lt-LT"/>
        </w:rPr>
        <w:t xml:space="preserve">o atsakomybės už jo pareiškimus) kiekvienu pagal Pasiūlymo sąlygas </w:t>
      </w:r>
      <w:r w:rsidR="00471753">
        <w:rPr>
          <w:noProof/>
          <w:lang w:val="lt-LT"/>
        </w:rPr>
        <w:t>iš</w:t>
      </w:r>
      <w:r w:rsidRPr="001A5EAB">
        <w:rPr>
          <w:noProof/>
          <w:lang w:val="lt-LT"/>
        </w:rPr>
        <w:t xml:space="preserve">pirkti teikiamų </w:t>
      </w:r>
      <w:r w:rsidR="009B3E45">
        <w:rPr>
          <w:noProof/>
          <w:lang w:val="lt-LT"/>
        </w:rPr>
        <w:t>Obligacijų</w:t>
      </w:r>
      <w:r w:rsidRPr="001A5EAB">
        <w:rPr>
          <w:noProof/>
          <w:lang w:val="lt-LT"/>
        </w:rPr>
        <w:t xml:space="preserve"> atveju patikrinti, ar toks </w:t>
      </w:r>
      <w:r w:rsidR="00141433">
        <w:rPr>
          <w:noProof/>
          <w:lang w:val="lt-LT"/>
        </w:rPr>
        <w:t xml:space="preserve">Obligacijų </w:t>
      </w:r>
      <w:r w:rsidR="007F3B0C">
        <w:rPr>
          <w:noProof/>
          <w:lang w:val="lt-LT"/>
        </w:rPr>
        <w:t>savinink</w:t>
      </w:r>
      <w:r w:rsidRPr="001A5EAB">
        <w:rPr>
          <w:noProof/>
          <w:lang w:val="lt-LT"/>
        </w:rPr>
        <w:t>o pareiškimas yra teisingas ir jeigu atlikus tokį patikrinimą Emitentas (dėl bet kokios priežasties) nustato, kad toks parei</w:t>
      </w:r>
      <w:r w:rsidR="009B3E45">
        <w:rPr>
          <w:noProof/>
          <w:lang w:val="lt-LT"/>
        </w:rPr>
        <w:t>škimas yra neteisingas, pateiktos</w:t>
      </w:r>
      <w:r w:rsidRPr="001A5EAB">
        <w:rPr>
          <w:noProof/>
          <w:lang w:val="lt-LT"/>
        </w:rPr>
        <w:t xml:space="preserve"> </w:t>
      </w:r>
      <w:r w:rsidR="009B3E45">
        <w:rPr>
          <w:noProof/>
          <w:lang w:val="lt-LT"/>
        </w:rPr>
        <w:t>Obligacijos gali būti nepriimamos</w:t>
      </w:r>
      <w:r w:rsidRPr="001A5EAB">
        <w:rPr>
          <w:noProof/>
          <w:lang w:val="lt-LT"/>
        </w:rPr>
        <w:t>.</w:t>
      </w:r>
    </w:p>
    <w:p w14:paraId="07BB671C" w14:textId="77777777" w:rsidR="00FE2586" w:rsidRPr="001A5EAB" w:rsidRDefault="00FE2586">
      <w:pPr>
        <w:pStyle w:val="BodyText"/>
        <w:jc w:val="left"/>
        <w:rPr>
          <w:bCs/>
          <w:noProof/>
          <w:lang w:val="lt-LT"/>
        </w:rPr>
      </w:pPr>
    </w:p>
    <w:sectPr w:rsidR="00FE2586" w:rsidRPr="001A5EAB">
      <w:footerReference w:type="first" r:id="rId14"/>
      <w:endnotePr>
        <w:numFmt w:val="decimal"/>
      </w:endnotePr>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CD76" w14:textId="77777777" w:rsidR="00164D30" w:rsidRDefault="00164D30">
      <w:pPr>
        <w:spacing w:after="0"/>
      </w:pPr>
      <w:r>
        <w:separator/>
      </w:r>
    </w:p>
  </w:endnote>
  <w:endnote w:type="continuationSeparator" w:id="0">
    <w:p w14:paraId="61CB6A4D" w14:textId="77777777" w:rsidR="00164D30" w:rsidRDefault="00164D30">
      <w:pPr>
        <w:spacing w:after="0"/>
      </w:pPr>
      <w:r>
        <w:continuationSeparator/>
      </w:r>
    </w:p>
  </w:endnote>
  <w:endnote w:type="continuationNotice" w:id="1">
    <w:p w14:paraId="21DC9E42" w14:textId="77777777" w:rsidR="00164D30" w:rsidRDefault="00164D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C7478F" w14:paraId="355348DF" w14:textId="77777777">
      <w:sdt>
        <w:sdtPr>
          <w:tag w:val="CCDocID"/>
          <w:id w:val="-1112746265"/>
          <w:placeholder>
            <w:docPart w:val="DE3D4A8C64D249CA92F23590D851DB86"/>
          </w:placeholder>
          <w:text/>
        </w:sdtPr>
        <w:sdtEndPr/>
        <w:sdtContent>
          <w:tc>
            <w:tcPr>
              <w:tcW w:w="1666" w:type="pct"/>
            </w:tcPr>
            <w:p w14:paraId="15931CDD" w14:textId="2502B4CF" w:rsidR="00C7478F" w:rsidRDefault="00C7478F">
              <w:pPr>
                <w:pStyle w:val="Footer"/>
              </w:pPr>
              <w:r>
                <w:t>10233635653-v7</w:t>
              </w:r>
            </w:p>
          </w:tc>
        </w:sdtContent>
      </w:sdt>
      <w:tc>
        <w:tcPr>
          <w:tcW w:w="1667" w:type="pct"/>
        </w:tcPr>
        <w:p w14:paraId="47C719EF" w14:textId="77777777" w:rsidR="00C7478F" w:rsidRDefault="00C7478F">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rPr>
            <w:t xml:space="preserve"> -</w:t>
          </w:r>
        </w:p>
      </w:tc>
      <w:sdt>
        <w:sdtPr>
          <w:tag w:val="CCMatter"/>
          <w:id w:val="-1834667284"/>
          <w:placeholder>
            <w:docPart w:val="D6167F44846D460E950614D429F8F7CA"/>
          </w:placeholder>
          <w:text/>
        </w:sdtPr>
        <w:sdtEndPr/>
        <w:sdtContent>
          <w:tc>
            <w:tcPr>
              <w:tcW w:w="1667" w:type="pct"/>
            </w:tcPr>
            <w:p w14:paraId="3C3AC2E3" w14:textId="61A7214B" w:rsidR="00C7478F" w:rsidRDefault="00C7478F">
              <w:pPr>
                <w:pStyle w:val="FooterRight"/>
              </w:pPr>
              <w:r>
                <w:t>70-41032542</w:t>
              </w:r>
            </w:p>
          </w:tc>
        </w:sdtContent>
      </w:sdt>
    </w:tr>
  </w:tbl>
  <w:p w14:paraId="571F54A6" w14:textId="77777777" w:rsidR="00C7478F" w:rsidRDefault="00C7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293C" w14:textId="77777777" w:rsidR="00164D30" w:rsidRDefault="00164D30">
      <w:pPr>
        <w:spacing w:after="0"/>
      </w:pPr>
      <w:r>
        <w:separator/>
      </w:r>
    </w:p>
  </w:footnote>
  <w:footnote w:type="continuationSeparator" w:id="0">
    <w:p w14:paraId="4B6F9CA5" w14:textId="77777777" w:rsidR="00164D30" w:rsidRDefault="00164D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8A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B674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03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FE2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02E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0A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81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4A5C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41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8A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2" w15:restartNumberingAfterBreak="0">
    <w:nsid w:val="267D3B3F"/>
    <w:multiLevelType w:val="multilevel"/>
    <w:tmpl w:val="ED965A6E"/>
    <w:name w:val="Simple List"/>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15:restartNumberingAfterBreak="0">
    <w:nsid w:val="29124F95"/>
    <w:multiLevelType w:val="multilevel"/>
    <w:tmpl w:val="4B30CBB2"/>
    <w:name w:val="oc_Num_1st"/>
    <w:lvl w:ilvl="0">
      <w:start w:val="1"/>
      <w:numFmt w:val="none"/>
      <w:pStyle w:val="ocNum1st1"/>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cNum1st2"/>
      <w:lvlText w:val="(%2)"/>
      <w:lvlJc w:val="left"/>
      <w:pPr>
        <w:ind w:left="68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cNum1st3"/>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ocNum1st4"/>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cNum1st5"/>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1st6"/>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1st7"/>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1st8"/>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1st9"/>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A157B7F"/>
    <w:multiLevelType w:val="multilevel"/>
    <w:tmpl w:val="AD24C32E"/>
    <w:name w:val="Notes Page"/>
    <w:lvl w:ilvl="0">
      <w:start w:val="1"/>
      <w:numFmt w:val="none"/>
      <w:suff w:val="nothing"/>
      <w:lvlText w:val=""/>
      <w:lvlJc w:val="left"/>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bullet"/>
      <w:lvlRestart w:val="0"/>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7">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auto"/>
        <w:sz w:val="24"/>
        <w:u w:val="none"/>
        <w:vertAlign w:val="baseline"/>
      </w:rPr>
    </w:lvl>
    <w:lvl w:ilvl="8">
      <w:start w:val="1"/>
      <w:numFmt w:val="none"/>
      <w:lvlRestart w:val="0"/>
      <w:lvlText w:val="−"/>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46D768CD"/>
    <w:multiLevelType w:val="multilevel"/>
    <w:tmpl w:val="18B64F7C"/>
    <w:name w:val="oc_Num_5th"/>
    <w:lvl w:ilvl="0">
      <w:start w:val="1"/>
      <w:numFmt w:val="decimal"/>
      <w:pStyle w:val="ocNum5th1"/>
      <w:lvlText w:val="%1."/>
      <w:lvlJc w:val="left"/>
      <w:pPr>
        <w:tabs>
          <w:tab w:val="num" w:pos="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ocNum5th2"/>
      <w:suff w:val="nothing"/>
      <w:lvlText w:val=""/>
      <w:lvlJc w:val="left"/>
      <w:pPr>
        <w:ind w:left="680" w:firstLine="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cNum5th3"/>
      <w:lvlText w:val="(%3)"/>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ocNum5th4"/>
      <w:lvlText w:val="(%4)"/>
      <w:lvlJc w:val="left"/>
      <w:pPr>
        <w:tabs>
          <w:tab w:val="num" w:pos="1361"/>
        </w:tabs>
        <w:ind w:left="1361" w:hanging="681"/>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ocNum5th5"/>
      <w:lvlText w:val="(%5)"/>
      <w:lvlJc w:val="left"/>
      <w:pPr>
        <w:tabs>
          <w:tab w:val="num" w:pos="2041"/>
        </w:tabs>
        <w:ind w:left="2041"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ocNum5th6"/>
      <w:lvlText w:val="(%6)"/>
      <w:lvlJc w:val="left"/>
      <w:pPr>
        <w:tabs>
          <w:tab w:val="num" w:pos="2722"/>
        </w:tabs>
        <w:ind w:left="2722" w:hanging="681"/>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5th7"/>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5th8"/>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5th9"/>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F5562E"/>
    <w:multiLevelType w:val="multilevel"/>
    <w:tmpl w:val="A23096EE"/>
    <w:name w:val="oc_Num_4th"/>
    <w:lvl w:ilvl="0">
      <w:start w:val="1"/>
      <w:numFmt w:val="none"/>
      <w:pStyle w:val="ocNum4th1"/>
      <w:suff w:val="nothing"/>
      <w:lvlText w:val=""/>
      <w:lvlJc w:val="left"/>
      <w:pPr>
        <w:ind w:left="0" w:firstLine="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cNum4th2"/>
      <w:lvlText w:val="%2."/>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cNum4th3"/>
      <w:isLgl/>
      <w:lvlText w:val="%2.%3"/>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ocNum4th4"/>
      <w:suff w:val="nothing"/>
      <w:lvlText w:val=""/>
      <w:lvlJc w:val="left"/>
      <w:pPr>
        <w:ind w:left="680" w:firstLine="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ocNum4th5"/>
      <w:lvlText w:val="(%5)"/>
      <w:lvlJc w:val="left"/>
      <w:pPr>
        <w:tabs>
          <w:tab w:val="num" w:pos="1361"/>
        </w:tabs>
        <w:ind w:left="1361" w:hanging="681"/>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ocNum4th6"/>
      <w:lvlText w:val="(%6)"/>
      <w:lvlJc w:val="left"/>
      <w:pPr>
        <w:tabs>
          <w:tab w:val="num" w:pos="2041"/>
        </w:tabs>
        <w:ind w:left="2041" w:hanging="680"/>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ocNum4th7"/>
      <w:lvlText w:val="(%7)"/>
      <w:lvlJc w:val="left"/>
      <w:pPr>
        <w:tabs>
          <w:tab w:val="num" w:pos="2722"/>
        </w:tabs>
        <w:ind w:left="2722" w:hanging="681"/>
      </w:pPr>
      <w:rPr>
        <w:rFonts w:ascii="Times New Roman" w:hAnsi="Times New Roman" w:cs="Times New Roman"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ocNum4th8"/>
      <w:lvlText w:val="(%8)"/>
      <w:lvlJc w:val="left"/>
      <w:pPr>
        <w:tabs>
          <w:tab w:val="num" w:pos="3402"/>
        </w:tabs>
        <w:ind w:left="3402" w:hanging="68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4th9"/>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9F4E63"/>
    <w:multiLevelType w:val="multilevel"/>
    <w:tmpl w:val="777C6F1C"/>
    <w:name w:val="oc_Num_2nd"/>
    <w:lvl w:ilvl="0">
      <w:start w:val="1"/>
      <w:numFmt w:val="none"/>
      <w:pStyle w:val="ocNum2nd1"/>
      <w:suff w:val="nothing"/>
      <w:lvlText w:val=""/>
      <w:lvlJc w:val="left"/>
      <w:pPr>
        <w:ind w:left="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ocNum2nd2"/>
      <w:lvlText w:val="(%2)"/>
      <w:lvlJc w:val="left"/>
      <w:pPr>
        <w:ind w:left="68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cNum2nd3"/>
      <w:lvlText w:val="(%3)"/>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cNum2nd4"/>
      <w:lvlText w:val="(%4)"/>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ocNum2nd5"/>
      <w:lvlText w:val="(%5)"/>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2nd6"/>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2nd7"/>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2nd8"/>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2nd9"/>
      <w:suff w:val="nothing"/>
      <w:lvlText w:val=""/>
      <w:lvlJc w:val="left"/>
      <w:pPr>
        <w:ind w:left="0" w:firstLine="0"/>
      </w:pPr>
      <w:rPr>
        <w:rFonts w:ascii="Times New Roman" w:hAnsi="Times New Roman" w:cs="Times New Roman"/>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6301BFF"/>
    <w:multiLevelType w:val="multilevel"/>
    <w:tmpl w:val="096A791A"/>
    <w:name w:val="1_1"/>
    <w:lvl w:ilvl="0">
      <w:start w:val="1"/>
      <w:numFmt w:val="decimal"/>
      <w:pStyle w:val="1LTStyle1"/>
      <w:lvlText w:val="%1."/>
      <w:lvlJc w:val="left"/>
      <w:pPr>
        <w:ind w:left="360" w:hanging="360"/>
      </w:pPr>
    </w:lvl>
    <w:lvl w:ilvl="1">
      <w:start w:val="1"/>
      <w:numFmt w:val="decimal"/>
      <w:pStyle w:val="2LTStyle1"/>
      <w:lvlText w:val="%1.%2."/>
      <w:lvlJc w:val="left"/>
      <w:pPr>
        <w:ind w:left="1141" w:hanging="432"/>
      </w:pPr>
      <w:rPr>
        <w:sz w:val="20"/>
        <w:szCs w:val="20"/>
      </w:rPr>
    </w:lvl>
    <w:lvl w:ilvl="2">
      <w:start w:val="1"/>
      <w:numFmt w:val="decimal"/>
      <w:pStyle w:val="3LTStyle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5B12F7"/>
    <w:multiLevelType w:val="multilevel"/>
    <w:tmpl w:val="1EC00D90"/>
    <w:name w:val="oc_Num_3rd"/>
    <w:lvl w:ilvl="0">
      <w:start w:val="1"/>
      <w:numFmt w:val="none"/>
      <w:pStyle w:val="ocNum3rd1"/>
      <w:suff w:val="nothing"/>
      <w:lvlText w:val=""/>
      <w:lvlJc w:val="left"/>
      <w:pPr>
        <w:ind w:left="680" w:firstLine="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cNum3rd2"/>
      <w:lvlText w:val="(%2)"/>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cNum3rd3"/>
      <w:lvlText w:val="(%3)"/>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ocNum3rd4"/>
      <w:lvlText w:val="(%4)"/>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cNum3rd5"/>
      <w:lvlText w:val="(%5)"/>
      <w:lvlJc w:val="left"/>
      <w:pPr>
        <w:ind w:left="3402" w:hanging="680"/>
      </w:pPr>
      <w:rPr>
        <w:rFonts w:ascii="Times New Roman" w:hAnsi="Times New Roman" w:cs="Times New Roman"/>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ocNum3rd6"/>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ocNum3rd7"/>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ocNum3rd8"/>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ocNum3rd9"/>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4F0377"/>
    <w:multiLevelType w:val="multilevel"/>
    <w:tmpl w:val="6B16C0B8"/>
    <w:name w:val="6cb183ad-d8d1-4e59-ae4a-98932ff0fff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7BFA78BB"/>
    <w:multiLevelType w:val="multilevel"/>
    <w:tmpl w:val="48D686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47234803">
    <w:abstractNumId w:val="11"/>
  </w:num>
  <w:num w:numId="2" w16cid:durableId="1931154995">
    <w:abstractNumId w:val="21"/>
  </w:num>
  <w:num w:numId="3" w16cid:durableId="2128968222">
    <w:abstractNumId w:val="16"/>
  </w:num>
  <w:num w:numId="4" w16cid:durableId="1536505505">
    <w:abstractNumId w:val="17"/>
  </w:num>
  <w:num w:numId="5" w16cid:durableId="959149141">
    <w:abstractNumId w:val="20"/>
  </w:num>
  <w:num w:numId="6" w16cid:durableId="715008200">
    <w:abstractNumId w:val="18"/>
  </w:num>
  <w:num w:numId="7" w16cid:durableId="814682543">
    <w:abstractNumId w:val="13"/>
  </w:num>
  <w:num w:numId="8" w16cid:durableId="128936644">
    <w:abstractNumId w:val="8"/>
  </w:num>
  <w:num w:numId="9" w16cid:durableId="1551111750">
    <w:abstractNumId w:val="3"/>
  </w:num>
  <w:num w:numId="10" w16cid:durableId="854076351">
    <w:abstractNumId w:val="2"/>
  </w:num>
  <w:num w:numId="11" w16cid:durableId="7686644">
    <w:abstractNumId w:val="1"/>
  </w:num>
  <w:num w:numId="12" w16cid:durableId="174614499">
    <w:abstractNumId w:val="0"/>
  </w:num>
  <w:num w:numId="13" w16cid:durableId="1095832301">
    <w:abstractNumId w:val="9"/>
  </w:num>
  <w:num w:numId="14" w16cid:durableId="1275558087">
    <w:abstractNumId w:val="7"/>
  </w:num>
  <w:num w:numId="15" w16cid:durableId="1993094635">
    <w:abstractNumId w:val="6"/>
  </w:num>
  <w:num w:numId="16" w16cid:durableId="1378043947">
    <w:abstractNumId w:val="5"/>
  </w:num>
  <w:num w:numId="17" w16cid:durableId="210117924">
    <w:abstractNumId w:val="4"/>
  </w:num>
  <w:num w:numId="18" w16cid:durableId="587738262">
    <w:abstractNumId w:val="12"/>
  </w:num>
  <w:num w:numId="19" w16cid:durableId="1896433064">
    <w:abstractNumId w:val="14"/>
  </w:num>
  <w:num w:numId="20" w16cid:durableId="565189643">
    <w:abstractNumId w:val="13"/>
  </w:num>
  <w:num w:numId="21" w16cid:durableId="2103866574">
    <w:abstractNumId w:val="13"/>
  </w:num>
  <w:num w:numId="22" w16cid:durableId="1640647120">
    <w:abstractNumId w:val="13"/>
  </w:num>
  <w:num w:numId="23" w16cid:durableId="431360857">
    <w:abstractNumId w:val="13"/>
  </w:num>
  <w:num w:numId="24" w16cid:durableId="1169293457">
    <w:abstractNumId w:val="13"/>
  </w:num>
  <w:num w:numId="25" w16cid:durableId="17621442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1031365">
    <w:abstractNumId w:val="18"/>
  </w:num>
  <w:num w:numId="27" w16cid:durableId="1880781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9707454">
    <w:abstractNumId w:val="13"/>
  </w:num>
  <w:num w:numId="29" w16cid:durableId="1169102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52072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259848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NDQxNrE0NTM3MzVR0lEKTi0uzszPAykwrAUAUzUCESwAAAA="/>
  </w:docVars>
  <w:rsids>
    <w:rsidRoot w:val="001B36FF"/>
    <w:rsid w:val="00005C63"/>
    <w:rsid w:val="0002138C"/>
    <w:rsid w:val="00023286"/>
    <w:rsid w:val="00033B81"/>
    <w:rsid w:val="0003538D"/>
    <w:rsid w:val="0006066A"/>
    <w:rsid w:val="00060C0D"/>
    <w:rsid w:val="00067409"/>
    <w:rsid w:val="00067CC9"/>
    <w:rsid w:val="000763AD"/>
    <w:rsid w:val="000771AA"/>
    <w:rsid w:val="00080490"/>
    <w:rsid w:val="000825C8"/>
    <w:rsid w:val="00091624"/>
    <w:rsid w:val="00096858"/>
    <w:rsid w:val="000A74D2"/>
    <w:rsid w:val="000B67A6"/>
    <w:rsid w:val="000B7A96"/>
    <w:rsid w:val="000C2894"/>
    <w:rsid w:val="000C3494"/>
    <w:rsid w:val="000C790B"/>
    <w:rsid w:val="000D3B36"/>
    <w:rsid w:val="000E50C0"/>
    <w:rsid w:val="00101ED2"/>
    <w:rsid w:val="00106162"/>
    <w:rsid w:val="0011375D"/>
    <w:rsid w:val="00114033"/>
    <w:rsid w:val="00114846"/>
    <w:rsid w:val="0012465C"/>
    <w:rsid w:val="001255A0"/>
    <w:rsid w:val="0013515B"/>
    <w:rsid w:val="00135A7F"/>
    <w:rsid w:val="00140BB0"/>
    <w:rsid w:val="00141433"/>
    <w:rsid w:val="001423EF"/>
    <w:rsid w:val="001426A3"/>
    <w:rsid w:val="00143E37"/>
    <w:rsid w:val="0015193A"/>
    <w:rsid w:val="00157810"/>
    <w:rsid w:val="00160DB0"/>
    <w:rsid w:val="0016263B"/>
    <w:rsid w:val="00164D30"/>
    <w:rsid w:val="00170B8E"/>
    <w:rsid w:val="001723A0"/>
    <w:rsid w:val="00173CE0"/>
    <w:rsid w:val="00181C21"/>
    <w:rsid w:val="00184308"/>
    <w:rsid w:val="00191895"/>
    <w:rsid w:val="001937E6"/>
    <w:rsid w:val="001A5678"/>
    <w:rsid w:val="001A5EAB"/>
    <w:rsid w:val="001B36FF"/>
    <w:rsid w:val="001C25FA"/>
    <w:rsid w:val="001D52EE"/>
    <w:rsid w:val="001E01D3"/>
    <w:rsid w:val="001F1EF9"/>
    <w:rsid w:val="00215126"/>
    <w:rsid w:val="00217B86"/>
    <w:rsid w:val="00224CB9"/>
    <w:rsid w:val="0022511A"/>
    <w:rsid w:val="0026241E"/>
    <w:rsid w:val="00267751"/>
    <w:rsid w:val="00271911"/>
    <w:rsid w:val="002808CD"/>
    <w:rsid w:val="002941DE"/>
    <w:rsid w:val="002A0269"/>
    <w:rsid w:val="002A0C32"/>
    <w:rsid w:val="002A1DC1"/>
    <w:rsid w:val="002B019F"/>
    <w:rsid w:val="002C0DAF"/>
    <w:rsid w:val="002E39DD"/>
    <w:rsid w:val="002E4FE2"/>
    <w:rsid w:val="002F3CA3"/>
    <w:rsid w:val="002F5073"/>
    <w:rsid w:val="002F6063"/>
    <w:rsid w:val="003217EE"/>
    <w:rsid w:val="0033408F"/>
    <w:rsid w:val="00334796"/>
    <w:rsid w:val="003350EB"/>
    <w:rsid w:val="003442AD"/>
    <w:rsid w:val="00346A69"/>
    <w:rsid w:val="0035334C"/>
    <w:rsid w:val="00357EC9"/>
    <w:rsid w:val="00362F3F"/>
    <w:rsid w:val="00366BD4"/>
    <w:rsid w:val="003847B8"/>
    <w:rsid w:val="00384A40"/>
    <w:rsid w:val="003950F6"/>
    <w:rsid w:val="003B0D1C"/>
    <w:rsid w:val="003C2992"/>
    <w:rsid w:val="003C3516"/>
    <w:rsid w:val="003C4BA8"/>
    <w:rsid w:val="003D3EBB"/>
    <w:rsid w:val="003D63DD"/>
    <w:rsid w:val="00402EC9"/>
    <w:rsid w:val="00404CEC"/>
    <w:rsid w:val="00405746"/>
    <w:rsid w:val="00405EC9"/>
    <w:rsid w:val="00413192"/>
    <w:rsid w:val="00413D26"/>
    <w:rsid w:val="004170A2"/>
    <w:rsid w:val="00442AA3"/>
    <w:rsid w:val="004549FB"/>
    <w:rsid w:val="004621DE"/>
    <w:rsid w:val="00471753"/>
    <w:rsid w:val="00477B77"/>
    <w:rsid w:val="00490AD3"/>
    <w:rsid w:val="004A033F"/>
    <w:rsid w:val="004A18D4"/>
    <w:rsid w:val="004A299F"/>
    <w:rsid w:val="004A5228"/>
    <w:rsid w:val="004C1BE7"/>
    <w:rsid w:val="004C4B38"/>
    <w:rsid w:val="004C6ECA"/>
    <w:rsid w:val="004D0E8D"/>
    <w:rsid w:val="004D457C"/>
    <w:rsid w:val="004E6A3C"/>
    <w:rsid w:val="004F24B7"/>
    <w:rsid w:val="004F65CC"/>
    <w:rsid w:val="0050482F"/>
    <w:rsid w:val="00507019"/>
    <w:rsid w:val="00513A9E"/>
    <w:rsid w:val="00515E89"/>
    <w:rsid w:val="005253A4"/>
    <w:rsid w:val="00536715"/>
    <w:rsid w:val="00537ED1"/>
    <w:rsid w:val="0054590A"/>
    <w:rsid w:val="00551371"/>
    <w:rsid w:val="00555121"/>
    <w:rsid w:val="00562ACF"/>
    <w:rsid w:val="00564A33"/>
    <w:rsid w:val="00584415"/>
    <w:rsid w:val="005906B0"/>
    <w:rsid w:val="00595B66"/>
    <w:rsid w:val="00596B23"/>
    <w:rsid w:val="005A3A33"/>
    <w:rsid w:val="005C5F0C"/>
    <w:rsid w:val="005C7280"/>
    <w:rsid w:val="005C7D45"/>
    <w:rsid w:val="005D2CEE"/>
    <w:rsid w:val="005E2107"/>
    <w:rsid w:val="005E3923"/>
    <w:rsid w:val="005F1D5B"/>
    <w:rsid w:val="005F75D0"/>
    <w:rsid w:val="00610136"/>
    <w:rsid w:val="00611AE0"/>
    <w:rsid w:val="00612F62"/>
    <w:rsid w:val="00623458"/>
    <w:rsid w:val="00627FB6"/>
    <w:rsid w:val="006413BB"/>
    <w:rsid w:val="00642D0C"/>
    <w:rsid w:val="00646C6F"/>
    <w:rsid w:val="0066100C"/>
    <w:rsid w:val="00685226"/>
    <w:rsid w:val="00691053"/>
    <w:rsid w:val="00694996"/>
    <w:rsid w:val="00697709"/>
    <w:rsid w:val="006A0BC0"/>
    <w:rsid w:val="006A2896"/>
    <w:rsid w:val="006A35FB"/>
    <w:rsid w:val="006A5CFC"/>
    <w:rsid w:val="006A6462"/>
    <w:rsid w:val="006B521E"/>
    <w:rsid w:val="006C3E4C"/>
    <w:rsid w:val="006C4BA5"/>
    <w:rsid w:val="006C614E"/>
    <w:rsid w:val="006D0B8B"/>
    <w:rsid w:val="006D1FD4"/>
    <w:rsid w:val="006D65DB"/>
    <w:rsid w:val="006F0173"/>
    <w:rsid w:val="00700BA2"/>
    <w:rsid w:val="00701068"/>
    <w:rsid w:val="007228AA"/>
    <w:rsid w:val="007233D8"/>
    <w:rsid w:val="00725135"/>
    <w:rsid w:val="00730ED3"/>
    <w:rsid w:val="007472E8"/>
    <w:rsid w:val="00747703"/>
    <w:rsid w:val="007712AB"/>
    <w:rsid w:val="0078173F"/>
    <w:rsid w:val="00783919"/>
    <w:rsid w:val="007852D4"/>
    <w:rsid w:val="007873AC"/>
    <w:rsid w:val="007874EF"/>
    <w:rsid w:val="00793BEC"/>
    <w:rsid w:val="007A722A"/>
    <w:rsid w:val="007B3EB2"/>
    <w:rsid w:val="007B7876"/>
    <w:rsid w:val="007C24F1"/>
    <w:rsid w:val="007D63AF"/>
    <w:rsid w:val="007E4E7F"/>
    <w:rsid w:val="007F2D2E"/>
    <w:rsid w:val="007F3B0C"/>
    <w:rsid w:val="00802D9F"/>
    <w:rsid w:val="0080501C"/>
    <w:rsid w:val="008157B4"/>
    <w:rsid w:val="00821AF3"/>
    <w:rsid w:val="00826266"/>
    <w:rsid w:val="00832F48"/>
    <w:rsid w:val="00832FBD"/>
    <w:rsid w:val="00833DF3"/>
    <w:rsid w:val="00844BE8"/>
    <w:rsid w:val="00851D6B"/>
    <w:rsid w:val="0085471F"/>
    <w:rsid w:val="00857A97"/>
    <w:rsid w:val="0086093F"/>
    <w:rsid w:val="00865A4F"/>
    <w:rsid w:val="00865AA5"/>
    <w:rsid w:val="00871509"/>
    <w:rsid w:val="00876658"/>
    <w:rsid w:val="008812BA"/>
    <w:rsid w:val="008834F2"/>
    <w:rsid w:val="008B2EF7"/>
    <w:rsid w:val="008C4D81"/>
    <w:rsid w:val="008D3783"/>
    <w:rsid w:val="008D3FB5"/>
    <w:rsid w:val="008E5720"/>
    <w:rsid w:val="008F0304"/>
    <w:rsid w:val="008F75C6"/>
    <w:rsid w:val="0090500E"/>
    <w:rsid w:val="00914CF3"/>
    <w:rsid w:val="00917933"/>
    <w:rsid w:val="00921741"/>
    <w:rsid w:val="00926515"/>
    <w:rsid w:val="0092736F"/>
    <w:rsid w:val="00934A4A"/>
    <w:rsid w:val="00940F31"/>
    <w:rsid w:val="0094481A"/>
    <w:rsid w:val="00956839"/>
    <w:rsid w:val="009626AF"/>
    <w:rsid w:val="00965277"/>
    <w:rsid w:val="00967678"/>
    <w:rsid w:val="009754A6"/>
    <w:rsid w:val="009920C2"/>
    <w:rsid w:val="00995291"/>
    <w:rsid w:val="0099582A"/>
    <w:rsid w:val="00996514"/>
    <w:rsid w:val="009B07C5"/>
    <w:rsid w:val="009B1F3D"/>
    <w:rsid w:val="009B3E45"/>
    <w:rsid w:val="009C43BE"/>
    <w:rsid w:val="009D5787"/>
    <w:rsid w:val="009E0EBA"/>
    <w:rsid w:val="009F25E1"/>
    <w:rsid w:val="009F794F"/>
    <w:rsid w:val="00A016FD"/>
    <w:rsid w:val="00A06DD6"/>
    <w:rsid w:val="00A07E9B"/>
    <w:rsid w:val="00A104D0"/>
    <w:rsid w:val="00A317E9"/>
    <w:rsid w:val="00A32CCB"/>
    <w:rsid w:val="00A46960"/>
    <w:rsid w:val="00A5512E"/>
    <w:rsid w:val="00A55739"/>
    <w:rsid w:val="00A56079"/>
    <w:rsid w:val="00A70160"/>
    <w:rsid w:val="00A7787B"/>
    <w:rsid w:val="00A779F3"/>
    <w:rsid w:val="00AA035D"/>
    <w:rsid w:val="00AC10D8"/>
    <w:rsid w:val="00AC43A8"/>
    <w:rsid w:val="00AD1A35"/>
    <w:rsid w:val="00AD2ACD"/>
    <w:rsid w:val="00AE5044"/>
    <w:rsid w:val="00AF03FA"/>
    <w:rsid w:val="00AF43C4"/>
    <w:rsid w:val="00B00FB4"/>
    <w:rsid w:val="00B039E8"/>
    <w:rsid w:val="00B07EA8"/>
    <w:rsid w:val="00B11B76"/>
    <w:rsid w:val="00B11FCA"/>
    <w:rsid w:val="00B165D5"/>
    <w:rsid w:val="00B25A82"/>
    <w:rsid w:val="00B42D82"/>
    <w:rsid w:val="00B5331C"/>
    <w:rsid w:val="00B536D1"/>
    <w:rsid w:val="00B53B2A"/>
    <w:rsid w:val="00B57D2E"/>
    <w:rsid w:val="00B75A11"/>
    <w:rsid w:val="00B777F5"/>
    <w:rsid w:val="00B81D27"/>
    <w:rsid w:val="00B8285D"/>
    <w:rsid w:val="00B91926"/>
    <w:rsid w:val="00BA04D4"/>
    <w:rsid w:val="00BA192F"/>
    <w:rsid w:val="00BA2C37"/>
    <w:rsid w:val="00BB15E7"/>
    <w:rsid w:val="00BB7E97"/>
    <w:rsid w:val="00BC533E"/>
    <w:rsid w:val="00BD06DC"/>
    <w:rsid w:val="00BD3711"/>
    <w:rsid w:val="00BD4B6B"/>
    <w:rsid w:val="00BE1449"/>
    <w:rsid w:val="00BE7912"/>
    <w:rsid w:val="00BF4E71"/>
    <w:rsid w:val="00C04FA8"/>
    <w:rsid w:val="00C0712E"/>
    <w:rsid w:val="00C147C4"/>
    <w:rsid w:val="00C16645"/>
    <w:rsid w:val="00C175EC"/>
    <w:rsid w:val="00C20665"/>
    <w:rsid w:val="00C263FA"/>
    <w:rsid w:val="00C2698F"/>
    <w:rsid w:val="00C31C1F"/>
    <w:rsid w:val="00C361B2"/>
    <w:rsid w:val="00C45ABA"/>
    <w:rsid w:val="00C53D4E"/>
    <w:rsid w:val="00C55687"/>
    <w:rsid w:val="00C604F7"/>
    <w:rsid w:val="00C7478F"/>
    <w:rsid w:val="00CB3114"/>
    <w:rsid w:val="00CB4D5C"/>
    <w:rsid w:val="00CB6D51"/>
    <w:rsid w:val="00CD0E74"/>
    <w:rsid w:val="00CD1F43"/>
    <w:rsid w:val="00CD4838"/>
    <w:rsid w:val="00CE5BF5"/>
    <w:rsid w:val="00CF5218"/>
    <w:rsid w:val="00D10786"/>
    <w:rsid w:val="00D13E14"/>
    <w:rsid w:val="00D233A9"/>
    <w:rsid w:val="00D33651"/>
    <w:rsid w:val="00D447F2"/>
    <w:rsid w:val="00D550C3"/>
    <w:rsid w:val="00D653A2"/>
    <w:rsid w:val="00D81FFF"/>
    <w:rsid w:val="00D82515"/>
    <w:rsid w:val="00D849C1"/>
    <w:rsid w:val="00D90583"/>
    <w:rsid w:val="00D93229"/>
    <w:rsid w:val="00D93859"/>
    <w:rsid w:val="00D96D85"/>
    <w:rsid w:val="00DA01D1"/>
    <w:rsid w:val="00DA30A3"/>
    <w:rsid w:val="00DA5C0B"/>
    <w:rsid w:val="00DA7BEA"/>
    <w:rsid w:val="00DB159E"/>
    <w:rsid w:val="00DB2330"/>
    <w:rsid w:val="00DC4702"/>
    <w:rsid w:val="00DE111E"/>
    <w:rsid w:val="00DF599E"/>
    <w:rsid w:val="00DF5B8E"/>
    <w:rsid w:val="00E20E01"/>
    <w:rsid w:val="00E21AA6"/>
    <w:rsid w:val="00E273F4"/>
    <w:rsid w:val="00E3019B"/>
    <w:rsid w:val="00E30231"/>
    <w:rsid w:val="00E4159D"/>
    <w:rsid w:val="00E4364E"/>
    <w:rsid w:val="00E554C5"/>
    <w:rsid w:val="00E64E3D"/>
    <w:rsid w:val="00E7752D"/>
    <w:rsid w:val="00E8040A"/>
    <w:rsid w:val="00E80AF6"/>
    <w:rsid w:val="00E83574"/>
    <w:rsid w:val="00E85C11"/>
    <w:rsid w:val="00E87E5B"/>
    <w:rsid w:val="00EA0531"/>
    <w:rsid w:val="00EA2779"/>
    <w:rsid w:val="00EA305A"/>
    <w:rsid w:val="00EA6730"/>
    <w:rsid w:val="00EA7D6D"/>
    <w:rsid w:val="00EA7F86"/>
    <w:rsid w:val="00EB3050"/>
    <w:rsid w:val="00EC2776"/>
    <w:rsid w:val="00EC5841"/>
    <w:rsid w:val="00ED503F"/>
    <w:rsid w:val="00ED7546"/>
    <w:rsid w:val="00EE6AD1"/>
    <w:rsid w:val="00EF53B5"/>
    <w:rsid w:val="00F11869"/>
    <w:rsid w:val="00F12F9C"/>
    <w:rsid w:val="00F13A82"/>
    <w:rsid w:val="00F16139"/>
    <w:rsid w:val="00F2133B"/>
    <w:rsid w:val="00F2292B"/>
    <w:rsid w:val="00F5373B"/>
    <w:rsid w:val="00F5393D"/>
    <w:rsid w:val="00F57AE1"/>
    <w:rsid w:val="00F57DF4"/>
    <w:rsid w:val="00F73580"/>
    <w:rsid w:val="00F8470D"/>
    <w:rsid w:val="00F93853"/>
    <w:rsid w:val="00F9409D"/>
    <w:rsid w:val="00FC1055"/>
    <w:rsid w:val="00FC2988"/>
    <w:rsid w:val="00FC6AF1"/>
    <w:rsid w:val="00FE2586"/>
    <w:rsid w:val="00FF45A7"/>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EF36B5"/>
  <w15:docId w15:val="{FAA0B96B-786D-4E7D-B4DA-6FE72033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rPr>
      <w:rFonts w:cs="Times New Roman"/>
      <w:szCs w:val="24"/>
      <w:lang w:bidi="he-IL"/>
    </w:rPr>
  </w:style>
  <w:style w:type="paragraph" w:styleId="Heading1">
    <w:name w:val="heading 1"/>
    <w:basedOn w:val="Normal"/>
    <w:next w:val="BodyText"/>
    <w:link w:val="Heading1Char"/>
    <w:qFormat/>
    <w:pPr>
      <w:outlineLvl w:val="0"/>
    </w:pPr>
  </w:style>
  <w:style w:type="paragraph" w:styleId="Heading2">
    <w:name w:val="heading 2"/>
    <w:basedOn w:val="Normal"/>
    <w:next w:val="BodyText"/>
    <w:link w:val="Heading2Char"/>
    <w:qFormat/>
    <w:pPr>
      <w:outlineLvl w:val="1"/>
    </w:pPr>
  </w:style>
  <w:style w:type="paragraph" w:styleId="Heading3">
    <w:name w:val="heading 3"/>
    <w:basedOn w:val="Heading2"/>
    <w:next w:val="BodyText"/>
    <w:link w:val="Heading3Char"/>
    <w:qFormat/>
    <w:pPr>
      <w:outlineLvl w:val="2"/>
    </w:pPr>
  </w:style>
  <w:style w:type="paragraph" w:styleId="Heading4">
    <w:name w:val="heading 4"/>
    <w:basedOn w:val="Normal"/>
    <w:next w:val="BodyText"/>
    <w:link w:val="Heading4Char"/>
    <w:qFormat/>
    <w:pPr>
      <w:outlineLvl w:val="3"/>
    </w:pPr>
  </w:style>
  <w:style w:type="paragraph" w:styleId="Heading5">
    <w:name w:val="heading 5"/>
    <w:basedOn w:val="Normal"/>
    <w:next w:val="BodyText"/>
    <w:link w:val="Heading5Char"/>
    <w:qFormat/>
    <w:pPr>
      <w:outlineLvl w:val="4"/>
    </w:pPr>
  </w:style>
  <w:style w:type="paragraph" w:styleId="Heading6">
    <w:name w:val="heading 6"/>
    <w:basedOn w:val="Normal"/>
    <w:next w:val="BodyText"/>
    <w:link w:val="Heading6Char"/>
    <w:qFormat/>
    <w:pPr>
      <w:outlineLvl w:val="5"/>
    </w:pPr>
  </w:style>
  <w:style w:type="paragraph" w:styleId="Heading7">
    <w:name w:val="heading 7"/>
    <w:basedOn w:val="Normal"/>
    <w:next w:val="BodyText"/>
    <w:link w:val="Heading7Char"/>
    <w:qFormat/>
    <w:pPr>
      <w:outlineLvl w:val="6"/>
    </w:pPr>
  </w:style>
  <w:style w:type="paragraph" w:styleId="Heading8">
    <w:name w:val="heading 8"/>
    <w:basedOn w:val="Normal"/>
    <w:next w:val="BodyText"/>
    <w:link w:val="Heading8Char"/>
    <w:qFormat/>
    <w:pPr>
      <w:outlineLvl w:val="7"/>
    </w:pPr>
  </w:style>
  <w:style w:type="paragraph" w:styleId="Heading9">
    <w:name w:val="heading 9"/>
    <w:basedOn w:val="Normal"/>
    <w:next w:val="BodyText"/>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pPr>
      <w:jc w:val="both"/>
    </w:pPr>
    <w:rPr>
      <w:sz w:val="24"/>
      <w:szCs w:val="24"/>
      <w:lang w:bidi="he-IL"/>
    </w:rPr>
  </w:style>
  <w:style w:type="character" w:customStyle="1" w:styleId="HeaderChar">
    <w:name w:val="Header Char"/>
    <w:basedOn w:val="DefaultParagraphFont"/>
    <w:link w:val="Header"/>
    <w:rPr>
      <w:sz w:val="24"/>
      <w:szCs w:val="24"/>
      <w:lang w:val="en-GB" w:eastAsia="zh-CN" w:bidi="he-IL"/>
    </w:rPr>
  </w:style>
  <w:style w:type="paragraph" w:styleId="Footer">
    <w:name w:val="footer"/>
    <w:link w:val="FooterChar"/>
    <w:rPr>
      <w:rFonts w:cs="Times New Roman"/>
      <w:sz w:val="16"/>
      <w:szCs w:val="16"/>
      <w:lang w:bidi="he-IL"/>
    </w:rPr>
  </w:style>
  <w:style w:type="character" w:customStyle="1" w:styleId="FooterChar">
    <w:name w:val="Footer Char"/>
    <w:basedOn w:val="DefaultParagraphFont"/>
    <w:link w:val="Footer"/>
    <w:rPr>
      <w:rFonts w:cs="Times New Roman"/>
      <w:sz w:val="16"/>
      <w:szCs w:val="16"/>
      <w:lang w:bidi="he-IL"/>
    </w:rPr>
  </w:style>
  <w:style w:type="paragraph" w:styleId="BodyText">
    <w:name w:val="Body Text"/>
    <w:basedOn w:val="Normal"/>
    <w:link w:val="BodyTextChar"/>
    <w:qFormat/>
    <w:rPr>
      <w:lang w:eastAsia="en-GB"/>
    </w:rPr>
  </w:style>
  <w:style w:type="character" w:customStyle="1" w:styleId="BodyTextChar">
    <w:name w:val="Body Text Char"/>
    <w:basedOn w:val="DefaultParagraphFont"/>
    <w:link w:val="BodyText"/>
    <w:rPr>
      <w:sz w:val="24"/>
      <w:szCs w:val="24"/>
      <w:lang w:eastAsia="en-GB" w:bidi="ar-AE"/>
    </w:rPr>
  </w:style>
  <w:style w:type="paragraph" w:customStyle="1" w:styleId="BodyText1">
    <w:name w:val="Body Text 1"/>
    <w:basedOn w:val="Normal"/>
    <w:qFormat/>
    <w:pPr>
      <w:ind w:left="720"/>
    </w:pPr>
    <w:rPr>
      <w:lang w:eastAsia="en-GB"/>
    </w:rPr>
  </w:style>
  <w:style w:type="paragraph" w:styleId="BodyText2">
    <w:name w:val="Body Text 2"/>
    <w:basedOn w:val="Normal"/>
    <w:link w:val="BodyText2Char"/>
    <w:pPr>
      <w:ind w:left="1440"/>
    </w:pPr>
    <w:rPr>
      <w:lang w:eastAsia="en-GB"/>
    </w:rPr>
  </w:style>
  <w:style w:type="character" w:customStyle="1" w:styleId="BodyText2Char">
    <w:name w:val="Body Text 2 Char"/>
    <w:basedOn w:val="DefaultParagraphFont"/>
    <w:link w:val="BodyText2"/>
    <w:rPr>
      <w:sz w:val="24"/>
      <w:szCs w:val="24"/>
      <w:lang w:eastAsia="en-GB" w:bidi="ar-AE"/>
    </w:rPr>
  </w:style>
  <w:style w:type="paragraph" w:styleId="BodyText3">
    <w:name w:val="Body Text 3"/>
    <w:basedOn w:val="Normal"/>
    <w:link w:val="BodyText3Char"/>
    <w:pPr>
      <w:ind w:left="2160"/>
    </w:pPr>
    <w:rPr>
      <w:lang w:eastAsia="en-GB"/>
    </w:rPr>
  </w:style>
  <w:style w:type="character" w:customStyle="1" w:styleId="BodyText3Char">
    <w:name w:val="Body Text 3 Char"/>
    <w:basedOn w:val="DefaultParagraphFont"/>
    <w:link w:val="BodyText3"/>
    <w:rPr>
      <w:sz w:val="24"/>
      <w:szCs w:val="24"/>
      <w:lang w:eastAsia="en-GB" w:bidi="ar-AE"/>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0"/>
    </w:pPr>
    <w:rPr>
      <w:lang w:eastAsia="en-GB"/>
    </w:rPr>
  </w:style>
  <w:style w:type="paragraph" w:customStyle="1" w:styleId="BodyText7">
    <w:name w:val="Body Text 7"/>
    <w:basedOn w:val="Normal"/>
    <w:pPr>
      <w:ind w:left="5041"/>
    </w:pPr>
    <w:rPr>
      <w:lang w:eastAsia="en-GB"/>
    </w:r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basedOn w:val="BodyTextChar"/>
    <w:link w:val="BodyTextFirstIndent"/>
    <w:rPr>
      <w:sz w:val="24"/>
      <w:szCs w:val="24"/>
      <w:lang w:eastAsia="en-GB" w:bidi="ar-AE"/>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sz w:val="24"/>
      <w:szCs w:val="24"/>
      <w:lang w:bidi="ar-AE"/>
    </w:rPr>
  </w:style>
  <w:style w:type="paragraph" w:styleId="BodyTextFirstIndent2">
    <w:name w:val="Body Text First Indent 2"/>
    <w:basedOn w:val="BodyTextFirstIndent"/>
    <w:link w:val="BodyTextFirstIndent2Char"/>
    <w:pPr>
      <w:ind w:firstLine="1440"/>
    </w:pPr>
  </w:style>
  <w:style w:type="character" w:customStyle="1" w:styleId="BodyTextFirstIndent2Char">
    <w:name w:val="Body Text First Indent 2 Char"/>
    <w:basedOn w:val="BodyTextIndentChar"/>
    <w:link w:val="BodyTextFirstIndent2"/>
    <w:rPr>
      <w:sz w:val="24"/>
      <w:szCs w:val="24"/>
      <w:lang w:eastAsia="en-GB" w:bidi="ar-AE"/>
    </w:rPr>
  </w:style>
  <w:style w:type="character" w:styleId="CommentReference">
    <w:name w:val="annotation reference"/>
    <w:basedOn w:val="DefaultParagraphFont"/>
    <w:rPr>
      <w:rFonts w:ascii="Times New Roman" w:eastAsia="SimSun" w:hAnsi="Times New Roman" w:cs="Simplified Arabic"/>
      <w:sz w:val="18"/>
      <w:szCs w:val="18"/>
      <w:lang w:val="en-GB" w:bidi="ar-AE"/>
    </w:rPr>
  </w:style>
  <w:style w:type="paragraph" w:styleId="CommentText">
    <w:name w:val="annotation text"/>
    <w:basedOn w:val="Normal"/>
    <w:link w:val="CommentTextChar"/>
    <w:pPr>
      <w:spacing w:after="120"/>
    </w:pPr>
    <w:rPr>
      <w:szCs w:val="20"/>
    </w:rPr>
  </w:style>
  <w:style w:type="character" w:customStyle="1" w:styleId="CommentTextChar">
    <w:name w:val="Comment Text Char"/>
    <w:basedOn w:val="DefaultParagraphFont"/>
    <w:link w:val="CommentText"/>
    <w:rPr>
      <w:lang w:bidi="ar-AE"/>
    </w:rPr>
  </w:style>
  <w:style w:type="character" w:styleId="Emphasis">
    <w:name w:val="Emphasis"/>
    <w:qFormat/>
    <w:rPr>
      <w:i/>
      <w:iCs/>
    </w:rPr>
  </w:style>
  <w:style w:type="character" w:styleId="EndnoteReference">
    <w:name w:val="endnote reference"/>
    <w:basedOn w:val="DefaultParagraphFont"/>
    <w:qFormat/>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qFormat/>
    <w:pPr>
      <w:spacing w:after="120"/>
      <w:ind w:left="340" w:hanging="340"/>
    </w:pPr>
    <w:rPr>
      <w:szCs w:val="20"/>
    </w:rPr>
  </w:style>
  <w:style w:type="character" w:customStyle="1" w:styleId="EndnoteTextChar">
    <w:name w:val="Endnote Text Char"/>
    <w:basedOn w:val="DefaultParagraphFont"/>
    <w:link w:val="EndnoteText"/>
    <w:rPr>
      <w:lang w:bidi="ar-AE"/>
    </w:rPr>
  </w:style>
  <w:style w:type="paragraph" w:customStyle="1" w:styleId="FooterRight">
    <w:name w:val="Footer Right"/>
    <w:basedOn w:val="Footer"/>
    <w:link w:val="FooterRightChar"/>
    <w:pPr>
      <w:jc w:val="right"/>
    </w:pPr>
    <w:rPr>
      <w:lang w:eastAsia="en-GB"/>
    </w:rPr>
  </w:style>
  <w:style w:type="paragraph" w:styleId="FootnoteText">
    <w:name w:val="footnote text"/>
    <w:basedOn w:val="Normal"/>
    <w:next w:val="Normal"/>
    <w:link w:val="FootnoteTextChar"/>
    <w:uiPriority w:val="99"/>
    <w:pPr>
      <w:spacing w:after="120"/>
      <w:ind w:left="340" w:hanging="340"/>
    </w:pPr>
    <w:rPr>
      <w:szCs w:val="20"/>
    </w:rPr>
  </w:style>
  <w:style w:type="character" w:customStyle="1" w:styleId="FootnoteTextChar">
    <w:name w:val="Footnote Text Char"/>
    <w:basedOn w:val="DefaultParagraphFont"/>
    <w:link w:val="FootnoteText"/>
    <w:uiPriority w:val="99"/>
    <w:rPr>
      <w:lang w:bidi="ar-AE"/>
    </w:rPr>
  </w:style>
  <w:style w:type="paragraph" w:customStyle="1" w:styleId="Footnote">
    <w:name w:val="Footnote"/>
    <w:basedOn w:val="FootnoteText"/>
    <w:pPr>
      <w:tabs>
        <w:tab w:val="left" w:pos="340"/>
      </w:tabs>
    </w:pPr>
  </w:style>
  <w:style w:type="character" w:styleId="FootnoteReference">
    <w:name w:val="footnote reference"/>
    <w:basedOn w:val="DefaultParagraphFont"/>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Pr>
      <w:sz w:val="24"/>
      <w:szCs w:val="24"/>
      <w:lang w:bidi="ar-AE"/>
    </w:rPr>
  </w:style>
  <w:style w:type="character" w:customStyle="1" w:styleId="Heading2Char">
    <w:name w:val="Heading 2 Char"/>
    <w:basedOn w:val="DefaultParagraphFont"/>
    <w:link w:val="Heading2"/>
    <w:rPr>
      <w:sz w:val="24"/>
      <w:szCs w:val="24"/>
      <w:lang w:bidi="ar-AE"/>
    </w:rPr>
  </w:style>
  <w:style w:type="character" w:customStyle="1" w:styleId="Heading3Char">
    <w:name w:val="Heading 3 Char"/>
    <w:basedOn w:val="DefaultParagraphFont"/>
    <w:link w:val="Heading3"/>
    <w:rPr>
      <w:sz w:val="24"/>
      <w:szCs w:val="24"/>
      <w:lang w:bidi="ar-AE"/>
    </w:rPr>
  </w:style>
  <w:style w:type="character" w:customStyle="1" w:styleId="Heading4Char">
    <w:name w:val="Heading 4 Char"/>
    <w:basedOn w:val="DefaultParagraphFont"/>
    <w:link w:val="Heading4"/>
    <w:rPr>
      <w:sz w:val="24"/>
      <w:szCs w:val="24"/>
      <w:lang w:bidi="ar-AE"/>
    </w:rPr>
  </w:style>
  <w:style w:type="character" w:customStyle="1" w:styleId="Heading5Char">
    <w:name w:val="Heading 5 Char"/>
    <w:basedOn w:val="DefaultParagraphFont"/>
    <w:link w:val="Heading5"/>
    <w:rPr>
      <w:sz w:val="24"/>
      <w:szCs w:val="24"/>
      <w:lang w:bidi="ar-AE"/>
    </w:rPr>
  </w:style>
  <w:style w:type="character" w:customStyle="1" w:styleId="Heading6Char">
    <w:name w:val="Heading 6 Char"/>
    <w:basedOn w:val="DefaultParagraphFont"/>
    <w:link w:val="Heading6"/>
    <w:rPr>
      <w:sz w:val="24"/>
      <w:szCs w:val="24"/>
      <w:lang w:bidi="ar-AE"/>
    </w:rPr>
  </w:style>
  <w:style w:type="character" w:customStyle="1" w:styleId="Heading7Char">
    <w:name w:val="Heading 7 Char"/>
    <w:basedOn w:val="DefaultParagraphFont"/>
    <w:link w:val="Heading7"/>
    <w:rPr>
      <w:sz w:val="24"/>
      <w:szCs w:val="24"/>
      <w:lang w:bidi="ar-AE"/>
    </w:rPr>
  </w:style>
  <w:style w:type="character" w:customStyle="1" w:styleId="Heading8Char">
    <w:name w:val="Heading 8 Char"/>
    <w:basedOn w:val="DefaultParagraphFont"/>
    <w:link w:val="Heading8"/>
    <w:rPr>
      <w:sz w:val="24"/>
      <w:szCs w:val="24"/>
      <w:lang w:bidi="ar-AE"/>
    </w:rPr>
  </w:style>
  <w:style w:type="character" w:customStyle="1" w:styleId="Heading9Char">
    <w:name w:val="Heading 9 Char"/>
    <w:basedOn w:val="DefaultParagraphFont"/>
    <w:link w:val="Heading9"/>
    <w:rPr>
      <w:sz w:val="24"/>
      <w:szCs w:val="24"/>
      <w:lang w:bidi="ar-AE"/>
    </w:rPr>
  </w:style>
  <w:style w:type="paragraph" w:styleId="Index1">
    <w:name w:val="index 1"/>
    <w:basedOn w:val="Normal"/>
    <w:next w:val="Normal"/>
    <w:autoRedefine/>
    <w:pPr>
      <w:ind w:left="240" w:hanging="240"/>
    </w:pPr>
  </w:style>
  <w:style w:type="paragraph" w:styleId="IndexHeading">
    <w:name w:val="index heading"/>
    <w:basedOn w:val="Normal"/>
    <w:next w:val="Normal"/>
    <w:rPr>
      <w:b/>
      <w:bCs/>
    </w:rPr>
  </w:style>
  <w:style w:type="paragraph" w:styleId="ListParagraph">
    <w:name w:val="List Paragraph"/>
    <w:basedOn w:val="Normal"/>
    <w:qFormat/>
    <w:pPr>
      <w:ind w:left="720"/>
      <w:contextualSpacing/>
    </w:pPr>
  </w:style>
  <w:style w:type="paragraph" w:styleId="NoSpacing">
    <w:name w:val="No Spacing"/>
    <w:basedOn w:val="Normal"/>
    <w:qFormat/>
    <w:pPr>
      <w:spacing w:after="0"/>
    </w:pPr>
  </w:style>
  <w:style w:type="paragraph" w:customStyle="1" w:styleId="NormalBold">
    <w:name w:val="NormalBold"/>
    <w:basedOn w:val="Normal"/>
    <w:next w:val="Normal"/>
    <w:rPr>
      <w:b/>
      <w:bCs/>
    </w:rPr>
  </w:style>
  <w:style w:type="paragraph" w:customStyle="1" w:styleId="NormalBoldNS">
    <w:name w:val="NormalBoldNS"/>
    <w:basedOn w:val="Normal"/>
    <w:next w:val="Normal"/>
    <w:pPr>
      <w:spacing w:after="0"/>
      <w:jc w:val="left"/>
    </w:pPr>
    <w:rPr>
      <w:b/>
      <w:bCs/>
    </w:rPr>
  </w:style>
  <w:style w:type="paragraph" w:customStyle="1" w:styleId="NormalNS">
    <w:name w:val="NormalNS"/>
    <w:basedOn w:val="Normal"/>
    <w:pPr>
      <w:spacing w:after="0"/>
    </w:pPr>
  </w:style>
  <w:style w:type="paragraph" w:customStyle="1" w:styleId="NormalRight">
    <w:name w:val="NormalRight"/>
    <w:basedOn w:val="NormalNS"/>
    <w:pPr>
      <w:jc w:val="right"/>
    </w:pPr>
  </w:style>
  <w:style w:type="paragraph" w:customStyle="1" w:styleId="NoteContinuation">
    <w:name w:val="Note Continuation"/>
    <w:basedOn w:val="Normal"/>
    <w:pPr>
      <w:spacing w:after="120"/>
      <w:ind w:left="340"/>
    </w:pPr>
    <w:rPr>
      <w:szCs w:val="20"/>
    </w:rPr>
  </w:style>
  <w:style w:type="character" w:styleId="PageNumber">
    <w:name w:val="page number"/>
    <w:basedOn w:val="DefaultParagraphFont"/>
    <w:rPr>
      <w:rFonts w:ascii="Times New Roman" w:eastAsia="SimSun" w:hAnsi="Times New Roman" w:cs="Times New Roman"/>
      <w:b w:val="0"/>
      <w:sz w:val="24"/>
      <w:szCs w:val="24"/>
      <w:lang w:val="en-GB" w:bidi="ar-AE"/>
    </w:rPr>
  </w:style>
  <w:style w:type="character" w:styleId="Strong">
    <w:name w:val="Strong"/>
    <w:qFormat/>
    <w:rPr>
      <w:b/>
      <w:bCs/>
    </w:rPr>
  </w:style>
  <w:style w:type="paragraph" w:styleId="Subtitle">
    <w:name w:val="Subtitle"/>
    <w:basedOn w:val="Normal"/>
    <w:next w:val="BodyText"/>
    <w:link w:val="SubtitleChar"/>
    <w:qFormat/>
    <w:pPr>
      <w:numPr>
        <w:ilvl w:val="1"/>
      </w:numPr>
      <w:jc w:val="center"/>
    </w:pPr>
  </w:style>
  <w:style w:type="character" w:customStyle="1" w:styleId="SubtitleChar">
    <w:name w:val="Subtitle Char"/>
    <w:basedOn w:val="DefaultParagraphFont"/>
    <w:link w:val="Subtitle"/>
    <w:rPr>
      <w:sz w:val="24"/>
      <w:szCs w:val="24"/>
      <w:lang w:bidi="ar-A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pPr>
      <w:jc w:val="center"/>
    </w:pPr>
    <w:rPr>
      <w:b/>
      <w:bCs/>
    </w:rPr>
  </w:style>
  <w:style w:type="character" w:customStyle="1" w:styleId="TitleChar">
    <w:name w:val="Title Char"/>
    <w:basedOn w:val="DefaultParagraphFont"/>
    <w:link w:val="Title"/>
    <w:rPr>
      <w:b/>
      <w:bCs/>
      <w:sz w:val="24"/>
      <w:szCs w:val="24"/>
      <w:lang w:bidi="ar-AE"/>
    </w:rPr>
  </w:style>
  <w:style w:type="paragraph" w:styleId="TOCHeading">
    <w:name w:val="TOC Heading"/>
    <w:basedOn w:val="Normal"/>
    <w:next w:val="Normal"/>
    <w:qFormat/>
    <w:pPr>
      <w:jc w:val="center"/>
    </w:pPr>
    <w:rPr>
      <w:b/>
      <w:bCs/>
      <w:caps/>
    </w:rPr>
  </w:style>
  <w:style w:type="paragraph" w:styleId="CommentSubject">
    <w:name w:val="annotation subject"/>
    <w:basedOn w:val="CommentText"/>
    <w:next w:val="CommentText"/>
    <w:link w:val="CommentSubjectChar"/>
    <w:pPr>
      <w:spacing w:after="240"/>
    </w:pPr>
    <w:rPr>
      <w:b/>
      <w:bCs/>
    </w:rPr>
  </w:style>
  <w:style w:type="character" w:customStyle="1" w:styleId="CommentSubjectChar">
    <w:name w:val="Comment Subject Char"/>
    <w:basedOn w:val="CommentTextChar"/>
    <w:link w:val="CommentSubject"/>
    <w:rPr>
      <w:b/>
      <w:bCs/>
      <w:lang w:bidi="ar-AE"/>
    </w:rPr>
  </w:style>
  <w:style w:type="paragraph" w:customStyle="1" w:styleId="BGHStandard">
    <w:name w:val="BGH Standard"/>
    <w:basedOn w:val="Normal"/>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Subtitle"/>
    <w:pPr>
      <w:spacing w:after="0"/>
    </w:pPr>
  </w:style>
  <w:style w:type="paragraph" w:styleId="TOC1">
    <w:name w:val="toc 1"/>
    <w:basedOn w:val="Normal"/>
    <w:next w:val="BodyText"/>
    <w:uiPriority w:val="39"/>
    <w:pPr>
      <w:tabs>
        <w:tab w:val="right" w:leader="dot" w:pos="9016"/>
      </w:tabs>
      <w:adjustRightInd w:val="0"/>
      <w:snapToGrid w:val="0"/>
      <w:spacing w:before="100" w:after="100"/>
      <w:ind w:left="510" w:hanging="510"/>
    </w:pPr>
    <w:rPr>
      <w:snapToGrid w:val="0"/>
    </w:rPr>
  </w:style>
  <w:style w:type="paragraph" w:styleId="TOC2">
    <w:name w:val="toc 2"/>
    <w:basedOn w:val="Normal"/>
    <w:next w:val="BodyText"/>
    <w:pPr>
      <w:tabs>
        <w:tab w:val="right" w:leader="dot" w:pos="9015"/>
      </w:tabs>
      <w:adjustRightInd w:val="0"/>
      <w:snapToGrid w:val="0"/>
      <w:spacing w:before="100" w:after="100"/>
      <w:ind w:left="1230" w:hanging="720"/>
    </w:pPr>
    <w:rPr>
      <w:snapToGrid w:val="0"/>
    </w:rPr>
  </w:style>
  <w:style w:type="paragraph" w:customStyle="1" w:styleId="OptionLabel">
    <w:name w:val="OptionLabel"/>
    <w:rPr>
      <w:b/>
      <w:bCs/>
      <w:sz w:val="24"/>
      <w:szCs w:val="24"/>
      <w:lang w:bidi="ar-AE"/>
    </w:rPr>
  </w:style>
  <w:style w:type="paragraph" w:customStyle="1" w:styleId="NormalLeft">
    <w:name w:val="NormalLeft"/>
    <w:basedOn w:val="Normal"/>
    <w:next w:val="Normal"/>
    <w:pPr>
      <w:jc w:val="left"/>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bidi="ar-A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Indent2">
    <w:name w:val="Body Text Indent 2"/>
    <w:basedOn w:val="Normal"/>
    <w:link w:val="BodyTextIndent2Char"/>
    <w:pPr>
      <w:spacing w:after="120"/>
      <w:ind w:left="360"/>
    </w:pPr>
  </w:style>
  <w:style w:type="character" w:customStyle="1" w:styleId="BodyTextIndent2Char">
    <w:name w:val="Body Text Indent 2 Char"/>
    <w:basedOn w:val="DefaultParagraphFont"/>
    <w:link w:val="BodyTextIndent2"/>
    <w:rPr>
      <w:sz w:val="24"/>
      <w:szCs w:val="24"/>
      <w:lang w:bidi="ar-AE"/>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sz w:val="16"/>
      <w:szCs w:val="16"/>
      <w:lang w:bidi="ar-AE"/>
    </w:rPr>
  </w:style>
  <w:style w:type="paragraph" w:styleId="Caption">
    <w:name w:val="caption"/>
    <w:basedOn w:val="Normal"/>
    <w:next w:val="Normal"/>
    <w:qFormat/>
    <w:rPr>
      <w:b/>
      <w:bCs/>
      <w:szCs w:val="20"/>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sz w:val="24"/>
      <w:szCs w:val="24"/>
      <w:lang w:bidi="ar-AE"/>
    </w:rPr>
  </w:style>
  <w:style w:type="table" w:customStyle="1" w:styleId="ColorfulGrid1">
    <w:name w:val="Colorful Grid1"/>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basedOn w:val="DefaultParagraphFont"/>
    <w:link w:val="Date"/>
    <w:rPr>
      <w:sz w:val="24"/>
      <w:szCs w:val="24"/>
      <w:lang w:bidi="ar-AE"/>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bidi="ar-AE"/>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sz w:val="24"/>
      <w:szCs w:val="24"/>
      <w:lang w:bidi="ar-AE"/>
    </w:rPr>
  </w:style>
  <w:style w:type="paragraph" w:styleId="EnvelopeAddress">
    <w:name w:val="envelope address"/>
    <w:basedOn w:val="Normal"/>
    <w:pPr>
      <w:framePr w:w="7920" w:h="1980" w:hRule="exact" w:hSpace="180" w:wrap="auto" w:hAnchor="page" w:xAlign="center" w:yAlign="bottom"/>
      <w:ind w:left="2880"/>
    </w:pPr>
    <w:rPr>
      <w:rFonts w:cs="Simplified Arabic"/>
    </w:rPr>
  </w:style>
  <w:style w:type="paragraph" w:styleId="EnvelopeReturn">
    <w:name w:val="envelope return"/>
    <w:basedOn w:val="Normal"/>
    <w:rPr>
      <w:rFonts w:cs="Simplified Arabic"/>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sz w:val="24"/>
      <w:szCs w:val="24"/>
      <w:lang w:bidi="ar-AE"/>
    </w:rPr>
  </w:style>
  <w:style w:type="paragraph" w:styleId="HTMLPreformatted">
    <w:name w:val="HTML Preformatted"/>
    <w:basedOn w:val="Normal"/>
    <w:link w:val="HTMLPreformattedChar"/>
    <w:rPr>
      <w:rFonts w:ascii="Courier New" w:hAnsi="Courier New" w:cs="Courier New"/>
      <w:szCs w:val="20"/>
    </w:rPr>
  </w:style>
  <w:style w:type="character" w:customStyle="1" w:styleId="HTMLPreformattedChar">
    <w:name w:val="HTML Preformatted Char"/>
    <w:basedOn w:val="DefaultParagraphFont"/>
    <w:link w:val="HTMLPreformatted"/>
    <w:rPr>
      <w:rFonts w:ascii="Courier New" w:hAnsi="Courier New" w:cs="Courier New"/>
      <w:lang w:bidi="ar-AE"/>
    </w:r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tenseQuote">
    <w:name w:val="Intense Quote"/>
    <w:basedOn w:val="Normal"/>
    <w:next w:val="Normal"/>
    <w:link w:val="IntenseQuoteChar"/>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Pr>
      <w:b/>
      <w:bCs/>
      <w:i/>
      <w:iCs/>
      <w:color w:val="4F81BD"/>
      <w:sz w:val="24"/>
      <w:szCs w:val="24"/>
      <w:lang w:bidi="ar-AE"/>
    </w:rPr>
  </w:style>
  <w:style w:type="table" w:customStyle="1" w:styleId="LightGrid1">
    <w:name w:val="Light Grid1"/>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Pr>
      <w:rFonts w:ascii="Courier New" w:hAnsi="Courier New" w:cs="Courier New"/>
      <w:lang w:val="en-GB" w:eastAsia="zh-CN" w:bidi="ar-AE"/>
    </w:rPr>
  </w:style>
  <w:style w:type="table" w:customStyle="1" w:styleId="MediumGrid11">
    <w:name w:val="Medium Grid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Pr>
      <w:rFonts w:ascii="Times New Roman" w:eastAsia="SimSun" w:hAnsi="Times New Roman" w:cs="Simplified Arabic"/>
      <w:sz w:val="24"/>
      <w:szCs w:val="24"/>
      <w:shd w:val="pct20" w:color="auto" w:fill="auto"/>
      <w:lang w:bidi="ar-AE"/>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sz w:val="24"/>
      <w:szCs w:val="24"/>
      <w:lang w:bidi="ar-AE"/>
    </w:rPr>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lang w:bidi="ar-AE"/>
    </w:rPr>
  </w:style>
  <w:style w:type="paragraph" w:styleId="Quote">
    <w:name w:val="Quote"/>
    <w:basedOn w:val="Normal"/>
    <w:next w:val="Normal"/>
    <w:link w:val="QuoteChar"/>
    <w:qFormat/>
    <w:rPr>
      <w:i/>
      <w:iCs/>
      <w:color w:val="000000"/>
    </w:rPr>
  </w:style>
  <w:style w:type="character" w:customStyle="1" w:styleId="QuoteChar">
    <w:name w:val="Quote Char"/>
    <w:basedOn w:val="DefaultParagraphFont"/>
    <w:link w:val="Quote"/>
    <w:rPr>
      <w:i/>
      <w:iCs/>
      <w:color w:val="000000"/>
      <w:sz w:val="24"/>
      <w:szCs w:val="24"/>
      <w:lang w:bidi="ar-AE"/>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szCs w:val="24"/>
      <w:lang w:bidi="ar-AE"/>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sz w:val="24"/>
      <w:szCs w:val="24"/>
      <w:lang w:bidi="ar-AE"/>
    </w:rPr>
  </w:style>
  <w:style w:type="table" w:styleId="Table3Deffects1">
    <w:name w:val="Table 3D effects 1"/>
    <w:basedOn w:val="TableNormal"/>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cs="Simplified Arabic"/>
      <w:b/>
      <w:bCs/>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BulletL9">
    <w:name w:val="Bullet L9"/>
    <w:basedOn w:val="Normal"/>
    <w:link w:val="BulletL9Char"/>
    <w:pPr>
      <w:numPr>
        <w:ilvl w:val="8"/>
        <w:numId w:val="1"/>
      </w:numPr>
      <w:outlineLvl w:val="8"/>
    </w:pPr>
  </w:style>
  <w:style w:type="character" w:customStyle="1" w:styleId="BulletL9Char">
    <w:name w:val="Bullet L9 Char"/>
    <w:basedOn w:val="DefaultParagraphFont"/>
    <w:link w:val="BulletL9"/>
    <w:rPr>
      <w:sz w:val="24"/>
      <w:szCs w:val="24"/>
      <w:lang w:bidi="ar-AE"/>
    </w:rPr>
  </w:style>
  <w:style w:type="paragraph" w:customStyle="1" w:styleId="BulletL8">
    <w:name w:val="Bullet L8"/>
    <w:basedOn w:val="Normal"/>
    <w:link w:val="BulletL8Char"/>
    <w:pPr>
      <w:numPr>
        <w:ilvl w:val="7"/>
        <w:numId w:val="1"/>
      </w:numPr>
      <w:outlineLvl w:val="7"/>
    </w:pPr>
  </w:style>
  <w:style w:type="character" w:customStyle="1" w:styleId="BulletL8Char">
    <w:name w:val="Bullet L8 Char"/>
    <w:basedOn w:val="DefaultParagraphFont"/>
    <w:link w:val="BulletL8"/>
    <w:rPr>
      <w:sz w:val="24"/>
      <w:szCs w:val="24"/>
      <w:lang w:bidi="ar-AE"/>
    </w:rPr>
  </w:style>
  <w:style w:type="paragraph" w:customStyle="1" w:styleId="BulletL7">
    <w:name w:val="Bullet L7"/>
    <w:basedOn w:val="Normal"/>
    <w:link w:val="BulletL7Char"/>
    <w:pPr>
      <w:numPr>
        <w:ilvl w:val="6"/>
        <w:numId w:val="1"/>
      </w:numPr>
      <w:outlineLvl w:val="6"/>
    </w:pPr>
  </w:style>
  <w:style w:type="character" w:customStyle="1" w:styleId="BulletL7Char">
    <w:name w:val="Bullet L7 Char"/>
    <w:basedOn w:val="DefaultParagraphFont"/>
    <w:link w:val="BulletL7"/>
    <w:rPr>
      <w:sz w:val="24"/>
      <w:szCs w:val="24"/>
      <w:lang w:bidi="ar-AE"/>
    </w:rPr>
  </w:style>
  <w:style w:type="paragraph" w:customStyle="1" w:styleId="BulletL6">
    <w:name w:val="Bullet L6"/>
    <w:basedOn w:val="Normal"/>
    <w:link w:val="BulletL6Char"/>
    <w:pPr>
      <w:numPr>
        <w:ilvl w:val="5"/>
        <w:numId w:val="1"/>
      </w:numPr>
      <w:outlineLvl w:val="5"/>
    </w:pPr>
  </w:style>
  <w:style w:type="character" w:customStyle="1" w:styleId="BulletL6Char">
    <w:name w:val="Bullet L6 Char"/>
    <w:basedOn w:val="DefaultParagraphFont"/>
    <w:link w:val="BulletL6"/>
    <w:rPr>
      <w:sz w:val="24"/>
      <w:szCs w:val="24"/>
      <w:lang w:bidi="ar-AE"/>
    </w:rPr>
  </w:style>
  <w:style w:type="paragraph" w:customStyle="1" w:styleId="BulletL5">
    <w:name w:val="Bullet L5"/>
    <w:basedOn w:val="Normal"/>
    <w:link w:val="BulletL5Char"/>
    <w:pPr>
      <w:numPr>
        <w:ilvl w:val="4"/>
        <w:numId w:val="1"/>
      </w:numPr>
      <w:outlineLvl w:val="4"/>
    </w:pPr>
  </w:style>
  <w:style w:type="character" w:customStyle="1" w:styleId="BulletL5Char">
    <w:name w:val="Bullet L5 Char"/>
    <w:basedOn w:val="DefaultParagraphFont"/>
    <w:link w:val="BulletL5"/>
    <w:rPr>
      <w:sz w:val="24"/>
      <w:szCs w:val="24"/>
      <w:lang w:bidi="ar-AE"/>
    </w:rPr>
  </w:style>
  <w:style w:type="paragraph" w:customStyle="1" w:styleId="BulletL4">
    <w:name w:val="Bullet L4"/>
    <w:basedOn w:val="Normal"/>
    <w:link w:val="BulletL4Char"/>
    <w:pPr>
      <w:numPr>
        <w:ilvl w:val="3"/>
        <w:numId w:val="1"/>
      </w:numPr>
      <w:outlineLvl w:val="3"/>
    </w:pPr>
  </w:style>
  <w:style w:type="character" w:customStyle="1" w:styleId="BulletL4Char">
    <w:name w:val="Bullet L4 Char"/>
    <w:basedOn w:val="DefaultParagraphFont"/>
    <w:link w:val="BulletL4"/>
    <w:rPr>
      <w:sz w:val="24"/>
      <w:szCs w:val="24"/>
      <w:lang w:bidi="ar-AE"/>
    </w:rPr>
  </w:style>
  <w:style w:type="paragraph" w:customStyle="1" w:styleId="BulletL3">
    <w:name w:val="Bullet L3"/>
    <w:basedOn w:val="Normal"/>
    <w:link w:val="BulletL3Char"/>
    <w:pPr>
      <w:numPr>
        <w:ilvl w:val="2"/>
        <w:numId w:val="1"/>
      </w:numPr>
      <w:outlineLvl w:val="2"/>
    </w:pPr>
  </w:style>
  <w:style w:type="character" w:customStyle="1" w:styleId="BulletL3Char">
    <w:name w:val="Bullet L3 Char"/>
    <w:basedOn w:val="DefaultParagraphFont"/>
    <w:link w:val="BulletL3"/>
    <w:rPr>
      <w:sz w:val="24"/>
      <w:szCs w:val="24"/>
      <w:lang w:bidi="ar-AE"/>
    </w:rPr>
  </w:style>
  <w:style w:type="paragraph" w:customStyle="1" w:styleId="BulletL2">
    <w:name w:val="Bullet L2"/>
    <w:basedOn w:val="Normal"/>
    <w:link w:val="BulletL2Char"/>
    <w:pPr>
      <w:numPr>
        <w:ilvl w:val="1"/>
        <w:numId w:val="1"/>
      </w:numPr>
      <w:outlineLvl w:val="1"/>
    </w:pPr>
  </w:style>
  <w:style w:type="character" w:customStyle="1" w:styleId="BulletL2Char">
    <w:name w:val="Bullet L2 Char"/>
    <w:basedOn w:val="DefaultParagraphFont"/>
    <w:link w:val="BulletL2"/>
    <w:rPr>
      <w:sz w:val="24"/>
      <w:szCs w:val="24"/>
      <w:lang w:bidi="ar-AE"/>
    </w:rPr>
  </w:style>
  <w:style w:type="paragraph" w:customStyle="1" w:styleId="BulletL1">
    <w:name w:val="Bullet L1"/>
    <w:basedOn w:val="Normal"/>
    <w:link w:val="BulletL1Char"/>
    <w:pPr>
      <w:numPr>
        <w:numId w:val="1"/>
      </w:numPr>
      <w:outlineLvl w:val="0"/>
    </w:pPr>
  </w:style>
  <w:style w:type="character" w:customStyle="1" w:styleId="BulletL1Char">
    <w:name w:val="Bullet L1 Char"/>
    <w:basedOn w:val="DefaultParagraphFont"/>
    <w:link w:val="BulletL1"/>
    <w:rPr>
      <w:sz w:val="24"/>
      <w:szCs w:val="24"/>
      <w:lang w:bidi="ar-AE"/>
    </w:rPr>
  </w:style>
  <w:style w:type="paragraph" w:customStyle="1" w:styleId="BodyCAPS">
    <w:name w:val="Body CAPS"/>
    <w:basedOn w:val="Normal"/>
    <w:rPr>
      <w:rFonts w:eastAsia="Times New Roman" w:cs="Times"/>
      <w:caps/>
      <w:lang w:eastAsia="en-US" w:bidi="ar-SA"/>
    </w:rPr>
  </w:style>
  <w:style w:type="paragraph" w:customStyle="1" w:styleId="BodyCAPS1">
    <w:name w:val="Body CAPS 1"/>
    <w:basedOn w:val="Normal"/>
    <w:pPr>
      <w:ind w:left="680"/>
    </w:pPr>
    <w:rPr>
      <w:rFonts w:eastAsia="Times New Roman" w:cs="Times"/>
      <w:caps/>
      <w:lang w:eastAsia="en-US" w:bidi="ar-SA"/>
    </w:rPr>
  </w:style>
  <w:style w:type="paragraph" w:customStyle="1" w:styleId="BodyCAPS2">
    <w:name w:val="Body CAPS 2"/>
    <w:basedOn w:val="Normal"/>
    <w:pPr>
      <w:ind w:left="1361"/>
    </w:pPr>
    <w:rPr>
      <w:rFonts w:eastAsia="Times New Roman" w:cs="Times"/>
      <w:caps/>
      <w:lang w:eastAsia="en-US" w:bidi="ar-SA"/>
    </w:rPr>
  </w:style>
  <w:style w:type="paragraph" w:customStyle="1" w:styleId="BodyCAPS3">
    <w:name w:val="Body CAPS 3"/>
    <w:basedOn w:val="Normal"/>
    <w:pPr>
      <w:ind w:left="2041"/>
    </w:pPr>
    <w:rPr>
      <w:rFonts w:eastAsia="Times New Roman" w:cs="Times"/>
      <w:caps/>
      <w:lang w:eastAsia="en-US" w:bidi="ar-SA"/>
    </w:rPr>
  </w:style>
  <w:style w:type="paragraph" w:customStyle="1" w:styleId="BodyCAPS4">
    <w:name w:val="Body CAPS 4"/>
    <w:basedOn w:val="Normal"/>
    <w:pPr>
      <w:ind w:left="2722"/>
    </w:pPr>
    <w:rPr>
      <w:rFonts w:eastAsia="Times New Roman" w:cs="Times"/>
      <w:caps/>
      <w:lang w:eastAsia="en-US" w:bidi="ar-SA"/>
    </w:rPr>
  </w:style>
  <w:style w:type="paragraph" w:customStyle="1" w:styleId="BodyCAPS5">
    <w:name w:val="Body CAPS 5"/>
    <w:basedOn w:val="Normal"/>
    <w:pPr>
      <w:ind w:left="3402"/>
    </w:pPr>
    <w:rPr>
      <w:rFonts w:eastAsia="Times New Roman" w:cs="Times"/>
      <w:caps/>
      <w:lang w:eastAsia="en-US" w:bidi="ar-SA"/>
    </w:rPr>
  </w:style>
  <w:style w:type="paragraph" w:customStyle="1" w:styleId="TableBottomRow">
    <w:name w:val="Table Bottom Row"/>
    <w:basedOn w:val="TableMiddleRows"/>
    <w:next w:val="Normal"/>
    <w:pPr>
      <w:tabs>
        <w:tab w:val="clear" w:pos="4140"/>
        <w:tab w:val="right" w:leader="dot" w:pos="5724"/>
      </w:tabs>
      <w:spacing w:after="80"/>
    </w:pPr>
  </w:style>
  <w:style w:type="paragraph" w:customStyle="1" w:styleId="TableMiddleRows">
    <w:name w:val="Table Middle Rows"/>
    <w:basedOn w:val="Normal"/>
    <w:pPr>
      <w:keepNext/>
      <w:tabs>
        <w:tab w:val="right" w:leader="dot" w:pos="4140"/>
      </w:tabs>
      <w:spacing w:after="0"/>
    </w:pPr>
    <w:rPr>
      <w:rFonts w:eastAsia="Times New Roman" w:cs="Times"/>
      <w:iCs/>
      <w:sz w:val="16"/>
      <w:lang w:eastAsia="en-US" w:bidi="ar-SA"/>
    </w:rPr>
  </w:style>
  <w:style w:type="paragraph" w:customStyle="1" w:styleId="MarginNoteRight">
    <w:name w:val="Margin Note Right"/>
    <w:basedOn w:val="Normal"/>
    <w:pPr>
      <w:framePr w:w="1134" w:hSpace="181" w:vSpace="181" w:wrap="around" w:vAnchor="text" w:hAnchor="page" w:xAlign="right" w:y="1"/>
      <w:spacing w:after="80"/>
    </w:pPr>
    <w:rPr>
      <w:rFonts w:eastAsia="Times New Roman"/>
      <w:sz w:val="16"/>
      <w:szCs w:val="20"/>
      <w:lang w:eastAsia="en-US" w:bidi="ar-SA"/>
    </w:rPr>
  </w:style>
  <w:style w:type="paragraph" w:customStyle="1" w:styleId="CoverPage1">
    <w:name w:val="Cover Page 1"/>
    <w:basedOn w:val="Normal"/>
    <w:next w:val="BodyText"/>
    <w:pPr>
      <w:keepNext/>
      <w:jc w:val="center"/>
    </w:pPr>
    <w:rPr>
      <w:rFonts w:ascii="Times New Roman Bold" w:eastAsia="Times New Roman" w:hAnsi="Times New Roman Bold" w:cs="Times"/>
      <w:b/>
      <w:caps/>
      <w:sz w:val="32"/>
      <w:lang w:eastAsia="en-US" w:bidi="ar-SA"/>
    </w:rPr>
  </w:style>
  <w:style w:type="paragraph" w:customStyle="1" w:styleId="CoverPage2">
    <w:name w:val="Cover Page 2"/>
    <w:basedOn w:val="Normal"/>
    <w:next w:val="BodyText"/>
    <w:pPr>
      <w:keepNext/>
      <w:jc w:val="center"/>
    </w:pPr>
    <w:rPr>
      <w:rFonts w:eastAsia="Times New Roman" w:cs="Times"/>
      <w:i/>
      <w:sz w:val="18"/>
      <w:lang w:eastAsia="en-US" w:bidi="ar-SA"/>
    </w:rPr>
  </w:style>
  <w:style w:type="paragraph" w:customStyle="1" w:styleId="CoverPage3">
    <w:name w:val="Cover Page 3"/>
    <w:basedOn w:val="Normal"/>
    <w:next w:val="BodyText"/>
    <w:pPr>
      <w:keepNext/>
      <w:jc w:val="center"/>
    </w:pPr>
    <w:rPr>
      <w:rFonts w:eastAsia="Times New Roman" w:cs="Times"/>
      <w:sz w:val="18"/>
      <w:lang w:eastAsia="en-US" w:bidi="ar-SA"/>
    </w:rPr>
  </w:style>
  <w:style w:type="paragraph" w:customStyle="1" w:styleId="CoverPage4">
    <w:name w:val="Cover Page 4"/>
    <w:basedOn w:val="Normal"/>
    <w:next w:val="BodyText"/>
    <w:pPr>
      <w:keepNext/>
      <w:jc w:val="center"/>
    </w:pPr>
    <w:rPr>
      <w:rFonts w:ascii="Times New Roman Bold" w:eastAsia="Times New Roman" w:hAnsi="Times New Roman Bold" w:cs="Times"/>
      <w:b/>
      <w:sz w:val="24"/>
      <w:lang w:eastAsia="en-US" w:bidi="ar-SA"/>
    </w:rPr>
  </w:style>
  <w:style w:type="paragraph" w:customStyle="1" w:styleId="CoverPage5">
    <w:name w:val="Cover Page 5"/>
    <w:basedOn w:val="Normal"/>
    <w:next w:val="BodyText"/>
    <w:pPr>
      <w:keepNext/>
      <w:jc w:val="center"/>
    </w:pPr>
    <w:rPr>
      <w:rFonts w:eastAsia="Times New Roman" w:cs="Times"/>
      <w:sz w:val="16"/>
      <w:lang w:eastAsia="en-US" w:bidi="ar-SA"/>
    </w:rPr>
  </w:style>
  <w:style w:type="paragraph" w:customStyle="1" w:styleId="CoverPage6">
    <w:name w:val="Cover Page 6"/>
    <w:basedOn w:val="Normal"/>
    <w:next w:val="BodyText"/>
    <w:pPr>
      <w:keepNext/>
      <w:jc w:val="center"/>
    </w:pPr>
    <w:rPr>
      <w:rFonts w:eastAsia="Times New Roman" w:cs="Times"/>
      <w:lang w:eastAsia="en-US" w:bidi="ar-SA"/>
    </w:rPr>
  </w:style>
  <w:style w:type="paragraph" w:customStyle="1" w:styleId="TableFootnote">
    <w:name w:val="Table Footnote"/>
    <w:basedOn w:val="Normal"/>
    <w:pPr>
      <w:spacing w:line="288" w:lineRule="auto"/>
      <w:ind w:left="908" w:hanging="284"/>
    </w:pPr>
    <w:rPr>
      <w:rFonts w:eastAsia="Times New Roman" w:cs="Times"/>
      <w:sz w:val="16"/>
      <w:szCs w:val="20"/>
      <w:lang w:eastAsia="en-US" w:bidi="ar-SA"/>
    </w:rPr>
  </w:style>
  <w:style w:type="paragraph" w:customStyle="1" w:styleId="TableHeader">
    <w:name w:val="Table Header"/>
    <w:basedOn w:val="Normal"/>
    <w:pPr>
      <w:keepNext/>
      <w:tabs>
        <w:tab w:val="right" w:leader="dot" w:pos="4140"/>
      </w:tabs>
      <w:spacing w:after="80"/>
      <w:jc w:val="center"/>
    </w:pPr>
    <w:rPr>
      <w:rFonts w:eastAsia="Times New Roman" w:cs="Times"/>
      <w:bCs/>
      <w:sz w:val="16"/>
      <w:lang w:eastAsia="en-US" w:bidi="ar-SA"/>
    </w:rPr>
  </w:style>
  <w:style w:type="paragraph" w:customStyle="1" w:styleId="Tableheaderrow">
    <w:name w:val="Table header row"/>
    <w:basedOn w:val="Normal"/>
    <w:pPr>
      <w:keepNext/>
      <w:tabs>
        <w:tab w:val="right" w:leader="dot" w:pos="4140"/>
      </w:tabs>
      <w:spacing w:after="80"/>
      <w:jc w:val="center"/>
    </w:pPr>
    <w:rPr>
      <w:rFonts w:ascii="Times New Roman Bold" w:eastAsia="Times New Roman" w:hAnsi="Times New Roman Bold" w:cs="Times"/>
      <w:b/>
      <w:bCs/>
      <w:sz w:val="16"/>
      <w:lang w:eastAsia="en-US" w:bidi="ar-SA"/>
    </w:rPr>
  </w:style>
  <w:style w:type="paragraph" w:customStyle="1" w:styleId="Tableheaderrowitalic">
    <w:name w:val="Table header row italic"/>
    <w:basedOn w:val="Tableheaderrow"/>
    <w:pPr>
      <w:tabs>
        <w:tab w:val="clear" w:pos="4140"/>
        <w:tab w:val="right" w:leader="dot" w:pos="5291"/>
      </w:tabs>
    </w:pPr>
    <w:rPr>
      <w:rFonts w:ascii="Times New Roman" w:hAnsi="Times New Roman"/>
      <w:b w:val="0"/>
      <w:i/>
      <w:iCs/>
    </w:rPr>
  </w:style>
  <w:style w:type="paragraph" w:customStyle="1" w:styleId="Bullet">
    <w:name w:val="Bullet"/>
    <w:basedOn w:val="BodyText"/>
    <w:next w:val="BodyText"/>
    <w:pPr>
      <w:ind w:left="680" w:hanging="680"/>
    </w:pPr>
    <w:rPr>
      <w:rFonts w:eastAsia="Times New Roman" w:cs="Times"/>
      <w:lang w:eastAsia="en-US" w:bidi="ar-SA"/>
    </w:rPr>
  </w:style>
  <w:style w:type="character" w:customStyle="1" w:styleId="Title1Char">
    <w:name w:val="Title 1 Char"/>
    <w:basedOn w:val="DefaultParagraphFont"/>
    <w:link w:val="Title1"/>
    <w:rPr>
      <w:rFonts w:ascii="Times New Roman Bold" w:hAnsi="Times New Roman Bold" w:cs="Times"/>
      <w:b/>
      <w:caps/>
      <w:szCs w:val="24"/>
    </w:rPr>
  </w:style>
  <w:style w:type="paragraph" w:customStyle="1" w:styleId="Title1">
    <w:name w:val="Title 1"/>
    <w:basedOn w:val="Normal"/>
    <w:next w:val="BodyText"/>
    <w:link w:val="Title1Char"/>
    <w:pPr>
      <w:pageBreakBefore/>
      <w:jc w:val="center"/>
    </w:pPr>
    <w:rPr>
      <w:rFonts w:ascii="Times New Roman Bold" w:hAnsi="Times New Roman Bold" w:cs="Times"/>
      <w:b/>
      <w:caps/>
      <w:lang w:bidi="ar-SA"/>
    </w:rPr>
  </w:style>
  <w:style w:type="paragraph" w:customStyle="1" w:styleId="TableLine">
    <w:name w:val="Table Line"/>
    <w:basedOn w:val="Normal"/>
    <w:pPr>
      <w:tabs>
        <w:tab w:val="right" w:leader="underscore" w:pos="2325"/>
      </w:tabs>
      <w:spacing w:after="0" w:line="288" w:lineRule="auto"/>
      <w:ind w:left="624"/>
    </w:pPr>
    <w:rPr>
      <w:rFonts w:eastAsia="Times New Roman" w:cs="Times"/>
      <w:szCs w:val="20"/>
      <w:lang w:eastAsia="en-US" w:bidi="ar-SA"/>
    </w:rPr>
  </w:style>
  <w:style w:type="paragraph" w:customStyle="1" w:styleId="TableMarginNote">
    <w:name w:val="Table Margin Note"/>
    <w:basedOn w:val="Normal"/>
    <w:pPr>
      <w:spacing w:line="288" w:lineRule="auto"/>
    </w:pPr>
    <w:rPr>
      <w:rFonts w:eastAsia="Times New Roman" w:cs="Times"/>
      <w:sz w:val="16"/>
      <w:szCs w:val="20"/>
      <w:lang w:eastAsia="en-US" w:bidi="ar-SA"/>
    </w:rPr>
  </w:style>
  <w:style w:type="paragraph" w:customStyle="1" w:styleId="Tablerow">
    <w:name w:val="Table row"/>
    <w:basedOn w:val="Tableheaderrow"/>
    <w:pPr>
      <w:tabs>
        <w:tab w:val="clear" w:pos="4140"/>
        <w:tab w:val="right" w:leader="dot" w:pos="6300"/>
      </w:tabs>
      <w:jc w:val="left"/>
    </w:pPr>
    <w:rPr>
      <w:rFonts w:ascii="Times New Roman" w:hAnsi="Times New Roman"/>
      <w:b w:val="0"/>
    </w:rPr>
  </w:style>
  <w:style w:type="paragraph" w:customStyle="1" w:styleId="Title2">
    <w:name w:val="Title 2"/>
    <w:basedOn w:val="Normal"/>
    <w:next w:val="BodyText"/>
    <w:pPr>
      <w:keepNext/>
      <w:jc w:val="center"/>
    </w:pPr>
    <w:rPr>
      <w:rFonts w:ascii="Times New Roman Bold" w:eastAsia="Times New Roman" w:hAnsi="Times New Roman Bold" w:cs="Times"/>
      <w:b/>
      <w:caps/>
      <w:lang w:eastAsia="en-US" w:bidi="ar-SA"/>
    </w:rPr>
  </w:style>
  <w:style w:type="paragraph" w:customStyle="1" w:styleId="Title3">
    <w:name w:val="Title 3"/>
    <w:basedOn w:val="Normal"/>
    <w:next w:val="BodyText"/>
    <w:pPr>
      <w:keepNext/>
      <w:jc w:val="center"/>
    </w:pPr>
    <w:rPr>
      <w:rFonts w:ascii="Times New Roman Bold" w:hAnsi="Times New Roman Bold" w:cs="Times"/>
      <w:b/>
      <w:caps/>
    </w:rPr>
  </w:style>
  <w:style w:type="paragraph" w:customStyle="1" w:styleId="Title4">
    <w:name w:val="Title 4"/>
    <w:basedOn w:val="Normal"/>
    <w:next w:val="BodyText"/>
    <w:pPr>
      <w:keepNext/>
    </w:pPr>
    <w:rPr>
      <w:rFonts w:ascii="Times New Roman Bold" w:hAnsi="Times New Roman Bold" w:cs="Times"/>
      <w:b/>
    </w:rPr>
  </w:style>
  <w:style w:type="paragraph" w:customStyle="1" w:styleId="Title5">
    <w:name w:val="Title 5"/>
    <w:basedOn w:val="Normal"/>
    <w:next w:val="BodyText1"/>
    <w:pPr>
      <w:keepNext/>
      <w:ind w:left="680"/>
    </w:pPr>
    <w:rPr>
      <w:rFonts w:ascii="Times New Roman Bold" w:hAnsi="Times New Roman Bold" w:cs="Times"/>
      <w:b/>
    </w:rPr>
  </w:style>
  <w:style w:type="paragraph" w:customStyle="1" w:styleId="Title6">
    <w:name w:val="Title 6"/>
    <w:basedOn w:val="Normal"/>
    <w:next w:val="BodyText1"/>
    <w:pPr>
      <w:keepNext/>
      <w:ind w:left="680"/>
    </w:pPr>
    <w:rPr>
      <w:rFonts w:ascii="Times New Roman Bold" w:hAnsi="Times New Roman Bold" w:cs="Times"/>
      <w:b/>
      <w:i/>
    </w:rPr>
  </w:style>
  <w:style w:type="paragraph" w:customStyle="1" w:styleId="Title7">
    <w:name w:val="Title 7"/>
    <w:basedOn w:val="Normal"/>
    <w:next w:val="BodyText"/>
    <w:pPr>
      <w:keepNext/>
    </w:pPr>
    <w:rPr>
      <w:rFonts w:cs="Times"/>
      <w:i/>
    </w:rPr>
  </w:style>
  <w:style w:type="character" w:customStyle="1" w:styleId="FooterRightChar">
    <w:name w:val="Footer Right Char"/>
    <w:basedOn w:val="BodyTextChar"/>
    <w:link w:val="FooterRight"/>
    <w:rPr>
      <w:rFonts w:cs="Times New Roman"/>
      <w:sz w:val="16"/>
      <w:szCs w:val="16"/>
      <w:lang w:eastAsia="en-GB" w:bidi="he-IL"/>
    </w:rPr>
  </w:style>
  <w:style w:type="paragraph" w:customStyle="1" w:styleId="ocNum1st1">
    <w:name w:val="oc_Num_1st 1"/>
    <w:basedOn w:val="Normal"/>
    <w:next w:val="BodyText"/>
    <w:pPr>
      <w:numPr>
        <w:numId w:val="7"/>
      </w:numPr>
      <w:outlineLvl w:val="0"/>
    </w:pPr>
  </w:style>
  <w:style w:type="paragraph" w:customStyle="1" w:styleId="ocNum1st2">
    <w:name w:val="oc_Num_1st 2"/>
    <w:basedOn w:val="Normal"/>
    <w:next w:val="BodyText1"/>
    <w:pPr>
      <w:numPr>
        <w:ilvl w:val="1"/>
        <w:numId w:val="7"/>
      </w:numPr>
      <w:outlineLvl w:val="1"/>
    </w:pPr>
  </w:style>
  <w:style w:type="paragraph" w:customStyle="1" w:styleId="ocNum1st3">
    <w:name w:val="oc_Num_1st 3"/>
    <w:basedOn w:val="Normal"/>
    <w:next w:val="BodyText2"/>
    <w:pPr>
      <w:numPr>
        <w:ilvl w:val="2"/>
        <w:numId w:val="7"/>
      </w:numPr>
      <w:outlineLvl w:val="2"/>
    </w:pPr>
  </w:style>
  <w:style w:type="paragraph" w:customStyle="1" w:styleId="ocNum1st4">
    <w:name w:val="oc_Num_1st 4"/>
    <w:basedOn w:val="Normal"/>
    <w:next w:val="BodyText3"/>
    <w:pPr>
      <w:numPr>
        <w:ilvl w:val="3"/>
        <w:numId w:val="7"/>
      </w:numPr>
      <w:outlineLvl w:val="3"/>
    </w:pPr>
  </w:style>
  <w:style w:type="paragraph" w:customStyle="1" w:styleId="ocNum1st5">
    <w:name w:val="oc_Num_1st 5"/>
    <w:basedOn w:val="Normal"/>
    <w:next w:val="BodyText4"/>
    <w:pPr>
      <w:numPr>
        <w:ilvl w:val="4"/>
        <w:numId w:val="7"/>
      </w:numPr>
      <w:outlineLvl w:val="4"/>
    </w:pPr>
  </w:style>
  <w:style w:type="paragraph" w:customStyle="1" w:styleId="ocNum1st6">
    <w:name w:val="oc_Num_1st 6"/>
    <w:basedOn w:val="Normal"/>
    <w:next w:val="BodyText"/>
    <w:pPr>
      <w:numPr>
        <w:ilvl w:val="5"/>
        <w:numId w:val="7"/>
      </w:numPr>
      <w:outlineLvl w:val="5"/>
    </w:pPr>
  </w:style>
  <w:style w:type="paragraph" w:customStyle="1" w:styleId="ocNum1st7">
    <w:name w:val="oc_Num_1st 7"/>
    <w:basedOn w:val="Normal"/>
    <w:next w:val="BodyText"/>
    <w:pPr>
      <w:numPr>
        <w:ilvl w:val="6"/>
        <w:numId w:val="7"/>
      </w:numPr>
      <w:outlineLvl w:val="6"/>
    </w:pPr>
  </w:style>
  <w:style w:type="paragraph" w:customStyle="1" w:styleId="ocNum1st8">
    <w:name w:val="oc_Num_1st 8"/>
    <w:basedOn w:val="Normal"/>
    <w:next w:val="BodyText"/>
    <w:pPr>
      <w:numPr>
        <w:ilvl w:val="7"/>
        <w:numId w:val="7"/>
      </w:numPr>
      <w:outlineLvl w:val="7"/>
    </w:pPr>
  </w:style>
  <w:style w:type="paragraph" w:customStyle="1" w:styleId="ocNum1st9">
    <w:name w:val="oc_Num_1st 9"/>
    <w:basedOn w:val="Normal"/>
    <w:next w:val="BodyText"/>
    <w:pPr>
      <w:numPr>
        <w:ilvl w:val="8"/>
        <w:numId w:val="7"/>
      </w:numPr>
      <w:outlineLvl w:val="8"/>
    </w:pPr>
  </w:style>
  <w:style w:type="paragraph" w:customStyle="1" w:styleId="ocNum2nd1">
    <w:name w:val="oc_Num_2nd 1"/>
    <w:basedOn w:val="Normal"/>
    <w:next w:val="BodyText"/>
    <w:pPr>
      <w:numPr>
        <w:numId w:val="6"/>
      </w:numPr>
      <w:outlineLvl w:val="0"/>
    </w:pPr>
  </w:style>
  <w:style w:type="paragraph" w:customStyle="1" w:styleId="ocNum2nd2">
    <w:name w:val="oc_Num_2nd 2"/>
    <w:basedOn w:val="Normal"/>
    <w:next w:val="BodyText1"/>
    <w:pPr>
      <w:numPr>
        <w:ilvl w:val="1"/>
        <w:numId w:val="6"/>
      </w:numPr>
      <w:outlineLvl w:val="1"/>
    </w:pPr>
  </w:style>
  <w:style w:type="paragraph" w:customStyle="1" w:styleId="ocNum2nd3">
    <w:name w:val="oc_Num_2nd 3"/>
    <w:basedOn w:val="Normal"/>
    <w:next w:val="BodyText2"/>
    <w:pPr>
      <w:numPr>
        <w:ilvl w:val="2"/>
        <w:numId w:val="6"/>
      </w:numPr>
      <w:outlineLvl w:val="2"/>
    </w:pPr>
  </w:style>
  <w:style w:type="paragraph" w:customStyle="1" w:styleId="ocNum2nd4">
    <w:name w:val="oc_Num_2nd 4"/>
    <w:basedOn w:val="Normal"/>
    <w:next w:val="BodyText3"/>
    <w:pPr>
      <w:numPr>
        <w:ilvl w:val="3"/>
        <w:numId w:val="6"/>
      </w:numPr>
      <w:outlineLvl w:val="3"/>
    </w:pPr>
  </w:style>
  <w:style w:type="paragraph" w:customStyle="1" w:styleId="ocNum2nd5">
    <w:name w:val="oc_Num_2nd 5"/>
    <w:basedOn w:val="Normal"/>
    <w:next w:val="BodyText4"/>
    <w:pPr>
      <w:numPr>
        <w:ilvl w:val="4"/>
        <w:numId w:val="6"/>
      </w:numPr>
      <w:outlineLvl w:val="4"/>
    </w:pPr>
  </w:style>
  <w:style w:type="paragraph" w:customStyle="1" w:styleId="ocNum2nd6">
    <w:name w:val="oc_Num_2nd 6"/>
    <w:basedOn w:val="Normal"/>
    <w:next w:val="BodyText"/>
    <w:pPr>
      <w:numPr>
        <w:ilvl w:val="5"/>
        <w:numId w:val="6"/>
      </w:numPr>
      <w:outlineLvl w:val="5"/>
    </w:pPr>
  </w:style>
  <w:style w:type="paragraph" w:customStyle="1" w:styleId="ocNum2nd7">
    <w:name w:val="oc_Num_2nd 7"/>
    <w:basedOn w:val="Normal"/>
    <w:next w:val="BodyText"/>
    <w:pPr>
      <w:numPr>
        <w:ilvl w:val="6"/>
        <w:numId w:val="6"/>
      </w:numPr>
      <w:outlineLvl w:val="6"/>
    </w:pPr>
  </w:style>
  <w:style w:type="paragraph" w:customStyle="1" w:styleId="ocNum2nd8">
    <w:name w:val="oc_Num_2nd 8"/>
    <w:basedOn w:val="Normal"/>
    <w:next w:val="BodyText"/>
    <w:pPr>
      <w:numPr>
        <w:ilvl w:val="7"/>
        <w:numId w:val="6"/>
      </w:numPr>
      <w:outlineLvl w:val="7"/>
    </w:pPr>
  </w:style>
  <w:style w:type="paragraph" w:customStyle="1" w:styleId="ocNum2nd9">
    <w:name w:val="oc_Num_2nd 9"/>
    <w:basedOn w:val="Normal"/>
    <w:next w:val="BodyText"/>
    <w:pPr>
      <w:numPr>
        <w:ilvl w:val="8"/>
        <w:numId w:val="6"/>
      </w:numPr>
      <w:outlineLvl w:val="8"/>
    </w:pPr>
  </w:style>
  <w:style w:type="paragraph" w:customStyle="1" w:styleId="ocNum3rd1">
    <w:name w:val="oc_Num_3rd 1"/>
    <w:basedOn w:val="Normal"/>
    <w:next w:val="BodyText1"/>
    <w:pPr>
      <w:numPr>
        <w:numId w:val="5"/>
      </w:numPr>
      <w:outlineLvl w:val="0"/>
    </w:pPr>
  </w:style>
  <w:style w:type="paragraph" w:customStyle="1" w:styleId="ocNum3rd2">
    <w:name w:val="oc_Num_3rd 2"/>
    <w:basedOn w:val="Normal"/>
    <w:next w:val="BodyText2"/>
    <w:pPr>
      <w:numPr>
        <w:ilvl w:val="1"/>
        <w:numId w:val="5"/>
      </w:numPr>
      <w:outlineLvl w:val="1"/>
    </w:pPr>
  </w:style>
  <w:style w:type="paragraph" w:customStyle="1" w:styleId="ocNum3rd3">
    <w:name w:val="oc_Num_3rd 3"/>
    <w:basedOn w:val="Normal"/>
    <w:next w:val="BodyText3"/>
    <w:pPr>
      <w:numPr>
        <w:ilvl w:val="2"/>
        <w:numId w:val="5"/>
      </w:numPr>
      <w:outlineLvl w:val="2"/>
    </w:pPr>
  </w:style>
  <w:style w:type="paragraph" w:customStyle="1" w:styleId="ocNum3rd4">
    <w:name w:val="oc_Num_3rd 4"/>
    <w:basedOn w:val="Normal"/>
    <w:next w:val="BodyText4"/>
    <w:pPr>
      <w:numPr>
        <w:ilvl w:val="3"/>
        <w:numId w:val="5"/>
      </w:numPr>
      <w:outlineLvl w:val="3"/>
    </w:pPr>
  </w:style>
  <w:style w:type="paragraph" w:customStyle="1" w:styleId="ocNum3rd5">
    <w:name w:val="oc_Num_3rd 5"/>
    <w:basedOn w:val="Normal"/>
    <w:next w:val="BodyText5"/>
    <w:pPr>
      <w:numPr>
        <w:ilvl w:val="4"/>
        <w:numId w:val="5"/>
      </w:numPr>
      <w:outlineLvl w:val="4"/>
    </w:pPr>
  </w:style>
  <w:style w:type="paragraph" w:customStyle="1" w:styleId="ocNum3rd6">
    <w:name w:val="oc_Num_3rd 6"/>
    <w:basedOn w:val="Normal"/>
    <w:next w:val="BodyText"/>
    <w:pPr>
      <w:numPr>
        <w:ilvl w:val="5"/>
        <w:numId w:val="5"/>
      </w:numPr>
      <w:spacing w:line="280" w:lineRule="auto"/>
      <w:outlineLvl w:val="5"/>
    </w:pPr>
    <w:rPr>
      <w:sz w:val="24"/>
    </w:rPr>
  </w:style>
  <w:style w:type="paragraph" w:customStyle="1" w:styleId="ocNum3rd7">
    <w:name w:val="oc_Num_3rd 7"/>
    <w:basedOn w:val="Normal"/>
    <w:next w:val="BodyText"/>
    <w:pPr>
      <w:numPr>
        <w:ilvl w:val="6"/>
        <w:numId w:val="5"/>
      </w:numPr>
      <w:spacing w:line="280" w:lineRule="auto"/>
      <w:outlineLvl w:val="6"/>
    </w:pPr>
  </w:style>
  <w:style w:type="paragraph" w:customStyle="1" w:styleId="ocNum3rd8">
    <w:name w:val="oc_Num_3rd 8"/>
    <w:basedOn w:val="Normal"/>
    <w:next w:val="BodyText"/>
    <w:pPr>
      <w:numPr>
        <w:ilvl w:val="7"/>
        <w:numId w:val="5"/>
      </w:numPr>
      <w:spacing w:line="280" w:lineRule="auto"/>
      <w:outlineLvl w:val="7"/>
    </w:pPr>
  </w:style>
  <w:style w:type="paragraph" w:customStyle="1" w:styleId="ocNum3rd9">
    <w:name w:val="oc_Num_3rd 9"/>
    <w:basedOn w:val="Normal"/>
    <w:next w:val="BodyText"/>
    <w:pPr>
      <w:numPr>
        <w:ilvl w:val="8"/>
        <w:numId w:val="5"/>
      </w:numPr>
      <w:spacing w:line="280" w:lineRule="auto"/>
      <w:outlineLvl w:val="8"/>
    </w:pPr>
  </w:style>
  <w:style w:type="paragraph" w:customStyle="1" w:styleId="ocNum4th1">
    <w:name w:val="oc_Num_4th 1"/>
    <w:basedOn w:val="Normal"/>
    <w:next w:val="BodyText"/>
    <w:pPr>
      <w:numPr>
        <w:numId w:val="4"/>
      </w:numPr>
      <w:outlineLvl w:val="0"/>
    </w:pPr>
  </w:style>
  <w:style w:type="paragraph" w:customStyle="1" w:styleId="ocNum4th2">
    <w:name w:val="oc_Num_4th 2"/>
    <w:basedOn w:val="Normal"/>
    <w:next w:val="BodyText1"/>
    <w:pPr>
      <w:numPr>
        <w:ilvl w:val="1"/>
        <w:numId w:val="4"/>
      </w:numPr>
      <w:outlineLvl w:val="1"/>
    </w:pPr>
  </w:style>
  <w:style w:type="paragraph" w:customStyle="1" w:styleId="ocNum4th3">
    <w:name w:val="oc_Num_4th 3"/>
    <w:basedOn w:val="Normal"/>
    <w:next w:val="BodyText1"/>
    <w:pPr>
      <w:numPr>
        <w:ilvl w:val="2"/>
        <w:numId w:val="4"/>
      </w:numPr>
      <w:outlineLvl w:val="2"/>
    </w:pPr>
  </w:style>
  <w:style w:type="paragraph" w:customStyle="1" w:styleId="ocNum4th4">
    <w:name w:val="oc_Num_4th 4"/>
    <w:basedOn w:val="Normal"/>
    <w:next w:val="BodyText1"/>
    <w:pPr>
      <w:numPr>
        <w:ilvl w:val="3"/>
        <w:numId w:val="4"/>
      </w:numPr>
      <w:outlineLvl w:val="3"/>
    </w:pPr>
  </w:style>
  <w:style w:type="paragraph" w:customStyle="1" w:styleId="ocNum4th5">
    <w:name w:val="oc_Num_4th 5"/>
    <w:basedOn w:val="Normal"/>
    <w:next w:val="BodyText2"/>
    <w:pPr>
      <w:numPr>
        <w:ilvl w:val="4"/>
        <w:numId w:val="4"/>
      </w:numPr>
      <w:outlineLvl w:val="4"/>
    </w:pPr>
  </w:style>
  <w:style w:type="paragraph" w:customStyle="1" w:styleId="ocNum4th6">
    <w:name w:val="oc_Num_4th 6"/>
    <w:basedOn w:val="Normal"/>
    <w:next w:val="BodyText3"/>
    <w:pPr>
      <w:numPr>
        <w:ilvl w:val="5"/>
        <w:numId w:val="4"/>
      </w:numPr>
      <w:outlineLvl w:val="5"/>
    </w:pPr>
  </w:style>
  <w:style w:type="paragraph" w:customStyle="1" w:styleId="ocNum4th7">
    <w:name w:val="oc_Num_4th 7"/>
    <w:basedOn w:val="Normal"/>
    <w:next w:val="BodyText4"/>
    <w:pPr>
      <w:numPr>
        <w:ilvl w:val="6"/>
        <w:numId w:val="4"/>
      </w:numPr>
      <w:outlineLvl w:val="6"/>
    </w:pPr>
  </w:style>
  <w:style w:type="paragraph" w:customStyle="1" w:styleId="ocNum4th8">
    <w:name w:val="oc_Num_4th 8"/>
    <w:basedOn w:val="Normal"/>
    <w:next w:val="BodyText5"/>
    <w:pPr>
      <w:numPr>
        <w:ilvl w:val="7"/>
        <w:numId w:val="4"/>
      </w:numPr>
      <w:outlineLvl w:val="7"/>
    </w:pPr>
  </w:style>
  <w:style w:type="paragraph" w:customStyle="1" w:styleId="ocNum4th9">
    <w:name w:val="oc_Num_4th 9"/>
    <w:basedOn w:val="Normal"/>
    <w:next w:val="BodyText"/>
    <w:pPr>
      <w:numPr>
        <w:ilvl w:val="8"/>
        <w:numId w:val="4"/>
      </w:numPr>
      <w:outlineLvl w:val="8"/>
    </w:pPr>
  </w:style>
  <w:style w:type="paragraph" w:customStyle="1" w:styleId="ocNum5th1">
    <w:name w:val="oc_Num_5th 1"/>
    <w:basedOn w:val="Normal"/>
    <w:next w:val="BodyText1"/>
    <w:pPr>
      <w:numPr>
        <w:numId w:val="3"/>
      </w:numPr>
      <w:outlineLvl w:val="0"/>
    </w:pPr>
  </w:style>
  <w:style w:type="paragraph" w:customStyle="1" w:styleId="ocNum5th2">
    <w:name w:val="oc_Num_5th 2"/>
    <w:basedOn w:val="Normal"/>
    <w:next w:val="BodyText1"/>
    <w:pPr>
      <w:numPr>
        <w:ilvl w:val="1"/>
        <w:numId w:val="3"/>
      </w:numPr>
      <w:outlineLvl w:val="1"/>
    </w:pPr>
  </w:style>
  <w:style w:type="paragraph" w:customStyle="1" w:styleId="ocNum5th3">
    <w:name w:val="oc_Num_5th 3"/>
    <w:basedOn w:val="Normal"/>
    <w:next w:val="BodyText1"/>
    <w:pPr>
      <w:numPr>
        <w:ilvl w:val="2"/>
        <w:numId w:val="3"/>
      </w:numPr>
      <w:outlineLvl w:val="2"/>
    </w:pPr>
  </w:style>
  <w:style w:type="paragraph" w:customStyle="1" w:styleId="ocNum5th4">
    <w:name w:val="oc_Num_5th 4"/>
    <w:basedOn w:val="Normal"/>
    <w:next w:val="BodyText2"/>
    <w:pPr>
      <w:numPr>
        <w:ilvl w:val="3"/>
        <w:numId w:val="3"/>
      </w:numPr>
      <w:outlineLvl w:val="3"/>
    </w:pPr>
  </w:style>
  <w:style w:type="paragraph" w:customStyle="1" w:styleId="ocNum5th5">
    <w:name w:val="oc_Num_5th 5"/>
    <w:basedOn w:val="Normal"/>
    <w:next w:val="BodyText3"/>
    <w:pPr>
      <w:numPr>
        <w:ilvl w:val="4"/>
        <w:numId w:val="3"/>
      </w:numPr>
      <w:outlineLvl w:val="4"/>
    </w:pPr>
  </w:style>
  <w:style w:type="paragraph" w:customStyle="1" w:styleId="ocNum5th6">
    <w:name w:val="oc_Num_5th 6"/>
    <w:basedOn w:val="Normal"/>
    <w:next w:val="BodyText4"/>
    <w:pPr>
      <w:numPr>
        <w:ilvl w:val="5"/>
        <w:numId w:val="3"/>
      </w:numPr>
      <w:outlineLvl w:val="5"/>
    </w:pPr>
  </w:style>
  <w:style w:type="paragraph" w:customStyle="1" w:styleId="ocNum5th7">
    <w:name w:val="oc_Num_5th 7"/>
    <w:basedOn w:val="Normal"/>
    <w:next w:val="BodyText"/>
    <w:pPr>
      <w:numPr>
        <w:ilvl w:val="6"/>
        <w:numId w:val="3"/>
      </w:numPr>
      <w:outlineLvl w:val="6"/>
    </w:pPr>
  </w:style>
  <w:style w:type="paragraph" w:customStyle="1" w:styleId="ocNum5th8">
    <w:name w:val="oc_Num_5th 8"/>
    <w:basedOn w:val="Normal"/>
    <w:next w:val="BodyText"/>
    <w:pPr>
      <w:numPr>
        <w:ilvl w:val="7"/>
        <w:numId w:val="3"/>
      </w:numPr>
      <w:outlineLvl w:val="7"/>
    </w:pPr>
  </w:style>
  <w:style w:type="paragraph" w:customStyle="1" w:styleId="ocNum5th9">
    <w:name w:val="oc_Num_5th 9"/>
    <w:basedOn w:val="Normal"/>
    <w:next w:val="BodyText"/>
    <w:pPr>
      <w:numPr>
        <w:ilvl w:val="8"/>
        <w:numId w:val="3"/>
      </w:numPr>
      <w:outlineLvl w:val="8"/>
    </w:pPr>
  </w:style>
  <w:style w:type="character" w:styleId="Hyperlink">
    <w:name w:val="Hyperlink"/>
    <w:basedOn w:val="DefaultParagraphFont"/>
    <w:rPr>
      <w:color w:val="0000FF"/>
      <w:u w:val="single"/>
    </w:rPr>
  </w:style>
  <w:style w:type="paragraph" w:customStyle="1" w:styleId="Bullet1">
    <w:name w:val="Bullet 1"/>
    <w:basedOn w:val="BodyText"/>
    <w:next w:val="BodyText"/>
    <w:pPr>
      <w:ind w:left="1360" w:hanging="680"/>
    </w:pPr>
    <w:rPr>
      <w:rFonts w:eastAsia="Times New Roman" w:cs="Times"/>
      <w:lang w:eastAsia="en-US" w:bidi="ar-SA"/>
    </w:rPr>
  </w:style>
  <w:style w:type="paragraph" w:customStyle="1" w:styleId="Bullet2">
    <w:name w:val="Bullet 2"/>
    <w:basedOn w:val="BodyText"/>
    <w:next w:val="BodyText"/>
    <w:pPr>
      <w:ind w:left="2041" w:hanging="680"/>
    </w:pPr>
    <w:rPr>
      <w:rFonts w:eastAsia="Times New Roman" w:cs="Times"/>
      <w:lang w:eastAsia="en-US" w:bidi="ar-SA"/>
    </w:rPr>
  </w:style>
  <w:style w:type="paragraph" w:customStyle="1" w:styleId="Bullet3">
    <w:name w:val="Bullet 3"/>
    <w:basedOn w:val="BodyText"/>
    <w:next w:val="BodyText"/>
    <w:pPr>
      <w:ind w:left="2041" w:hanging="680"/>
    </w:pPr>
    <w:rPr>
      <w:rFonts w:eastAsia="Times New Roman" w:cs="Times"/>
      <w:lang w:eastAsia="en-US" w:bidi="ar-SA"/>
    </w:rPr>
  </w:style>
  <w:style w:type="character" w:styleId="FollowedHyperlink">
    <w:name w:val="FollowedHyperlink"/>
    <w:basedOn w:val="DefaultParagraphFont"/>
    <w:uiPriority w:val="99"/>
    <w:unhideWhenUsed/>
    <w:rPr>
      <w:color w:val="800080"/>
      <w:u w:val="single"/>
    </w:rPr>
  </w:style>
  <w:style w:type="character" w:styleId="PlaceholderText">
    <w:name w:val="Placeholder Text"/>
    <w:basedOn w:val="DefaultParagraphFont"/>
    <w:rPr>
      <w:color w:val="808080"/>
    </w:rPr>
  </w:style>
  <w:style w:type="paragraph" w:styleId="Revision">
    <w:name w:val="Revision"/>
    <w:hidden/>
    <w:rPr>
      <w:rFonts w:cs="Times New Roman"/>
      <w:szCs w:val="24"/>
      <w:lang w:bidi="he-I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Neapdorotaspaminjimas1">
    <w:name w:val="Neapdorotas paminėjimas1"/>
    <w:basedOn w:val="DefaultParagraphFont"/>
    <w:rsid w:val="00940F31"/>
    <w:rPr>
      <w:color w:val="605E5C"/>
      <w:shd w:val="clear" w:color="auto" w:fill="E1DFDD"/>
    </w:rPr>
  </w:style>
  <w:style w:type="paragraph" w:customStyle="1" w:styleId="1LTStyle1">
    <w:name w:val="1 LT Style1"/>
    <w:basedOn w:val="ListParagraph"/>
    <w:link w:val="1LTStyle1Char"/>
    <w:qFormat/>
    <w:rsid w:val="006F0173"/>
    <w:pPr>
      <w:numPr>
        <w:numId w:val="31"/>
      </w:numPr>
      <w:spacing w:after="0"/>
    </w:pPr>
    <w:rPr>
      <w:rFonts w:ascii="Arial" w:eastAsia="Times New Roman" w:hAnsi="Arial" w:cs="Arial"/>
      <w:sz w:val="22"/>
      <w:szCs w:val="22"/>
      <w:lang w:val="lt-LT" w:eastAsia="en-US" w:bidi="ar-SA"/>
    </w:rPr>
  </w:style>
  <w:style w:type="paragraph" w:customStyle="1" w:styleId="2LTStyle1">
    <w:name w:val="2 LT Style1"/>
    <w:basedOn w:val="ListParagraph"/>
    <w:qFormat/>
    <w:rsid w:val="006F0173"/>
    <w:pPr>
      <w:numPr>
        <w:ilvl w:val="1"/>
        <w:numId w:val="31"/>
      </w:numPr>
      <w:spacing w:after="0"/>
      <w:ind w:left="792"/>
    </w:pPr>
    <w:rPr>
      <w:rFonts w:ascii="Arial" w:eastAsia="Times New Roman" w:hAnsi="Arial" w:cs="Arial"/>
      <w:sz w:val="22"/>
      <w:szCs w:val="22"/>
      <w:lang w:val="lt-LT" w:eastAsia="en-US" w:bidi="ar-SA"/>
    </w:rPr>
  </w:style>
  <w:style w:type="character" w:customStyle="1" w:styleId="1LTStyle1Char">
    <w:name w:val="1 LT Style1 Char"/>
    <w:basedOn w:val="DefaultParagraphFont"/>
    <w:link w:val="1LTStyle1"/>
    <w:rsid w:val="006F0173"/>
    <w:rPr>
      <w:rFonts w:ascii="Arial" w:eastAsia="Times New Roman" w:hAnsi="Arial" w:cs="Arial"/>
      <w:sz w:val="22"/>
      <w:szCs w:val="22"/>
      <w:lang w:val="lt-LT" w:eastAsia="en-US"/>
    </w:rPr>
  </w:style>
  <w:style w:type="paragraph" w:customStyle="1" w:styleId="3LTStyle1">
    <w:name w:val="3 LT Style1"/>
    <w:basedOn w:val="ListParagraph"/>
    <w:qFormat/>
    <w:rsid w:val="006F0173"/>
    <w:pPr>
      <w:numPr>
        <w:ilvl w:val="2"/>
        <w:numId w:val="31"/>
      </w:numPr>
      <w:spacing w:after="0"/>
    </w:pPr>
    <w:rPr>
      <w:rFonts w:ascii="Arial" w:eastAsia="Times New Roman" w:hAnsi="Arial" w:cs="Arial"/>
      <w:sz w:val="22"/>
      <w:szCs w:val="22"/>
      <w:lang w:val="lt-LT" w:eastAsia="en-US" w:bidi="ar-SA"/>
    </w:rPr>
  </w:style>
  <w:style w:type="character" w:styleId="UnresolvedMention">
    <w:name w:val="Unresolved Mention"/>
    <w:basedOn w:val="DefaultParagraphFont"/>
    <w:uiPriority w:val="99"/>
    <w:semiHidden/>
    <w:unhideWhenUsed/>
    <w:rsid w:val="0012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1111">
      <w:bodyDiv w:val="1"/>
      <w:marLeft w:val="0"/>
      <w:marRight w:val="0"/>
      <w:marTop w:val="0"/>
      <w:marBottom w:val="0"/>
      <w:divBdr>
        <w:top w:val="none" w:sz="0" w:space="0" w:color="auto"/>
        <w:left w:val="none" w:sz="0" w:space="0" w:color="auto"/>
        <w:bottom w:val="none" w:sz="0" w:space="0" w:color="auto"/>
        <w:right w:val="none" w:sz="0" w:space="0" w:color="auto"/>
      </w:divBdr>
    </w:div>
    <w:div w:id="149029528">
      <w:bodyDiv w:val="1"/>
      <w:marLeft w:val="0"/>
      <w:marRight w:val="0"/>
      <w:marTop w:val="0"/>
      <w:marBottom w:val="0"/>
      <w:divBdr>
        <w:top w:val="none" w:sz="0" w:space="0" w:color="auto"/>
        <w:left w:val="none" w:sz="0" w:space="0" w:color="auto"/>
        <w:bottom w:val="none" w:sz="0" w:space="0" w:color="auto"/>
        <w:right w:val="none" w:sz="0" w:space="0" w:color="auto"/>
      </w:divBdr>
    </w:div>
    <w:div w:id="355932678">
      <w:bodyDiv w:val="1"/>
      <w:marLeft w:val="0"/>
      <w:marRight w:val="0"/>
      <w:marTop w:val="0"/>
      <w:marBottom w:val="0"/>
      <w:divBdr>
        <w:top w:val="none" w:sz="0" w:space="0" w:color="auto"/>
        <w:left w:val="none" w:sz="0" w:space="0" w:color="auto"/>
        <w:bottom w:val="none" w:sz="0" w:space="0" w:color="auto"/>
        <w:right w:val="none" w:sz="0" w:space="0" w:color="auto"/>
      </w:divBdr>
    </w:div>
    <w:div w:id="423961963">
      <w:bodyDiv w:val="1"/>
      <w:marLeft w:val="0"/>
      <w:marRight w:val="0"/>
      <w:marTop w:val="0"/>
      <w:marBottom w:val="0"/>
      <w:divBdr>
        <w:top w:val="none" w:sz="0" w:space="0" w:color="auto"/>
        <w:left w:val="none" w:sz="0" w:space="0" w:color="auto"/>
        <w:bottom w:val="none" w:sz="0" w:space="0" w:color="auto"/>
        <w:right w:val="none" w:sz="0" w:space="0" w:color="auto"/>
      </w:divBdr>
    </w:div>
    <w:div w:id="621419120">
      <w:bodyDiv w:val="1"/>
      <w:marLeft w:val="0"/>
      <w:marRight w:val="0"/>
      <w:marTop w:val="0"/>
      <w:marBottom w:val="0"/>
      <w:divBdr>
        <w:top w:val="none" w:sz="0" w:space="0" w:color="auto"/>
        <w:left w:val="none" w:sz="0" w:space="0" w:color="auto"/>
        <w:bottom w:val="none" w:sz="0" w:space="0" w:color="auto"/>
        <w:right w:val="none" w:sz="0" w:space="0" w:color="auto"/>
      </w:divBdr>
    </w:div>
    <w:div w:id="891117231">
      <w:bodyDiv w:val="1"/>
      <w:marLeft w:val="0"/>
      <w:marRight w:val="0"/>
      <w:marTop w:val="0"/>
      <w:marBottom w:val="0"/>
      <w:divBdr>
        <w:top w:val="none" w:sz="0" w:space="0" w:color="auto"/>
        <w:left w:val="none" w:sz="0" w:space="0" w:color="auto"/>
        <w:bottom w:val="none" w:sz="0" w:space="0" w:color="auto"/>
        <w:right w:val="none" w:sz="0" w:space="0" w:color="auto"/>
      </w:divBdr>
    </w:div>
    <w:div w:id="1098133533">
      <w:bodyDiv w:val="1"/>
      <w:marLeft w:val="0"/>
      <w:marRight w:val="0"/>
      <w:marTop w:val="0"/>
      <w:marBottom w:val="0"/>
      <w:divBdr>
        <w:top w:val="none" w:sz="0" w:space="0" w:color="auto"/>
        <w:left w:val="none" w:sz="0" w:space="0" w:color="auto"/>
        <w:bottom w:val="none" w:sz="0" w:space="0" w:color="auto"/>
        <w:right w:val="none" w:sz="0" w:space="0" w:color="auto"/>
      </w:divBdr>
    </w:div>
    <w:div w:id="1197735993">
      <w:bodyDiv w:val="1"/>
      <w:marLeft w:val="0"/>
      <w:marRight w:val="0"/>
      <w:marTop w:val="0"/>
      <w:marBottom w:val="0"/>
      <w:divBdr>
        <w:top w:val="none" w:sz="0" w:space="0" w:color="auto"/>
        <w:left w:val="none" w:sz="0" w:space="0" w:color="auto"/>
        <w:bottom w:val="none" w:sz="0" w:space="0" w:color="auto"/>
        <w:right w:val="none" w:sz="0" w:space="0" w:color="auto"/>
      </w:divBdr>
    </w:div>
    <w:div w:id="1353527318">
      <w:bodyDiv w:val="1"/>
      <w:marLeft w:val="0"/>
      <w:marRight w:val="0"/>
      <w:marTop w:val="0"/>
      <w:marBottom w:val="0"/>
      <w:divBdr>
        <w:top w:val="none" w:sz="0" w:space="0" w:color="auto"/>
        <w:left w:val="none" w:sz="0" w:space="0" w:color="auto"/>
        <w:bottom w:val="none" w:sz="0" w:space="0" w:color="auto"/>
        <w:right w:val="none" w:sz="0" w:space="0" w:color="auto"/>
      </w:divBdr>
    </w:div>
    <w:div w:id="1461266013">
      <w:bodyDiv w:val="1"/>
      <w:marLeft w:val="0"/>
      <w:marRight w:val="0"/>
      <w:marTop w:val="0"/>
      <w:marBottom w:val="0"/>
      <w:divBdr>
        <w:top w:val="none" w:sz="0" w:space="0" w:color="auto"/>
        <w:left w:val="none" w:sz="0" w:space="0" w:color="auto"/>
        <w:bottom w:val="none" w:sz="0" w:space="0" w:color="auto"/>
        <w:right w:val="none" w:sz="0" w:space="0" w:color="auto"/>
      </w:divBdr>
    </w:div>
    <w:div w:id="1544368049">
      <w:bodyDiv w:val="1"/>
      <w:marLeft w:val="0"/>
      <w:marRight w:val="0"/>
      <w:marTop w:val="0"/>
      <w:marBottom w:val="0"/>
      <w:divBdr>
        <w:top w:val="none" w:sz="0" w:space="0" w:color="auto"/>
        <w:left w:val="none" w:sz="0" w:space="0" w:color="auto"/>
        <w:bottom w:val="none" w:sz="0" w:space="0" w:color="auto"/>
        <w:right w:val="none" w:sz="0" w:space="0" w:color="auto"/>
      </w:divBdr>
    </w:div>
    <w:div w:id="1656034266">
      <w:bodyDiv w:val="1"/>
      <w:marLeft w:val="0"/>
      <w:marRight w:val="0"/>
      <w:marTop w:val="0"/>
      <w:marBottom w:val="0"/>
      <w:divBdr>
        <w:top w:val="none" w:sz="0" w:space="0" w:color="auto"/>
        <w:left w:val="none" w:sz="0" w:space="0" w:color="auto"/>
        <w:bottom w:val="none" w:sz="0" w:space="0" w:color="auto"/>
        <w:right w:val="none" w:sz="0" w:space="0" w:color="auto"/>
      </w:divBdr>
    </w:div>
    <w:div w:id="1770813146">
      <w:bodyDiv w:val="1"/>
      <w:marLeft w:val="0"/>
      <w:marRight w:val="0"/>
      <w:marTop w:val="0"/>
      <w:marBottom w:val="0"/>
      <w:divBdr>
        <w:top w:val="none" w:sz="0" w:space="0" w:color="auto"/>
        <w:left w:val="none" w:sz="0" w:space="0" w:color="auto"/>
        <w:bottom w:val="none" w:sz="0" w:space="0" w:color="auto"/>
        <w:right w:val="none" w:sz="0" w:space="0" w:color="auto"/>
      </w:divBdr>
    </w:div>
    <w:div w:id="1826359309">
      <w:bodyDiv w:val="1"/>
      <w:marLeft w:val="0"/>
      <w:marRight w:val="0"/>
      <w:marTop w:val="0"/>
      <w:marBottom w:val="0"/>
      <w:divBdr>
        <w:top w:val="none" w:sz="0" w:space="0" w:color="auto"/>
        <w:left w:val="none" w:sz="0" w:space="0" w:color="auto"/>
        <w:bottom w:val="none" w:sz="0" w:space="0" w:color="auto"/>
        <w:right w:val="none" w:sz="0" w:space="0" w:color="auto"/>
      </w:divBdr>
    </w:div>
    <w:div w:id="1866945800">
      <w:bodyDiv w:val="1"/>
      <w:marLeft w:val="0"/>
      <w:marRight w:val="0"/>
      <w:marTop w:val="0"/>
      <w:marBottom w:val="0"/>
      <w:divBdr>
        <w:top w:val="none" w:sz="0" w:space="0" w:color="auto"/>
        <w:left w:val="none" w:sz="0" w:space="0" w:color="auto"/>
        <w:bottom w:val="none" w:sz="0" w:space="0" w:color="auto"/>
        <w:right w:val="none" w:sz="0" w:space="0" w:color="auto"/>
      </w:divBdr>
    </w:div>
    <w:div w:id="19885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euronext.com/" TargetMode="External"/><Relationship Id="rId13" Type="http://schemas.openxmlformats.org/officeDocument/2006/relationships/hyperlink" Target="mailto:maximagrupe@is.kro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bility.management@mufgsecurit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cm@luminor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_europe_lm@jpmorgan.com" TargetMode="External"/><Relationship Id="rId4" Type="http://schemas.openxmlformats.org/officeDocument/2006/relationships/settings" Target="settings.xml"/><Relationship Id="rId9" Type="http://schemas.openxmlformats.org/officeDocument/2006/relationships/hyperlink" Target="mailto:liabilitymanagement.europe@cit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D4A8C64D249CA92F23590D851DB86"/>
        <w:category>
          <w:name w:val="General"/>
          <w:gallery w:val="placeholder"/>
        </w:category>
        <w:types>
          <w:type w:val="bbPlcHdr"/>
        </w:types>
        <w:behaviors>
          <w:behavior w:val="content"/>
        </w:behaviors>
        <w:guid w:val="{3D50BA25-D847-4F50-AF49-C729B39EE66C}"/>
      </w:docPartPr>
      <w:docPartBody>
        <w:p w:rsidR="00A96F12" w:rsidRDefault="00A96F12"/>
      </w:docPartBody>
    </w:docPart>
    <w:docPart>
      <w:docPartPr>
        <w:name w:val="D6167F44846D460E950614D429F8F7CA"/>
        <w:category>
          <w:name w:val="General"/>
          <w:gallery w:val="placeholder"/>
        </w:category>
        <w:types>
          <w:type w:val="bbPlcHdr"/>
        </w:types>
        <w:behaviors>
          <w:behavior w:val="content"/>
        </w:behaviors>
        <w:guid w:val="{1AB3F3D1-CDFC-4E27-82EF-56EFC55AB877}"/>
      </w:docPartPr>
      <w:docPartBody>
        <w:p w:rsidR="00A96F12" w:rsidRDefault="00A96F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F565DF"/>
    <w:rsid w:val="000234C4"/>
    <w:rsid w:val="00033724"/>
    <w:rsid w:val="00040EC5"/>
    <w:rsid w:val="000A3EEC"/>
    <w:rsid w:val="00226DE2"/>
    <w:rsid w:val="0035085B"/>
    <w:rsid w:val="0036760D"/>
    <w:rsid w:val="003F2210"/>
    <w:rsid w:val="00494E8A"/>
    <w:rsid w:val="004A3A14"/>
    <w:rsid w:val="004C1813"/>
    <w:rsid w:val="0055375D"/>
    <w:rsid w:val="005662A7"/>
    <w:rsid w:val="006C08D4"/>
    <w:rsid w:val="00711326"/>
    <w:rsid w:val="008D157B"/>
    <w:rsid w:val="00A03090"/>
    <w:rsid w:val="00A0459E"/>
    <w:rsid w:val="00A96F12"/>
    <w:rsid w:val="00AF2661"/>
    <w:rsid w:val="00B310E2"/>
    <w:rsid w:val="00BB20E5"/>
    <w:rsid w:val="00C12E89"/>
    <w:rsid w:val="00C43235"/>
    <w:rsid w:val="00D72917"/>
    <w:rsid w:val="00D929F4"/>
    <w:rsid w:val="00DD242C"/>
    <w:rsid w:val="00E149C9"/>
    <w:rsid w:val="00F225D3"/>
    <w:rsid w:val="00F560D7"/>
    <w:rsid w:val="00F565DF"/>
    <w:rsid w:val="00FC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76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TotalTime>
  <Pages>9</Pages>
  <Words>4237</Words>
  <Characters>30913</Characters>
  <Application>Microsoft Office Word</Application>
  <DocSecurity>0</DocSecurity>
  <Lines>257</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Juras Barauskas</dc:creator>
  <cp:lastModifiedBy>Laimonas Bazys</cp:lastModifiedBy>
  <cp:revision>3</cp:revision>
  <dcterms:created xsi:type="dcterms:W3CDTF">2022-06-27T08:41:00Z</dcterms:created>
  <dcterms:modified xsi:type="dcterms:W3CDTF">2022-06-27T08:56:00Z</dcterms:modified>
</cp:coreProperties>
</file>