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AB9D" w14:textId="6871F6A1" w:rsidR="0044066D" w:rsidRPr="00644921" w:rsidRDefault="00E140F5" w:rsidP="00E140F5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t>Akciju sabiedrības</w:t>
      </w:r>
    </w:p>
    <w:p w14:paraId="770F6A9B" w14:textId="255EE3B3" w:rsidR="00E140F5" w:rsidRPr="00644921" w:rsidRDefault="00E140F5" w:rsidP="00E140F5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t>“OLAINFARM”</w:t>
      </w:r>
    </w:p>
    <w:p w14:paraId="44521601" w14:textId="799B32D8" w:rsidR="00E140F5" w:rsidRPr="00644921" w:rsidRDefault="00E140F5" w:rsidP="00E140F5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t>STATŪTI</w:t>
      </w:r>
    </w:p>
    <w:p w14:paraId="51FA92DC" w14:textId="5A9E1459" w:rsidR="00E140F5" w:rsidRPr="00644921" w:rsidRDefault="00E140F5" w:rsidP="00E140F5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(jaunā redakcija)</w:t>
      </w:r>
    </w:p>
    <w:p w14:paraId="7D7F8BEB" w14:textId="01513E05" w:rsidR="00E140F5" w:rsidRPr="00644921" w:rsidRDefault="00E140F5" w:rsidP="00E140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t xml:space="preserve">Firma </w:t>
      </w:r>
    </w:p>
    <w:p w14:paraId="24C4F626" w14:textId="0DCB708C" w:rsidR="00E140F5" w:rsidRPr="00644921" w:rsidRDefault="00E140F5" w:rsidP="00E140F5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Sabiedrības firma ir akciju sabiedrība “Olainfarm”, turpmāk tekstā “Sabiedrība”</w:t>
      </w:r>
      <w:r w:rsidR="0010546F" w:rsidRPr="00644921">
        <w:rPr>
          <w:rFonts w:ascii="Arial" w:hAnsi="Arial" w:cs="Arial"/>
          <w:sz w:val="24"/>
          <w:szCs w:val="24"/>
          <w:lang w:val="lv-LV"/>
        </w:rPr>
        <w:t>.</w:t>
      </w:r>
    </w:p>
    <w:p w14:paraId="50A9751D" w14:textId="77777777" w:rsidR="0010546F" w:rsidRPr="00644921" w:rsidRDefault="0010546F" w:rsidP="00E140F5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271595F0" w14:textId="44C5C255" w:rsidR="00E140F5" w:rsidRPr="00644921" w:rsidRDefault="00E140F5" w:rsidP="00E140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t>Sabiedrības galvenie komercdarbības veidi:</w:t>
      </w:r>
    </w:p>
    <w:p w14:paraId="4BACD958" w14:textId="332242F3" w:rsidR="00E140F5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f</w:t>
      </w:r>
      <w:r w:rsidR="00E140F5" w:rsidRPr="00644921">
        <w:rPr>
          <w:rFonts w:ascii="Arial" w:hAnsi="Arial" w:cs="Arial"/>
          <w:sz w:val="24"/>
          <w:szCs w:val="24"/>
          <w:lang w:val="lv-LV"/>
        </w:rPr>
        <w:t>armaceitisko pamatvielu ražošana (21.10);</w:t>
      </w:r>
    </w:p>
    <w:p w14:paraId="750FE87F" w14:textId="7B1EF186" w:rsidR="00E140F5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f</w:t>
      </w:r>
      <w:r w:rsidR="00E140F5" w:rsidRPr="00644921">
        <w:rPr>
          <w:rFonts w:ascii="Arial" w:hAnsi="Arial" w:cs="Arial"/>
          <w:sz w:val="24"/>
          <w:szCs w:val="24"/>
          <w:lang w:val="lv-LV"/>
        </w:rPr>
        <w:t>armaceitisko preparātu ražošana (21.20);</w:t>
      </w:r>
    </w:p>
    <w:p w14:paraId="496A3474" w14:textId="303B1A18" w:rsidR="00E140F5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p</w:t>
      </w:r>
      <w:r w:rsidR="00E140F5" w:rsidRPr="00644921">
        <w:rPr>
          <w:rFonts w:ascii="Arial" w:hAnsi="Arial" w:cs="Arial"/>
          <w:sz w:val="24"/>
          <w:szCs w:val="24"/>
          <w:lang w:val="lv-LV"/>
        </w:rPr>
        <w:t>ārējo neorganisko ķīmisko pamatvielu ražošana (20.13);</w:t>
      </w:r>
    </w:p>
    <w:p w14:paraId="6C39B224" w14:textId="47F19000" w:rsidR="00E140F5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pārējo organisko ķīmisko pamatvielu ražošana (20.14);</w:t>
      </w:r>
    </w:p>
    <w:p w14:paraId="0E02D491" w14:textId="1AEB3013" w:rsidR="00B6518C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minerālmēslu un slāpekļa savienojumu ražošana (20.15);</w:t>
      </w:r>
    </w:p>
    <w:p w14:paraId="16499CB7" w14:textId="53FDE2C5" w:rsidR="00B6518C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pesticīdu un citu agroķīmisko preparātu ražošana (20.20);</w:t>
      </w:r>
    </w:p>
    <w:p w14:paraId="486FA958" w14:textId="46F5F7FC" w:rsidR="00B6518C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citur neklasificētu ķīmisko vielu ražošana (20.59);</w:t>
      </w:r>
    </w:p>
    <w:p w14:paraId="011EC152" w14:textId="158633D0" w:rsidR="00B6518C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farmaceitisko izstrādājumu vairumtirdzniecība (46.46);</w:t>
      </w:r>
    </w:p>
    <w:p w14:paraId="0EC25C0F" w14:textId="08676DE8" w:rsidR="00B6518C" w:rsidRPr="00644921" w:rsidRDefault="00B6518C" w:rsidP="00E14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ķīmisko vielu vairumtirdzniecība (46.75);</w:t>
      </w:r>
    </w:p>
    <w:p w14:paraId="56DF9FF5" w14:textId="4E7AB740" w:rsidR="00B6518C" w:rsidRPr="00644921" w:rsidRDefault="00B6518C" w:rsidP="00B65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ūdens ieguve, attīrīšana un apgāde (36.00);</w:t>
      </w:r>
    </w:p>
    <w:p w14:paraId="2E1A6828" w14:textId="0AB3B188" w:rsidR="00B6518C" w:rsidRPr="00644921" w:rsidRDefault="00B6518C" w:rsidP="00B65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notekūdeņu savākšana un attīrīšana (37.00);</w:t>
      </w:r>
    </w:p>
    <w:p w14:paraId="7BA41BF7" w14:textId="7CA0A748" w:rsidR="00B6518C" w:rsidRPr="00644921" w:rsidRDefault="00B6518C" w:rsidP="00B65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kravu pārvadājumi pa autoceļiem (49.41);</w:t>
      </w:r>
    </w:p>
    <w:p w14:paraId="70492714" w14:textId="09377B73" w:rsidR="00B6518C" w:rsidRPr="00644921" w:rsidRDefault="00B6518C" w:rsidP="00B65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citur neklasificēts pasažieru sauszemes transports (49.39);</w:t>
      </w:r>
    </w:p>
    <w:p w14:paraId="2DE47BB6" w14:textId="6066F769" w:rsidR="00B6518C" w:rsidRPr="00644921" w:rsidRDefault="00B6518C" w:rsidP="00B65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sava un nomātā nekustamā īpašuma izīrēšana un pārvaldīšana (68.20);</w:t>
      </w:r>
    </w:p>
    <w:p w14:paraId="31BEC8D0" w14:textId="31E579B6" w:rsidR="00B6518C" w:rsidRPr="00644921" w:rsidRDefault="00B6518C" w:rsidP="00B65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cita veida ēdināšanas pakalpojumi (56.29);</w:t>
      </w:r>
    </w:p>
    <w:p w14:paraId="717DD7EF" w14:textId="48959291" w:rsidR="00B6518C" w:rsidRPr="00644921" w:rsidRDefault="00B6518C" w:rsidP="00B65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citur neklasificēti profesionālie, zinātniskie un tehniskie pakalpojumi (74.90);</w:t>
      </w:r>
    </w:p>
    <w:p w14:paraId="42506061" w14:textId="0FFEB39A" w:rsidR="00B6518C" w:rsidRPr="00644921" w:rsidRDefault="00B6518C" w:rsidP="00B65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uzglabāšana un noliktavu saimniecība (52.10).</w:t>
      </w:r>
    </w:p>
    <w:p w14:paraId="393CDB29" w14:textId="77777777" w:rsidR="0010546F" w:rsidRPr="00644921" w:rsidRDefault="0010546F" w:rsidP="0010546F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lv-LV"/>
        </w:rPr>
      </w:pPr>
    </w:p>
    <w:p w14:paraId="382DB462" w14:textId="609F7F52" w:rsidR="00B6518C" w:rsidRPr="00644921" w:rsidRDefault="00B6518C" w:rsidP="00B651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t>Sabiedrības pamatkapitāls</w:t>
      </w:r>
    </w:p>
    <w:p w14:paraId="4B3AF1D3" w14:textId="73872AB1" w:rsidR="00B6518C" w:rsidRPr="00644921" w:rsidRDefault="00B6518C" w:rsidP="00B6518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 xml:space="preserve">Sabiedrības pamatkapitāls ir 19 719 109.20 (deviņpadsmit miljoni septiņi simti deviņpadsmit tūkstoši viens simts deviņi </w:t>
      </w:r>
      <w:r w:rsidRPr="00644921">
        <w:rPr>
          <w:rFonts w:ascii="Arial" w:hAnsi="Arial" w:cs="Arial"/>
          <w:i/>
          <w:iCs/>
          <w:sz w:val="24"/>
          <w:szCs w:val="24"/>
          <w:lang w:val="lv-LV"/>
        </w:rPr>
        <w:t>euro</w:t>
      </w:r>
      <w:r w:rsidRPr="00644921">
        <w:rPr>
          <w:rFonts w:ascii="Arial" w:hAnsi="Arial" w:cs="Arial"/>
          <w:sz w:val="24"/>
          <w:szCs w:val="24"/>
          <w:lang w:val="lv-LV"/>
        </w:rPr>
        <w:t xml:space="preserve"> un 20 </w:t>
      </w:r>
      <w:r w:rsidRPr="00644921">
        <w:rPr>
          <w:rFonts w:ascii="Arial" w:hAnsi="Arial" w:cs="Arial"/>
          <w:i/>
          <w:iCs/>
          <w:sz w:val="24"/>
          <w:szCs w:val="24"/>
          <w:lang w:val="lv-LV"/>
        </w:rPr>
        <w:t>euro</w:t>
      </w:r>
      <w:r w:rsidRPr="00644921">
        <w:rPr>
          <w:rFonts w:ascii="Arial" w:hAnsi="Arial" w:cs="Arial"/>
          <w:sz w:val="24"/>
          <w:szCs w:val="24"/>
          <w:lang w:val="lv-LV"/>
        </w:rPr>
        <w:t xml:space="preserve"> centi). Sabiedrības pamatkapitāls sastāv no 14 085 078 (četrpadsmit miljoni astoņdesmit pieci </w:t>
      </w:r>
      <w:r w:rsidR="0067031B" w:rsidRPr="00644921">
        <w:rPr>
          <w:rFonts w:ascii="Arial" w:hAnsi="Arial" w:cs="Arial"/>
          <w:sz w:val="24"/>
          <w:szCs w:val="24"/>
          <w:lang w:val="lv-LV"/>
        </w:rPr>
        <w:t xml:space="preserve">tūkstoši septiņdesmit astoņi) akcijām. Vienas akcijas nominālvērtība ir EUR 1.40 (viens </w:t>
      </w:r>
      <w:r w:rsidR="0067031B" w:rsidRPr="00644921">
        <w:rPr>
          <w:rFonts w:ascii="Arial" w:hAnsi="Arial" w:cs="Arial"/>
          <w:i/>
          <w:iCs/>
          <w:sz w:val="24"/>
          <w:szCs w:val="24"/>
          <w:lang w:val="lv-LV"/>
        </w:rPr>
        <w:t>euro</w:t>
      </w:r>
      <w:r w:rsidR="0067031B" w:rsidRPr="00644921">
        <w:rPr>
          <w:rFonts w:ascii="Arial" w:hAnsi="Arial" w:cs="Arial"/>
          <w:sz w:val="24"/>
          <w:szCs w:val="24"/>
          <w:lang w:val="lv-LV"/>
        </w:rPr>
        <w:t xml:space="preserve"> 40 </w:t>
      </w:r>
      <w:r w:rsidR="0067031B" w:rsidRPr="00644921">
        <w:rPr>
          <w:rFonts w:ascii="Arial" w:hAnsi="Arial" w:cs="Arial"/>
          <w:i/>
          <w:iCs/>
          <w:sz w:val="24"/>
          <w:szCs w:val="24"/>
          <w:lang w:val="lv-LV"/>
        </w:rPr>
        <w:t xml:space="preserve">euro </w:t>
      </w:r>
      <w:r w:rsidR="0067031B" w:rsidRPr="00644921">
        <w:rPr>
          <w:rFonts w:ascii="Arial" w:hAnsi="Arial" w:cs="Arial"/>
          <w:sz w:val="24"/>
          <w:szCs w:val="24"/>
          <w:lang w:val="lv-LV"/>
        </w:rPr>
        <w:t>centi).</w:t>
      </w:r>
    </w:p>
    <w:p w14:paraId="237DBB78" w14:textId="73A72E76" w:rsidR="0067031B" w:rsidRPr="00644921" w:rsidRDefault="0067031B" w:rsidP="00B6518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Visas Sabiedrības akcijas ir uzrādītāja akcijas un tās atrodas publiskajā apgrozībā.</w:t>
      </w:r>
    </w:p>
    <w:p w14:paraId="6FAE64B1" w14:textId="08D3623D" w:rsidR="0067031B" w:rsidRPr="00644921" w:rsidRDefault="0067031B" w:rsidP="00B6518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Visas akcijas dod vienādas tiesības uz dividendes saņemšanu, likvidācijas kvotas saņemšanu un balsstiesības akcionāru sapulcē.</w:t>
      </w:r>
    </w:p>
    <w:p w14:paraId="306C62F4" w14:textId="2491BE53" w:rsidR="0067031B" w:rsidRDefault="0067031B" w:rsidP="00B6518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Visas akcijas ir dematerializētas.</w:t>
      </w:r>
    </w:p>
    <w:p w14:paraId="063F2A3B" w14:textId="77777777" w:rsidR="00644921" w:rsidRPr="00644921" w:rsidRDefault="00644921" w:rsidP="00644921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</w:p>
    <w:p w14:paraId="044EAD16" w14:textId="77777777" w:rsidR="0010546F" w:rsidRPr="00644921" w:rsidRDefault="0010546F" w:rsidP="0010546F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1685408A" w14:textId="78DAD7A2" w:rsidR="0067031B" w:rsidRPr="00644921" w:rsidRDefault="0067031B" w:rsidP="006703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lastRenderedPageBreak/>
        <w:t xml:space="preserve">Valde </w:t>
      </w:r>
    </w:p>
    <w:p w14:paraId="7E8F6652" w14:textId="69BE49DC" w:rsidR="0067031B" w:rsidRPr="00644921" w:rsidRDefault="0067031B" w:rsidP="0067031B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 xml:space="preserve">Sabiedrības Valde sastāv no </w:t>
      </w:r>
      <w:r w:rsidR="00060250">
        <w:rPr>
          <w:rFonts w:ascii="Arial" w:hAnsi="Arial" w:cs="Arial"/>
          <w:sz w:val="24"/>
          <w:szCs w:val="24"/>
          <w:lang w:val="lv-LV"/>
        </w:rPr>
        <w:t xml:space="preserve">pieciem </w:t>
      </w:r>
      <w:r w:rsidRPr="00644921">
        <w:rPr>
          <w:rFonts w:ascii="Arial" w:hAnsi="Arial" w:cs="Arial"/>
          <w:sz w:val="24"/>
          <w:szCs w:val="24"/>
          <w:lang w:val="lv-LV"/>
        </w:rPr>
        <w:t>valdes locekļiem. Valdes locekļus ievēlē Padome. Padome no Valdes locekļu vidus ieceļ Valdes priekšsēdētaju. Valdes priekšsēdētājam ir tiesības pārstāvēt Sabiedrību atsevišķi</w:t>
      </w:r>
      <w:r w:rsidR="00060250">
        <w:rPr>
          <w:rFonts w:ascii="Arial" w:hAnsi="Arial" w:cs="Arial"/>
          <w:sz w:val="24"/>
          <w:szCs w:val="24"/>
          <w:lang w:val="lv-LV"/>
        </w:rPr>
        <w:t>,</w:t>
      </w:r>
      <w:r w:rsidRPr="00644921">
        <w:rPr>
          <w:rFonts w:ascii="Arial" w:hAnsi="Arial" w:cs="Arial"/>
          <w:sz w:val="24"/>
          <w:szCs w:val="24"/>
          <w:lang w:val="lv-LV"/>
        </w:rPr>
        <w:t xml:space="preserve"> </w:t>
      </w:r>
      <w:r w:rsidR="00060250">
        <w:rPr>
          <w:rFonts w:ascii="Arial" w:hAnsi="Arial" w:cs="Arial"/>
          <w:sz w:val="24"/>
          <w:szCs w:val="24"/>
          <w:lang w:val="lv-LV"/>
        </w:rPr>
        <w:t>pārējie valdes locek</w:t>
      </w:r>
      <w:r w:rsidR="001B1674">
        <w:rPr>
          <w:rFonts w:ascii="Arial" w:hAnsi="Arial" w:cs="Arial"/>
          <w:sz w:val="24"/>
          <w:szCs w:val="24"/>
          <w:lang w:val="lv-LV"/>
        </w:rPr>
        <w:t>ļi</w:t>
      </w:r>
      <w:r w:rsidR="00060250">
        <w:rPr>
          <w:rFonts w:ascii="Arial" w:hAnsi="Arial" w:cs="Arial"/>
          <w:sz w:val="24"/>
          <w:szCs w:val="24"/>
          <w:lang w:val="lv-LV"/>
        </w:rPr>
        <w:t xml:space="preserve"> k</w:t>
      </w:r>
      <w:r w:rsidR="001B1674">
        <w:rPr>
          <w:rFonts w:ascii="Arial" w:hAnsi="Arial" w:cs="Arial"/>
          <w:sz w:val="24"/>
          <w:szCs w:val="24"/>
          <w:lang w:val="lv-LV"/>
        </w:rPr>
        <w:t>a</w:t>
      </w:r>
      <w:r w:rsidR="00060250">
        <w:rPr>
          <w:rFonts w:ascii="Arial" w:hAnsi="Arial" w:cs="Arial"/>
          <w:sz w:val="24"/>
          <w:szCs w:val="24"/>
          <w:lang w:val="lv-LV"/>
        </w:rPr>
        <w:t>trs ir tiesīgs pārstāvēt Sabiedrību kopā ar vismaz 1 (vienu) valdes locekli</w:t>
      </w:r>
      <w:r w:rsidRPr="00644921">
        <w:rPr>
          <w:rFonts w:ascii="Arial" w:hAnsi="Arial" w:cs="Arial"/>
          <w:sz w:val="24"/>
          <w:szCs w:val="24"/>
          <w:lang w:val="lv-LV"/>
        </w:rPr>
        <w:t>.</w:t>
      </w:r>
    </w:p>
    <w:p w14:paraId="5C582D78" w14:textId="77777777" w:rsidR="0010546F" w:rsidRPr="00644921" w:rsidRDefault="0010546F" w:rsidP="0067031B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</w:p>
    <w:p w14:paraId="037D2A59" w14:textId="142086C2" w:rsidR="0067031B" w:rsidRPr="00644921" w:rsidRDefault="0067031B" w:rsidP="006703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t>Padome</w:t>
      </w:r>
    </w:p>
    <w:p w14:paraId="3EDE7500" w14:textId="44246BF7" w:rsidR="0067031B" w:rsidRPr="00644921" w:rsidRDefault="0067031B" w:rsidP="0067031B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 xml:space="preserve">Sabiedrības Padome sastāv no </w:t>
      </w:r>
      <w:r w:rsidR="0061558F">
        <w:rPr>
          <w:rFonts w:ascii="Arial" w:hAnsi="Arial" w:cs="Arial"/>
          <w:sz w:val="24"/>
          <w:szCs w:val="24"/>
          <w:lang w:val="lv-LV"/>
        </w:rPr>
        <w:t>pieciem</w:t>
      </w:r>
      <w:r w:rsidR="0061558F" w:rsidRPr="00644921">
        <w:rPr>
          <w:rFonts w:ascii="Arial" w:hAnsi="Arial" w:cs="Arial"/>
          <w:sz w:val="24"/>
          <w:szCs w:val="24"/>
          <w:lang w:val="lv-LV"/>
        </w:rPr>
        <w:t xml:space="preserve"> </w:t>
      </w:r>
      <w:r w:rsidRPr="00644921">
        <w:rPr>
          <w:rFonts w:ascii="Arial" w:hAnsi="Arial" w:cs="Arial"/>
          <w:sz w:val="24"/>
          <w:szCs w:val="24"/>
          <w:lang w:val="lv-LV"/>
        </w:rPr>
        <w:t>padomes locekļiem.</w:t>
      </w:r>
    </w:p>
    <w:p w14:paraId="37AADB41" w14:textId="77777777" w:rsidR="0010546F" w:rsidRPr="00644921" w:rsidRDefault="0010546F" w:rsidP="0067031B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</w:p>
    <w:p w14:paraId="5338AEA7" w14:textId="1748875F" w:rsidR="0067031B" w:rsidRPr="00644921" w:rsidRDefault="0067031B" w:rsidP="006703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644921">
        <w:rPr>
          <w:rFonts w:ascii="Arial" w:hAnsi="Arial" w:cs="Arial"/>
          <w:b/>
          <w:bCs/>
          <w:sz w:val="24"/>
          <w:szCs w:val="24"/>
          <w:lang w:val="lv-LV"/>
        </w:rPr>
        <w:t>Citi noteikumi</w:t>
      </w:r>
    </w:p>
    <w:p w14:paraId="547E034E" w14:textId="4482CC6F" w:rsidR="0067031B" w:rsidRPr="00644921" w:rsidRDefault="0067031B" w:rsidP="0067031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Sabiedrībai veicot akciju emisijas, pamatkapitāla palielināšanas noteikumos var paredzēt, ka akciju pilnas cenas neapmaksāšanas gadījumā akcionāram paliek akciju skaits, kas ir proporcionāls viņa samaksātajai summai.</w:t>
      </w:r>
    </w:p>
    <w:p w14:paraId="68E99730" w14:textId="722E6941" w:rsidR="0067031B" w:rsidRDefault="0067031B" w:rsidP="0067031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>Revīzijas komiteja sastāv no trim revīzijas komitejas locekļiem. Revīzijas komitejas locekļi tiek ievēlēti akcionāru sapulcē uz 2 (diviem) gadiem.</w:t>
      </w:r>
    </w:p>
    <w:p w14:paraId="7988D46D" w14:textId="5FE89EF1" w:rsidR="00060250" w:rsidRPr="00644921" w:rsidRDefault="00060250" w:rsidP="0067031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Akcionāru sapulce ir tiesīga pieņemt lēmumu, ja tajā pārstāvēti vairāk kā 50% (piecdesmit procenti) no apmaksātā un balsstiesīgā pamatkapitāla.</w:t>
      </w:r>
    </w:p>
    <w:p w14:paraId="69E28A7D" w14:textId="444EC3EA" w:rsidR="0067031B" w:rsidRDefault="0067031B" w:rsidP="0067031B">
      <w:pPr>
        <w:jc w:val="both"/>
        <w:rPr>
          <w:rFonts w:ascii="Arial" w:hAnsi="Arial" w:cs="Arial"/>
          <w:sz w:val="24"/>
          <w:szCs w:val="24"/>
          <w:lang w:val="lv-LV"/>
        </w:rPr>
      </w:pPr>
      <w:r w:rsidRPr="00644921">
        <w:rPr>
          <w:rFonts w:ascii="Arial" w:hAnsi="Arial" w:cs="Arial"/>
          <w:sz w:val="24"/>
          <w:szCs w:val="24"/>
          <w:lang w:val="lv-LV"/>
        </w:rPr>
        <w:t xml:space="preserve">Olainē, 2021. gada </w:t>
      </w:r>
      <w:r w:rsidR="00060250">
        <w:rPr>
          <w:rFonts w:ascii="Arial" w:hAnsi="Arial" w:cs="Arial"/>
          <w:sz w:val="24"/>
          <w:szCs w:val="24"/>
          <w:lang w:val="lv-LV"/>
        </w:rPr>
        <w:t>14. oktobrī</w:t>
      </w:r>
    </w:p>
    <w:p w14:paraId="2A271D82" w14:textId="4812F3A1" w:rsidR="00060250" w:rsidRPr="00644921" w:rsidRDefault="00060250" w:rsidP="0067031B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192E6E6B" w14:textId="254EC4C8" w:rsidR="0067031B" w:rsidRPr="00644921" w:rsidRDefault="0067031B" w:rsidP="0067031B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59DFF230" w14:textId="77777777" w:rsidR="0067031B" w:rsidRPr="00644921" w:rsidRDefault="0067031B" w:rsidP="0067031B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18055751" w14:textId="5B2028AC" w:rsidR="0067031B" w:rsidRPr="00644921" w:rsidRDefault="0067031B" w:rsidP="0067031B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</w:p>
    <w:p w14:paraId="1B30F9E0" w14:textId="77777777" w:rsidR="00E140F5" w:rsidRPr="00644921" w:rsidRDefault="00E140F5" w:rsidP="00E140F5">
      <w:pPr>
        <w:jc w:val="center"/>
        <w:rPr>
          <w:rFonts w:ascii="Arial" w:hAnsi="Arial" w:cs="Arial"/>
          <w:sz w:val="24"/>
          <w:szCs w:val="24"/>
          <w:lang w:val="lv-LV"/>
        </w:rPr>
      </w:pPr>
    </w:p>
    <w:sectPr w:rsidR="00E140F5" w:rsidRPr="006449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338"/>
    <w:multiLevelType w:val="hybridMultilevel"/>
    <w:tmpl w:val="CF243A64"/>
    <w:lvl w:ilvl="0" w:tplc="3168DC7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A658D"/>
    <w:multiLevelType w:val="multilevel"/>
    <w:tmpl w:val="41AA7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F5"/>
    <w:rsid w:val="00060250"/>
    <w:rsid w:val="0010546F"/>
    <w:rsid w:val="001B1674"/>
    <w:rsid w:val="0044066D"/>
    <w:rsid w:val="00547D46"/>
    <w:rsid w:val="0061558F"/>
    <w:rsid w:val="00644921"/>
    <w:rsid w:val="0067031B"/>
    <w:rsid w:val="007D51DE"/>
    <w:rsid w:val="00B6518C"/>
    <w:rsid w:val="00E140F5"/>
    <w:rsid w:val="00E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BC04"/>
  <w15:chartTrackingRefBased/>
  <w15:docId w15:val="{73C484E1-8497-4B91-A55E-573D2280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DD20D6A2A16BA4BA1CE5151AAE39F0B" ma:contentTypeVersion="4" ma:contentTypeDescription="Izveidot jaunu dokumentu." ma:contentTypeScope="" ma:versionID="5331fbbb95423eb8ded98b01371b71f5">
  <xsd:schema xmlns:xsd="http://www.w3.org/2001/XMLSchema" xmlns:xs="http://www.w3.org/2001/XMLSchema" xmlns:p="http://schemas.microsoft.com/office/2006/metadata/properties" xmlns:ns3="ee668370-3986-449b-90d8-201e961be47e" targetNamespace="http://schemas.microsoft.com/office/2006/metadata/properties" ma:root="true" ma:fieldsID="84f02431d0af0b815f301a2cd28c8a35" ns3:_="">
    <xsd:import namespace="ee668370-3986-449b-90d8-201e961be4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68370-3986-449b-90d8-201e961b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A60A6-C2EA-4AB4-B9AF-99C858FC0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68370-3986-449b-90d8-201e961b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566AA-BF52-43FD-BD25-96D9A901C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81386-7178-441D-BF00-1AE9157BD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Kijoneka | OlainFarm LV</dc:creator>
  <cp:keywords/>
  <dc:description/>
  <cp:revision>2</cp:revision>
  <dcterms:created xsi:type="dcterms:W3CDTF">2021-09-29T14:33:00Z</dcterms:created>
  <dcterms:modified xsi:type="dcterms:W3CDTF">2021-09-29T14:33:00Z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0x010100DDD20D6A2A16BA4BA1CE5151AAE39F0B</vt:lpwstr>
  </property>
</Properties>
</file>