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56F4" w14:textId="62891CD1" w:rsidR="000472FC" w:rsidRPr="00F93D06" w:rsidRDefault="00F93D06" w:rsidP="00B026D8">
      <w:pPr>
        <w:pStyle w:val="NoSpacing"/>
        <w:spacing w:after="240"/>
        <w:jc w:val="center"/>
        <w:rPr>
          <w:rFonts w:ascii="Times New Roman Bold" w:hAnsi="Times New Roman Bold"/>
          <w:b/>
          <w:caps/>
          <w:lang w:val="fr-BE"/>
        </w:rPr>
      </w:pPr>
      <w:r w:rsidRPr="00F93D06">
        <w:rPr>
          <w:rFonts w:ascii="Times New Roman Bold" w:hAnsi="Times New Roman Bold"/>
          <w:b/>
          <w:caps/>
          <w:lang w:val="fr-BE"/>
        </w:rPr>
        <w:t>Politique de Rémunération</w:t>
      </w:r>
      <w:r w:rsidR="004176F2">
        <w:rPr>
          <w:rStyle w:val="FootnoteReference"/>
          <w:rFonts w:ascii="Times New Roman Bold" w:hAnsi="Times New Roman Bold"/>
          <w:b/>
          <w:caps/>
          <w:lang w:val="fr-BE"/>
        </w:rPr>
        <w:footnoteReference w:id="1"/>
      </w:r>
      <w:r w:rsidRPr="00F93D06">
        <w:rPr>
          <w:rFonts w:ascii="Times New Roman Bold" w:hAnsi="Times New Roman Bold"/>
          <w:b/>
          <w:caps/>
          <w:lang w:val="fr-BE"/>
        </w:rPr>
        <w:t xml:space="preserve"> soumise à l’approbation de</w:t>
      </w:r>
    </w:p>
    <w:p w14:paraId="42D07BD7" w14:textId="6A1BBA91" w:rsidR="00B34732" w:rsidRPr="00F93D06" w:rsidRDefault="00F93D06" w:rsidP="00B026D8">
      <w:pPr>
        <w:pStyle w:val="NoSpacing"/>
        <w:spacing w:after="240"/>
        <w:jc w:val="center"/>
        <w:rPr>
          <w:rFonts w:ascii="Times New Roman Bold" w:hAnsi="Times New Roman Bold"/>
          <w:b/>
          <w:caps/>
          <w:lang w:val="fr-BE"/>
        </w:rPr>
      </w:pPr>
      <w:r w:rsidRPr="00F93D06">
        <w:rPr>
          <w:rFonts w:ascii="Times New Roman Bold" w:hAnsi="Times New Roman Bold"/>
          <w:b/>
          <w:caps/>
          <w:lang w:val="fr-BE"/>
        </w:rPr>
        <w:t>l’assemblée générale ordinaire du 09 j</w:t>
      </w:r>
      <w:r>
        <w:rPr>
          <w:rFonts w:ascii="Times New Roman Bold" w:hAnsi="Times New Roman Bold"/>
          <w:b/>
          <w:caps/>
          <w:lang w:val="fr-BE"/>
        </w:rPr>
        <w:t>uin 2021</w:t>
      </w:r>
    </w:p>
    <w:p w14:paraId="0305823E" w14:textId="77777777" w:rsidR="00E9073C" w:rsidRPr="00F93D06" w:rsidRDefault="00E9073C" w:rsidP="001E356F">
      <w:pPr>
        <w:pStyle w:val="NoSpacing"/>
        <w:rPr>
          <w:lang w:val="fr-BE"/>
        </w:rPr>
      </w:pPr>
    </w:p>
    <w:p w14:paraId="76FB03CE" w14:textId="159AECBF" w:rsidR="00927B4D" w:rsidRPr="003F6070" w:rsidRDefault="00927B4D" w:rsidP="00927B4D">
      <w:pPr>
        <w:rPr>
          <w:rFonts w:ascii="Times New Roman Bold" w:hAnsi="Times New Roman Bold"/>
          <w:b/>
          <w:bCs/>
          <w:smallCaps/>
          <w:color w:val="69BE28"/>
        </w:rPr>
      </w:pPr>
      <w:r w:rsidRPr="003F6070">
        <w:rPr>
          <w:rFonts w:ascii="Times New Roman Bold" w:hAnsi="Times New Roman Bold"/>
          <w:b/>
          <w:bCs/>
          <w:smallCaps/>
          <w:color w:val="69BE28"/>
        </w:rPr>
        <w:t>Introduction</w:t>
      </w:r>
    </w:p>
    <w:p w14:paraId="7FA22E38" w14:textId="4EAD871F" w:rsidR="00927B4D" w:rsidRPr="00CB5611" w:rsidRDefault="00CB5611" w:rsidP="00CB5611">
      <w:pPr>
        <w:rPr>
          <w:lang w:val="fr-BE"/>
        </w:rPr>
      </w:pPr>
      <w:r w:rsidRPr="00CB5611">
        <w:rPr>
          <w:lang w:val="fr-BE"/>
        </w:rPr>
        <w:t>Lors de l'établissement de la politique de</w:t>
      </w:r>
      <w:r w:rsidRPr="00CB5611">
        <w:rPr>
          <w:lang w:val="fr-BE"/>
        </w:rPr>
        <w:t xml:space="preserve"> </w:t>
      </w:r>
      <w:r w:rsidRPr="00CB5611">
        <w:rPr>
          <w:lang w:val="fr-BE"/>
        </w:rPr>
        <w:t>rémunération, le Conseil d'administration a pris en</w:t>
      </w:r>
      <w:r>
        <w:rPr>
          <w:lang w:val="fr-BE"/>
        </w:rPr>
        <w:t xml:space="preserve"> </w:t>
      </w:r>
      <w:r w:rsidRPr="00CB5611">
        <w:rPr>
          <w:lang w:val="fr-BE"/>
        </w:rPr>
        <w:t>compte l'environnement externe dans lequel opère</w:t>
      </w:r>
      <w:r>
        <w:rPr>
          <w:lang w:val="fr-BE"/>
        </w:rPr>
        <w:t xml:space="preserve"> </w:t>
      </w:r>
      <w:r w:rsidRPr="00CB5611">
        <w:rPr>
          <w:lang w:val="fr-BE"/>
        </w:rPr>
        <w:t>IBA, les exigences légales, les principes du Code</w:t>
      </w:r>
      <w:r>
        <w:rPr>
          <w:lang w:val="fr-BE"/>
        </w:rPr>
        <w:t xml:space="preserve"> </w:t>
      </w:r>
      <w:r w:rsidRPr="00CB5611">
        <w:rPr>
          <w:lang w:val="fr-BE"/>
        </w:rPr>
        <w:t>belge de gouvernance d'entreprise 2020, les</w:t>
      </w:r>
      <w:r>
        <w:rPr>
          <w:lang w:val="fr-BE"/>
        </w:rPr>
        <w:t xml:space="preserve"> </w:t>
      </w:r>
      <w:r w:rsidRPr="00CB5611">
        <w:rPr>
          <w:lang w:val="fr-BE"/>
        </w:rPr>
        <w:t>pratiques de marché et les orientations émises par</w:t>
      </w:r>
      <w:r>
        <w:rPr>
          <w:lang w:val="fr-BE"/>
        </w:rPr>
        <w:t xml:space="preserve"> </w:t>
      </w:r>
      <w:r w:rsidRPr="00CB5611">
        <w:rPr>
          <w:lang w:val="fr-BE"/>
        </w:rPr>
        <w:t>les organisations représentant les actionnaires</w:t>
      </w:r>
      <w:r>
        <w:rPr>
          <w:lang w:val="fr-BE"/>
        </w:rPr>
        <w:t xml:space="preserve"> </w:t>
      </w:r>
      <w:r w:rsidRPr="00CB5611">
        <w:rPr>
          <w:lang w:val="fr-BE"/>
        </w:rPr>
        <w:t>institutionnels</w:t>
      </w:r>
      <w:r w:rsidR="00927B4D" w:rsidRPr="00CB5611">
        <w:rPr>
          <w:lang w:val="fr-BE"/>
        </w:rPr>
        <w:t>.</w:t>
      </w:r>
    </w:p>
    <w:p w14:paraId="2C0CC839" w14:textId="4C065591" w:rsidR="00CB5611" w:rsidRPr="00CB5611" w:rsidRDefault="00CB5611" w:rsidP="00CB5611">
      <w:pPr>
        <w:rPr>
          <w:lang w:val="fr-BE"/>
        </w:rPr>
      </w:pPr>
      <w:r w:rsidRPr="00CB5611">
        <w:rPr>
          <w:lang w:val="fr-BE"/>
        </w:rPr>
        <w:t>La compétitivité extérieure est actuellement évaluée</w:t>
      </w:r>
      <w:r>
        <w:rPr>
          <w:lang w:val="fr-BE"/>
        </w:rPr>
        <w:t xml:space="preserve"> </w:t>
      </w:r>
      <w:r w:rsidRPr="00CB5611">
        <w:rPr>
          <w:lang w:val="fr-BE"/>
        </w:rPr>
        <w:t>en fonction d’un échantillon général d’entreprises</w:t>
      </w:r>
      <w:r>
        <w:rPr>
          <w:lang w:val="fr-BE"/>
        </w:rPr>
        <w:t xml:space="preserve"> </w:t>
      </w:r>
      <w:r w:rsidRPr="00CB5611">
        <w:rPr>
          <w:lang w:val="fr-BE"/>
        </w:rPr>
        <w:t>actives sur les marchés où les dirigeants sont basés.</w:t>
      </w:r>
    </w:p>
    <w:p w14:paraId="69F103E5" w14:textId="1A6AF79B" w:rsidR="00CB5611" w:rsidRPr="00CB5611" w:rsidRDefault="00CB5611" w:rsidP="00CB5611">
      <w:pPr>
        <w:rPr>
          <w:lang w:val="fr-BE"/>
        </w:rPr>
      </w:pPr>
      <w:r w:rsidRPr="00CB5611">
        <w:rPr>
          <w:lang w:val="fr-BE"/>
        </w:rPr>
        <w:t>IBA évalue continuellement la pertinence de ses</w:t>
      </w:r>
      <w:r>
        <w:rPr>
          <w:lang w:val="fr-BE"/>
        </w:rPr>
        <w:t xml:space="preserve"> </w:t>
      </w:r>
      <w:r w:rsidRPr="00CB5611">
        <w:rPr>
          <w:lang w:val="fr-BE"/>
        </w:rPr>
        <w:t>programmes de rémunération en raison de</w:t>
      </w:r>
      <w:r>
        <w:rPr>
          <w:lang w:val="fr-BE"/>
        </w:rPr>
        <w:t xml:space="preserve"> </w:t>
      </w:r>
      <w:r w:rsidRPr="00CB5611">
        <w:rPr>
          <w:lang w:val="fr-BE"/>
        </w:rPr>
        <w:t>l’évolution des besoins et des connaissances, tant à</w:t>
      </w:r>
      <w:r>
        <w:rPr>
          <w:lang w:val="fr-BE"/>
        </w:rPr>
        <w:t xml:space="preserve"> </w:t>
      </w:r>
      <w:r w:rsidRPr="00CB5611">
        <w:rPr>
          <w:lang w:val="fr-BE"/>
        </w:rPr>
        <w:t>l’externe qu’à l’interne, ce qui peut entraîner un</w:t>
      </w:r>
      <w:r>
        <w:rPr>
          <w:lang w:val="fr-BE"/>
        </w:rPr>
        <w:t xml:space="preserve"> </w:t>
      </w:r>
      <w:r w:rsidRPr="00CB5611">
        <w:rPr>
          <w:lang w:val="fr-BE"/>
        </w:rPr>
        <w:t>ajustement lorsque cela est jugé nécessaire ou</w:t>
      </w:r>
      <w:r>
        <w:rPr>
          <w:lang w:val="fr-BE"/>
        </w:rPr>
        <w:t xml:space="preserve"> </w:t>
      </w:r>
      <w:r w:rsidRPr="00CB5611">
        <w:rPr>
          <w:lang w:val="fr-BE"/>
        </w:rPr>
        <w:t>approprié.</w:t>
      </w:r>
    </w:p>
    <w:p w14:paraId="2A38B053" w14:textId="3C7DF387" w:rsidR="00CB5611" w:rsidRPr="00CB5611" w:rsidRDefault="00CB5611" w:rsidP="00CB5611">
      <w:pPr>
        <w:rPr>
          <w:lang w:val="fr-BE"/>
        </w:rPr>
      </w:pPr>
      <w:r w:rsidRPr="00CB5611">
        <w:rPr>
          <w:lang w:val="fr-BE"/>
        </w:rPr>
        <w:t>La rémunération et les conditions des employés ont</w:t>
      </w:r>
      <w:r>
        <w:rPr>
          <w:lang w:val="fr-BE"/>
        </w:rPr>
        <w:t xml:space="preserve"> </w:t>
      </w:r>
      <w:r w:rsidRPr="00CB5611">
        <w:rPr>
          <w:lang w:val="fr-BE"/>
        </w:rPr>
        <w:t>été prises en compte lors de l'établissement de cette</w:t>
      </w:r>
      <w:r>
        <w:rPr>
          <w:lang w:val="fr-BE"/>
        </w:rPr>
        <w:t xml:space="preserve"> </w:t>
      </w:r>
      <w:r w:rsidRPr="00CB5611">
        <w:rPr>
          <w:lang w:val="fr-BE"/>
        </w:rPr>
        <w:t>politique. Le plan d'intéressement décrit ci-dessous</w:t>
      </w:r>
      <w:r>
        <w:rPr>
          <w:lang w:val="fr-BE"/>
        </w:rPr>
        <w:t xml:space="preserve"> </w:t>
      </w:r>
      <w:r w:rsidRPr="00CB5611">
        <w:rPr>
          <w:lang w:val="fr-BE"/>
        </w:rPr>
        <w:t>s'applique à l'ensemble du personnel de la même</w:t>
      </w:r>
      <w:r>
        <w:rPr>
          <w:lang w:val="fr-BE"/>
        </w:rPr>
        <w:t xml:space="preserve"> </w:t>
      </w:r>
      <w:r w:rsidRPr="00CB5611">
        <w:rPr>
          <w:lang w:val="fr-BE"/>
        </w:rPr>
        <w:t>manière qu'aux directeurs généraux et membres de</w:t>
      </w:r>
      <w:r>
        <w:rPr>
          <w:lang w:val="fr-BE"/>
        </w:rPr>
        <w:t xml:space="preserve"> </w:t>
      </w:r>
      <w:r w:rsidRPr="00CB5611">
        <w:rPr>
          <w:lang w:val="fr-BE"/>
        </w:rPr>
        <w:t>l'équipe de direction.</w:t>
      </w:r>
    </w:p>
    <w:p w14:paraId="114F516A" w14:textId="49615FA0" w:rsidR="001A6B1D" w:rsidRPr="00CB5611" w:rsidRDefault="00CB5611" w:rsidP="00CB5611">
      <w:pPr>
        <w:rPr>
          <w:lang w:val="fr-BE"/>
        </w:rPr>
      </w:pPr>
      <w:r w:rsidRPr="00CB5611">
        <w:rPr>
          <w:lang w:val="fr-BE"/>
        </w:rPr>
        <w:t xml:space="preserve">À partir de 2021, IBA met en </w:t>
      </w:r>
      <w:r w:rsidRPr="00CB5611">
        <w:rPr>
          <w:lang w:val="fr-BE"/>
        </w:rPr>
        <w:t>œuvre</w:t>
      </w:r>
      <w:r w:rsidRPr="00CB5611">
        <w:rPr>
          <w:lang w:val="fr-BE"/>
        </w:rPr>
        <w:t xml:space="preserve"> deux révisions</w:t>
      </w:r>
      <w:r>
        <w:rPr>
          <w:lang w:val="fr-BE"/>
        </w:rPr>
        <w:t xml:space="preserve"> </w:t>
      </w:r>
      <w:r w:rsidRPr="00CB5611">
        <w:rPr>
          <w:lang w:val="fr-BE"/>
        </w:rPr>
        <w:t>de sa politique de rémunération</w:t>
      </w:r>
      <w:r>
        <w:rPr>
          <w:lang w:val="fr-BE"/>
        </w:rPr>
        <w:t xml:space="preserve"> </w:t>
      </w:r>
      <w:r w:rsidR="001A6B1D" w:rsidRPr="00CB5611">
        <w:rPr>
          <w:lang w:val="fr-BE"/>
        </w:rPr>
        <w:t>:</w:t>
      </w:r>
    </w:p>
    <w:p w14:paraId="2AF3180A" w14:textId="36D6BDC1" w:rsidR="001A6B1D" w:rsidRPr="00CB5611" w:rsidRDefault="00CB5611" w:rsidP="00927ED4">
      <w:pPr>
        <w:pStyle w:val="ListParagraph"/>
        <w:numPr>
          <w:ilvl w:val="0"/>
          <w:numId w:val="24"/>
        </w:numPr>
      </w:pPr>
      <w:r w:rsidRPr="00CB5611">
        <w:t>Introduction d'une exigence minimale de</w:t>
      </w:r>
      <w:r w:rsidRPr="00CB5611">
        <w:t xml:space="preserve"> </w:t>
      </w:r>
      <w:r w:rsidRPr="00CB5611">
        <w:t>détention (MHR) des actions IBA pour ses</w:t>
      </w:r>
      <w:r w:rsidRPr="00CB5611">
        <w:t xml:space="preserve"> administrateurs exécutifs</w:t>
      </w:r>
      <w:r w:rsidRPr="00CB5611">
        <w:t xml:space="preserve"> et les membres de</w:t>
      </w:r>
      <w:r w:rsidRPr="00CB5611">
        <w:t xml:space="preserve"> </w:t>
      </w:r>
      <w:r w:rsidRPr="00CB5611">
        <w:t>l'équipe de direction</w:t>
      </w:r>
      <w:r w:rsidR="001A6B1D" w:rsidRPr="00CB5611">
        <w:t xml:space="preserve">. </w:t>
      </w:r>
    </w:p>
    <w:p w14:paraId="24B394C3" w14:textId="2C7D6F64" w:rsidR="00CB5611" w:rsidRPr="00CB5611" w:rsidRDefault="00CB5611" w:rsidP="00881F4B">
      <w:pPr>
        <w:pStyle w:val="ListParagraph"/>
        <w:numPr>
          <w:ilvl w:val="0"/>
          <w:numId w:val="24"/>
        </w:numPr>
      </w:pPr>
      <w:r w:rsidRPr="00CB5611">
        <w:t xml:space="preserve">Modification de la formule de </w:t>
      </w:r>
      <w:r w:rsidRPr="00CB5611">
        <w:t xml:space="preserve">rémunération </w:t>
      </w:r>
      <w:r w:rsidRPr="00CB5611">
        <w:t>variable en intégrant le plan</w:t>
      </w:r>
      <w:r w:rsidRPr="00CB5611">
        <w:t xml:space="preserve"> </w:t>
      </w:r>
      <w:r w:rsidRPr="00CB5611">
        <w:t>d'intéressement applicable à tous les</w:t>
      </w:r>
      <w:r w:rsidRPr="00CB5611">
        <w:t xml:space="preserve"> </w:t>
      </w:r>
      <w:r w:rsidRPr="00CB5611">
        <w:t>salariés, égalisant le dividende versé aux</w:t>
      </w:r>
      <w:r w:rsidRPr="00CB5611">
        <w:t xml:space="preserve"> </w:t>
      </w:r>
      <w:r w:rsidRPr="00CB5611">
        <w:t>actionnaires</w:t>
      </w:r>
    </w:p>
    <w:p w14:paraId="29242C03" w14:textId="4777509E" w:rsidR="001A6B1D" w:rsidRPr="00CB5611" w:rsidRDefault="00CB5611" w:rsidP="00CB5611">
      <w:pPr>
        <w:rPr>
          <w:i/>
          <w:lang w:val="fr-BE"/>
        </w:rPr>
      </w:pPr>
      <w:r w:rsidRPr="00CB5611">
        <w:rPr>
          <w:lang w:val="fr-BE"/>
        </w:rPr>
        <w:t>Le résultat attendu de ces mesures est d'aligner les</w:t>
      </w:r>
      <w:r>
        <w:rPr>
          <w:lang w:val="fr-BE"/>
        </w:rPr>
        <w:t xml:space="preserve"> </w:t>
      </w:r>
      <w:r w:rsidRPr="00CB5611">
        <w:rPr>
          <w:lang w:val="fr-BE"/>
        </w:rPr>
        <w:t>intérêts des actionnaires et de la direction, avec un</w:t>
      </w:r>
      <w:r>
        <w:rPr>
          <w:lang w:val="fr-BE"/>
        </w:rPr>
        <w:t xml:space="preserve"> </w:t>
      </w:r>
      <w:r w:rsidRPr="00CB5611">
        <w:rPr>
          <w:lang w:val="fr-BE"/>
        </w:rPr>
        <w:t>juste équilibre entre la performance à court terme et</w:t>
      </w:r>
      <w:r>
        <w:rPr>
          <w:lang w:val="fr-BE"/>
        </w:rPr>
        <w:t xml:space="preserve"> </w:t>
      </w:r>
      <w:r w:rsidRPr="00CB5611">
        <w:rPr>
          <w:lang w:val="fr-BE"/>
        </w:rPr>
        <w:t>les objectifs à long terme pour soutenir la réalisation</w:t>
      </w:r>
      <w:r>
        <w:rPr>
          <w:lang w:val="fr-BE"/>
        </w:rPr>
        <w:t xml:space="preserve"> </w:t>
      </w:r>
      <w:r w:rsidRPr="00CB5611">
        <w:rPr>
          <w:lang w:val="fr-BE"/>
        </w:rPr>
        <w:t>de l'engagement stratégique d'IBA envers son</w:t>
      </w:r>
      <w:r>
        <w:rPr>
          <w:lang w:val="fr-BE"/>
        </w:rPr>
        <w:t xml:space="preserve"> </w:t>
      </w:r>
      <w:r w:rsidRPr="00CB5611">
        <w:rPr>
          <w:lang w:val="fr-BE"/>
        </w:rPr>
        <w:t>approche multi-parties prenante</w:t>
      </w:r>
      <w:r>
        <w:rPr>
          <w:lang w:val="fr-BE"/>
        </w:rPr>
        <w:t>s</w:t>
      </w:r>
      <w:r w:rsidR="001A6B1D" w:rsidRPr="00CB5611">
        <w:rPr>
          <w:lang w:val="fr-BE"/>
        </w:rPr>
        <w:t>.</w:t>
      </w:r>
    </w:p>
    <w:p w14:paraId="719BD1C6" w14:textId="77777777" w:rsidR="003F6070" w:rsidRPr="00CB5611" w:rsidRDefault="003F6070" w:rsidP="000472FC">
      <w:pPr>
        <w:rPr>
          <w:rFonts w:ascii="Times New Roman Bold" w:hAnsi="Times New Roman Bold"/>
          <w:b/>
          <w:bCs/>
          <w:smallCaps/>
          <w:lang w:val="fr-BE"/>
        </w:rPr>
      </w:pPr>
    </w:p>
    <w:p w14:paraId="3A0A5449" w14:textId="337667FB" w:rsidR="000472FC" w:rsidRPr="00800DA6" w:rsidRDefault="00800DA6" w:rsidP="000472FC">
      <w:pPr>
        <w:rPr>
          <w:rFonts w:ascii="Times New Roman Bold" w:hAnsi="Times New Roman Bold"/>
          <w:b/>
          <w:bCs/>
          <w:smallCaps/>
          <w:color w:val="69BE28"/>
          <w:lang w:val="fr-BE"/>
        </w:rPr>
      </w:pPr>
      <w:r w:rsidRPr="00800DA6">
        <w:rPr>
          <w:rFonts w:ascii="Times New Roman Bold" w:hAnsi="Times New Roman Bold"/>
          <w:b/>
          <w:bCs/>
          <w:smallCaps/>
          <w:color w:val="69BE28"/>
          <w:lang w:val="fr-BE"/>
        </w:rPr>
        <w:t xml:space="preserve">Politique de rémunération des </w:t>
      </w:r>
      <w:r w:rsidR="00BF31D2">
        <w:rPr>
          <w:rFonts w:ascii="Times New Roman Bold" w:hAnsi="Times New Roman Bold"/>
          <w:b/>
          <w:bCs/>
          <w:smallCaps/>
          <w:color w:val="69BE28"/>
          <w:lang w:val="fr-BE"/>
        </w:rPr>
        <w:t>A</w:t>
      </w:r>
      <w:r w:rsidRPr="00800DA6">
        <w:rPr>
          <w:rFonts w:ascii="Times New Roman Bold" w:hAnsi="Times New Roman Bold"/>
          <w:b/>
          <w:bCs/>
          <w:smallCaps/>
          <w:color w:val="69BE28"/>
          <w:lang w:val="fr-BE"/>
        </w:rPr>
        <w:t>dmin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 xml:space="preserve">istrateurs </w:t>
      </w:r>
      <w:r w:rsidR="00BF31D2">
        <w:rPr>
          <w:rFonts w:ascii="Times New Roman Bold" w:hAnsi="Times New Roman Bold"/>
          <w:b/>
          <w:bCs/>
          <w:smallCaps/>
          <w:color w:val="69BE28"/>
          <w:lang w:val="fr-BE"/>
        </w:rPr>
        <w:t>N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>on-</w:t>
      </w:r>
      <w:r w:rsidR="00BF31D2">
        <w:rPr>
          <w:rFonts w:ascii="Times New Roman Bold" w:hAnsi="Times New Roman Bold"/>
          <w:b/>
          <w:bCs/>
          <w:smallCaps/>
          <w:color w:val="69BE28"/>
          <w:lang w:val="fr-BE"/>
        </w:rPr>
        <w:t>E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>xécutifs</w:t>
      </w:r>
    </w:p>
    <w:p w14:paraId="2D983811" w14:textId="77777777" w:rsidR="00800DA6" w:rsidRDefault="00800DA6" w:rsidP="000472FC">
      <w:pPr>
        <w:rPr>
          <w:lang w:val="fr-BE"/>
        </w:rPr>
      </w:pPr>
      <w:r w:rsidRPr="00800DA6">
        <w:rPr>
          <w:lang w:val="fr-BE"/>
        </w:rPr>
        <w:t>Conformément à la Charte de Gouvernance</w:t>
      </w:r>
      <w:r>
        <w:rPr>
          <w:lang w:val="fr-BE"/>
        </w:rPr>
        <w:t xml:space="preserve"> </w:t>
      </w:r>
      <w:r w:rsidRPr="00800DA6">
        <w:rPr>
          <w:lang w:val="fr-BE"/>
        </w:rPr>
        <w:t>d'Entreprise d'IBA, publiée sur le site Internet du</w:t>
      </w:r>
      <w:r>
        <w:rPr>
          <w:lang w:val="fr-BE"/>
        </w:rPr>
        <w:t xml:space="preserve"> </w:t>
      </w:r>
      <w:r w:rsidRPr="00800DA6">
        <w:rPr>
          <w:lang w:val="fr-BE"/>
        </w:rPr>
        <w:t>groupe, le Conseil d'administration détermine la</w:t>
      </w:r>
      <w:r>
        <w:rPr>
          <w:lang w:val="fr-BE"/>
        </w:rPr>
        <w:t xml:space="preserve"> </w:t>
      </w:r>
      <w:r w:rsidRPr="00800DA6">
        <w:rPr>
          <w:lang w:val="fr-BE"/>
        </w:rPr>
        <w:t>politique de rémunération et les montants versés aux</w:t>
      </w:r>
      <w:r>
        <w:rPr>
          <w:lang w:val="fr-BE"/>
        </w:rPr>
        <w:t xml:space="preserve"> </w:t>
      </w:r>
      <w:r w:rsidRPr="00800DA6">
        <w:rPr>
          <w:lang w:val="fr-BE"/>
        </w:rPr>
        <w:t>Administrateurs non-dirigeants, sur la base des</w:t>
      </w:r>
      <w:r>
        <w:rPr>
          <w:lang w:val="fr-BE"/>
        </w:rPr>
        <w:t xml:space="preserve"> </w:t>
      </w:r>
      <w:r w:rsidRPr="00800DA6">
        <w:rPr>
          <w:lang w:val="fr-BE"/>
        </w:rPr>
        <w:t>recommandations du Comité des rémunérations. Il</w:t>
      </w:r>
      <w:r>
        <w:rPr>
          <w:lang w:val="fr-BE"/>
        </w:rPr>
        <w:t xml:space="preserve"> </w:t>
      </w:r>
      <w:r w:rsidRPr="00800DA6">
        <w:rPr>
          <w:lang w:val="fr-BE"/>
        </w:rPr>
        <w:t>est régulièrement revu à la lumière des pratiques de</w:t>
      </w:r>
      <w:r>
        <w:rPr>
          <w:lang w:val="fr-BE"/>
        </w:rPr>
        <w:t xml:space="preserve"> </w:t>
      </w:r>
      <w:r w:rsidRPr="00800DA6">
        <w:rPr>
          <w:lang w:val="fr-BE"/>
        </w:rPr>
        <w:t>marché et soumis à l'approbation des actionnaires</w:t>
      </w:r>
      <w:r w:rsidR="000472FC" w:rsidRPr="00800DA6">
        <w:rPr>
          <w:lang w:val="fr-BE"/>
        </w:rPr>
        <w:t>.</w:t>
      </w:r>
    </w:p>
    <w:p w14:paraId="2B6F561D" w14:textId="42F8ECC2" w:rsidR="00800DA6" w:rsidRDefault="00800DA6" w:rsidP="00800DA6">
      <w:pPr>
        <w:rPr>
          <w:lang w:val="fr-BE"/>
        </w:rPr>
      </w:pPr>
      <w:r w:rsidRPr="00800DA6">
        <w:rPr>
          <w:lang w:val="fr-BE"/>
        </w:rPr>
        <w:t>Les administrateurs d’IBA sont actuellement</w:t>
      </w:r>
      <w:r>
        <w:rPr>
          <w:lang w:val="fr-BE"/>
        </w:rPr>
        <w:t xml:space="preserve"> </w:t>
      </w:r>
      <w:r w:rsidRPr="00800DA6">
        <w:rPr>
          <w:lang w:val="fr-BE"/>
        </w:rPr>
        <w:t xml:space="preserve">rémunérés par une </w:t>
      </w:r>
      <w:r>
        <w:rPr>
          <w:lang w:val="fr-BE"/>
        </w:rPr>
        <w:t>rémunération</w:t>
      </w:r>
      <w:r w:rsidRPr="00800DA6">
        <w:rPr>
          <w:lang w:val="fr-BE"/>
        </w:rPr>
        <w:t xml:space="preserve"> forfaitaire annuelle de</w:t>
      </w:r>
      <w:r>
        <w:rPr>
          <w:lang w:val="fr-BE"/>
        </w:rPr>
        <w:t xml:space="preserve"> </w:t>
      </w:r>
      <w:r w:rsidRPr="00800DA6">
        <w:rPr>
          <w:lang w:val="fr-BE"/>
        </w:rPr>
        <w:t>6</w:t>
      </w:r>
      <w:r>
        <w:rPr>
          <w:lang w:val="fr-BE"/>
        </w:rPr>
        <w:t>.</w:t>
      </w:r>
      <w:r w:rsidRPr="00800DA6">
        <w:rPr>
          <w:lang w:val="fr-BE"/>
        </w:rPr>
        <w:t>000 euros, à l’exception des administrateurs</w:t>
      </w:r>
      <w:r>
        <w:rPr>
          <w:lang w:val="fr-BE"/>
        </w:rPr>
        <w:t xml:space="preserve"> </w:t>
      </w:r>
      <w:r w:rsidRPr="00800DA6">
        <w:rPr>
          <w:lang w:val="fr-BE"/>
        </w:rPr>
        <w:t>résidant à l’étranger, qui, afin de couvrir les</w:t>
      </w:r>
      <w:r>
        <w:rPr>
          <w:lang w:val="fr-BE"/>
        </w:rPr>
        <w:t xml:space="preserve"> </w:t>
      </w:r>
      <w:r w:rsidRPr="00800DA6">
        <w:rPr>
          <w:lang w:val="fr-BE"/>
        </w:rPr>
        <w:t>implications de temps spécifiques et les contraintes</w:t>
      </w:r>
      <w:r>
        <w:rPr>
          <w:lang w:val="fr-BE"/>
        </w:rPr>
        <w:t xml:space="preserve"> </w:t>
      </w:r>
      <w:r w:rsidRPr="00800DA6">
        <w:rPr>
          <w:lang w:val="fr-BE"/>
        </w:rPr>
        <w:t>liées aux voyages intercontinentaux, reçoivent 16</w:t>
      </w:r>
      <w:r>
        <w:rPr>
          <w:lang w:val="fr-BE"/>
        </w:rPr>
        <w:t>.</w:t>
      </w:r>
      <w:r w:rsidRPr="00800DA6">
        <w:rPr>
          <w:lang w:val="fr-BE"/>
        </w:rPr>
        <w:t>000 euros. Le Président du Conseil reçoit une</w:t>
      </w:r>
      <w:r>
        <w:rPr>
          <w:lang w:val="fr-BE"/>
        </w:rPr>
        <w:t xml:space="preserve"> rémunération </w:t>
      </w:r>
      <w:r w:rsidRPr="00800DA6">
        <w:rPr>
          <w:lang w:val="fr-BE"/>
        </w:rPr>
        <w:t>forfaitaire annuelle de 12</w:t>
      </w:r>
      <w:r>
        <w:rPr>
          <w:lang w:val="fr-BE"/>
        </w:rPr>
        <w:t>.0</w:t>
      </w:r>
      <w:r w:rsidRPr="00800DA6">
        <w:rPr>
          <w:lang w:val="fr-BE"/>
        </w:rPr>
        <w:t>00 euros,</w:t>
      </w:r>
      <w:r>
        <w:rPr>
          <w:lang w:val="fr-BE"/>
        </w:rPr>
        <w:t xml:space="preserve"> </w:t>
      </w:r>
      <w:r w:rsidRPr="00800DA6">
        <w:rPr>
          <w:lang w:val="fr-BE"/>
        </w:rPr>
        <w:t>tandis que les présidents du Comité d’audit et du</w:t>
      </w:r>
      <w:r>
        <w:rPr>
          <w:lang w:val="fr-BE"/>
        </w:rPr>
        <w:t xml:space="preserve"> </w:t>
      </w:r>
      <w:r w:rsidRPr="00800DA6">
        <w:rPr>
          <w:lang w:val="fr-BE"/>
        </w:rPr>
        <w:t>Comité du développement durable (avant</w:t>
      </w:r>
      <w:r>
        <w:rPr>
          <w:lang w:val="fr-BE"/>
        </w:rPr>
        <w:t xml:space="preserve"> </w:t>
      </w:r>
      <w:r w:rsidRPr="00800DA6">
        <w:rPr>
          <w:lang w:val="fr-BE"/>
        </w:rPr>
        <w:t xml:space="preserve">intégration) reçoivent une </w:t>
      </w:r>
      <w:r>
        <w:rPr>
          <w:lang w:val="fr-BE"/>
        </w:rPr>
        <w:t xml:space="preserve">rémunération </w:t>
      </w:r>
      <w:r w:rsidRPr="00800DA6">
        <w:rPr>
          <w:lang w:val="fr-BE"/>
        </w:rPr>
        <w:t>forfaitaire</w:t>
      </w:r>
      <w:r>
        <w:rPr>
          <w:lang w:val="fr-BE"/>
        </w:rPr>
        <w:t xml:space="preserve"> </w:t>
      </w:r>
      <w:r w:rsidRPr="00800DA6">
        <w:rPr>
          <w:lang w:val="fr-BE"/>
        </w:rPr>
        <w:t>annuelle de 9</w:t>
      </w:r>
      <w:r>
        <w:rPr>
          <w:lang w:val="fr-BE"/>
        </w:rPr>
        <w:t>.</w:t>
      </w:r>
      <w:r w:rsidRPr="00800DA6">
        <w:rPr>
          <w:lang w:val="fr-BE"/>
        </w:rPr>
        <w:t>000 euros chacun</w:t>
      </w:r>
      <w:r>
        <w:rPr>
          <w:lang w:val="fr-BE"/>
        </w:rPr>
        <w:t>.</w:t>
      </w:r>
    </w:p>
    <w:p w14:paraId="67475D29" w14:textId="06D1298B" w:rsidR="00494617" w:rsidRPr="00494617" w:rsidRDefault="00494617" w:rsidP="00494617">
      <w:pPr>
        <w:rPr>
          <w:lang w:val="fr-BE"/>
        </w:rPr>
      </w:pPr>
      <w:r w:rsidRPr="00494617">
        <w:rPr>
          <w:lang w:val="fr-BE"/>
        </w:rPr>
        <w:lastRenderedPageBreak/>
        <w:t>L</w:t>
      </w:r>
      <w:r>
        <w:rPr>
          <w:lang w:val="fr-BE"/>
        </w:rPr>
        <w:t xml:space="preserve">a rémunération </w:t>
      </w:r>
      <w:r w:rsidRPr="00494617">
        <w:rPr>
          <w:lang w:val="fr-BE"/>
        </w:rPr>
        <w:t>forfaitaire annuel</w:t>
      </w:r>
      <w:r>
        <w:rPr>
          <w:lang w:val="fr-BE"/>
        </w:rPr>
        <w:t>le est</w:t>
      </w:r>
      <w:r w:rsidRPr="00494617">
        <w:rPr>
          <w:lang w:val="fr-BE"/>
        </w:rPr>
        <w:t xml:space="preserve"> complété</w:t>
      </w:r>
      <w:r>
        <w:rPr>
          <w:lang w:val="fr-BE"/>
        </w:rPr>
        <w:t>e</w:t>
      </w:r>
      <w:r w:rsidRPr="00494617">
        <w:rPr>
          <w:lang w:val="fr-BE"/>
        </w:rPr>
        <w:t xml:space="preserve"> par une</w:t>
      </w:r>
      <w:r>
        <w:rPr>
          <w:lang w:val="fr-BE"/>
        </w:rPr>
        <w:t xml:space="preserve"> </w:t>
      </w:r>
      <w:r>
        <w:rPr>
          <w:lang w:val="fr-BE"/>
        </w:rPr>
        <w:t xml:space="preserve">indemnité </w:t>
      </w:r>
      <w:r w:rsidRPr="00494617">
        <w:rPr>
          <w:lang w:val="fr-BE"/>
        </w:rPr>
        <w:t>fixe de 1</w:t>
      </w:r>
      <w:r>
        <w:rPr>
          <w:lang w:val="fr-BE"/>
        </w:rPr>
        <w:t>.</w:t>
      </w:r>
      <w:r w:rsidRPr="00494617">
        <w:rPr>
          <w:lang w:val="fr-BE"/>
        </w:rPr>
        <w:t xml:space="preserve">600 euros par </w:t>
      </w:r>
      <w:r>
        <w:rPr>
          <w:lang w:val="fr-BE"/>
        </w:rPr>
        <w:t xml:space="preserve">réunion du </w:t>
      </w:r>
      <w:r w:rsidRPr="00494617">
        <w:rPr>
          <w:lang w:val="fr-BE"/>
        </w:rPr>
        <w:t>Conseil</w:t>
      </w:r>
      <w:r>
        <w:rPr>
          <w:lang w:val="fr-BE"/>
        </w:rPr>
        <w:t xml:space="preserve"> </w:t>
      </w:r>
      <w:r w:rsidRPr="00494617">
        <w:rPr>
          <w:lang w:val="fr-BE"/>
        </w:rPr>
        <w:t xml:space="preserve">d’administration ou par réunion de </w:t>
      </w:r>
      <w:r>
        <w:rPr>
          <w:lang w:val="fr-BE"/>
        </w:rPr>
        <w:t>C</w:t>
      </w:r>
      <w:r w:rsidRPr="00494617">
        <w:rPr>
          <w:lang w:val="fr-BE"/>
        </w:rPr>
        <w:t>omité à laquelle</w:t>
      </w:r>
      <w:r>
        <w:rPr>
          <w:lang w:val="fr-BE"/>
        </w:rPr>
        <w:t xml:space="preserve"> l’administrateur</w:t>
      </w:r>
      <w:r w:rsidRPr="00494617">
        <w:rPr>
          <w:lang w:val="fr-BE"/>
        </w:rPr>
        <w:t xml:space="preserve"> a été invité et à laquelle il a assisté. Le</w:t>
      </w:r>
      <w:r>
        <w:rPr>
          <w:lang w:val="fr-BE"/>
        </w:rPr>
        <w:t xml:space="preserve"> </w:t>
      </w:r>
      <w:r w:rsidRPr="00494617">
        <w:rPr>
          <w:lang w:val="fr-BE"/>
        </w:rPr>
        <w:t>Président du Conseil reçoit</w:t>
      </w:r>
      <w:r>
        <w:rPr>
          <w:lang w:val="fr-BE"/>
        </w:rPr>
        <w:t xml:space="preserve"> une indemnité de</w:t>
      </w:r>
      <w:r w:rsidRPr="00494617">
        <w:rPr>
          <w:lang w:val="fr-BE"/>
        </w:rPr>
        <w:t xml:space="preserve"> 3</w:t>
      </w:r>
      <w:r>
        <w:rPr>
          <w:lang w:val="fr-BE"/>
        </w:rPr>
        <w:t>.</w:t>
      </w:r>
      <w:r w:rsidRPr="00494617">
        <w:rPr>
          <w:lang w:val="fr-BE"/>
        </w:rPr>
        <w:t>000 euros par réunion.</w:t>
      </w:r>
      <w:r>
        <w:rPr>
          <w:lang w:val="fr-BE"/>
        </w:rPr>
        <w:t xml:space="preserve"> </w:t>
      </w:r>
      <w:r w:rsidRPr="00494617">
        <w:rPr>
          <w:lang w:val="fr-BE"/>
        </w:rPr>
        <w:t xml:space="preserve">Le Président </w:t>
      </w:r>
      <w:r>
        <w:rPr>
          <w:lang w:val="fr-BE"/>
        </w:rPr>
        <w:t>du Comité</w:t>
      </w:r>
      <w:r w:rsidRPr="00494617">
        <w:rPr>
          <w:lang w:val="fr-BE"/>
        </w:rPr>
        <w:t xml:space="preserve"> d’audit et le Président</w:t>
      </w:r>
      <w:r>
        <w:rPr>
          <w:lang w:val="fr-BE"/>
        </w:rPr>
        <w:t xml:space="preserve"> </w:t>
      </w:r>
      <w:r w:rsidRPr="00494617">
        <w:rPr>
          <w:lang w:val="fr-BE"/>
        </w:rPr>
        <w:t>du Comité du développement durable (avant</w:t>
      </w:r>
      <w:r>
        <w:rPr>
          <w:lang w:val="fr-BE"/>
        </w:rPr>
        <w:t xml:space="preserve"> </w:t>
      </w:r>
      <w:r w:rsidRPr="00494617">
        <w:rPr>
          <w:lang w:val="fr-BE"/>
        </w:rPr>
        <w:t xml:space="preserve">intégration) reçoivent </w:t>
      </w:r>
      <w:r>
        <w:rPr>
          <w:lang w:val="fr-BE"/>
        </w:rPr>
        <w:t>une indemnité de</w:t>
      </w:r>
      <w:r w:rsidRPr="00494617">
        <w:rPr>
          <w:lang w:val="fr-BE"/>
        </w:rPr>
        <w:t xml:space="preserve"> 2</w:t>
      </w:r>
      <w:r>
        <w:rPr>
          <w:lang w:val="fr-BE"/>
        </w:rPr>
        <w:t>.</w:t>
      </w:r>
      <w:r w:rsidRPr="00494617">
        <w:rPr>
          <w:lang w:val="fr-BE"/>
        </w:rPr>
        <w:t>200 euros par réunion du</w:t>
      </w:r>
      <w:r>
        <w:rPr>
          <w:lang w:val="fr-BE"/>
        </w:rPr>
        <w:t xml:space="preserve"> </w:t>
      </w:r>
      <w:r w:rsidRPr="00494617">
        <w:rPr>
          <w:lang w:val="fr-BE"/>
        </w:rPr>
        <w:t>Comité qu’ils ont présidée et 1</w:t>
      </w:r>
      <w:r>
        <w:rPr>
          <w:lang w:val="fr-BE"/>
        </w:rPr>
        <w:t>.</w:t>
      </w:r>
      <w:r w:rsidRPr="00494617">
        <w:rPr>
          <w:lang w:val="fr-BE"/>
        </w:rPr>
        <w:t>600 euros par autre</w:t>
      </w:r>
      <w:r>
        <w:rPr>
          <w:lang w:val="fr-BE"/>
        </w:rPr>
        <w:t xml:space="preserve"> </w:t>
      </w:r>
      <w:r w:rsidRPr="00494617">
        <w:rPr>
          <w:lang w:val="fr-BE"/>
        </w:rPr>
        <w:t xml:space="preserve">réunion. Les </w:t>
      </w:r>
      <w:r>
        <w:rPr>
          <w:lang w:val="fr-BE"/>
        </w:rPr>
        <w:t>indemnités</w:t>
      </w:r>
      <w:r w:rsidRPr="00494617">
        <w:rPr>
          <w:lang w:val="fr-BE"/>
        </w:rPr>
        <w:t xml:space="preserve"> fixes sont</w:t>
      </w:r>
      <w:r>
        <w:rPr>
          <w:lang w:val="fr-BE"/>
        </w:rPr>
        <w:t xml:space="preserve"> allouées</w:t>
      </w:r>
      <w:r w:rsidRPr="00494617">
        <w:rPr>
          <w:lang w:val="fr-BE"/>
        </w:rPr>
        <w:t xml:space="preserve"> sur </w:t>
      </w:r>
      <w:r>
        <w:rPr>
          <w:lang w:val="fr-BE"/>
        </w:rPr>
        <w:t>la</w:t>
      </w:r>
      <w:r w:rsidRPr="00494617">
        <w:rPr>
          <w:lang w:val="fr-BE"/>
        </w:rPr>
        <w:t xml:space="preserve"> base d’une demi</w:t>
      </w:r>
      <w:r>
        <w:rPr>
          <w:lang w:val="fr-BE"/>
        </w:rPr>
        <w:t>-</w:t>
      </w:r>
      <w:r w:rsidRPr="00494617">
        <w:rPr>
          <w:lang w:val="fr-BE"/>
        </w:rPr>
        <w:t>journée</w:t>
      </w:r>
      <w:r>
        <w:rPr>
          <w:lang w:val="fr-BE"/>
        </w:rPr>
        <w:t xml:space="preserve"> </w:t>
      </w:r>
      <w:r w:rsidRPr="00494617">
        <w:rPr>
          <w:lang w:val="fr-BE"/>
        </w:rPr>
        <w:t>(en supposant une demi-journée de</w:t>
      </w:r>
      <w:r>
        <w:rPr>
          <w:lang w:val="fr-BE"/>
        </w:rPr>
        <w:t xml:space="preserve"> </w:t>
      </w:r>
      <w:r w:rsidRPr="00494617">
        <w:rPr>
          <w:lang w:val="fr-BE"/>
        </w:rPr>
        <w:t>préparation) et ajusté</w:t>
      </w:r>
      <w:r>
        <w:rPr>
          <w:lang w:val="fr-BE"/>
        </w:rPr>
        <w:t>e</w:t>
      </w:r>
      <w:r w:rsidRPr="00494617">
        <w:rPr>
          <w:lang w:val="fr-BE"/>
        </w:rPr>
        <w:t>s par demi-journée si</w:t>
      </w:r>
      <w:r>
        <w:rPr>
          <w:lang w:val="fr-BE"/>
        </w:rPr>
        <w:t xml:space="preserve"> </w:t>
      </w:r>
      <w:r w:rsidRPr="00494617">
        <w:rPr>
          <w:lang w:val="fr-BE"/>
        </w:rPr>
        <w:t>nécessaire.</w:t>
      </w:r>
    </w:p>
    <w:p w14:paraId="136FEDE4" w14:textId="7CF37F3B" w:rsidR="00BF31D2" w:rsidRDefault="00BF31D2" w:rsidP="000472FC">
      <w:pPr>
        <w:rPr>
          <w:lang w:val="fr-BE"/>
        </w:rPr>
      </w:pPr>
      <w:r w:rsidRPr="00BF31D2">
        <w:rPr>
          <w:lang w:val="fr-BE"/>
        </w:rPr>
        <w:t>Les administrateurs non-</w:t>
      </w:r>
      <w:r>
        <w:rPr>
          <w:lang w:val="fr-BE"/>
        </w:rPr>
        <w:t>exécutifs</w:t>
      </w:r>
      <w:r w:rsidRPr="00BF31D2">
        <w:rPr>
          <w:lang w:val="fr-BE"/>
        </w:rPr>
        <w:t xml:space="preserve"> ne reçoivent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aucune forme de rémunération </w:t>
      </w:r>
      <w:r>
        <w:rPr>
          <w:lang w:val="fr-BE"/>
        </w:rPr>
        <w:t>variable ni</w:t>
      </w:r>
      <w:r w:rsidRPr="00BF31D2">
        <w:rPr>
          <w:lang w:val="fr-BE"/>
        </w:rPr>
        <w:t xml:space="preserve"> aucune autre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forme de rémunération fixe, </w:t>
      </w:r>
      <w:r>
        <w:rPr>
          <w:lang w:val="fr-BE"/>
        </w:rPr>
        <w:t xml:space="preserve">ou </w:t>
      </w:r>
      <w:r w:rsidRPr="00BF31D2">
        <w:rPr>
          <w:lang w:val="fr-BE"/>
        </w:rPr>
        <w:t>fondée sur les actions ou</w:t>
      </w:r>
      <w:r>
        <w:rPr>
          <w:lang w:val="fr-BE"/>
        </w:rPr>
        <w:t xml:space="preserve"> </w:t>
      </w:r>
      <w:r w:rsidRPr="00BF31D2">
        <w:rPr>
          <w:lang w:val="fr-BE"/>
        </w:rPr>
        <w:t>en nature</w:t>
      </w:r>
      <w:r>
        <w:rPr>
          <w:lang w:val="fr-BE"/>
        </w:rPr>
        <w:t>,</w:t>
      </w:r>
      <w:r w:rsidRPr="00BF31D2">
        <w:rPr>
          <w:lang w:val="fr-BE"/>
        </w:rPr>
        <w:t xml:space="preserve"> au cours de l’année</w:t>
      </w:r>
      <w:r>
        <w:rPr>
          <w:lang w:val="fr-BE"/>
        </w:rPr>
        <w:t>.</w:t>
      </w:r>
    </w:p>
    <w:p w14:paraId="4E387042" w14:textId="24193684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Aucune rémunération en actions n'est proposée</w:t>
      </w:r>
      <w:r>
        <w:rPr>
          <w:lang w:val="fr-BE"/>
        </w:rPr>
        <w:t xml:space="preserve"> </w:t>
      </w:r>
      <w:r w:rsidRPr="00BF31D2">
        <w:rPr>
          <w:lang w:val="fr-BE"/>
        </w:rPr>
        <w:t>compte tenu de la mixité internationale</w:t>
      </w:r>
      <w:r>
        <w:rPr>
          <w:lang w:val="fr-BE"/>
        </w:rPr>
        <w:t xml:space="preserve"> </w:t>
      </w:r>
      <w:r w:rsidRPr="00BF31D2">
        <w:rPr>
          <w:lang w:val="fr-BE"/>
        </w:rPr>
        <w:t>d</w:t>
      </w:r>
      <w:r>
        <w:rPr>
          <w:lang w:val="fr-BE"/>
        </w:rPr>
        <w:t xml:space="preserve">es </w:t>
      </w:r>
      <w:r w:rsidRPr="00BF31D2">
        <w:rPr>
          <w:lang w:val="fr-BE"/>
        </w:rPr>
        <w:t>administrateurs non-</w:t>
      </w:r>
      <w:r>
        <w:rPr>
          <w:lang w:val="fr-BE"/>
        </w:rPr>
        <w:t>exécutifs</w:t>
      </w:r>
      <w:r w:rsidRPr="00BF31D2">
        <w:rPr>
          <w:lang w:val="fr-BE"/>
        </w:rPr>
        <w:t xml:space="preserve"> et de l'incompatibilité</w:t>
      </w:r>
      <w:r>
        <w:rPr>
          <w:lang w:val="fr-BE"/>
        </w:rPr>
        <w:t xml:space="preserve"> </w:t>
      </w:r>
      <w:r w:rsidRPr="00BF31D2">
        <w:rPr>
          <w:lang w:val="fr-BE"/>
        </w:rPr>
        <w:t>d'une telle pratique avec les exigences</w:t>
      </w:r>
      <w:r>
        <w:rPr>
          <w:lang w:val="fr-BE"/>
        </w:rPr>
        <w:t xml:space="preserve"> </w:t>
      </w:r>
      <w:r w:rsidRPr="00BF31D2">
        <w:rPr>
          <w:lang w:val="fr-BE"/>
        </w:rPr>
        <w:t>d'indépendance dans certaines juridictions</w:t>
      </w:r>
      <w:r w:rsidRPr="00BF31D2">
        <w:rPr>
          <w:lang w:val="fr-BE"/>
        </w:rPr>
        <w:t>.</w:t>
      </w:r>
    </w:p>
    <w:p w14:paraId="0961E548" w14:textId="2D7C2E1F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À l’heure actuelle, aucun changement fondamental</w:t>
      </w:r>
      <w:r>
        <w:rPr>
          <w:lang w:val="fr-BE"/>
        </w:rPr>
        <w:t xml:space="preserve"> </w:t>
      </w:r>
      <w:r w:rsidRPr="00BF31D2">
        <w:rPr>
          <w:lang w:val="fr-BE"/>
        </w:rPr>
        <w:t>de la politique n’est prévu au cours des deux</w:t>
      </w:r>
      <w:r>
        <w:rPr>
          <w:lang w:val="fr-BE"/>
        </w:rPr>
        <w:t xml:space="preserve"> </w:t>
      </w:r>
      <w:r w:rsidRPr="00BF31D2">
        <w:rPr>
          <w:lang w:val="fr-BE"/>
        </w:rPr>
        <w:t>prochaines années. Le niveau et la structure de la</w:t>
      </w:r>
      <w:r>
        <w:rPr>
          <w:lang w:val="fr-BE"/>
        </w:rPr>
        <w:t xml:space="preserve"> </w:t>
      </w:r>
      <w:r w:rsidRPr="00BF31D2">
        <w:rPr>
          <w:lang w:val="fr-BE"/>
        </w:rPr>
        <w:t>rémunération des administrateurs sont surveillés et</w:t>
      </w:r>
      <w:r>
        <w:rPr>
          <w:lang w:val="fr-BE"/>
        </w:rPr>
        <w:t xml:space="preserve"> </w:t>
      </w:r>
      <w:r w:rsidRPr="00BF31D2">
        <w:rPr>
          <w:lang w:val="fr-BE"/>
        </w:rPr>
        <w:t>examinés sur une base annuelle, ce qui peut</w:t>
      </w:r>
      <w:r>
        <w:rPr>
          <w:lang w:val="fr-BE"/>
        </w:rPr>
        <w:t xml:space="preserve"> </w:t>
      </w:r>
      <w:r w:rsidRPr="00BF31D2">
        <w:rPr>
          <w:lang w:val="fr-BE"/>
        </w:rPr>
        <w:t>entraîner un ajustement lorsque cela est jugé</w:t>
      </w:r>
      <w:r>
        <w:rPr>
          <w:lang w:val="fr-BE"/>
        </w:rPr>
        <w:t xml:space="preserve"> </w:t>
      </w:r>
      <w:r w:rsidRPr="00BF31D2">
        <w:rPr>
          <w:lang w:val="fr-BE"/>
        </w:rPr>
        <w:t>nécessaire ou approprié</w:t>
      </w:r>
      <w:r>
        <w:rPr>
          <w:lang w:val="fr-BE"/>
        </w:rPr>
        <w:t>.</w:t>
      </w:r>
    </w:p>
    <w:p w14:paraId="27743F96" w14:textId="0A04D476" w:rsidR="000472FC" w:rsidRPr="00BF31D2" w:rsidRDefault="00BF31D2" w:rsidP="000472FC">
      <w:pPr>
        <w:rPr>
          <w:b/>
          <w:bCs/>
          <w:lang w:val="fr-BE"/>
        </w:rPr>
      </w:pPr>
      <w:r w:rsidRPr="00BF31D2">
        <w:rPr>
          <w:b/>
          <w:bCs/>
          <w:lang w:val="fr-BE"/>
        </w:rPr>
        <w:t>Accords de départ avec les Administrateurs Non-</w:t>
      </w:r>
      <w:r>
        <w:rPr>
          <w:b/>
          <w:bCs/>
          <w:lang w:val="fr-BE"/>
        </w:rPr>
        <w:t>Exécutifs</w:t>
      </w:r>
    </w:p>
    <w:p w14:paraId="110F7A61" w14:textId="7530DBF2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Le tableau ci-dessous résume les principaux accords contractuels concernant chaque administrateur non-</w:t>
      </w:r>
      <w:r>
        <w:rPr>
          <w:lang w:val="fr-BE"/>
        </w:rPr>
        <w:t xml:space="preserve">exécutif </w:t>
      </w:r>
      <w:r w:rsidRPr="00BF31D2">
        <w:rPr>
          <w:lang w:val="fr-BE"/>
        </w:rPr>
        <w:t>en cas de cessation à l'initiative de la Société</w:t>
      </w:r>
      <w:r>
        <w:rPr>
          <w:lang w:val="fr-BE"/>
        </w:rPr>
        <w:t> :</w:t>
      </w:r>
    </w:p>
    <w:p w14:paraId="61389D76" w14:textId="0797D965" w:rsidR="00BF31D2" w:rsidRPr="00495DC1" w:rsidRDefault="00BF31D2" w:rsidP="00927B4D">
      <w:pPr>
        <w:rPr>
          <w:rFonts w:ascii="Times New Roman Bold" w:hAnsi="Times New Roman Bold"/>
          <w:b/>
          <w:bCs/>
          <w:smallCaps/>
        </w:rPr>
      </w:pPr>
      <w:bookmarkStart w:id="0" w:name="_Hlk31875580"/>
      <w:r>
        <w:rPr>
          <w:noProof/>
        </w:rPr>
        <w:drawing>
          <wp:inline distT="0" distB="0" distL="0" distR="0" wp14:anchorId="6D80D55D" wp14:editId="7C627392">
            <wp:extent cx="5760720" cy="242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8A23" w14:textId="77777777" w:rsidR="00915752" w:rsidRPr="00495DC1" w:rsidRDefault="00915752" w:rsidP="00927B4D">
      <w:pPr>
        <w:rPr>
          <w:rFonts w:ascii="Times New Roman Bold" w:hAnsi="Times New Roman Bold"/>
          <w:b/>
          <w:bCs/>
          <w:smallCaps/>
        </w:rPr>
      </w:pPr>
    </w:p>
    <w:p w14:paraId="5D7EC3CA" w14:textId="4A69E67C" w:rsidR="00927B4D" w:rsidRPr="00BF31D2" w:rsidRDefault="00BF31D2" w:rsidP="00927B4D">
      <w:pPr>
        <w:rPr>
          <w:rFonts w:ascii="Times New Roman Bold" w:hAnsi="Times New Roman Bold"/>
          <w:b/>
          <w:bCs/>
          <w:smallCaps/>
          <w:color w:val="69BE28"/>
          <w:lang w:val="fr-BE"/>
        </w:rPr>
      </w:pPr>
      <w:r w:rsidRPr="00800DA6">
        <w:rPr>
          <w:rFonts w:ascii="Times New Roman Bold" w:hAnsi="Times New Roman Bold"/>
          <w:b/>
          <w:bCs/>
          <w:smallCaps/>
          <w:color w:val="69BE28"/>
          <w:lang w:val="fr-BE"/>
        </w:rPr>
        <w:t xml:space="preserve">Politique de rémunération des 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>A</w:t>
      </w:r>
      <w:r w:rsidRPr="00800DA6">
        <w:rPr>
          <w:rFonts w:ascii="Times New Roman Bold" w:hAnsi="Times New Roman Bold"/>
          <w:b/>
          <w:bCs/>
          <w:smallCaps/>
          <w:color w:val="69BE28"/>
          <w:lang w:val="fr-BE"/>
        </w:rPr>
        <w:t>dmin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 xml:space="preserve">istrateurs </w:t>
      </w:r>
      <w:r>
        <w:rPr>
          <w:rFonts w:ascii="Times New Roman Bold" w:hAnsi="Times New Roman Bold"/>
          <w:b/>
          <w:bCs/>
          <w:smallCaps/>
          <w:color w:val="69BE28"/>
          <w:lang w:val="fr-BE"/>
        </w:rPr>
        <w:t>Exécutifs et des autres membres du Management Team</w:t>
      </w:r>
    </w:p>
    <w:bookmarkEnd w:id="0"/>
    <w:p w14:paraId="6329FCAA" w14:textId="56659C30" w:rsidR="00927B4D" w:rsidRPr="00BF31D2" w:rsidRDefault="00927B4D" w:rsidP="00927B4D">
      <w:pPr>
        <w:rPr>
          <w:b/>
          <w:bCs/>
          <w:lang w:val="fr-BE"/>
        </w:rPr>
      </w:pPr>
      <w:r w:rsidRPr="00BF31D2">
        <w:rPr>
          <w:b/>
          <w:bCs/>
          <w:lang w:val="fr-BE"/>
        </w:rPr>
        <w:t>Proc</w:t>
      </w:r>
      <w:r w:rsidR="00BF31D2" w:rsidRPr="00BF31D2">
        <w:rPr>
          <w:b/>
          <w:bCs/>
          <w:lang w:val="fr-BE"/>
        </w:rPr>
        <w:t>é</w:t>
      </w:r>
      <w:r w:rsidRPr="00BF31D2">
        <w:rPr>
          <w:b/>
          <w:bCs/>
          <w:lang w:val="fr-BE"/>
        </w:rPr>
        <w:t xml:space="preserve">dure </w:t>
      </w:r>
    </w:p>
    <w:p w14:paraId="2939ED5D" w14:textId="3671EE3E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Après examen par le Comité de rémunération, le</w:t>
      </w:r>
      <w:r>
        <w:rPr>
          <w:lang w:val="fr-BE"/>
        </w:rPr>
        <w:t xml:space="preserve"> </w:t>
      </w:r>
      <w:r w:rsidRPr="00BF31D2">
        <w:rPr>
          <w:lang w:val="fr-BE"/>
        </w:rPr>
        <w:t>Conseil d'administration détermine la rémunération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directe ou indirecte </w:t>
      </w:r>
      <w:r>
        <w:rPr>
          <w:lang w:val="fr-BE"/>
        </w:rPr>
        <w:t>des</w:t>
      </w:r>
      <w:r w:rsidRPr="00BF31D2">
        <w:rPr>
          <w:lang w:val="fr-BE"/>
        </w:rPr>
        <w:t xml:space="preserve"> Administrateurs</w:t>
      </w:r>
      <w:r>
        <w:rPr>
          <w:lang w:val="fr-BE"/>
        </w:rPr>
        <w:t xml:space="preserve"> Exécutifs</w:t>
      </w:r>
      <w:r w:rsidRPr="00BF31D2">
        <w:rPr>
          <w:lang w:val="fr-BE"/>
        </w:rPr>
        <w:t xml:space="preserve"> conformément à sa politique de</w:t>
      </w:r>
      <w:r>
        <w:rPr>
          <w:lang w:val="fr-BE"/>
        </w:rPr>
        <w:t xml:space="preserve"> </w:t>
      </w:r>
      <w:r w:rsidRPr="00BF31D2">
        <w:rPr>
          <w:lang w:val="fr-BE"/>
        </w:rPr>
        <w:t>rémunération. Le Comité s'assure que la</w:t>
      </w:r>
      <w:r>
        <w:rPr>
          <w:lang w:val="fr-BE"/>
        </w:rPr>
        <w:t xml:space="preserve"> </w:t>
      </w:r>
      <w:r w:rsidRPr="00BF31D2">
        <w:rPr>
          <w:lang w:val="fr-BE"/>
        </w:rPr>
        <w:t>rémunération est conforme aux pratiques du marché,</w:t>
      </w:r>
      <w:r>
        <w:rPr>
          <w:lang w:val="fr-BE"/>
        </w:rPr>
        <w:t xml:space="preserve"> </w:t>
      </w:r>
      <w:r w:rsidRPr="00BF31D2">
        <w:rPr>
          <w:lang w:val="fr-BE"/>
        </w:rPr>
        <w:t>telles que déterminées par des études réalisées par</w:t>
      </w:r>
      <w:r>
        <w:rPr>
          <w:lang w:val="fr-BE"/>
        </w:rPr>
        <w:t xml:space="preserve"> </w:t>
      </w:r>
      <w:r w:rsidRPr="00BF31D2">
        <w:rPr>
          <w:lang w:val="fr-BE"/>
        </w:rPr>
        <w:t>des cabinets spécialisés. Le Comité de</w:t>
      </w:r>
      <w:r>
        <w:rPr>
          <w:lang w:val="fr-BE"/>
        </w:rPr>
        <w:t xml:space="preserve"> </w:t>
      </w:r>
      <w:r w:rsidRPr="00BF31D2">
        <w:rPr>
          <w:lang w:val="fr-BE"/>
        </w:rPr>
        <w:t>rémunération suit et révise la politique de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rémunération des membres </w:t>
      </w:r>
      <w:r>
        <w:rPr>
          <w:lang w:val="fr-BE"/>
        </w:rPr>
        <w:t xml:space="preserve">du Management Team </w:t>
      </w:r>
      <w:r w:rsidRPr="00BF31D2">
        <w:rPr>
          <w:lang w:val="fr-BE"/>
        </w:rPr>
        <w:t xml:space="preserve">et des salariés de la Société, adoptée par le </w:t>
      </w:r>
      <w:r>
        <w:rPr>
          <w:lang w:val="fr-BE"/>
        </w:rPr>
        <w:t>CEO</w:t>
      </w:r>
      <w:r w:rsidRPr="00BF31D2">
        <w:rPr>
          <w:lang w:val="fr-BE"/>
        </w:rPr>
        <w:t xml:space="preserve">. </w:t>
      </w:r>
      <w:r w:rsidRPr="00BF31D2">
        <w:rPr>
          <w:lang w:val="fr-BE"/>
        </w:rPr>
        <w:lastRenderedPageBreak/>
        <w:t>Aux fins de ce qui précède et de manière</w:t>
      </w:r>
      <w:r>
        <w:rPr>
          <w:lang w:val="fr-BE"/>
        </w:rPr>
        <w:t xml:space="preserve"> </w:t>
      </w:r>
      <w:r w:rsidRPr="00BF31D2">
        <w:rPr>
          <w:lang w:val="fr-BE"/>
        </w:rPr>
        <w:t>générale, le Conseil d'Administration, le Comité de</w:t>
      </w:r>
      <w:r>
        <w:rPr>
          <w:lang w:val="fr-BE"/>
        </w:rPr>
        <w:t xml:space="preserve"> r</w:t>
      </w:r>
      <w:r w:rsidRPr="00BF31D2">
        <w:rPr>
          <w:lang w:val="fr-BE"/>
        </w:rPr>
        <w:t>émunération et les administrateurs individuels ont</w:t>
      </w:r>
      <w:r>
        <w:rPr>
          <w:lang w:val="fr-BE"/>
        </w:rPr>
        <w:t xml:space="preserve"> </w:t>
      </w:r>
      <w:r w:rsidRPr="00BF31D2">
        <w:rPr>
          <w:lang w:val="fr-BE"/>
        </w:rPr>
        <w:t>l'autorité et le devoir, sous réserve des règles</w:t>
      </w:r>
      <w:r>
        <w:rPr>
          <w:lang w:val="fr-BE"/>
        </w:rPr>
        <w:t xml:space="preserve"> </w:t>
      </w:r>
      <w:r w:rsidRPr="00BF31D2">
        <w:rPr>
          <w:lang w:val="fr-BE"/>
        </w:rPr>
        <w:t>définies dans la Charte de Gouvernance</w:t>
      </w:r>
      <w:r w:rsidRPr="00BF31D2">
        <w:rPr>
          <w:lang w:val="fr-BE"/>
        </w:rPr>
        <w:t xml:space="preserve"> </w:t>
      </w:r>
      <w:r w:rsidRPr="00BF31D2">
        <w:rPr>
          <w:lang w:val="fr-BE"/>
        </w:rPr>
        <w:t>d'Entreprise, de se doter de moyens suffisants, y</w:t>
      </w:r>
      <w:r>
        <w:rPr>
          <w:lang w:val="fr-BE"/>
        </w:rPr>
        <w:t xml:space="preserve"> </w:t>
      </w:r>
      <w:r w:rsidRPr="00BF31D2">
        <w:rPr>
          <w:lang w:val="fr-BE"/>
        </w:rPr>
        <w:t>compris l'assistance de consultants externes, le cas</w:t>
      </w:r>
      <w:r>
        <w:rPr>
          <w:lang w:val="fr-BE"/>
        </w:rPr>
        <w:t xml:space="preserve"> </w:t>
      </w:r>
      <w:r w:rsidRPr="00BF31D2">
        <w:rPr>
          <w:lang w:val="fr-BE"/>
        </w:rPr>
        <w:t>échéant</w:t>
      </w:r>
      <w:r>
        <w:rPr>
          <w:lang w:val="fr-BE"/>
        </w:rPr>
        <w:t>.</w:t>
      </w:r>
    </w:p>
    <w:p w14:paraId="6D4F9BF7" w14:textId="121D4B89" w:rsidR="00927B4D" w:rsidRPr="00BF31D2" w:rsidRDefault="00BF31D2" w:rsidP="00927B4D">
      <w:pPr>
        <w:rPr>
          <w:b/>
          <w:bCs/>
          <w:lang w:val="fr-BE"/>
        </w:rPr>
      </w:pPr>
      <w:r w:rsidRPr="00BF31D2">
        <w:rPr>
          <w:b/>
          <w:bCs/>
          <w:lang w:val="fr-BE"/>
        </w:rPr>
        <w:t>Principes de la politique de rémunérati</w:t>
      </w:r>
      <w:r>
        <w:rPr>
          <w:b/>
          <w:bCs/>
          <w:lang w:val="fr-BE"/>
        </w:rPr>
        <w:t>on</w:t>
      </w:r>
    </w:p>
    <w:p w14:paraId="33A5906C" w14:textId="360272A0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L’objectif principal de la philosophie de rémunération</w:t>
      </w:r>
      <w:r>
        <w:rPr>
          <w:lang w:val="fr-BE"/>
        </w:rPr>
        <w:t xml:space="preserve"> </w:t>
      </w:r>
      <w:r w:rsidRPr="00BF31D2">
        <w:rPr>
          <w:lang w:val="fr-BE"/>
        </w:rPr>
        <w:t>d’IBA est de s’assurer que la Société est en mesure</w:t>
      </w:r>
      <w:r>
        <w:rPr>
          <w:lang w:val="fr-BE"/>
        </w:rPr>
        <w:t xml:space="preserve"> </w:t>
      </w:r>
      <w:r w:rsidRPr="00BF31D2">
        <w:rPr>
          <w:lang w:val="fr-BE"/>
        </w:rPr>
        <w:t>d’attirer, de retenir et d’engager les talents exécutifs</w:t>
      </w:r>
      <w:r>
        <w:rPr>
          <w:lang w:val="fr-BE"/>
        </w:rPr>
        <w:t xml:space="preserve"> </w:t>
      </w:r>
      <w:r w:rsidRPr="00BF31D2">
        <w:rPr>
          <w:lang w:val="fr-BE"/>
        </w:rPr>
        <w:t>dont elle a besoin pour tenir ses promesses envers</w:t>
      </w:r>
      <w:r>
        <w:rPr>
          <w:lang w:val="fr-BE"/>
        </w:rPr>
        <w:t xml:space="preserve"> </w:t>
      </w:r>
      <w:r w:rsidRPr="00BF31D2">
        <w:rPr>
          <w:lang w:val="fr-BE"/>
        </w:rPr>
        <w:t>ses diverses parties prenantes – y compris ses</w:t>
      </w:r>
      <w:r>
        <w:rPr>
          <w:lang w:val="fr-BE"/>
        </w:rPr>
        <w:t xml:space="preserve"> </w:t>
      </w:r>
      <w:r w:rsidRPr="00BF31D2">
        <w:rPr>
          <w:lang w:val="fr-BE"/>
        </w:rPr>
        <w:t>clients et patients, ses actionnaires, ses employés, la</w:t>
      </w:r>
      <w:r>
        <w:rPr>
          <w:lang w:val="fr-BE"/>
        </w:rPr>
        <w:t xml:space="preserve"> </w:t>
      </w:r>
      <w:r w:rsidRPr="00BF31D2">
        <w:rPr>
          <w:lang w:val="fr-BE"/>
        </w:rPr>
        <w:t>société en général et la planète – tout en s’alignant</w:t>
      </w:r>
      <w:r>
        <w:rPr>
          <w:lang w:val="fr-BE"/>
        </w:rPr>
        <w:t xml:space="preserve"> </w:t>
      </w:r>
      <w:r w:rsidRPr="00BF31D2">
        <w:rPr>
          <w:lang w:val="fr-BE"/>
        </w:rPr>
        <w:t>sur leurs intérêts respectifs</w:t>
      </w:r>
      <w:r>
        <w:rPr>
          <w:lang w:val="fr-BE"/>
        </w:rPr>
        <w:t>.</w:t>
      </w:r>
    </w:p>
    <w:p w14:paraId="2FF1E152" w14:textId="07107FE0" w:rsidR="00BF31D2" w:rsidRPr="00BF31D2" w:rsidRDefault="00BF31D2" w:rsidP="00BF31D2">
      <w:pPr>
        <w:rPr>
          <w:lang w:val="fr-BE"/>
        </w:rPr>
      </w:pPr>
      <w:r w:rsidRPr="00BF31D2">
        <w:rPr>
          <w:lang w:val="fr-BE"/>
        </w:rPr>
        <w:t>La structure et les niveaux de rémunération, en</w:t>
      </w:r>
      <w:r>
        <w:rPr>
          <w:lang w:val="fr-BE"/>
        </w:rPr>
        <w:t xml:space="preserve"> </w:t>
      </w:r>
      <w:r w:rsidRPr="00BF31D2">
        <w:rPr>
          <w:lang w:val="fr-BE"/>
        </w:rPr>
        <w:t>général, doivent être efficaces pour atteindre ces</w:t>
      </w:r>
      <w:r>
        <w:rPr>
          <w:lang w:val="fr-BE"/>
        </w:rPr>
        <w:t xml:space="preserve"> </w:t>
      </w:r>
      <w:r w:rsidRPr="00BF31D2">
        <w:rPr>
          <w:lang w:val="fr-BE"/>
        </w:rPr>
        <w:t>objectifs. Les programmes et décisions de</w:t>
      </w:r>
      <w:r>
        <w:rPr>
          <w:lang w:val="fr-BE"/>
        </w:rPr>
        <w:t xml:space="preserve"> </w:t>
      </w:r>
      <w:r w:rsidRPr="00BF31D2">
        <w:rPr>
          <w:lang w:val="fr-BE"/>
        </w:rPr>
        <w:t>rémunération répondent en tout temps aux critères</w:t>
      </w:r>
      <w:r>
        <w:rPr>
          <w:lang w:val="fr-BE"/>
        </w:rPr>
        <w:t xml:space="preserve"> </w:t>
      </w:r>
      <w:r w:rsidRPr="00BF31D2">
        <w:rPr>
          <w:lang w:val="fr-BE"/>
        </w:rPr>
        <w:t>suivants</w:t>
      </w:r>
      <w:r>
        <w:rPr>
          <w:lang w:val="fr-BE"/>
        </w:rPr>
        <w:t> :</w:t>
      </w:r>
    </w:p>
    <w:p w14:paraId="0F62A49F" w14:textId="3F2D7760" w:rsidR="00564339" w:rsidRPr="00564339" w:rsidRDefault="00564339" w:rsidP="008349A3">
      <w:pPr>
        <w:pStyle w:val="ListParagraph"/>
        <w:numPr>
          <w:ilvl w:val="0"/>
          <w:numId w:val="23"/>
        </w:numPr>
        <w:rPr>
          <w:rFonts w:cs="Times New Roman"/>
          <w:lang w:val="fr-BE"/>
        </w:rPr>
      </w:pPr>
      <w:r w:rsidRPr="00564339">
        <w:rPr>
          <w:rFonts w:cs="Times New Roman"/>
          <w:lang w:val="fr-BE"/>
        </w:rPr>
        <w:t>Ils équilibrent adéquatement la compétitivité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externe avec les autres organisations et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l’équité interne, compte tenu à la fois du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contenu du poste, des compétences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personnelles et de l’efficacité du</w:t>
      </w:r>
      <w:r>
        <w:rPr>
          <w:rFonts w:cs="Times New Roman"/>
          <w:lang w:val="fr-BE"/>
        </w:rPr>
        <w:t xml:space="preserve"> dirigeant en question</w:t>
      </w:r>
      <w:r w:rsidRPr="00564339">
        <w:rPr>
          <w:rFonts w:cs="Times New Roman"/>
          <w:lang w:val="fr-BE"/>
        </w:rPr>
        <w:t xml:space="preserve"> au sein d’IBA</w:t>
      </w:r>
      <w:r>
        <w:rPr>
          <w:rFonts w:cs="Times New Roman"/>
          <w:lang w:val="fr-BE"/>
        </w:rPr>
        <w:t>,</w:t>
      </w:r>
    </w:p>
    <w:p w14:paraId="2330A539" w14:textId="3A5A8F05" w:rsidR="00564339" w:rsidRPr="00564339" w:rsidRDefault="00564339" w:rsidP="00CA4EFE">
      <w:pPr>
        <w:pStyle w:val="ListParagraph"/>
        <w:numPr>
          <w:ilvl w:val="0"/>
          <w:numId w:val="23"/>
        </w:numPr>
        <w:rPr>
          <w:rFonts w:cs="Times New Roman"/>
          <w:lang w:val="fr-BE"/>
        </w:rPr>
      </w:pPr>
      <w:r w:rsidRPr="00564339">
        <w:rPr>
          <w:rFonts w:cs="Times New Roman"/>
          <w:lang w:val="fr-BE"/>
        </w:rPr>
        <w:t>Ils sont abordables, durables et rentables,</w:t>
      </w:r>
      <w:r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évitant les excès</w:t>
      </w:r>
      <w:r w:rsidRPr="00564339">
        <w:rPr>
          <w:rFonts w:cs="Times New Roman"/>
          <w:lang w:val="fr-BE"/>
        </w:rPr>
        <w:t>,</w:t>
      </w:r>
    </w:p>
    <w:p w14:paraId="74AA8BD4" w14:textId="6E48E043" w:rsidR="00564339" w:rsidRPr="00564339" w:rsidRDefault="00564339" w:rsidP="00B8094C">
      <w:pPr>
        <w:pStyle w:val="ListParagraph"/>
        <w:numPr>
          <w:ilvl w:val="0"/>
          <w:numId w:val="23"/>
        </w:numPr>
        <w:rPr>
          <w:rFonts w:cs="Times New Roman"/>
          <w:lang w:val="fr-BE"/>
        </w:rPr>
      </w:pPr>
      <w:r w:rsidRPr="00564339">
        <w:rPr>
          <w:rFonts w:cs="Times New Roman"/>
          <w:lang w:val="fr-BE"/>
        </w:rPr>
        <w:t xml:space="preserve">Ils récompensent </w:t>
      </w:r>
      <w:r>
        <w:rPr>
          <w:rFonts w:cs="Times New Roman"/>
          <w:lang w:val="fr-BE"/>
        </w:rPr>
        <w:t>la performance</w:t>
      </w:r>
      <w:r w:rsidRPr="00564339">
        <w:rPr>
          <w:rFonts w:cs="Times New Roman"/>
          <w:lang w:val="fr-BE"/>
        </w:rPr>
        <w:t xml:space="preserve"> – tant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individuel</w:t>
      </w:r>
      <w:r>
        <w:rPr>
          <w:rFonts w:cs="Times New Roman"/>
          <w:lang w:val="fr-BE"/>
        </w:rPr>
        <w:t>le</w:t>
      </w:r>
      <w:r w:rsidRPr="00564339">
        <w:rPr>
          <w:rFonts w:cs="Times New Roman"/>
          <w:lang w:val="fr-BE"/>
        </w:rPr>
        <w:t xml:space="preserve"> que collecti</w:t>
      </w:r>
      <w:r>
        <w:rPr>
          <w:rFonts w:cs="Times New Roman"/>
          <w:lang w:val="fr-BE"/>
        </w:rPr>
        <w:t>ve</w:t>
      </w:r>
      <w:r w:rsidRPr="00564339">
        <w:rPr>
          <w:rFonts w:cs="Times New Roman"/>
          <w:lang w:val="fr-BE"/>
        </w:rPr>
        <w:t xml:space="preserve"> – </w:t>
      </w:r>
      <w:r>
        <w:rPr>
          <w:rFonts w:cs="Times New Roman"/>
          <w:lang w:val="fr-BE"/>
        </w:rPr>
        <w:t>en conformité avec</w:t>
      </w:r>
      <w:r w:rsidRPr="00564339">
        <w:rPr>
          <w:rFonts w:cs="Times New Roman"/>
          <w:lang w:val="fr-BE"/>
        </w:rPr>
        <w:t xml:space="preserve"> la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stratégie d’entreprise, compte tenu des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résultats à court terme et de l’orientation à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 xml:space="preserve">long terme, et </w:t>
      </w:r>
      <w:r>
        <w:rPr>
          <w:rFonts w:cs="Times New Roman"/>
          <w:lang w:val="fr-BE"/>
        </w:rPr>
        <w:t xml:space="preserve">sont </w:t>
      </w:r>
      <w:r w:rsidRPr="00564339">
        <w:rPr>
          <w:rFonts w:cs="Times New Roman"/>
          <w:lang w:val="fr-BE"/>
        </w:rPr>
        <w:t>soutenu</w:t>
      </w:r>
      <w:r>
        <w:rPr>
          <w:rFonts w:cs="Times New Roman"/>
          <w:lang w:val="fr-BE"/>
        </w:rPr>
        <w:t>s</w:t>
      </w:r>
      <w:r w:rsidRPr="00564339">
        <w:rPr>
          <w:rFonts w:cs="Times New Roman"/>
          <w:lang w:val="fr-BE"/>
        </w:rPr>
        <w:t xml:space="preserve"> par un solide</w:t>
      </w:r>
      <w:r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système de gestion de la performance</w:t>
      </w:r>
      <w:r>
        <w:rPr>
          <w:rFonts w:cs="Times New Roman"/>
          <w:lang w:val="fr-BE"/>
        </w:rPr>
        <w:t>,</w:t>
      </w:r>
    </w:p>
    <w:p w14:paraId="29032005" w14:textId="0246B98C" w:rsidR="00564339" w:rsidRPr="00564339" w:rsidRDefault="00564339" w:rsidP="004C6E40">
      <w:pPr>
        <w:pStyle w:val="ListParagraph"/>
        <w:numPr>
          <w:ilvl w:val="0"/>
          <w:numId w:val="23"/>
        </w:numPr>
        <w:rPr>
          <w:rFonts w:cs="Times New Roman"/>
          <w:lang w:val="fr-BE"/>
        </w:rPr>
      </w:pPr>
      <w:r w:rsidRPr="00564339">
        <w:rPr>
          <w:rFonts w:cs="Times New Roman"/>
          <w:lang w:val="fr-BE"/>
        </w:rPr>
        <w:t>Ils assurent la transparence et la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prévisibilité, tout en offrant suffisamment de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flexibilité pour répondre rapidement aux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besoins changeants de l’entreprise, si et</w:t>
      </w:r>
      <w:r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quand cela est requis</w:t>
      </w:r>
      <w:r>
        <w:rPr>
          <w:rFonts w:cs="Times New Roman"/>
          <w:lang w:val="fr-BE"/>
        </w:rPr>
        <w:t>,</w:t>
      </w:r>
    </w:p>
    <w:p w14:paraId="53507C56" w14:textId="0AFF5B2A" w:rsidR="00564339" w:rsidRPr="00564339" w:rsidRDefault="00564339" w:rsidP="001143FB">
      <w:pPr>
        <w:pStyle w:val="ListParagraph"/>
        <w:numPr>
          <w:ilvl w:val="0"/>
          <w:numId w:val="23"/>
        </w:numPr>
        <w:rPr>
          <w:rFonts w:cs="Times New Roman"/>
          <w:lang w:val="fr-BE"/>
        </w:rPr>
      </w:pPr>
      <w:r w:rsidRPr="00564339">
        <w:rPr>
          <w:rFonts w:cs="Times New Roman"/>
          <w:lang w:val="fr-BE"/>
        </w:rPr>
        <w:t>La rémunération qui en résulte est un juste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équilibre du point de vue de toutes les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parties prenantes, en tenant compte de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circonstances exceptionnelles (facteur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d’équité). Dans des circonstances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exceptionnelles seulement, les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administrateurs non</w:t>
      </w:r>
      <w:r>
        <w:rPr>
          <w:rFonts w:cs="Times New Roman"/>
          <w:lang w:val="fr-BE"/>
        </w:rPr>
        <w:t xml:space="preserve">-exécutifs </w:t>
      </w:r>
      <w:r w:rsidRPr="00564339">
        <w:rPr>
          <w:rFonts w:cs="Times New Roman"/>
          <w:lang w:val="fr-BE"/>
        </w:rPr>
        <w:t>ont le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pouvoir de modifier les politiques énoncées</w:t>
      </w:r>
      <w:r w:rsidRPr="00564339">
        <w:rPr>
          <w:rFonts w:cs="Times New Roman"/>
          <w:lang w:val="fr-BE"/>
        </w:rPr>
        <w:t xml:space="preserve"> </w:t>
      </w:r>
      <w:r>
        <w:rPr>
          <w:rFonts w:cs="Times New Roman"/>
          <w:lang w:val="fr-BE"/>
        </w:rPr>
        <w:t>ici</w:t>
      </w:r>
      <w:r w:rsidRPr="00564339">
        <w:rPr>
          <w:rFonts w:cs="Times New Roman"/>
          <w:lang w:val="fr-BE"/>
        </w:rPr>
        <w:t xml:space="preserve"> ou de s’en écarter au cas où </w:t>
      </w:r>
      <w:r>
        <w:rPr>
          <w:rFonts w:cs="Times New Roman"/>
          <w:lang w:val="fr-BE"/>
        </w:rPr>
        <w:t>cela est jugé être</w:t>
      </w:r>
      <w:r w:rsidRPr="00564339">
        <w:rPr>
          <w:rFonts w:cs="Times New Roman"/>
          <w:lang w:val="fr-BE"/>
        </w:rPr>
        <w:t xml:space="preserve"> dans le meilleur intérêt de la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société. Cette dérogation peut concerner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tous les aspects de la politique. Les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« circonstances exceptionnelles » couvrent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les situations où l’écart par rapport à la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politique de rémunération est nécessaire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pour servir les intérêts à long terme et la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durabilité de l’entreprise. L’écart ne peut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être demandé que par les administrateurs</w:t>
      </w:r>
      <w:r w:rsidRPr="00564339"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non</w:t>
      </w:r>
      <w:r>
        <w:rPr>
          <w:rFonts w:cs="Times New Roman"/>
          <w:lang w:val="fr-BE"/>
        </w:rPr>
        <w:t xml:space="preserve">-exécutifs </w:t>
      </w:r>
      <w:r w:rsidRPr="00564339">
        <w:rPr>
          <w:rFonts w:cs="Times New Roman"/>
          <w:lang w:val="fr-BE"/>
        </w:rPr>
        <w:t>et l’explication complète sera</w:t>
      </w:r>
      <w:r>
        <w:rPr>
          <w:rFonts w:cs="Times New Roman"/>
          <w:lang w:val="fr-BE"/>
        </w:rPr>
        <w:t xml:space="preserve"> </w:t>
      </w:r>
      <w:r w:rsidRPr="00564339">
        <w:rPr>
          <w:rFonts w:cs="Times New Roman"/>
          <w:lang w:val="fr-BE"/>
        </w:rPr>
        <w:t>fournie</w:t>
      </w:r>
      <w:r>
        <w:rPr>
          <w:rFonts w:cs="Times New Roman"/>
          <w:lang w:val="fr-BE"/>
        </w:rPr>
        <w:t>.</w:t>
      </w:r>
    </w:p>
    <w:p w14:paraId="7E24AD0F" w14:textId="0CA1A2CE" w:rsidR="00650991" w:rsidRPr="00BF31D2" w:rsidRDefault="00BF31D2" w:rsidP="00BF31D2">
      <w:pPr>
        <w:rPr>
          <w:lang w:val="fr-BE"/>
        </w:rPr>
      </w:pPr>
      <w:r w:rsidRPr="00BF31D2">
        <w:rPr>
          <w:lang w:val="fr-BE"/>
        </w:rPr>
        <w:t xml:space="preserve">Les </w:t>
      </w:r>
      <w:r>
        <w:rPr>
          <w:lang w:val="fr-BE"/>
        </w:rPr>
        <w:t>administrateurs exécutifs</w:t>
      </w:r>
      <w:r w:rsidRPr="00BF31D2">
        <w:rPr>
          <w:lang w:val="fr-BE"/>
        </w:rPr>
        <w:t xml:space="preserve"> ne reçoivent pas de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rémunération spécifique </w:t>
      </w:r>
      <w:r>
        <w:rPr>
          <w:lang w:val="fr-BE"/>
        </w:rPr>
        <w:t>en leur qualité d’</w:t>
      </w:r>
      <w:r w:rsidRPr="00BF31D2">
        <w:rPr>
          <w:lang w:val="fr-BE"/>
        </w:rPr>
        <w:t>administrateur. La</w:t>
      </w:r>
      <w:r>
        <w:rPr>
          <w:lang w:val="fr-BE"/>
        </w:rPr>
        <w:t xml:space="preserve"> </w:t>
      </w:r>
      <w:r w:rsidRPr="00BF31D2">
        <w:rPr>
          <w:lang w:val="fr-BE"/>
        </w:rPr>
        <w:t xml:space="preserve">rémunération qu’ils </w:t>
      </w:r>
      <w:r>
        <w:rPr>
          <w:lang w:val="fr-BE"/>
        </w:rPr>
        <w:t>per</w:t>
      </w:r>
      <w:r w:rsidRPr="00BF31D2">
        <w:rPr>
          <w:lang w:val="fr-BE"/>
        </w:rPr>
        <w:t>çoivent pour leur rôle direct ou</w:t>
      </w:r>
      <w:r>
        <w:rPr>
          <w:lang w:val="fr-BE"/>
        </w:rPr>
        <w:t xml:space="preserve"> </w:t>
      </w:r>
      <w:r w:rsidRPr="00BF31D2">
        <w:rPr>
          <w:lang w:val="fr-BE"/>
        </w:rPr>
        <w:t>indirect dans l’entreprise comprend la rémunération</w:t>
      </w:r>
      <w:r>
        <w:rPr>
          <w:lang w:val="fr-BE"/>
        </w:rPr>
        <w:t xml:space="preserve"> </w:t>
      </w:r>
      <w:r w:rsidRPr="00BF31D2">
        <w:rPr>
          <w:lang w:val="fr-BE"/>
        </w:rPr>
        <w:t>de leurs responsabilités d’administrateur</w:t>
      </w:r>
      <w:r w:rsidR="00650991" w:rsidRPr="00BF31D2">
        <w:rPr>
          <w:lang w:val="fr-BE"/>
        </w:rPr>
        <w:t xml:space="preserve">. </w:t>
      </w:r>
    </w:p>
    <w:p w14:paraId="5011DB3C" w14:textId="792B53EB" w:rsidR="00564339" w:rsidRPr="00564339" w:rsidRDefault="00564339" w:rsidP="00564339">
      <w:pPr>
        <w:rPr>
          <w:b/>
          <w:bCs/>
          <w:lang w:val="fr-BE"/>
        </w:rPr>
      </w:pPr>
      <w:r w:rsidRPr="00564339">
        <w:rPr>
          <w:b/>
          <w:bCs/>
          <w:lang w:val="fr-BE"/>
        </w:rPr>
        <w:t xml:space="preserve">Composantes de la rémunération totale </w:t>
      </w:r>
      <w:r>
        <w:rPr>
          <w:b/>
          <w:bCs/>
          <w:lang w:val="fr-BE"/>
        </w:rPr>
        <w:t>des Administrateurs Exécutifs et des autres Membres du Management Team</w:t>
      </w:r>
    </w:p>
    <w:p w14:paraId="2DF9D7B9" w14:textId="3F8682E3" w:rsidR="00564339" w:rsidRPr="00564339" w:rsidRDefault="00564339" w:rsidP="00564339">
      <w:pPr>
        <w:rPr>
          <w:lang w:val="fr-BE"/>
        </w:rPr>
      </w:pPr>
      <w:r w:rsidRPr="00564339">
        <w:rPr>
          <w:lang w:val="fr-BE"/>
        </w:rPr>
        <w:t>Pour les Administrateurs Exécutifs et les autres Membres du Management Team, la rémunération totale comprend</w:t>
      </w:r>
      <w:r>
        <w:rPr>
          <w:lang w:val="fr-BE"/>
        </w:rPr>
        <w:t xml:space="preserve"> </w:t>
      </w:r>
      <w:r w:rsidRPr="00564339">
        <w:rPr>
          <w:lang w:val="fr-BE"/>
        </w:rPr>
        <w:t>généralement une rémunération fixe, une</w:t>
      </w:r>
      <w:r>
        <w:rPr>
          <w:lang w:val="fr-BE"/>
        </w:rPr>
        <w:t xml:space="preserve"> </w:t>
      </w:r>
      <w:r w:rsidRPr="00564339">
        <w:rPr>
          <w:lang w:val="fr-BE"/>
        </w:rPr>
        <w:t>rémunération variable et des primes à long terme.</w:t>
      </w:r>
      <w:r>
        <w:rPr>
          <w:lang w:val="fr-BE"/>
        </w:rPr>
        <w:t xml:space="preserve"> </w:t>
      </w:r>
      <w:r w:rsidRPr="00564339">
        <w:rPr>
          <w:lang w:val="fr-BE"/>
        </w:rPr>
        <w:t>Les cotisations au régime de retraite et d'autres</w:t>
      </w:r>
      <w:r>
        <w:rPr>
          <w:lang w:val="fr-BE"/>
        </w:rPr>
        <w:t xml:space="preserve"> </w:t>
      </w:r>
      <w:r w:rsidRPr="00564339">
        <w:rPr>
          <w:lang w:val="fr-BE"/>
        </w:rPr>
        <w:t xml:space="preserve">éléments sont offerts aux membres salariés </w:t>
      </w:r>
      <w:r>
        <w:rPr>
          <w:lang w:val="fr-BE"/>
        </w:rPr>
        <w:t>du Management Team</w:t>
      </w:r>
      <w:r w:rsidRPr="00564339">
        <w:rPr>
          <w:lang w:val="fr-BE"/>
        </w:rPr>
        <w:t>. Chaque membre individuel ne bénéficie</w:t>
      </w:r>
      <w:r>
        <w:rPr>
          <w:lang w:val="fr-BE"/>
        </w:rPr>
        <w:t xml:space="preserve"> </w:t>
      </w:r>
      <w:r w:rsidRPr="00564339">
        <w:rPr>
          <w:lang w:val="fr-BE"/>
        </w:rPr>
        <w:t>pas nécessairement de chaque élément de</w:t>
      </w:r>
      <w:r>
        <w:rPr>
          <w:lang w:val="fr-BE"/>
        </w:rPr>
        <w:t xml:space="preserve"> </w:t>
      </w:r>
      <w:r w:rsidRPr="00564339">
        <w:rPr>
          <w:lang w:val="fr-BE"/>
        </w:rPr>
        <w:t>rémunération : cela dépend principalement de la</w:t>
      </w:r>
      <w:r>
        <w:rPr>
          <w:lang w:val="fr-BE"/>
        </w:rPr>
        <w:t xml:space="preserve"> </w:t>
      </w:r>
      <w:r w:rsidRPr="00564339">
        <w:rPr>
          <w:lang w:val="fr-BE"/>
        </w:rPr>
        <w:t>nature et de la structure de l'accord individuel. En</w:t>
      </w:r>
      <w:r>
        <w:rPr>
          <w:lang w:val="fr-BE"/>
        </w:rPr>
        <w:t xml:space="preserve"> </w:t>
      </w:r>
      <w:r w:rsidRPr="00564339">
        <w:rPr>
          <w:lang w:val="fr-BE"/>
        </w:rPr>
        <w:t>conséquence, le poids des différentes composantes</w:t>
      </w:r>
      <w:r>
        <w:rPr>
          <w:lang w:val="fr-BE"/>
        </w:rPr>
        <w:t xml:space="preserve"> </w:t>
      </w:r>
      <w:r w:rsidRPr="00564339">
        <w:rPr>
          <w:lang w:val="fr-BE"/>
        </w:rPr>
        <w:t>de la rémunération, dans le cadre de la rémunération</w:t>
      </w:r>
      <w:r>
        <w:rPr>
          <w:lang w:val="fr-BE"/>
        </w:rPr>
        <w:t xml:space="preserve"> </w:t>
      </w:r>
      <w:r w:rsidRPr="00564339">
        <w:rPr>
          <w:lang w:val="fr-BE"/>
        </w:rPr>
        <w:t>totale, diffère sur une base individuelle. De manière</w:t>
      </w:r>
      <w:r>
        <w:rPr>
          <w:lang w:val="fr-BE"/>
        </w:rPr>
        <w:t xml:space="preserve"> </w:t>
      </w:r>
      <w:r w:rsidRPr="00564339">
        <w:rPr>
          <w:lang w:val="fr-BE"/>
        </w:rPr>
        <w:t>générale, le poids de chaque composante de la</w:t>
      </w:r>
      <w:r>
        <w:rPr>
          <w:lang w:val="fr-BE"/>
        </w:rPr>
        <w:t xml:space="preserve"> </w:t>
      </w:r>
      <w:r w:rsidRPr="00564339">
        <w:rPr>
          <w:lang w:val="fr-BE"/>
        </w:rPr>
        <w:t>rémunération représente une partie de la</w:t>
      </w:r>
      <w:r>
        <w:rPr>
          <w:lang w:val="fr-BE"/>
        </w:rPr>
        <w:t xml:space="preserve"> </w:t>
      </w:r>
      <w:r w:rsidRPr="00564339">
        <w:rPr>
          <w:lang w:val="fr-BE"/>
        </w:rPr>
        <w:t>rémunération totale qui peut se résumer comme suit</w:t>
      </w:r>
      <w:r>
        <w:rPr>
          <w:lang w:val="fr-BE"/>
        </w:rPr>
        <w:t> :</w:t>
      </w:r>
    </w:p>
    <w:p w14:paraId="1E65DA92" w14:textId="0F0976F2" w:rsidR="00927B4D" w:rsidRPr="00495DC1" w:rsidRDefault="00927B4D" w:rsidP="0092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4484"/>
      </w:tblGrid>
      <w:tr w:rsidR="00495DC1" w:rsidRPr="00711957" w14:paraId="7A996B2E" w14:textId="77777777" w:rsidTr="00AE7769">
        <w:trPr>
          <w:trHeight w:val="385"/>
        </w:trPr>
        <w:tc>
          <w:tcPr>
            <w:tcW w:w="8968" w:type="dxa"/>
            <w:gridSpan w:val="2"/>
            <w:shd w:val="clear" w:color="auto" w:fill="69BE28"/>
            <w:vAlign w:val="center"/>
          </w:tcPr>
          <w:p w14:paraId="46C47A6C" w14:textId="7E7DAD86" w:rsidR="00927B4D" w:rsidRPr="00711957" w:rsidRDefault="00711957" w:rsidP="00AE7769">
            <w:pPr>
              <w:jc w:val="center"/>
              <w:rPr>
                <w:b/>
                <w:bCs/>
                <w:color w:val="FFFFFF" w:themeColor="background1"/>
                <w:lang w:val="fr-BE"/>
              </w:rPr>
            </w:pPr>
            <w:r w:rsidRPr="00711957">
              <w:rPr>
                <w:b/>
                <w:bCs/>
                <w:color w:val="FFFFFF" w:themeColor="background1"/>
                <w:lang w:val="fr-BE"/>
              </w:rPr>
              <w:lastRenderedPageBreak/>
              <w:t>Administrateurs Exécutifs et autres Membres du Management Team</w:t>
            </w:r>
          </w:p>
        </w:tc>
      </w:tr>
      <w:tr w:rsidR="00495DC1" w:rsidRPr="004041BC" w14:paraId="44161670" w14:textId="77777777" w:rsidTr="00AE7769">
        <w:trPr>
          <w:trHeight w:val="385"/>
        </w:trPr>
        <w:tc>
          <w:tcPr>
            <w:tcW w:w="4484" w:type="dxa"/>
            <w:shd w:val="clear" w:color="auto" w:fill="A9DC92"/>
            <w:vAlign w:val="center"/>
          </w:tcPr>
          <w:p w14:paraId="6AB1BDC4" w14:textId="5086D484" w:rsidR="00927B4D" w:rsidRPr="00495DC1" w:rsidRDefault="004041BC" w:rsidP="00AE7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Composante de la rémunération</w:t>
            </w:r>
          </w:p>
        </w:tc>
        <w:tc>
          <w:tcPr>
            <w:tcW w:w="4484" w:type="dxa"/>
            <w:shd w:val="clear" w:color="auto" w:fill="A9DC92"/>
            <w:vAlign w:val="center"/>
          </w:tcPr>
          <w:p w14:paraId="3FCA045C" w14:textId="4082A4D5" w:rsidR="00927B4D" w:rsidRPr="004041BC" w:rsidRDefault="00927B4D" w:rsidP="00AE7769">
            <w:pPr>
              <w:jc w:val="center"/>
              <w:rPr>
                <w:b/>
                <w:bCs/>
                <w:lang w:val="fr-BE"/>
              </w:rPr>
            </w:pPr>
            <w:r w:rsidRPr="004041BC">
              <w:rPr>
                <w:b/>
                <w:bCs/>
                <w:lang w:val="fr-BE"/>
              </w:rPr>
              <w:t>Part</w:t>
            </w:r>
            <w:r w:rsidR="004041BC" w:rsidRPr="004041BC">
              <w:rPr>
                <w:b/>
                <w:bCs/>
                <w:lang w:val="fr-BE"/>
              </w:rPr>
              <w:t>ie de la rémunération totale (lorsque ce</w:t>
            </w:r>
            <w:r w:rsidR="004041BC">
              <w:rPr>
                <w:b/>
                <w:bCs/>
                <w:lang w:val="fr-BE"/>
              </w:rPr>
              <w:t>la est proposé</w:t>
            </w:r>
            <w:r w:rsidRPr="004041BC">
              <w:rPr>
                <w:b/>
                <w:bCs/>
                <w:lang w:val="fr-BE"/>
              </w:rPr>
              <w:t>)</w:t>
            </w:r>
          </w:p>
        </w:tc>
      </w:tr>
      <w:tr w:rsidR="00495DC1" w:rsidRPr="00495DC1" w14:paraId="18B995AE" w14:textId="77777777" w:rsidTr="00224065">
        <w:trPr>
          <w:trHeight w:val="385"/>
        </w:trPr>
        <w:tc>
          <w:tcPr>
            <w:tcW w:w="4484" w:type="dxa"/>
            <w:shd w:val="clear" w:color="auto" w:fill="auto"/>
            <w:vAlign w:val="center"/>
          </w:tcPr>
          <w:p w14:paraId="1E679870" w14:textId="49D9284E" w:rsidR="00927B4D" w:rsidRPr="00495DC1" w:rsidRDefault="004041BC" w:rsidP="00224065">
            <w:r>
              <w:t>Rémunération fixe annuelle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074FBAB0" w14:textId="6860B27A" w:rsidR="00927B4D" w:rsidRPr="00495DC1" w:rsidRDefault="004041BC" w:rsidP="00224065">
            <w:r>
              <w:t>Entre</w:t>
            </w:r>
            <w:r w:rsidRPr="00495DC1">
              <w:t xml:space="preserve"> </w:t>
            </w:r>
            <w:r w:rsidR="00927B4D" w:rsidRPr="00495DC1">
              <w:t xml:space="preserve">46% </w:t>
            </w:r>
            <w:r>
              <w:t>et</w:t>
            </w:r>
            <w:r w:rsidR="00927B4D" w:rsidRPr="00495DC1">
              <w:t xml:space="preserve"> 63%</w:t>
            </w:r>
          </w:p>
        </w:tc>
      </w:tr>
      <w:tr w:rsidR="00495DC1" w:rsidRPr="00495DC1" w14:paraId="74CC7C16" w14:textId="77777777" w:rsidTr="00224065">
        <w:trPr>
          <w:trHeight w:val="385"/>
        </w:trPr>
        <w:tc>
          <w:tcPr>
            <w:tcW w:w="4484" w:type="dxa"/>
            <w:shd w:val="clear" w:color="auto" w:fill="auto"/>
            <w:vAlign w:val="center"/>
          </w:tcPr>
          <w:p w14:paraId="22B00057" w14:textId="262D002B" w:rsidR="00927B4D" w:rsidRPr="004041BC" w:rsidRDefault="004041BC" w:rsidP="00224065">
            <w:pPr>
              <w:rPr>
                <w:lang w:val="fr-BE"/>
              </w:rPr>
            </w:pPr>
            <w:r w:rsidRPr="004041BC">
              <w:rPr>
                <w:lang w:val="fr-BE"/>
              </w:rPr>
              <w:t xml:space="preserve">Rémunération </w:t>
            </w:r>
            <w:r>
              <w:rPr>
                <w:lang w:val="fr-BE"/>
              </w:rPr>
              <w:t>variable</w:t>
            </w:r>
            <w:r w:rsidRPr="004041BC">
              <w:rPr>
                <w:lang w:val="fr-BE"/>
              </w:rPr>
              <w:t xml:space="preserve"> annuelle</w:t>
            </w:r>
            <w:r w:rsidRPr="004041BC">
              <w:rPr>
                <w:lang w:val="fr-BE"/>
              </w:rPr>
              <w:t xml:space="preserve"> </w:t>
            </w:r>
            <w:r w:rsidR="00927B4D" w:rsidRPr="004041BC">
              <w:rPr>
                <w:lang w:val="fr-BE"/>
              </w:rPr>
              <w:t>(</w:t>
            </w:r>
            <w:r>
              <w:rPr>
                <w:lang w:val="fr-BE"/>
              </w:rPr>
              <w:t>si objectif atteint</w:t>
            </w:r>
            <w:r w:rsidR="00927B4D" w:rsidRPr="004041BC">
              <w:rPr>
                <w:lang w:val="fr-BE"/>
              </w:rPr>
              <w:t>)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509D20F" w14:textId="6250124D" w:rsidR="00927B4D" w:rsidRPr="00495DC1" w:rsidRDefault="004041BC" w:rsidP="00224065">
            <w:r>
              <w:t>Entre</w:t>
            </w:r>
            <w:r w:rsidRPr="00495DC1">
              <w:t xml:space="preserve"> </w:t>
            </w:r>
            <w:r w:rsidR="00927B4D" w:rsidRPr="00495DC1">
              <w:t xml:space="preserve">18% </w:t>
            </w:r>
            <w:r>
              <w:t>et</w:t>
            </w:r>
            <w:r w:rsidR="00927B4D" w:rsidRPr="00495DC1">
              <w:t xml:space="preserve"> 46%</w:t>
            </w:r>
          </w:p>
        </w:tc>
      </w:tr>
      <w:tr w:rsidR="00495DC1" w:rsidRPr="00495DC1" w14:paraId="5D698F08" w14:textId="77777777" w:rsidTr="00224065">
        <w:trPr>
          <w:trHeight w:val="385"/>
        </w:trPr>
        <w:tc>
          <w:tcPr>
            <w:tcW w:w="4484" w:type="dxa"/>
            <w:shd w:val="clear" w:color="auto" w:fill="auto"/>
            <w:vAlign w:val="center"/>
          </w:tcPr>
          <w:p w14:paraId="63C154BF" w14:textId="69423350" w:rsidR="00927B4D" w:rsidRPr="004041BC" w:rsidRDefault="004041BC" w:rsidP="00224065">
            <w:pPr>
              <w:rPr>
                <w:lang w:val="fr-BE"/>
              </w:rPr>
            </w:pPr>
            <w:r w:rsidRPr="004041BC">
              <w:rPr>
                <w:lang w:val="fr-BE"/>
              </w:rPr>
              <w:t>Valeur annualisée d’intéressement à long terme</w:t>
            </w:r>
            <w:r w:rsidR="00927B4D" w:rsidRPr="004041BC">
              <w:rPr>
                <w:lang w:val="fr-BE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0ADD0DDD" w14:textId="6EED5D3E" w:rsidR="00927B4D" w:rsidRPr="00495DC1" w:rsidRDefault="004041BC" w:rsidP="00224065">
            <w:r>
              <w:t>Entre</w:t>
            </w:r>
            <w:r w:rsidR="00927B4D" w:rsidRPr="00495DC1">
              <w:t xml:space="preserve"> 5% </w:t>
            </w:r>
            <w:r>
              <w:t>et</w:t>
            </w:r>
            <w:r w:rsidR="00927B4D" w:rsidRPr="00495DC1">
              <w:t xml:space="preserve"> 9% </w:t>
            </w:r>
          </w:p>
        </w:tc>
      </w:tr>
      <w:tr w:rsidR="00495DC1" w:rsidRPr="00495DC1" w14:paraId="5C5C24F7" w14:textId="77777777" w:rsidTr="00224065">
        <w:trPr>
          <w:trHeight w:val="371"/>
        </w:trPr>
        <w:tc>
          <w:tcPr>
            <w:tcW w:w="4484" w:type="dxa"/>
            <w:shd w:val="clear" w:color="auto" w:fill="auto"/>
            <w:vAlign w:val="center"/>
          </w:tcPr>
          <w:p w14:paraId="35A10524" w14:textId="7F7DECAA" w:rsidR="00927B4D" w:rsidRPr="004041BC" w:rsidRDefault="004041BC" w:rsidP="00224065">
            <w:pPr>
              <w:rPr>
                <w:lang w:val="fr-BE"/>
              </w:rPr>
            </w:pPr>
            <w:r w:rsidRPr="004041BC">
              <w:rPr>
                <w:lang w:val="fr-BE"/>
              </w:rPr>
              <w:t>Valeur annuelle de plan de pension</w:t>
            </w:r>
            <w:r w:rsidR="00927B4D" w:rsidRPr="004041BC">
              <w:rPr>
                <w:lang w:val="fr-BE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7D4F0ABE" w14:textId="0762B6B6" w:rsidR="00927B4D" w:rsidRPr="00495DC1" w:rsidRDefault="004041BC" w:rsidP="00224065">
            <w:r>
              <w:t>Jusqu’à</w:t>
            </w:r>
            <w:r w:rsidRPr="00495DC1">
              <w:t xml:space="preserve"> </w:t>
            </w:r>
            <w:r w:rsidR="00927B4D" w:rsidRPr="00495DC1">
              <w:t>3%</w:t>
            </w:r>
          </w:p>
        </w:tc>
      </w:tr>
      <w:tr w:rsidR="00495DC1" w:rsidRPr="00495DC1" w14:paraId="5D1437FB" w14:textId="77777777" w:rsidTr="00224065">
        <w:trPr>
          <w:trHeight w:val="385"/>
        </w:trPr>
        <w:tc>
          <w:tcPr>
            <w:tcW w:w="4484" w:type="dxa"/>
            <w:shd w:val="clear" w:color="auto" w:fill="auto"/>
            <w:vAlign w:val="center"/>
          </w:tcPr>
          <w:p w14:paraId="56030101" w14:textId="3B854F77" w:rsidR="00927B4D" w:rsidRPr="00495DC1" w:rsidRDefault="004041BC" w:rsidP="00224065">
            <w:r>
              <w:t>Valeur annuelle d</w:t>
            </w:r>
            <w:r>
              <w:t>’autres composantes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4C4A6512" w14:textId="7DD59C2F" w:rsidR="00927B4D" w:rsidRPr="00495DC1" w:rsidRDefault="004041BC" w:rsidP="00224065">
            <w:r>
              <w:t>Jusqu’à</w:t>
            </w:r>
            <w:r w:rsidR="00927B4D" w:rsidRPr="00495DC1">
              <w:t xml:space="preserve"> 8%</w:t>
            </w:r>
          </w:p>
        </w:tc>
      </w:tr>
    </w:tbl>
    <w:p w14:paraId="6BB48D38" w14:textId="77777777" w:rsidR="00927B4D" w:rsidRPr="00495DC1" w:rsidRDefault="00927B4D" w:rsidP="00927B4D"/>
    <w:p w14:paraId="089A92E9" w14:textId="22722D84" w:rsidR="00927B4D" w:rsidRPr="00495DC1" w:rsidRDefault="004041BC" w:rsidP="00927B4D">
      <w:pPr>
        <w:rPr>
          <w:b/>
          <w:bCs/>
          <w:i/>
          <w:iCs/>
        </w:rPr>
      </w:pPr>
      <w:r>
        <w:rPr>
          <w:b/>
          <w:bCs/>
          <w:i/>
          <w:iCs/>
        </w:rPr>
        <w:t>Rémunération annuelle fixe</w:t>
      </w:r>
      <w:r w:rsidR="00927B4D" w:rsidRPr="00495DC1">
        <w:rPr>
          <w:b/>
          <w:bCs/>
          <w:i/>
          <w:iCs/>
        </w:rPr>
        <w:t xml:space="preserve"> </w:t>
      </w:r>
    </w:p>
    <w:p w14:paraId="1FF74B9D" w14:textId="242B6D9B" w:rsidR="004041BC" w:rsidRPr="004041BC" w:rsidRDefault="004041BC" w:rsidP="004041BC">
      <w:pPr>
        <w:rPr>
          <w:lang w:val="fr-BE"/>
        </w:rPr>
      </w:pPr>
      <w:r w:rsidRPr="004041BC">
        <w:rPr>
          <w:lang w:val="fr-BE"/>
        </w:rPr>
        <w:t>La rémunération fixe annuelle est une composante</w:t>
      </w:r>
      <w:r>
        <w:rPr>
          <w:lang w:val="fr-BE"/>
        </w:rPr>
        <w:t xml:space="preserve"> </w:t>
      </w:r>
      <w:r w:rsidRPr="004041BC">
        <w:rPr>
          <w:lang w:val="fr-BE"/>
        </w:rPr>
        <w:t>monétaire de la rémunération, définie en fonction du</w:t>
      </w:r>
      <w:r>
        <w:rPr>
          <w:lang w:val="fr-BE"/>
        </w:rPr>
        <w:t xml:space="preserve"> </w:t>
      </w:r>
      <w:r w:rsidRPr="004041BC">
        <w:rPr>
          <w:lang w:val="fr-BE"/>
        </w:rPr>
        <w:t>poste d’une personne, ainsi que de ses compétences</w:t>
      </w:r>
      <w:r>
        <w:rPr>
          <w:lang w:val="fr-BE"/>
        </w:rPr>
        <w:t xml:space="preserve"> </w:t>
      </w:r>
      <w:r w:rsidRPr="004041BC">
        <w:rPr>
          <w:lang w:val="fr-BE"/>
        </w:rPr>
        <w:t xml:space="preserve">et de son expérience </w:t>
      </w:r>
      <w:r w:rsidR="008245D8">
        <w:rPr>
          <w:lang w:val="fr-BE"/>
        </w:rPr>
        <w:t>au poste concerné</w:t>
      </w:r>
      <w:r>
        <w:rPr>
          <w:lang w:val="fr-BE"/>
        </w:rPr>
        <w:t>.</w:t>
      </w:r>
    </w:p>
    <w:p w14:paraId="509D9C6F" w14:textId="2748F541" w:rsidR="00927B4D" w:rsidRPr="008245D8" w:rsidRDefault="004041BC" w:rsidP="00927B4D">
      <w:pPr>
        <w:rPr>
          <w:b/>
          <w:bCs/>
          <w:i/>
          <w:iCs/>
          <w:lang w:val="fr-BE"/>
        </w:rPr>
      </w:pPr>
      <w:r w:rsidRPr="008245D8">
        <w:rPr>
          <w:b/>
          <w:bCs/>
          <w:i/>
          <w:iCs/>
          <w:lang w:val="fr-BE"/>
        </w:rPr>
        <w:t xml:space="preserve">Rémunération </w:t>
      </w:r>
      <w:r w:rsidRPr="008245D8">
        <w:rPr>
          <w:b/>
          <w:bCs/>
          <w:i/>
          <w:iCs/>
          <w:lang w:val="fr-BE"/>
        </w:rPr>
        <w:t>annuelle variable</w:t>
      </w:r>
    </w:p>
    <w:p w14:paraId="56CE3087" w14:textId="746BCDED" w:rsidR="008245D8" w:rsidRPr="008245D8" w:rsidRDefault="008245D8" w:rsidP="008245D8">
      <w:pPr>
        <w:rPr>
          <w:lang w:val="fr-BE"/>
        </w:rPr>
      </w:pPr>
      <w:r w:rsidRPr="008245D8">
        <w:rPr>
          <w:lang w:val="fr-BE"/>
        </w:rPr>
        <w:t>Le programme annuel de rémunération variable</w:t>
      </w:r>
      <w:r>
        <w:rPr>
          <w:lang w:val="fr-BE"/>
        </w:rPr>
        <w:t xml:space="preserve"> </w:t>
      </w:r>
      <w:r w:rsidRPr="008245D8">
        <w:rPr>
          <w:lang w:val="fr-BE"/>
        </w:rPr>
        <w:t>récompense la performance par rapport à des</w:t>
      </w:r>
      <w:r>
        <w:rPr>
          <w:lang w:val="fr-BE"/>
        </w:rPr>
        <w:t xml:space="preserve"> </w:t>
      </w:r>
      <w:r w:rsidRPr="008245D8">
        <w:rPr>
          <w:lang w:val="fr-BE"/>
        </w:rPr>
        <w:t>objectifs spécifiés, définis et formalisés au début de</w:t>
      </w:r>
      <w:r>
        <w:rPr>
          <w:lang w:val="fr-BE"/>
        </w:rPr>
        <w:t xml:space="preserve"> </w:t>
      </w:r>
      <w:r w:rsidRPr="008245D8">
        <w:rPr>
          <w:lang w:val="fr-BE"/>
        </w:rPr>
        <w:t>la période de performance. Les niveaux de</w:t>
      </w:r>
      <w:r>
        <w:rPr>
          <w:lang w:val="fr-BE"/>
        </w:rPr>
        <w:t xml:space="preserve"> </w:t>
      </w:r>
      <w:r w:rsidRPr="008245D8">
        <w:rPr>
          <w:lang w:val="fr-BE"/>
        </w:rPr>
        <w:t>rémunération sont actuellement ciblés entre 30% et</w:t>
      </w:r>
      <w:r>
        <w:rPr>
          <w:lang w:val="fr-BE"/>
        </w:rPr>
        <w:t xml:space="preserve"> </w:t>
      </w:r>
      <w:r w:rsidRPr="008245D8">
        <w:rPr>
          <w:lang w:val="fr-BE"/>
        </w:rPr>
        <w:t>100% de la rémunération fixe annuelle, selon le</w:t>
      </w:r>
      <w:r>
        <w:rPr>
          <w:lang w:val="fr-BE"/>
        </w:rPr>
        <w:t xml:space="preserve"> </w:t>
      </w:r>
      <w:r w:rsidRPr="008245D8">
        <w:rPr>
          <w:lang w:val="fr-BE"/>
        </w:rPr>
        <w:t>poste.</w:t>
      </w:r>
    </w:p>
    <w:p w14:paraId="3D9E12AA" w14:textId="537A44ED" w:rsidR="008245D8" w:rsidRPr="008245D8" w:rsidRDefault="008245D8" w:rsidP="008245D8">
      <w:pPr>
        <w:rPr>
          <w:lang w:val="fr-BE"/>
        </w:rPr>
      </w:pPr>
      <w:r w:rsidRPr="008245D8">
        <w:rPr>
          <w:lang w:val="fr-BE"/>
        </w:rPr>
        <w:t>Pour l'année de performance 2020, la performance</w:t>
      </w:r>
      <w:r>
        <w:rPr>
          <w:lang w:val="fr-BE"/>
        </w:rPr>
        <w:t xml:space="preserve"> </w:t>
      </w:r>
      <w:r w:rsidRPr="008245D8">
        <w:rPr>
          <w:lang w:val="fr-BE"/>
        </w:rPr>
        <w:t>collective est mesurée par rapport aux objectifs de</w:t>
      </w:r>
      <w:r>
        <w:rPr>
          <w:lang w:val="fr-BE"/>
        </w:rPr>
        <w:t xml:space="preserve"> </w:t>
      </w:r>
      <w:r w:rsidRPr="008245D8">
        <w:rPr>
          <w:lang w:val="fr-BE"/>
        </w:rPr>
        <w:t>bénéfice avant impôts (PBT</w:t>
      </w:r>
      <w:r>
        <w:rPr>
          <w:lang w:val="fr-BE"/>
        </w:rPr>
        <w:t xml:space="preserve"> (</w:t>
      </w:r>
      <w:r w:rsidRPr="008245D8">
        <w:rPr>
          <w:i/>
          <w:iCs/>
          <w:lang w:val="fr-BE"/>
        </w:rPr>
        <w:t>profit before tax</w:t>
      </w:r>
      <w:r>
        <w:rPr>
          <w:lang w:val="fr-BE"/>
        </w:rPr>
        <w:t>)</w:t>
      </w:r>
      <w:r w:rsidRPr="008245D8">
        <w:rPr>
          <w:lang w:val="fr-BE"/>
        </w:rPr>
        <w:t>) et de prises de</w:t>
      </w:r>
      <w:r>
        <w:rPr>
          <w:lang w:val="fr-BE"/>
        </w:rPr>
        <w:t xml:space="preserve"> </w:t>
      </w:r>
      <w:r w:rsidRPr="008245D8">
        <w:rPr>
          <w:lang w:val="fr-BE"/>
        </w:rPr>
        <w:t>commandes, orientés vers l’atteinte et le</w:t>
      </w:r>
      <w:r>
        <w:rPr>
          <w:lang w:val="fr-BE"/>
        </w:rPr>
        <w:t xml:space="preserve"> </w:t>
      </w:r>
      <w:r w:rsidRPr="008245D8">
        <w:rPr>
          <w:lang w:val="fr-BE"/>
        </w:rPr>
        <w:t>dépassement des objectifs de la Société pour</w:t>
      </w:r>
      <w:r>
        <w:rPr>
          <w:lang w:val="fr-BE"/>
        </w:rPr>
        <w:t xml:space="preserve"> </w:t>
      </w:r>
      <w:r w:rsidRPr="008245D8">
        <w:rPr>
          <w:lang w:val="fr-BE"/>
        </w:rPr>
        <w:t>l’exercice</w:t>
      </w:r>
      <w:r>
        <w:rPr>
          <w:lang w:val="fr-BE"/>
        </w:rPr>
        <w:t>.</w:t>
      </w:r>
    </w:p>
    <w:p w14:paraId="166D4DE2" w14:textId="4BBAD5B8" w:rsidR="008245D8" w:rsidRPr="008245D8" w:rsidRDefault="008245D8" w:rsidP="008245D8">
      <w:pPr>
        <w:rPr>
          <w:lang w:val="fr-BE"/>
        </w:rPr>
      </w:pPr>
      <w:r w:rsidRPr="008245D8">
        <w:rPr>
          <w:lang w:val="fr-BE"/>
        </w:rPr>
        <w:t>A partir de l'année de performance 2021, IBA met en</w:t>
      </w:r>
      <w:r>
        <w:rPr>
          <w:lang w:val="fr-BE"/>
        </w:rPr>
        <w:t xml:space="preserve"> </w:t>
      </w:r>
      <w:r w:rsidRPr="008245D8">
        <w:rPr>
          <w:lang w:val="fr-BE"/>
        </w:rPr>
        <w:t>place un plan de participation aux bénéfices</w:t>
      </w:r>
      <w:r>
        <w:rPr>
          <w:lang w:val="fr-BE"/>
        </w:rPr>
        <w:t xml:space="preserve"> </w:t>
      </w:r>
      <w:r w:rsidRPr="008245D8">
        <w:rPr>
          <w:lang w:val="fr-BE"/>
        </w:rPr>
        <w:t>correspondant au dividende total versé aux</w:t>
      </w:r>
      <w:r>
        <w:rPr>
          <w:lang w:val="fr-BE"/>
        </w:rPr>
        <w:t xml:space="preserve"> </w:t>
      </w:r>
      <w:r w:rsidRPr="008245D8">
        <w:rPr>
          <w:lang w:val="fr-BE"/>
        </w:rPr>
        <w:t>actionnaires. Un certain nombre de Points de</w:t>
      </w:r>
      <w:r>
        <w:rPr>
          <w:lang w:val="fr-BE"/>
        </w:rPr>
        <w:t xml:space="preserve"> </w:t>
      </w:r>
      <w:r w:rsidRPr="008245D8">
        <w:rPr>
          <w:lang w:val="fr-BE"/>
        </w:rPr>
        <w:t>Participation aux Bénéfices est attribué à chaque</w:t>
      </w:r>
      <w:r>
        <w:rPr>
          <w:lang w:val="fr-BE"/>
        </w:rPr>
        <w:t xml:space="preserve"> </w:t>
      </w:r>
      <w:r w:rsidRPr="008245D8">
        <w:rPr>
          <w:lang w:val="fr-BE"/>
        </w:rPr>
        <w:t>collaborateur IBA, correspondant généralement à la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part de </w:t>
      </w:r>
      <w:r>
        <w:rPr>
          <w:lang w:val="fr-BE"/>
        </w:rPr>
        <w:t>sa</w:t>
      </w:r>
      <w:r w:rsidRPr="008245D8">
        <w:rPr>
          <w:lang w:val="fr-BE"/>
        </w:rPr>
        <w:t xml:space="preserve"> rémunération variable liée à la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performance collective. L'enveloppe de </w:t>
      </w:r>
      <w:r>
        <w:rPr>
          <w:lang w:val="fr-BE"/>
        </w:rPr>
        <w:t>P</w:t>
      </w:r>
      <w:r w:rsidRPr="008245D8">
        <w:rPr>
          <w:lang w:val="fr-BE"/>
        </w:rPr>
        <w:t>articipation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aux </w:t>
      </w:r>
      <w:r>
        <w:rPr>
          <w:lang w:val="fr-BE"/>
        </w:rPr>
        <w:t>B</w:t>
      </w:r>
      <w:r w:rsidRPr="008245D8">
        <w:rPr>
          <w:lang w:val="fr-BE"/>
        </w:rPr>
        <w:t>énéfices est répartie entre tous les employés en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conséquence. Les </w:t>
      </w:r>
      <w:r>
        <w:rPr>
          <w:lang w:val="fr-BE"/>
        </w:rPr>
        <w:t>Administrateurs Exécutifs et les</w:t>
      </w:r>
      <w:r w:rsidRPr="008245D8">
        <w:rPr>
          <w:lang w:val="fr-BE"/>
        </w:rPr>
        <w:t xml:space="preserve"> autres</w:t>
      </w:r>
      <w:r>
        <w:rPr>
          <w:lang w:val="fr-BE"/>
        </w:rPr>
        <w:t xml:space="preserve"> M</w:t>
      </w:r>
      <w:r w:rsidRPr="008245D8">
        <w:rPr>
          <w:lang w:val="fr-BE"/>
        </w:rPr>
        <w:t xml:space="preserve">embres </w:t>
      </w:r>
      <w:r>
        <w:rPr>
          <w:lang w:val="fr-BE"/>
        </w:rPr>
        <w:t>du Management Team</w:t>
      </w:r>
      <w:r w:rsidRPr="008245D8">
        <w:rPr>
          <w:lang w:val="fr-BE"/>
        </w:rPr>
        <w:t xml:space="preserve"> participent à ce</w:t>
      </w:r>
      <w:r>
        <w:rPr>
          <w:lang w:val="fr-BE"/>
        </w:rPr>
        <w:t xml:space="preserve"> </w:t>
      </w:r>
      <w:r w:rsidRPr="008245D8">
        <w:rPr>
          <w:lang w:val="fr-BE"/>
        </w:rPr>
        <w:t>plan aux côtés des salariés, 50% de leur</w:t>
      </w:r>
      <w:r>
        <w:rPr>
          <w:lang w:val="fr-BE"/>
        </w:rPr>
        <w:t xml:space="preserve"> </w:t>
      </w:r>
      <w:r w:rsidRPr="008245D8">
        <w:rPr>
          <w:lang w:val="fr-BE"/>
        </w:rPr>
        <w:t>rémunération variable étant basée sur ce plan</w:t>
      </w:r>
      <w:r>
        <w:rPr>
          <w:lang w:val="fr-BE"/>
        </w:rPr>
        <w:t xml:space="preserve"> </w:t>
      </w:r>
      <w:r w:rsidRPr="008245D8">
        <w:rPr>
          <w:lang w:val="fr-BE"/>
        </w:rPr>
        <w:t>d'intéressement.</w:t>
      </w:r>
    </w:p>
    <w:p w14:paraId="49437F13" w14:textId="7FBE8D3A" w:rsidR="008245D8" w:rsidRPr="008245D8" w:rsidRDefault="008245D8" w:rsidP="008245D8">
      <w:pPr>
        <w:rPr>
          <w:lang w:val="fr-BE"/>
        </w:rPr>
      </w:pPr>
      <w:r w:rsidRPr="008245D8">
        <w:rPr>
          <w:lang w:val="fr-BE"/>
        </w:rPr>
        <w:t>Au niveau individuel, les objectifs quantitatifs et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qualitatifs sont axés sur la mise en </w:t>
      </w:r>
      <w:r w:rsidRPr="008245D8">
        <w:rPr>
          <w:lang w:val="fr-BE"/>
        </w:rPr>
        <w:t>œuvre</w:t>
      </w:r>
      <w:r w:rsidRPr="008245D8">
        <w:rPr>
          <w:lang w:val="fr-BE"/>
        </w:rPr>
        <w:t xml:space="preserve"> de la</w:t>
      </w:r>
      <w:r>
        <w:rPr>
          <w:lang w:val="fr-BE"/>
        </w:rPr>
        <w:t xml:space="preserve"> </w:t>
      </w:r>
      <w:r w:rsidRPr="008245D8">
        <w:rPr>
          <w:lang w:val="fr-BE"/>
        </w:rPr>
        <w:t>stratégie commerciale et reflètent des défis</w:t>
      </w:r>
      <w:r>
        <w:rPr>
          <w:lang w:val="fr-BE"/>
        </w:rPr>
        <w:t xml:space="preserve"> </w:t>
      </w:r>
      <w:r w:rsidRPr="008245D8">
        <w:rPr>
          <w:lang w:val="fr-BE"/>
        </w:rPr>
        <w:t>stratégiques spécifiques au niveau du Groupe ou de</w:t>
      </w:r>
      <w:r>
        <w:rPr>
          <w:lang w:val="fr-BE"/>
        </w:rPr>
        <w:t xml:space="preserve"> </w:t>
      </w:r>
      <w:r w:rsidRPr="008245D8">
        <w:rPr>
          <w:lang w:val="fr-BE"/>
        </w:rPr>
        <w:t xml:space="preserve">l'unité opérationnelle, y compris </w:t>
      </w:r>
      <w:r>
        <w:rPr>
          <w:lang w:val="fr-BE"/>
        </w:rPr>
        <w:t>(</w:t>
      </w:r>
      <w:r w:rsidRPr="008245D8">
        <w:rPr>
          <w:lang w:val="fr-BE"/>
        </w:rPr>
        <w:t>i) les objectifs</w:t>
      </w:r>
      <w:r>
        <w:rPr>
          <w:lang w:val="fr-BE"/>
        </w:rPr>
        <w:t xml:space="preserve"> </w:t>
      </w:r>
      <w:r w:rsidRPr="008245D8">
        <w:rPr>
          <w:lang w:val="fr-BE"/>
        </w:rPr>
        <w:t>financiers (PBT)</w:t>
      </w:r>
      <w:r>
        <w:rPr>
          <w:lang w:val="fr-BE"/>
        </w:rPr>
        <w:t>, (</w:t>
      </w:r>
      <w:r w:rsidRPr="008245D8">
        <w:rPr>
          <w:lang w:val="fr-BE"/>
        </w:rPr>
        <w:t xml:space="preserve">ii) les objectifs commerciaux et </w:t>
      </w:r>
      <w:r>
        <w:rPr>
          <w:lang w:val="fr-BE"/>
        </w:rPr>
        <w:t>(</w:t>
      </w:r>
      <w:r w:rsidRPr="008245D8">
        <w:rPr>
          <w:lang w:val="fr-BE"/>
        </w:rPr>
        <w:t>iii)</w:t>
      </w:r>
      <w:r>
        <w:rPr>
          <w:lang w:val="fr-BE"/>
        </w:rPr>
        <w:t xml:space="preserve"> </w:t>
      </w:r>
      <w:r w:rsidRPr="008245D8">
        <w:rPr>
          <w:lang w:val="fr-BE"/>
        </w:rPr>
        <w:t>les objectifs stratégiques. Le paiement maximum est</w:t>
      </w:r>
      <w:r>
        <w:rPr>
          <w:lang w:val="fr-BE"/>
        </w:rPr>
        <w:t xml:space="preserve"> </w:t>
      </w:r>
      <w:r w:rsidRPr="008245D8">
        <w:rPr>
          <w:lang w:val="fr-BE"/>
        </w:rPr>
        <w:t>fixé à 150% de l'objectif en cas de performance</w:t>
      </w:r>
      <w:r>
        <w:rPr>
          <w:lang w:val="fr-BE"/>
        </w:rPr>
        <w:t xml:space="preserve"> </w:t>
      </w:r>
      <w:r w:rsidRPr="008245D8">
        <w:rPr>
          <w:lang w:val="fr-BE"/>
        </w:rPr>
        <w:t>exceptionnelle, tandis que des performances</w:t>
      </w:r>
      <w:r>
        <w:rPr>
          <w:lang w:val="fr-BE"/>
        </w:rPr>
        <w:t xml:space="preserve"> </w:t>
      </w:r>
      <w:r w:rsidRPr="008245D8">
        <w:rPr>
          <w:lang w:val="fr-BE"/>
        </w:rPr>
        <w:t>inférieures aux attentes se traduisent par un</w:t>
      </w:r>
      <w:r>
        <w:rPr>
          <w:lang w:val="fr-BE"/>
        </w:rPr>
        <w:t xml:space="preserve"> </w:t>
      </w:r>
      <w:r w:rsidRPr="008245D8">
        <w:rPr>
          <w:lang w:val="fr-BE"/>
        </w:rPr>
        <w:t>paiement nul</w:t>
      </w:r>
      <w:r>
        <w:rPr>
          <w:lang w:val="fr-BE"/>
        </w:rPr>
        <w:t>.</w:t>
      </w:r>
    </w:p>
    <w:p w14:paraId="4D6A2F1A" w14:textId="32927790" w:rsidR="00927B4D" w:rsidRPr="008245D8" w:rsidRDefault="008245D8" w:rsidP="00927B4D">
      <w:pPr>
        <w:rPr>
          <w:iCs/>
          <w:lang w:val="fr-BE"/>
        </w:rPr>
      </w:pPr>
      <w:r w:rsidRPr="008245D8">
        <w:rPr>
          <w:lang w:val="fr-BE"/>
        </w:rPr>
        <w:t xml:space="preserve">La période de performance est </w:t>
      </w:r>
      <w:r>
        <w:rPr>
          <w:lang w:val="fr-BE"/>
        </w:rPr>
        <w:t>l’exercice</w:t>
      </w:r>
      <w:r w:rsidRPr="008245D8">
        <w:rPr>
          <w:lang w:val="fr-BE"/>
        </w:rPr>
        <w:t xml:space="preserve"> fiscal</w:t>
      </w:r>
      <w:r w:rsidR="00927B4D" w:rsidRPr="008245D8">
        <w:rPr>
          <w:lang w:val="fr-BE"/>
        </w:rPr>
        <w:t>.</w:t>
      </w:r>
    </w:p>
    <w:p w14:paraId="7D9DDC52" w14:textId="5EE9EACB" w:rsidR="00927B4D" w:rsidRDefault="008245D8" w:rsidP="00BE2ABA">
      <w:pPr>
        <w:rPr>
          <w:lang w:val="fr-BE"/>
        </w:rPr>
      </w:pPr>
      <w:r w:rsidRPr="008245D8">
        <w:rPr>
          <w:lang w:val="fr-BE"/>
        </w:rPr>
        <w:t xml:space="preserve">Les </w:t>
      </w:r>
      <w:r>
        <w:rPr>
          <w:lang w:val="fr-BE"/>
        </w:rPr>
        <w:t xml:space="preserve">Administrateurs Exécutifs </w:t>
      </w:r>
      <w:r w:rsidRPr="008245D8">
        <w:rPr>
          <w:lang w:val="fr-BE"/>
        </w:rPr>
        <w:t>ne sont pas</w:t>
      </w:r>
      <w:r>
        <w:rPr>
          <w:lang w:val="fr-BE"/>
        </w:rPr>
        <w:t xml:space="preserve"> </w:t>
      </w:r>
      <w:r w:rsidRPr="008245D8">
        <w:rPr>
          <w:lang w:val="fr-BE"/>
        </w:rPr>
        <w:t>présents aux réunions du Conseil d'Administration et</w:t>
      </w:r>
      <w:r>
        <w:rPr>
          <w:lang w:val="fr-BE"/>
        </w:rPr>
        <w:t xml:space="preserve"> </w:t>
      </w:r>
      <w:r w:rsidRPr="008245D8">
        <w:rPr>
          <w:lang w:val="fr-BE"/>
        </w:rPr>
        <w:t>du Comité de Rémunération où leurs</w:t>
      </w:r>
      <w:r>
        <w:rPr>
          <w:lang w:val="fr-BE"/>
        </w:rPr>
        <w:t xml:space="preserve"> </w:t>
      </w:r>
      <w:r w:rsidRPr="008245D8">
        <w:rPr>
          <w:lang w:val="fr-BE"/>
        </w:rPr>
        <w:t>performances et niveaux de rémunération variable</w:t>
      </w:r>
      <w:r>
        <w:rPr>
          <w:lang w:val="fr-BE"/>
        </w:rPr>
        <w:t xml:space="preserve"> </w:t>
      </w:r>
      <w:r w:rsidRPr="008245D8">
        <w:rPr>
          <w:lang w:val="fr-BE"/>
        </w:rPr>
        <w:t>sont discutés et décidés. La Charte de Gouvernance</w:t>
      </w:r>
      <w:r>
        <w:rPr>
          <w:lang w:val="fr-BE"/>
        </w:rPr>
        <w:t xml:space="preserve"> </w:t>
      </w:r>
      <w:r w:rsidRPr="008245D8">
        <w:rPr>
          <w:lang w:val="fr-BE"/>
        </w:rPr>
        <w:t>d'Entreprise IBA de décembre 2020 met</w:t>
      </w:r>
      <w:r>
        <w:rPr>
          <w:lang w:val="fr-BE"/>
        </w:rPr>
        <w:t xml:space="preserve"> </w:t>
      </w:r>
      <w:r w:rsidRPr="008245D8">
        <w:rPr>
          <w:lang w:val="fr-BE"/>
        </w:rPr>
        <w:t>explicitement en garde contre les conflits d'intérêts et</w:t>
      </w:r>
      <w:r>
        <w:rPr>
          <w:lang w:val="fr-BE"/>
        </w:rPr>
        <w:t xml:space="preserve"> traite de la façon d’</w:t>
      </w:r>
      <w:r w:rsidRPr="008245D8">
        <w:rPr>
          <w:lang w:val="fr-BE"/>
        </w:rPr>
        <w:t xml:space="preserve">agir </w:t>
      </w:r>
      <w:r>
        <w:rPr>
          <w:lang w:val="fr-BE"/>
        </w:rPr>
        <w:t xml:space="preserve">dans </w:t>
      </w:r>
      <w:r w:rsidRPr="008245D8">
        <w:rPr>
          <w:lang w:val="fr-BE"/>
        </w:rPr>
        <w:t>une telle situation (voir points</w:t>
      </w:r>
      <w:r>
        <w:rPr>
          <w:lang w:val="fr-BE"/>
        </w:rPr>
        <w:t xml:space="preserve"> </w:t>
      </w:r>
      <w:r w:rsidRPr="008245D8">
        <w:rPr>
          <w:lang w:val="fr-BE"/>
        </w:rPr>
        <w:t>4.3.3 et 4.4.2 et 7.1</w:t>
      </w:r>
      <w:r>
        <w:rPr>
          <w:lang w:val="fr-BE"/>
        </w:rPr>
        <w:t xml:space="preserve"> de</w:t>
      </w:r>
      <w:r w:rsidRPr="008245D8">
        <w:rPr>
          <w:lang w:val="fr-BE"/>
        </w:rPr>
        <w:t xml:space="preserve"> </w:t>
      </w:r>
      <w:r>
        <w:rPr>
          <w:lang w:val="fr-BE"/>
        </w:rPr>
        <w:t xml:space="preserve">la </w:t>
      </w:r>
      <w:r w:rsidRPr="008245D8">
        <w:rPr>
          <w:lang w:val="fr-BE"/>
        </w:rPr>
        <w:t>Charte de Gouvernance</w:t>
      </w:r>
      <w:r>
        <w:rPr>
          <w:lang w:val="fr-BE"/>
        </w:rPr>
        <w:t xml:space="preserve"> </w:t>
      </w:r>
      <w:r w:rsidRPr="008245D8">
        <w:rPr>
          <w:lang w:val="fr-BE"/>
        </w:rPr>
        <w:t>d'Entreprise).</w:t>
      </w:r>
    </w:p>
    <w:p w14:paraId="4EE14483" w14:textId="6AF12ED7" w:rsidR="00555731" w:rsidRPr="00555731" w:rsidRDefault="00555731" w:rsidP="00555731">
      <w:pPr>
        <w:rPr>
          <w:lang w:val="fr-BE"/>
        </w:rPr>
      </w:pPr>
      <w:r w:rsidRPr="00555731">
        <w:rPr>
          <w:lang w:val="fr-BE"/>
        </w:rPr>
        <w:lastRenderedPageBreak/>
        <w:t xml:space="preserve">Les accords avec les </w:t>
      </w:r>
      <w:r>
        <w:rPr>
          <w:lang w:val="fr-BE"/>
        </w:rPr>
        <w:t xml:space="preserve">Administrateurs Exécutifs </w:t>
      </w:r>
      <w:r w:rsidRPr="00555731">
        <w:rPr>
          <w:lang w:val="fr-BE"/>
        </w:rPr>
        <w:t>et les</w:t>
      </w:r>
      <w:r>
        <w:rPr>
          <w:lang w:val="fr-BE"/>
        </w:rPr>
        <w:t xml:space="preserve"> 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555731">
        <w:rPr>
          <w:lang w:val="fr-BE"/>
        </w:rPr>
        <w:t xml:space="preserve"> contiennent des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clauses de </w:t>
      </w:r>
      <w:r>
        <w:rPr>
          <w:lang w:val="fr-BE"/>
        </w:rPr>
        <w:t>restitution</w:t>
      </w:r>
      <w:r w:rsidRPr="00555731">
        <w:rPr>
          <w:lang w:val="fr-BE"/>
        </w:rPr>
        <w:t xml:space="preserve"> concernant les paiements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variables qui </w:t>
      </w:r>
      <w:r>
        <w:rPr>
          <w:lang w:val="fr-BE"/>
        </w:rPr>
        <w:t>auraient été</w:t>
      </w:r>
      <w:r w:rsidRPr="00555731">
        <w:rPr>
          <w:lang w:val="fr-BE"/>
        </w:rPr>
        <w:t xml:space="preserve"> effectués sur la base</w:t>
      </w:r>
      <w:r>
        <w:rPr>
          <w:lang w:val="fr-BE"/>
        </w:rPr>
        <w:t xml:space="preserve"> </w:t>
      </w:r>
      <w:r w:rsidRPr="00555731">
        <w:rPr>
          <w:lang w:val="fr-BE"/>
        </w:rPr>
        <w:t>d'informations financières erronées</w:t>
      </w:r>
      <w:r>
        <w:rPr>
          <w:lang w:val="fr-BE"/>
        </w:rPr>
        <w:t>.</w:t>
      </w:r>
    </w:p>
    <w:p w14:paraId="0EA85A33" w14:textId="5932711E" w:rsidR="00927B4D" w:rsidRPr="00555731" w:rsidRDefault="00555731" w:rsidP="00927B4D">
      <w:pPr>
        <w:rPr>
          <w:b/>
          <w:bCs/>
          <w:i/>
          <w:iCs/>
          <w:lang w:val="fr-BE"/>
        </w:rPr>
      </w:pPr>
      <w:r w:rsidRPr="00555731">
        <w:rPr>
          <w:b/>
          <w:bCs/>
          <w:i/>
          <w:iCs/>
          <w:lang w:val="fr-BE"/>
        </w:rPr>
        <w:t>Intéressement à long te</w:t>
      </w:r>
      <w:r>
        <w:rPr>
          <w:b/>
          <w:bCs/>
          <w:i/>
          <w:iCs/>
          <w:lang w:val="fr-BE"/>
        </w:rPr>
        <w:t xml:space="preserve">rme </w:t>
      </w:r>
      <w:r w:rsidR="00BE2ABA" w:rsidRPr="00555731">
        <w:rPr>
          <w:b/>
          <w:bCs/>
          <w:i/>
          <w:iCs/>
          <w:lang w:val="fr-BE"/>
        </w:rPr>
        <w:t>(LTI</w:t>
      </w:r>
      <w:r w:rsidRPr="00555731">
        <w:rPr>
          <w:b/>
          <w:bCs/>
          <w:i/>
          <w:iCs/>
          <w:lang w:val="fr-BE"/>
        </w:rPr>
        <w:t xml:space="preserve">, pour </w:t>
      </w:r>
      <w:r>
        <w:rPr>
          <w:b/>
          <w:bCs/>
          <w:i/>
          <w:iCs/>
          <w:lang w:val="fr-BE"/>
        </w:rPr>
        <w:t>« </w:t>
      </w:r>
      <w:r>
        <w:rPr>
          <w:b/>
          <w:bCs/>
          <w:i/>
          <w:iCs/>
          <w:lang w:val="fr-BE"/>
        </w:rPr>
        <w:t xml:space="preserve">Long-Term Incentive ») </w:t>
      </w:r>
      <w:r w:rsidR="003F6070" w:rsidRPr="00555731">
        <w:rPr>
          <w:b/>
          <w:bCs/>
          <w:i/>
          <w:iCs/>
          <w:lang w:val="fr-BE"/>
        </w:rPr>
        <w:t>:</w:t>
      </w:r>
      <w:r w:rsidR="00BE2ABA" w:rsidRPr="00555731">
        <w:rPr>
          <w:b/>
          <w:bCs/>
          <w:i/>
          <w:iCs/>
          <w:lang w:val="fr-BE"/>
        </w:rPr>
        <w:t xml:space="preserve"> </w:t>
      </w:r>
      <w:r w:rsidR="00927B4D" w:rsidRPr="00555731">
        <w:rPr>
          <w:b/>
          <w:bCs/>
          <w:i/>
          <w:iCs/>
          <w:lang w:val="fr-BE"/>
        </w:rPr>
        <w:t>Plan</w:t>
      </w:r>
      <w:r>
        <w:rPr>
          <w:b/>
          <w:bCs/>
          <w:i/>
          <w:iCs/>
          <w:lang w:val="fr-BE"/>
        </w:rPr>
        <w:t xml:space="preserve"> de Stock-Options</w:t>
      </w:r>
    </w:p>
    <w:p w14:paraId="46C13345" w14:textId="7D82950F" w:rsidR="00555731" w:rsidRDefault="00555731" w:rsidP="00555731">
      <w:pPr>
        <w:rPr>
          <w:lang w:val="fr-BE"/>
        </w:rPr>
      </w:pPr>
      <w:r w:rsidRPr="00555731">
        <w:rPr>
          <w:lang w:val="fr-BE"/>
        </w:rPr>
        <w:t xml:space="preserve">Un nouveau </w:t>
      </w:r>
      <w:r>
        <w:rPr>
          <w:lang w:val="fr-BE"/>
        </w:rPr>
        <w:t>P</w:t>
      </w:r>
      <w:r w:rsidRPr="00555731">
        <w:rPr>
          <w:lang w:val="fr-BE"/>
        </w:rPr>
        <w:t>lan d'</w:t>
      </w:r>
      <w:r>
        <w:rPr>
          <w:lang w:val="fr-BE"/>
        </w:rPr>
        <w:t>O</w:t>
      </w:r>
      <w:r w:rsidRPr="00555731">
        <w:rPr>
          <w:lang w:val="fr-BE"/>
        </w:rPr>
        <w:t xml:space="preserve">ptions sur </w:t>
      </w:r>
      <w:r>
        <w:rPr>
          <w:lang w:val="fr-BE"/>
        </w:rPr>
        <w:t>A</w:t>
      </w:r>
      <w:r w:rsidRPr="00555731">
        <w:rPr>
          <w:lang w:val="fr-BE"/>
        </w:rPr>
        <w:t>ctions a été proposé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en 2021 aux </w:t>
      </w:r>
      <w:r>
        <w:rPr>
          <w:lang w:val="fr-BE"/>
        </w:rPr>
        <w:t xml:space="preserve">Administrateurs Exécutifs </w:t>
      </w:r>
      <w:r w:rsidRPr="00555731">
        <w:rPr>
          <w:lang w:val="fr-BE"/>
        </w:rPr>
        <w:t xml:space="preserve">et </w:t>
      </w:r>
      <w:r>
        <w:rPr>
          <w:lang w:val="fr-BE"/>
        </w:rPr>
        <w:t xml:space="preserve">aux </w:t>
      </w:r>
      <w:r>
        <w:rPr>
          <w:lang w:val="fr-BE"/>
        </w:rPr>
        <w:t>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555731">
        <w:rPr>
          <w:lang w:val="fr-BE"/>
        </w:rPr>
        <w:t>, ainsi qu'à certains</w:t>
      </w:r>
      <w:r>
        <w:rPr>
          <w:lang w:val="fr-BE"/>
        </w:rPr>
        <w:t xml:space="preserve"> </w:t>
      </w:r>
      <w:r w:rsidRPr="00555731">
        <w:rPr>
          <w:lang w:val="fr-BE"/>
        </w:rPr>
        <w:t>autres hauts dirigeants. Le plan est acquis le 1</w:t>
      </w:r>
      <w:r w:rsidRPr="00555731">
        <w:rPr>
          <w:vertAlign w:val="superscript"/>
          <w:lang w:val="fr-BE"/>
        </w:rPr>
        <w:t>er</w:t>
      </w:r>
      <w:r>
        <w:rPr>
          <w:lang w:val="fr-BE"/>
        </w:rPr>
        <w:t xml:space="preserve"> </w:t>
      </w:r>
      <w:r w:rsidRPr="00555731">
        <w:rPr>
          <w:lang w:val="fr-BE"/>
        </w:rPr>
        <w:t>janvier 2025 et peut être exercé jusqu'au 31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décembre 2026. Tout produit </w:t>
      </w:r>
      <w:r>
        <w:rPr>
          <w:lang w:val="fr-BE"/>
        </w:rPr>
        <w:t>perçu</w:t>
      </w:r>
      <w:r w:rsidRPr="00555731">
        <w:rPr>
          <w:lang w:val="fr-BE"/>
        </w:rPr>
        <w:t xml:space="preserve"> dans le cadre de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ce plan sera remis aux bénéficiaires sous </w:t>
      </w:r>
      <w:r>
        <w:rPr>
          <w:lang w:val="fr-BE"/>
        </w:rPr>
        <w:t xml:space="preserve">la </w:t>
      </w:r>
      <w:r w:rsidRPr="00555731">
        <w:rPr>
          <w:lang w:val="fr-BE"/>
        </w:rPr>
        <w:t>forme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d'actions </w:t>
      </w:r>
      <w:r>
        <w:rPr>
          <w:lang w:val="fr-BE"/>
        </w:rPr>
        <w:t>pleines et entières</w:t>
      </w:r>
      <w:r w:rsidRPr="00555731">
        <w:rPr>
          <w:lang w:val="fr-BE"/>
        </w:rPr>
        <w:t xml:space="preserve"> jusqu'à ce que leur MHR tel que</w:t>
      </w:r>
      <w:r>
        <w:rPr>
          <w:lang w:val="fr-BE"/>
        </w:rPr>
        <w:t xml:space="preserve"> </w:t>
      </w:r>
      <w:r w:rsidRPr="00555731">
        <w:rPr>
          <w:lang w:val="fr-BE"/>
        </w:rPr>
        <w:t>défini ci-dessous soit atteint. Lorsque leur MHR est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atteint, les bénéficiaires du </w:t>
      </w:r>
      <w:r w:rsidR="00A568D3">
        <w:rPr>
          <w:lang w:val="fr-BE"/>
        </w:rPr>
        <w:t>plan</w:t>
      </w:r>
      <w:r w:rsidRPr="00555731">
        <w:rPr>
          <w:lang w:val="fr-BE"/>
        </w:rPr>
        <w:t xml:space="preserve"> peuvent choisir</w:t>
      </w:r>
      <w:r>
        <w:rPr>
          <w:lang w:val="fr-BE"/>
        </w:rPr>
        <w:t xml:space="preserve"> </w:t>
      </w:r>
      <w:r w:rsidRPr="00555731">
        <w:rPr>
          <w:lang w:val="fr-BE"/>
        </w:rPr>
        <w:t xml:space="preserve">d'obtenir leur produit sous </w:t>
      </w:r>
      <w:r w:rsidR="00A568D3">
        <w:rPr>
          <w:lang w:val="fr-BE"/>
        </w:rPr>
        <w:t xml:space="preserve">la </w:t>
      </w:r>
      <w:r w:rsidRPr="00555731">
        <w:rPr>
          <w:lang w:val="fr-BE"/>
        </w:rPr>
        <w:t>forme d'actions ou en</w:t>
      </w:r>
      <w:r>
        <w:rPr>
          <w:lang w:val="fr-BE"/>
        </w:rPr>
        <w:t xml:space="preserve"> </w:t>
      </w:r>
      <w:r w:rsidRPr="00555731">
        <w:rPr>
          <w:lang w:val="fr-BE"/>
        </w:rPr>
        <w:t>espèces. Les options de ce plan ont un prix</w:t>
      </w:r>
      <w:r>
        <w:rPr>
          <w:lang w:val="fr-BE"/>
        </w:rPr>
        <w:t xml:space="preserve"> </w:t>
      </w:r>
      <w:r w:rsidRPr="00555731">
        <w:rPr>
          <w:lang w:val="fr-BE"/>
        </w:rPr>
        <w:t>d'exercice de 13,39</w:t>
      </w:r>
      <w:r>
        <w:rPr>
          <w:lang w:val="fr-BE"/>
        </w:rPr>
        <w:t xml:space="preserve"> €.</w:t>
      </w:r>
    </w:p>
    <w:p w14:paraId="03E17613" w14:textId="48ADDB2F" w:rsidR="00927B4D" w:rsidRPr="00555731" w:rsidRDefault="00555731" w:rsidP="00927B4D">
      <w:pPr>
        <w:rPr>
          <w:b/>
          <w:bCs/>
          <w:i/>
          <w:iCs/>
          <w:lang w:val="fr-BE"/>
        </w:rPr>
      </w:pPr>
      <w:r w:rsidRPr="00555731">
        <w:rPr>
          <w:b/>
          <w:bCs/>
          <w:i/>
          <w:iCs/>
          <w:lang w:val="fr-BE"/>
        </w:rPr>
        <w:t>Exigence M</w:t>
      </w:r>
      <w:r>
        <w:rPr>
          <w:b/>
          <w:bCs/>
          <w:i/>
          <w:iCs/>
          <w:lang w:val="fr-BE"/>
        </w:rPr>
        <w:t>i</w:t>
      </w:r>
      <w:r w:rsidRPr="00555731">
        <w:rPr>
          <w:b/>
          <w:bCs/>
          <w:i/>
          <w:iCs/>
          <w:lang w:val="fr-BE"/>
        </w:rPr>
        <w:t>nimale de Détention</w:t>
      </w:r>
      <w:r w:rsidR="00927B4D" w:rsidRPr="00555731">
        <w:rPr>
          <w:b/>
          <w:bCs/>
          <w:i/>
          <w:iCs/>
          <w:lang w:val="fr-BE"/>
        </w:rPr>
        <w:t xml:space="preserve"> (MHR</w:t>
      </w:r>
      <w:r w:rsidRPr="00555731">
        <w:rPr>
          <w:b/>
          <w:bCs/>
          <w:i/>
          <w:iCs/>
          <w:lang w:val="fr-BE"/>
        </w:rPr>
        <w:t xml:space="preserve">, pour </w:t>
      </w:r>
      <w:r>
        <w:rPr>
          <w:b/>
          <w:bCs/>
          <w:i/>
          <w:iCs/>
          <w:lang w:val="fr-BE"/>
        </w:rPr>
        <w:t>« </w:t>
      </w:r>
      <w:r w:rsidRPr="00555731">
        <w:rPr>
          <w:b/>
          <w:bCs/>
          <w:i/>
          <w:iCs/>
          <w:lang w:val="fr-BE"/>
        </w:rPr>
        <w:t>Minimum Holding Requirement</w:t>
      </w:r>
      <w:r>
        <w:rPr>
          <w:b/>
          <w:bCs/>
          <w:i/>
          <w:iCs/>
          <w:lang w:val="fr-BE"/>
        </w:rPr>
        <w:t> »</w:t>
      </w:r>
      <w:r w:rsidR="00927B4D" w:rsidRPr="00555731">
        <w:rPr>
          <w:b/>
          <w:bCs/>
          <w:i/>
          <w:iCs/>
          <w:lang w:val="fr-BE"/>
        </w:rPr>
        <w:t>)</w:t>
      </w:r>
    </w:p>
    <w:p w14:paraId="77ED1B92" w14:textId="1989F1E2" w:rsidR="00A568D3" w:rsidRPr="00A568D3" w:rsidRDefault="00A568D3" w:rsidP="00A568D3">
      <w:pPr>
        <w:rPr>
          <w:lang w:val="fr-BE"/>
        </w:rPr>
      </w:pPr>
      <w:r w:rsidRPr="00A568D3">
        <w:rPr>
          <w:lang w:val="fr-BE"/>
        </w:rPr>
        <w:t>Un nombre minimum d'actions nominatives de la</w:t>
      </w:r>
      <w:r>
        <w:rPr>
          <w:lang w:val="fr-BE"/>
        </w:rPr>
        <w:t xml:space="preserve"> </w:t>
      </w:r>
      <w:r w:rsidRPr="00A568D3">
        <w:rPr>
          <w:lang w:val="fr-BE"/>
        </w:rPr>
        <w:t>Société doit être détenu par les Administrateurs</w:t>
      </w:r>
      <w:r>
        <w:rPr>
          <w:lang w:val="fr-BE"/>
        </w:rPr>
        <w:t xml:space="preserve"> Exécutifs</w:t>
      </w:r>
      <w:r w:rsidRPr="00A568D3">
        <w:rPr>
          <w:lang w:val="fr-BE"/>
        </w:rPr>
        <w:t xml:space="preserve"> et les </w:t>
      </w:r>
      <w:r>
        <w:rPr>
          <w:lang w:val="fr-BE"/>
        </w:rPr>
        <w:t>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A568D3">
        <w:rPr>
          <w:lang w:val="fr-BE"/>
        </w:rPr>
        <w:t>.</w:t>
      </w:r>
      <w:r>
        <w:rPr>
          <w:lang w:val="fr-BE"/>
        </w:rPr>
        <w:t xml:space="preserve"> </w:t>
      </w:r>
      <w:r w:rsidRPr="00A568D3">
        <w:rPr>
          <w:lang w:val="fr-BE"/>
        </w:rPr>
        <w:t>Chacun d'eux doit acquérir, détenir et conserver</w:t>
      </w:r>
      <w:r>
        <w:rPr>
          <w:lang w:val="fr-BE"/>
        </w:rPr>
        <w:t xml:space="preserve"> </w:t>
      </w:r>
      <w:r w:rsidRPr="00A568D3">
        <w:rPr>
          <w:lang w:val="fr-BE"/>
        </w:rPr>
        <w:t>directement ou indirectement un nombre d'actions de</w:t>
      </w:r>
      <w:r>
        <w:rPr>
          <w:lang w:val="fr-BE"/>
        </w:rPr>
        <w:t xml:space="preserve"> </w:t>
      </w:r>
      <w:r w:rsidRPr="00A568D3">
        <w:rPr>
          <w:lang w:val="fr-BE"/>
        </w:rPr>
        <w:t>la Société correspondant à 100</w:t>
      </w:r>
      <w:r>
        <w:rPr>
          <w:lang w:val="fr-BE"/>
        </w:rPr>
        <w:t>.</w:t>
      </w:r>
      <w:r w:rsidRPr="00A568D3">
        <w:rPr>
          <w:lang w:val="fr-BE"/>
        </w:rPr>
        <w:t xml:space="preserve">000 actions IBA </w:t>
      </w:r>
      <w:r>
        <w:rPr>
          <w:lang w:val="fr-BE"/>
        </w:rPr>
        <w:t>p</w:t>
      </w:r>
      <w:r w:rsidRPr="00A568D3">
        <w:rPr>
          <w:lang w:val="fr-BE"/>
        </w:rPr>
        <w:t>our</w:t>
      </w:r>
      <w:r>
        <w:rPr>
          <w:lang w:val="fr-BE"/>
        </w:rPr>
        <w:t xml:space="preserve"> </w:t>
      </w:r>
      <w:r w:rsidRPr="00A568D3">
        <w:rPr>
          <w:lang w:val="fr-BE"/>
        </w:rPr>
        <w:t>les Administrateurs</w:t>
      </w:r>
      <w:r>
        <w:rPr>
          <w:lang w:val="fr-BE"/>
        </w:rPr>
        <w:t xml:space="preserve"> Exécutifs</w:t>
      </w:r>
      <w:r w:rsidRPr="00A568D3">
        <w:rPr>
          <w:lang w:val="fr-BE"/>
        </w:rPr>
        <w:t xml:space="preserve"> et à 10</w:t>
      </w:r>
      <w:r>
        <w:rPr>
          <w:lang w:val="fr-BE"/>
        </w:rPr>
        <w:t>.</w:t>
      </w:r>
      <w:r w:rsidRPr="00A568D3">
        <w:rPr>
          <w:lang w:val="fr-BE"/>
        </w:rPr>
        <w:t>000 actions IBA pour</w:t>
      </w:r>
      <w:r>
        <w:rPr>
          <w:lang w:val="fr-BE"/>
        </w:rPr>
        <w:t xml:space="preserve"> </w:t>
      </w:r>
      <w:r w:rsidRPr="00A568D3">
        <w:rPr>
          <w:lang w:val="fr-BE"/>
        </w:rPr>
        <w:t xml:space="preserve">les </w:t>
      </w:r>
      <w:r>
        <w:rPr>
          <w:lang w:val="fr-BE"/>
        </w:rPr>
        <w:t>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A568D3">
        <w:rPr>
          <w:lang w:val="fr-BE"/>
        </w:rPr>
        <w:t>. Les autres</w:t>
      </w:r>
      <w:r>
        <w:rPr>
          <w:lang w:val="fr-BE"/>
        </w:rPr>
        <w:t xml:space="preserve"> hauts </w:t>
      </w:r>
      <w:r w:rsidRPr="00A568D3">
        <w:rPr>
          <w:lang w:val="fr-BE"/>
        </w:rPr>
        <w:t>dirigeants qui participent au plan d'options sur</w:t>
      </w:r>
      <w:r>
        <w:rPr>
          <w:lang w:val="fr-BE"/>
        </w:rPr>
        <w:t xml:space="preserve"> </w:t>
      </w:r>
      <w:r w:rsidRPr="00A568D3">
        <w:rPr>
          <w:lang w:val="fr-BE"/>
        </w:rPr>
        <w:t>actions décrit ci-dessus sont également soumis à un</w:t>
      </w:r>
      <w:r>
        <w:rPr>
          <w:lang w:val="fr-BE"/>
        </w:rPr>
        <w:t xml:space="preserve"> </w:t>
      </w:r>
      <w:r w:rsidRPr="00A568D3">
        <w:rPr>
          <w:lang w:val="fr-BE"/>
        </w:rPr>
        <w:t>MHR correspondant à 40% de leurs Stock-Options</w:t>
      </w:r>
      <w:r>
        <w:rPr>
          <w:lang w:val="fr-BE"/>
        </w:rPr>
        <w:t xml:space="preserve"> </w:t>
      </w:r>
      <w:r w:rsidRPr="00A568D3">
        <w:rPr>
          <w:lang w:val="fr-BE"/>
        </w:rPr>
        <w:t xml:space="preserve">2021 pour ceux basés en Belgique et à 25% de </w:t>
      </w:r>
      <w:r>
        <w:rPr>
          <w:lang w:val="fr-BE"/>
        </w:rPr>
        <w:t xml:space="preserve">celui-ci </w:t>
      </w:r>
      <w:r w:rsidRPr="00A568D3">
        <w:rPr>
          <w:lang w:val="fr-BE"/>
        </w:rPr>
        <w:t xml:space="preserve">pour ceux basés </w:t>
      </w:r>
      <w:r>
        <w:rPr>
          <w:lang w:val="fr-BE"/>
        </w:rPr>
        <w:t>à l’étranger</w:t>
      </w:r>
      <w:r w:rsidRPr="00A568D3">
        <w:rPr>
          <w:lang w:val="fr-BE"/>
        </w:rPr>
        <w:t>. Le MHR doit être atteint</w:t>
      </w:r>
      <w:r>
        <w:rPr>
          <w:lang w:val="fr-BE"/>
        </w:rPr>
        <w:t xml:space="preserve"> </w:t>
      </w:r>
      <w:r w:rsidRPr="00A568D3">
        <w:rPr>
          <w:lang w:val="fr-BE"/>
        </w:rPr>
        <w:t>au plus tard le 31 décembre 2026. Le MHR peut être</w:t>
      </w:r>
      <w:r>
        <w:rPr>
          <w:lang w:val="fr-BE"/>
        </w:rPr>
        <w:t xml:space="preserve"> </w:t>
      </w:r>
      <w:r w:rsidRPr="00A568D3">
        <w:rPr>
          <w:lang w:val="fr-BE"/>
        </w:rPr>
        <w:t>constitué de la manière qui est jugée la plus</w:t>
      </w:r>
      <w:r>
        <w:rPr>
          <w:lang w:val="fr-BE"/>
        </w:rPr>
        <w:t xml:space="preserve"> </w:t>
      </w:r>
      <w:r w:rsidRPr="00A568D3">
        <w:rPr>
          <w:lang w:val="fr-BE"/>
        </w:rPr>
        <w:t>appropriée par la personne à qui ce minimum est</w:t>
      </w:r>
      <w:r>
        <w:rPr>
          <w:lang w:val="fr-BE"/>
        </w:rPr>
        <w:t xml:space="preserve"> </w:t>
      </w:r>
      <w:r w:rsidRPr="00A568D3">
        <w:rPr>
          <w:lang w:val="fr-BE"/>
        </w:rPr>
        <w:t>imposé, y compris par le biais du Plan d'</w:t>
      </w:r>
      <w:r>
        <w:rPr>
          <w:lang w:val="fr-BE"/>
        </w:rPr>
        <w:t>O</w:t>
      </w:r>
      <w:r w:rsidRPr="00A568D3">
        <w:rPr>
          <w:lang w:val="fr-BE"/>
        </w:rPr>
        <w:t>ptions sur</w:t>
      </w:r>
      <w:r>
        <w:rPr>
          <w:lang w:val="fr-BE"/>
        </w:rPr>
        <w:t xml:space="preserve"> A</w:t>
      </w:r>
      <w:r w:rsidRPr="00A568D3">
        <w:rPr>
          <w:lang w:val="fr-BE"/>
        </w:rPr>
        <w:t>ctions décrit ci-dessus</w:t>
      </w:r>
      <w:r>
        <w:rPr>
          <w:lang w:val="fr-BE"/>
        </w:rPr>
        <w:t>.</w:t>
      </w:r>
    </w:p>
    <w:p w14:paraId="1924F60D" w14:textId="6BD1059B" w:rsidR="00A568D3" w:rsidRPr="00A568D3" w:rsidRDefault="00A568D3" w:rsidP="00A568D3">
      <w:pPr>
        <w:rPr>
          <w:lang w:val="fr-BE"/>
        </w:rPr>
      </w:pPr>
      <w:r w:rsidRPr="00A568D3">
        <w:rPr>
          <w:lang w:val="fr-BE"/>
        </w:rPr>
        <w:t>Le MHR s’applique pendant toute la durée de la</w:t>
      </w:r>
      <w:r>
        <w:rPr>
          <w:lang w:val="fr-BE"/>
        </w:rPr>
        <w:t xml:space="preserve"> </w:t>
      </w:r>
      <w:r w:rsidRPr="00A568D3">
        <w:rPr>
          <w:lang w:val="fr-BE"/>
        </w:rPr>
        <w:t>relation contractuelle avec IBA, et au cours d’une</w:t>
      </w:r>
      <w:r>
        <w:rPr>
          <w:lang w:val="fr-BE"/>
        </w:rPr>
        <w:t xml:space="preserve"> </w:t>
      </w:r>
      <w:r w:rsidRPr="00A568D3">
        <w:rPr>
          <w:lang w:val="fr-BE"/>
        </w:rPr>
        <w:t>période de trois ans à compter de la date à laquelle</w:t>
      </w:r>
      <w:r>
        <w:rPr>
          <w:lang w:val="fr-BE"/>
        </w:rPr>
        <w:t xml:space="preserve"> </w:t>
      </w:r>
      <w:r w:rsidRPr="00A568D3">
        <w:rPr>
          <w:lang w:val="fr-BE"/>
        </w:rPr>
        <w:t>ladite relation contractuelle prend fin à moins que la</w:t>
      </w:r>
      <w:r>
        <w:rPr>
          <w:lang w:val="fr-BE"/>
        </w:rPr>
        <w:t xml:space="preserve"> </w:t>
      </w:r>
      <w:r w:rsidRPr="00A568D3">
        <w:rPr>
          <w:lang w:val="fr-BE"/>
        </w:rPr>
        <w:t>cessation de la relation contractuelle ne soit</w:t>
      </w:r>
      <w:r>
        <w:rPr>
          <w:lang w:val="fr-BE"/>
        </w:rPr>
        <w:t xml:space="preserve"> </w:t>
      </w:r>
      <w:r w:rsidRPr="00A568D3">
        <w:rPr>
          <w:lang w:val="fr-BE"/>
        </w:rPr>
        <w:t>consécutive à la retraite ou au décès de l’exécutif</w:t>
      </w:r>
      <w:r>
        <w:rPr>
          <w:lang w:val="fr-BE"/>
        </w:rPr>
        <w:t xml:space="preserve"> </w:t>
      </w:r>
      <w:r w:rsidRPr="00A568D3">
        <w:rPr>
          <w:lang w:val="fr-BE"/>
        </w:rPr>
        <w:t>concerné</w:t>
      </w:r>
      <w:r>
        <w:rPr>
          <w:lang w:val="fr-BE"/>
        </w:rPr>
        <w:t>.</w:t>
      </w:r>
    </w:p>
    <w:p w14:paraId="21D0C211" w14:textId="450B83BD" w:rsidR="00A568D3" w:rsidRPr="0009185A" w:rsidRDefault="0009185A" w:rsidP="00927B4D">
      <w:pPr>
        <w:rPr>
          <w:lang w:val="fr-BE"/>
        </w:rPr>
      </w:pPr>
      <w:r w:rsidRPr="0009185A">
        <w:rPr>
          <w:lang w:val="fr-BE"/>
        </w:rPr>
        <w:t xml:space="preserve">Les </w:t>
      </w:r>
      <w:r w:rsidRPr="00A568D3">
        <w:rPr>
          <w:lang w:val="fr-BE"/>
        </w:rPr>
        <w:t>Administrateurs</w:t>
      </w:r>
      <w:r>
        <w:rPr>
          <w:lang w:val="fr-BE"/>
        </w:rPr>
        <w:t xml:space="preserve"> Exécutifs</w:t>
      </w:r>
      <w:r w:rsidRPr="00A568D3">
        <w:rPr>
          <w:lang w:val="fr-BE"/>
        </w:rPr>
        <w:t xml:space="preserve"> </w:t>
      </w:r>
      <w:r w:rsidRPr="0009185A">
        <w:rPr>
          <w:lang w:val="fr-BE"/>
        </w:rPr>
        <w:t>sont d’importants</w:t>
      </w:r>
      <w:r>
        <w:rPr>
          <w:lang w:val="fr-BE"/>
        </w:rPr>
        <w:t xml:space="preserve"> actionnaires</w:t>
      </w:r>
      <w:r w:rsidRPr="0009185A">
        <w:rPr>
          <w:lang w:val="fr-BE"/>
        </w:rPr>
        <w:t xml:space="preserve"> de l’actionnaire de référence et se</w:t>
      </w:r>
      <w:r>
        <w:rPr>
          <w:lang w:val="fr-BE"/>
        </w:rPr>
        <w:t xml:space="preserve"> </w:t>
      </w:r>
      <w:r w:rsidRPr="0009185A">
        <w:rPr>
          <w:lang w:val="fr-BE"/>
        </w:rPr>
        <w:t xml:space="preserve">conforment déjà à </w:t>
      </w:r>
      <w:r>
        <w:rPr>
          <w:lang w:val="fr-BE"/>
        </w:rPr>
        <w:t>l’Exigence Minimale de Détention.</w:t>
      </w:r>
    </w:p>
    <w:p w14:paraId="4CAACEB7" w14:textId="11A73E91" w:rsidR="00927B4D" w:rsidRPr="0009185A" w:rsidRDefault="00927B4D" w:rsidP="00927B4D">
      <w:pPr>
        <w:rPr>
          <w:b/>
          <w:bCs/>
          <w:i/>
          <w:iCs/>
          <w:lang w:val="fr-BE"/>
        </w:rPr>
      </w:pPr>
      <w:r w:rsidRPr="0009185A">
        <w:rPr>
          <w:b/>
          <w:bCs/>
          <w:i/>
          <w:iCs/>
          <w:lang w:val="fr-BE"/>
        </w:rPr>
        <w:t>Plan</w:t>
      </w:r>
      <w:r w:rsidR="0009185A" w:rsidRPr="0009185A">
        <w:rPr>
          <w:b/>
          <w:bCs/>
          <w:i/>
          <w:iCs/>
          <w:lang w:val="fr-BE"/>
        </w:rPr>
        <w:t xml:space="preserve"> de Retraite</w:t>
      </w:r>
    </w:p>
    <w:p w14:paraId="12C8595B" w14:textId="0F7032D9" w:rsidR="0009185A" w:rsidRPr="0009185A" w:rsidRDefault="0009185A" w:rsidP="0009185A">
      <w:pPr>
        <w:rPr>
          <w:lang w:val="fr-BE"/>
        </w:rPr>
      </w:pPr>
      <w:r w:rsidRPr="0009185A">
        <w:rPr>
          <w:lang w:val="fr-BE"/>
        </w:rPr>
        <w:t>IBA ne verse aucune cotisation de retraite à ses</w:t>
      </w:r>
      <w:r>
        <w:rPr>
          <w:lang w:val="fr-BE"/>
        </w:rPr>
        <w:t xml:space="preserve"> </w:t>
      </w:r>
      <w:r w:rsidRPr="00A568D3">
        <w:rPr>
          <w:lang w:val="fr-BE"/>
        </w:rPr>
        <w:t>Administrateurs</w:t>
      </w:r>
      <w:r>
        <w:rPr>
          <w:lang w:val="fr-BE"/>
        </w:rPr>
        <w:t xml:space="preserve"> Exécutifs</w:t>
      </w:r>
      <w:r w:rsidRPr="0009185A">
        <w:rPr>
          <w:lang w:val="fr-BE"/>
        </w:rPr>
        <w:t>, qui opèrent dans le cadre d'un</w:t>
      </w:r>
      <w:r>
        <w:rPr>
          <w:lang w:val="fr-BE"/>
        </w:rPr>
        <w:t>e société de management</w:t>
      </w:r>
      <w:r w:rsidRPr="0009185A">
        <w:rPr>
          <w:lang w:val="fr-BE"/>
        </w:rPr>
        <w:t>.</w:t>
      </w:r>
    </w:p>
    <w:p w14:paraId="4463B59D" w14:textId="7FE9C994" w:rsidR="0009185A" w:rsidRDefault="0009185A" w:rsidP="00927B4D">
      <w:pPr>
        <w:rPr>
          <w:lang w:val="fr-BE"/>
        </w:rPr>
      </w:pPr>
      <w:r>
        <w:rPr>
          <w:lang w:val="fr-BE"/>
        </w:rPr>
        <w:t>En fonction de</w:t>
      </w:r>
      <w:r w:rsidRPr="0009185A">
        <w:rPr>
          <w:lang w:val="fr-BE"/>
        </w:rPr>
        <w:t xml:space="preserve"> termes et conditions de leur accord, les</w:t>
      </w:r>
      <w:r>
        <w:rPr>
          <w:lang w:val="fr-BE"/>
        </w:rPr>
        <w:t xml:space="preserve"> </w:t>
      </w:r>
      <w:r>
        <w:rPr>
          <w:lang w:val="fr-BE"/>
        </w:rPr>
        <w:t>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09185A">
        <w:rPr>
          <w:lang w:val="fr-BE"/>
        </w:rPr>
        <w:t xml:space="preserve"> </w:t>
      </w:r>
      <w:r w:rsidRPr="0009185A">
        <w:rPr>
          <w:lang w:val="fr-BE"/>
        </w:rPr>
        <w:t>peuvent participer</w:t>
      </w:r>
      <w:r>
        <w:rPr>
          <w:lang w:val="fr-BE"/>
        </w:rPr>
        <w:t xml:space="preserve"> </w:t>
      </w:r>
      <w:r w:rsidRPr="0009185A">
        <w:rPr>
          <w:lang w:val="fr-BE"/>
        </w:rPr>
        <w:t>à un plan de retraite. Ces plans suivent les pratiques</w:t>
      </w:r>
      <w:r>
        <w:rPr>
          <w:lang w:val="fr-BE"/>
        </w:rPr>
        <w:t xml:space="preserve"> </w:t>
      </w:r>
      <w:r w:rsidRPr="0009185A">
        <w:rPr>
          <w:lang w:val="fr-BE"/>
        </w:rPr>
        <w:t>du marché dans les pays où ils s'appliquent. Ce sont</w:t>
      </w:r>
      <w:r>
        <w:rPr>
          <w:lang w:val="fr-BE"/>
        </w:rPr>
        <w:t xml:space="preserve"> </w:t>
      </w:r>
      <w:r w:rsidRPr="0009185A">
        <w:rPr>
          <w:lang w:val="fr-BE"/>
        </w:rPr>
        <w:t xml:space="preserve">des régimes de type </w:t>
      </w:r>
      <w:r>
        <w:rPr>
          <w:lang w:val="fr-BE"/>
        </w:rPr>
        <w:t>« </w:t>
      </w:r>
      <w:r w:rsidRPr="0009185A">
        <w:rPr>
          <w:lang w:val="fr-BE"/>
        </w:rPr>
        <w:t>à cotisations définies</w:t>
      </w:r>
      <w:r>
        <w:rPr>
          <w:lang w:val="fr-BE"/>
        </w:rPr>
        <w:t> ».</w:t>
      </w:r>
    </w:p>
    <w:p w14:paraId="7953DD46" w14:textId="77F64719" w:rsidR="00927B4D" w:rsidRPr="0009185A" w:rsidRDefault="0009185A" w:rsidP="00927B4D">
      <w:p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t>Autres composantes</w:t>
      </w:r>
    </w:p>
    <w:p w14:paraId="3E0F3B37" w14:textId="698595B5" w:rsidR="0009185A" w:rsidRDefault="0009185A" w:rsidP="00927B4D">
      <w:pPr>
        <w:rPr>
          <w:lang w:val="fr-BE"/>
        </w:rPr>
      </w:pPr>
      <w:r w:rsidRPr="0009185A">
        <w:rPr>
          <w:lang w:val="fr-BE"/>
        </w:rPr>
        <w:t>IBA ne verse aucun autre élément de rémunération</w:t>
      </w:r>
      <w:r>
        <w:rPr>
          <w:lang w:val="fr-BE"/>
        </w:rPr>
        <w:t xml:space="preserve"> </w:t>
      </w:r>
      <w:r w:rsidRPr="0009185A">
        <w:rPr>
          <w:lang w:val="fr-BE"/>
        </w:rPr>
        <w:t xml:space="preserve">à ses </w:t>
      </w:r>
      <w:r w:rsidRPr="00A568D3">
        <w:rPr>
          <w:lang w:val="fr-BE"/>
        </w:rPr>
        <w:t>Administrateurs</w:t>
      </w:r>
      <w:r>
        <w:rPr>
          <w:lang w:val="fr-BE"/>
        </w:rPr>
        <w:t xml:space="preserve"> Exécutifs</w:t>
      </w:r>
      <w:r w:rsidRPr="0009185A">
        <w:rPr>
          <w:lang w:val="fr-BE"/>
        </w:rPr>
        <w:t>, qui opèrent dans le cadre</w:t>
      </w:r>
      <w:r>
        <w:rPr>
          <w:lang w:val="fr-BE"/>
        </w:rPr>
        <w:t xml:space="preserve"> </w:t>
      </w:r>
      <w:r w:rsidRPr="0009185A">
        <w:rPr>
          <w:lang w:val="fr-BE"/>
        </w:rPr>
        <w:t>d'un</w:t>
      </w:r>
      <w:r>
        <w:rPr>
          <w:lang w:val="fr-BE"/>
        </w:rPr>
        <w:t>e société de management</w:t>
      </w:r>
      <w:r>
        <w:rPr>
          <w:lang w:val="fr-BE"/>
        </w:rPr>
        <w:t xml:space="preserve">. </w:t>
      </w:r>
    </w:p>
    <w:p w14:paraId="0DF28A56" w14:textId="1A275C3C" w:rsidR="00AB2EC3" w:rsidRPr="00AB2EC3" w:rsidRDefault="00AB2EC3" w:rsidP="00AB2EC3">
      <w:pPr>
        <w:rPr>
          <w:lang w:val="fr-BE"/>
        </w:rPr>
      </w:pPr>
      <w:r w:rsidRPr="00AB2EC3">
        <w:rPr>
          <w:lang w:val="fr-BE"/>
        </w:rPr>
        <w:t xml:space="preserve">Comme pour les cotisations de retraite, les </w:t>
      </w:r>
      <w:r>
        <w:rPr>
          <w:lang w:val="fr-BE"/>
        </w:rPr>
        <w:t>M</w:t>
      </w:r>
      <w:r w:rsidRPr="00555731">
        <w:rPr>
          <w:lang w:val="fr-BE"/>
        </w:rPr>
        <w:t>embres d</w:t>
      </w:r>
      <w:r>
        <w:rPr>
          <w:lang w:val="fr-BE"/>
        </w:rPr>
        <w:t>u Management Team</w:t>
      </w:r>
      <w:r w:rsidRPr="0009185A">
        <w:rPr>
          <w:lang w:val="fr-BE"/>
        </w:rPr>
        <w:t xml:space="preserve"> </w:t>
      </w:r>
      <w:r w:rsidRPr="00AB2EC3">
        <w:rPr>
          <w:lang w:val="fr-BE"/>
        </w:rPr>
        <w:t>peuvent avoir droit à d'autres</w:t>
      </w:r>
      <w:r>
        <w:rPr>
          <w:lang w:val="fr-BE"/>
        </w:rPr>
        <w:t xml:space="preserve"> </w:t>
      </w:r>
      <w:r w:rsidRPr="00AB2EC3">
        <w:rPr>
          <w:lang w:val="fr-BE"/>
        </w:rPr>
        <w:t>éléments de rémunération conformément à leur</w:t>
      </w:r>
      <w:r>
        <w:rPr>
          <w:lang w:val="fr-BE"/>
        </w:rPr>
        <w:t xml:space="preserve"> </w:t>
      </w:r>
      <w:r w:rsidRPr="00AB2EC3">
        <w:rPr>
          <w:lang w:val="fr-BE"/>
        </w:rPr>
        <w:t>accord et aux programmes en place pour les</w:t>
      </w:r>
      <w:r>
        <w:rPr>
          <w:lang w:val="fr-BE"/>
        </w:rPr>
        <w:t xml:space="preserve"> </w:t>
      </w:r>
      <w:r w:rsidRPr="00AB2EC3">
        <w:rPr>
          <w:lang w:val="fr-BE"/>
        </w:rPr>
        <w:t xml:space="preserve">employés dans leur pays respectif. </w:t>
      </w:r>
      <w:r>
        <w:rPr>
          <w:lang w:val="fr-BE"/>
        </w:rPr>
        <w:t>Ceux</w:t>
      </w:r>
      <w:r w:rsidRPr="00AB2EC3">
        <w:rPr>
          <w:lang w:val="fr-BE"/>
        </w:rPr>
        <w:t>-ci incluent</w:t>
      </w:r>
      <w:r>
        <w:rPr>
          <w:lang w:val="fr-BE"/>
        </w:rPr>
        <w:t xml:space="preserve"> </w:t>
      </w:r>
      <w:r w:rsidRPr="00AB2EC3">
        <w:rPr>
          <w:lang w:val="fr-BE"/>
        </w:rPr>
        <w:t>principalement la participation aux programmes</w:t>
      </w:r>
      <w:r>
        <w:rPr>
          <w:lang w:val="fr-BE"/>
        </w:rPr>
        <w:t xml:space="preserve"> </w:t>
      </w:r>
      <w:r w:rsidRPr="00AB2EC3">
        <w:rPr>
          <w:lang w:val="fr-BE"/>
        </w:rPr>
        <w:t>d’assurance d’IBA (</w:t>
      </w:r>
      <w:r>
        <w:rPr>
          <w:lang w:val="fr-BE"/>
        </w:rPr>
        <w:t>généralement</w:t>
      </w:r>
      <w:r w:rsidRPr="00AB2EC3">
        <w:rPr>
          <w:lang w:val="fr-BE"/>
        </w:rPr>
        <w:t xml:space="preserve"> l’assurance vie,</w:t>
      </w:r>
      <w:r>
        <w:rPr>
          <w:lang w:val="fr-BE"/>
        </w:rPr>
        <w:t xml:space="preserve"> </w:t>
      </w:r>
      <w:r w:rsidRPr="00AB2EC3">
        <w:rPr>
          <w:lang w:val="fr-BE"/>
        </w:rPr>
        <w:t>l’invalidité, l’assurance voyage et les soins</w:t>
      </w:r>
      <w:r>
        <w:rPr>
          <w:lang w:val="fr-BE"/>
        </w:rPr>
        <w:t xml:space="preserve"> </w:t>
      </w:r>
      <w:r w:rsidRPr="00AB2EC3">
        <w:rPr>
          <w:lang w:val="fr-BE"/>
        </w:rPr>
        <w:t xml:space="preserve">médicaux), voitures de société ou </w:t>
      </w:r>
      <w:r>
        <w:rPr>
          <w:lang w:val="fr-BE"/>
        </w:rPr>
        <w:t xml:space="preserve">frais </w:t>
      </w:r>
      <w:r w:rsidRPr="00AB2EC3">
        <w:rPr>
          <w:lang w:val="fr-BE"/>
        </w:rPr>
        <w:t>de voiture, et d’autres éléments comme les chèques</w:t>
      </w:r>
      <w:r>
        <w:rPr>
          <w:lang w:val="fr-BE"/>
        </w:rPr>
        <w:t>-</w:t>
      </w:r>
      <w:r w:rsidRPr="00AB2EC3">
        <w:rPr>
          <w:lang w:val="fr-BE"/>
        </w:rPr>
        <w:t>repas.</w:t>
      </w:r>
      <w:r>
        <w:rPr>
          <w:lang w:val="fr-BE"/>
        </w:rPr>
        <w:t xml:space="preserve"> </w:t>
      </w:r>
      <w:r w:rsidRPr="00AB2EC3">
        <w:rPr>
          <w:lang w:val="fr-BE"/>
        </w:rPr>
        <w:t>Tou</w:t>
      </w:r>
      <w:r>
        <w:rPr>
          <w:lang w:val="fr-BE"/>
        </w:rPr>
        <w:t>te</w:t>
      </w:r>
      <w:r w:rsidRPr="00AB2EC3">
        <w:rPr>
          <w:lang w:val="fr-BE"/>
        </w:rPr>
        <w:t>s les composant</w:t>
      </w:r>
      <w:r>
        <w:rPr>
          <w:lang w:val="fr-BE"/>
        </w:rPr>
        <w:t>e</w:t>
      </w:r>
      <w:r w:rsidRPr="00AB2EC3">
        <w:rPr>
          <w:lang w:val="fr-BE"/>
        </w:rPr>
        <w:t xml:space="preserve">s </w:t>
      </w:r>
      <w:r w:rsidRPr="00AB2EC3">
        <w:rPr>
          <w:lang w:val="fr-BE"/>
        </w:rPr>
        <w:lastRenderedPageBreak/>
        <w:t>suivent les pratiques du</w:t>
      </w:r>
      <w:r>
        <w:rPr>
          <w:lang w:val="fr-BE"/>
        </w:rPr>
        <w:t xml:space="preserve"> </w:t>
      </w:r>
      <w:r w:rsidRPr="00AB2EC3">
        <w:rPr>
          <w:lang w:val="fr-BE"/>
        </w:rPr>
        <w:t>marché local dans le pays où l'individu est basé. Ils</w:t>
      </w:r>
      <w:r>
        <w:rPr>
          <w:lang w:val="fr-BE"/>
        </w:rPr>
        <w:t xml:space="preserve"> </w:t>
      </w:r>
      <w:r w:rsidRPr="00AB2EC3">
        <w:rPr>
          <w:lang w:val="fr-BE"/>
        </w:rPr>
        <w:t>représentent une part mineure de la rémunération,</w:t>
      </w:r>
      <w:r>
        <w:rPr>
          <w:lang w:val="fr-BE"/>
        </w:rPr>
        <w:t xml:space="preserve"> </w:t>
      </w:r>
      <w:r w:rsidRPr="00AB2EC3">
        <w:rPr>
          <w:lang w:val="fr-BE"/>
        </w:rPr>
        <w:t>voire rien du tout</w:t>
      </w:r>
      <w:r>
        <w:rPr>
          <w:lang w:val="fr-BE"/>
        </w:rPr>
        <w:t>.</w:t>
      </w:r>
    </w:p>
    <w:p w14:paraId="23C98174" w14:textId="3F93BFE7" w:rsidR="00927B4D" w:rsidRPr="00CD777E" w:rsidRDefault="00CD777E" w:rsidP="00927B4D">
      <w:pPr>
        <w:rPr>
          <w:b/>
          <w:bCs/>
          <w:i/>
          <w:iCs/>
          <w:lang w:val="fr-BE"/>
        </w:rPr>
      </w:pPr>
      <w:r w:rsidRPr="00CD777E">
        <w:rPr>
          <w:b/>
          <w:bCs/>
          <w:i/>
          <w:iCs/>
          <w:lang w:val="fr-BE"/>
        </w:rPr>
        <w:t>Accords de départ avec les Administrateurs Exécutifs</w:t>
      </w:r>
      <w:r>
        <w:rPr>
          <w:b/>
          <w:bCs/>
          <w:i/>
          <w:iCs/>
          <w:lang w:val="fr-BE"/>
        </w:rPr>
        <w:t xml:space="preserve"> et les autres Membres du Management Team</w:t>
      </w:r>
    </w:p>
    <w:p w14:paraId="60ACD26B" w14:textId="6820B75B" w:rsidR="00CD777E" w:rsidRPr="00CD777E" w:rsidRDefault="00CD777E" w:rsidP="00CD777E">
      <w:pPr>
        <w:rPr>
          <w:lang w:val="fr-BE"/>
        </w:rPr>
      </w:pPr>
      <w:r w:rsidRPr="00CD777E">
        <w:rPr>
          <w:lang w:val="fr-BE"/>
        </w:rPr>
        <w:t>Le tableau ci-dessous résume les principaux accords contractuels concernant chaque Administrateur-</w:t>
      </w:r>
      <w:r w:rsidR="004F7148">
        <w:rPr>
          <w:lang w:val="fr-BE"/>
        </w:rPr>
        <w:t>Exécutif</w:t>
      </w:r>
      <w:r w:rsidRPr="00CD777E">
        <w:rPr>
          <w:lang w:val="fr-BE"/>
        </w:rPr>
        <w:t xml:space="preserve"> et</w:t>
      </w:r>
      <w:r>
        <w:rPr>
          <w:lang w:val="fr-BE"/>
        </w:rPr>
        <w:t xml:space="preserve"> </w:t>
      </w:r>
      <w:r w:rsidR="004F7148">
        <w:rPr>
          <w:lang w:val="fr-BE"/>
        </w:rPr>
        <w:t>Membre du Management Team</w:t>
      </w:r>
      <w:r w:rsidRPr="00CD777E">
        <w:rPr>
          <w:lang w:val="fr-BE"/>
        </w:rPr>
        <w:t>, en cas de cessation à l'initiative de la Société</w:t>
      </w:r>
      <w:r>
        <w:rPr>
          <w:lang w:val="fr-BE"/>
        </w:rPr>
        <w:t> :</w:t>
      </w:r>
    </w:p>
    <w:p w14:paraId="04780221" w14:textId="4BA5DDC5" w:rsidR="00927B4D" w:rsidRPr="00495DC1" w:rsidRDefault="004F7148" w:rsidP="00927B4D">
      <w:r>
        <w:rPr>
          <w:noProof/>
        </w:rPr>
        <w:drawing>
          <wp:inline distT="0" distB="0" distL="0" distR="0" wp14:anchorId="353999B8" wp14:editId="4B009639">
            <wp:extent cx="5760720" cy="3021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0F77" w14:textId="77777777" w:rsidR="000472FC" w:rsidRPr="00495DC1" w:rsidRDefault="000472FC" w:rsidP="00D23063">
      <w:pPr>
        <w:jc w:val="center"/>
      </w:pPr>
    </w:p>
    <w:p w14:paraId="71FDBB1A" w14:textId="5B2B6BD0" w:rsidR="009164DE" w:rsidRPr="00495DC1" w:rsidRDefault="00D23063" w:rsidP="00D23063">
      <w:pPr>
        <w:jc w:val="center"/>
        <w:rPr>
          <w:lang w:val="fr-BE"/>
        </w:rPr>
      </w:pPr>
      <w:r w:rsidRPr="00495DC1">
        <w:rPr>
          <w:lang w:val="fr-BE"/>
        </w:rPr>
        <w:t>_______________</w:t>
      </w:r>
    </w:p>
    <w:p w14:paraId="5588635C" w14:textId="77777777" w:rsidR="006F657E" w:rsidRPr="00495DC1" w:rsidRDefault="006F657E">
      <w:pPr>
        <w:rPr>
          <w:lang w:val="fr-FR"/>
        </w:rPr>
      </w:pPr>
    </w:p>
    <w:sectPr w:rsidR="006F657E" w:rsidRPr="00495DC1" w:rsidSect="000472FC">
      <w:headerReference w:type="default" r:id="rId13"/>
      <w:footerReference w:type="default" r:id="rId14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5FA" w14:textId="77777777" w:rsidR="00EE7242" w:rsidRDefault="00EE7242">
      <w:pPr>
        <w:spacing w:after="0" w:line="240" w:lineRule="auto"/>
      </w:pPr>
      <w:r>
        <w:separator/>
      </w:r>
    </w:p>
  </w:endnote>
  <w:endnote w:type="continuationSeparator" w:id="0">
    <w:p w14:paraId="5F2F0DED" w14:textId="77777777" w:rsidR="00EE7242" w:rsidRDefault="00EE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39158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AC3B924" w14:textId="6DBA4DAE" w:rsidR="001C0A75" w:rsidRPr="001C0A75" w:rsidRDefault="001C0A75">
        <w:pPr>
          <w:pStyle w:val="Footer"/>
          <w:jc w:val="right"/>
          <w:rPr>
            <w:sz w:val="20"/>
          </w:rPr>
        </w:pPr>
        <w:r w:rsidRPr="001C0A75">
          <w:rPr>
            <w:sz w:val="20"/>
          </w:rPr>
          <w:fldChar w:fldCharType="begin"/>
        </w:r>
        <w:r w:rsidRPr="001C0A75">
          <w:rPr>
            <w:sz w:val="20"/>
          </w:rPr>
          <w:instrText xml:space="preserve"> PAGE   \* MERGEFORMAT </w:instrText>
        </w:r>
        <w:r w:rsidRPr="001C0A75">
          <w:rPr>
            <w:sz w:val="20"/>
          </w:rPr>
          <w:fldChar w:fldCharType="separate"/>
        </w:r>
        <w:r w:rsidRPr="001C0A75">
          <w:rPr>
            <w:noProof/>
            <w:sz w:val="20"/>
          </w:rPr>
          <w:t>2</w:t>
        </w:r>
        <w:r w:rsidRPr="001C0A75">
          <w:rPr>
            <w:noProof/>
            <w:sz w:val="20"/>
          </w:rPr>
          <w:fldChar w:fldCharType="end"/>
        </w:r>
        <w:r w:rsidRPr="001C0A75">
          <w:rPr>
            <w:noProof/>
            <w:sz w:val="20"/>
          </w:rPr>
          <w:t>/</w:t>
        </w:r>
        <w:r w:rsidRPr="001C0A75">
          <w:rPr>
            <w:sz w:val="20"/>
          </w:rPr>
          <w:fldChar w:fldCharType="begin"/>
        </w:r>
        <w:r w:rsidRPr="001C0A75">
          <w:rPr>
            <w:sz w:val="20"/>
          </w:rPr>
          <w:instrText xml:space="preserve"> NUMPAGES   \* MERGEFORMAT </w:instrText>
        </w:r>
        <w:r w:rsidRPr="001C0A75">
          <w:rPr>
            <w:sz w:val="20"/>
          </w:rPr>
          <w:fldChar w:fldCharType="separate"/>
        </w:r>
        <w:r w:rsidRPr="001C0A75">
          <w:rPr>
            <w:noProof/>
            <w:sz w:val="20"/>
          </w:rPr>
          <w:t>5</w:t>
        </w:r>
        <w:r w:rsidRPr="001C0A75">
          <w:rPr>
            <w:sz w:val="20"/>
          </w:rPr>
          <w:fldChar w:fldCharType="end"/>
        </w:r>
      </w:p>
    </w:sdtContent>
  </w:sdt>
  <w:p w14:paraId="5B32E9A1" w14:textId="77777777" w:rsidR="001C0A75" w:rsidRDefault="001C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E381" w14:textId="77777777" w:rsidR="00EE7242" w:rsidRDefault="00EE7242">
      <w:pPr>
        <w:spacing w:after="0" w:line="240" w:lineRule="auto"/>
      </w:pPr>
      <w:r>
        <w:separator/>
      </w:r>
    </w:p>
  </w:footnote>
  <w:footnote w:type="continuationSeparator" w:id="0">
    <w:p w14:paraId="247A7AA8" w14:textId="77777777" w:rsidR="00EE7242" w:rsidRDefault="00EE7242">
      <w:pPr>
        <w:spacing w:after="0" w:line="240" w:lineRule="auto"/>
      </w:pPr>
      <w:r>
        <w:continuationSeparator/>
      </w:r>
    </w:p>
  </w:footnote>
  <w:footnote w:id="1">
    <w:p w14:paraId="412372D0" w14:textId="2A6B9EA4" w:rsidR="004176F2" w:rsidRPr="004176F2" w:rsidRDefault="004176F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176F2">
        <w:rPr>
          <w:lang w:val="fr-BE"/>
        </w:rPr>
        <w:t xml:space="preserve"> </w:t>
      </w:r>
      <w:r>
        <w:rPr>
          <w:lang w:val="fr-BE"/>
        </w:rPr>
        <w:t xml:space="preserve">Disponible également en pages 74 et suivantes du Rapport Annuel Exercice 2020 (version française).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F2B5" w14:textId="52A9E97F" w:rsidR="00A803A8" w:rsidRPr="000472FC" w:rsidRDefault="00A803A8" w:rsidP="006811F9">
    <w:pPr>
      <w:pStyle w:val="Header"/>
      <w:jc w:val="center"/>
      <w:rPr>
        <w:b/>
        <w:bCs/>
        <w:sz w:val="20"/>
      </w:rPr>
    </w:pPr>
    <w:bookmarkStart w:id="1" w:name="_Hlk70952463"/>
    <w:r w:rsidRPr="000472FC">
      <w:rPr>
        <w:b/>
        <w:bCs/>
        <w:noProof/>
        <w:sz w:val="20"/>
        <w:lang w:val="fr-BE" w:eastAsia="fr-BE"/>
      </w:rPr>
      <w:drawing>
        <wp:anchor distT="0" distB="0" distL="114300" distR="114300" simplePos="0" relativeHeight="251659264" behindDoc="1" locked="0" layoutInCell="1" allowOverlap="1" wp14:anchorId="44793BC8" wp14:editId="7735C3D9">
          <wp:simplePos x="0" y="0"/>
          <wp:positionH relativeFrom="column">
            <wp:posOffset>-762635</wp:posOffset>
          </wp:positionH>
          <wp:positionV relativeFrom="page">
            <wp:posOffset>144780</wp:posOffset>
          </wp:positionV>
          <wp:extent cx="645160" cy="645160"/>
          <wp:effectExtent l="0" t="0" r="2540" b="2540"/>
          <wp:wrapTight wrapText="bothSides">
            <wp:wrapPolygon edited="0">
              <wp:start x="0" y="0"/>
              <wp:lineTo x="0" y="21047"/>
              <wp:lineTo x="21047" y="21047"/>
              <wp:lineTo x="21047" y="0"/>
              <wp:lineTo x="0" y="0"/>
            </wp:wrapPolygon>
          </wp:wrapTight>
          <wp:docPr id="13" name="Picture 13" descr="V:\Communication\CoBRA - Corporate Branding\2016\NEW LOGOS\Package_New-IBA-Visual-Identity\IDENTITY TOOL KIT\Logo\main version\positive\IBA_Logo(+)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Communication\CoBRA - Corporate Branding\2016\NEW LOGOS\Package_New-IBA-Visual-Identity\IDENTITY TOOL KIT\Logo\main version\positive\IBA_Logo(+)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70952475"/>
    <w:r w:rsidR="006811F9" w:rsidRPr="000472FC">
      <w:rPr>
        <w:b/>
        <w:bCs/>
        <w:sz w:val="20"/>
      </w:rPr>
      <w:t>Ion Beam Applications (</w:t>
    </w:r>
    <w:r w:rsidR="000472FC" w:rsidRPr="000472FC">
      <w:rPr>
        <w:b/>
        <w:bCs/>
        <w:sz w:val="20"/>
      </w:rPr>
      <w:t>i</w:t>
    </w:r>
    <w:r w:rsidR="006811F9" w:rsidRPr="000472FC">
      <w:rPr>
        <w:b/>
        <w:bCs/>
        <w:sz w:val="20"/>
      </w:rPr>
      <w:t xml:space="preserve">n </w:t>
    </w:r>
    <w:r w:rsidR="000472FC" w:rsidRPr="000472FC">
      <w:rPr>
        <w:b/>
        <w:bCs/>
        <w:sz w:val="20"/>
      </w:rPr>
      <w:t>short</w:t>
    </w:r>
    <w:r w:rsidR="006811F9" w:rsidRPr="000472FC">
      <w:rPr>
        <w:b/>
        <w:bCs/>
        <w:sz w:val="20"/>
      </w:rPr>
      <w:t>, IBA)</w:t>
    </w:r>
    <w:r w:rsidR="00E9073C" w:rsidRPr="000472FC">
      <w:rPr>
        <w:b/>
        <w:bCs/>
        <w:sz w:val="20"/>
      </w:rPr>
      <w:t xml:space="preserve"> SA</w:t>
    </w:r>
    <w:bookmarkEnd w:id="2"/>
  </w:p>
  <w:p w14:paraId="26D20369" w14:textId="2D053B3A" w:rsidR="006811F9" w:rsidRPr="006811F9" w:rsidRDefault="006811F9" w:rsidP="006811F9">
    <w:pPr>
      <w:pStyle w:val="Header"/>
      <w:jc w:val="center"/>
      <w:rPr>
        <w:sz w:val="20"/>
        <w:lang w:val="fr-BE"/>
      </w:rPr>
    </w:pPr>
    <w:bookmarkStart w:id="3" w:name="_Hlk70952519"/>
    <w:r w:rsidRPr="006811F9">
      <w:rPr>
        <w:sz w:val="20"/>
        <w:lang w:val="fr-BE"/>
      </w:rPr>
      <w:t>Chemin du Cyclotron 3 – B-1348 Louvain-la-Neuve – Belgiu</w:t>
    </w:r>
    <w:r w:rsidR="000472FC">
      <w:rPr>
        <w:sz w:val="20"/>
        <w:lang w:val="fr-BE"/>
      </w:rPr>
      <w:t>m</w:t>
    </w:r>
  </w:p>
  <w:p w14:paraId="452D289F" w14:textId="7C32CD0F" w:rsidR="005F74F3" w:rsidRDefault="000472FC" w:rsidP="006811F9">
    <w:pPr>
      <w:pStyle w:val="Header"/>
      <w:jc w:val="center"/>
      <w:rPr>
        <w:sz w:val="20"/>
        <w:lang w:val="en-US"/>
      </w:rPr>
    </w:pPr>
    <w:r>
      <w:rPr>
        <w:sz w:val="20"/>
        <w:lang w:val="en-US"/>
      </w:rPr>
      <w:t>Register of Legal Entities Walloon Brabant</w:t>
    </w:r>
    <w:r w:rsidR="006811F9" w:rsidRPr="006811F9">
      <w:rPr>
        <w:sz w:val="20"/>
        <w:lang w:val="en-US"/>
      </w:rPr>
      <w:t xml:space="preserve"> – </w:t>
    </w:r>
    <w:r>
      <w:rPr>
        <w:sz w:val="20"/>
        <w:lang w:val="en-US"/>
      </w:rPr>
      <w:t>V</w:t>
    </w:r>
    <w:r w:rsidR="006811F9" w:rsidRPr="006811F9">
      <w:rPr>
        <w:sz w:val="20"/>
        <w:lang w:val="en-US"/>
      </w:rPr>
      <w:t>A</w:t>
    </w:r>
    <w:r>
      <w:rPr>
        <w:sz w:val="20"/>
        <w:lang w:val="en-US"/>
      </w:rPr>
      <w:t>T</w:t>
    </w:r>
    <w:r w:rsidR="006811F9" w:rsidRPr="006811F9">
      <w:rPr>
        <w:sz w:val="20"/>
        <w:lang w:val="en-US"/>
      </w:rPr>
      <w:t xml:space="preserve"> BE0428.750.985</w:t>
    </w:r>
  </w:p>
  <w:p w14:paraId="60D2AAA4" w14:textId="07B3352E" w:rsidR="006811F9" w:rsidRDefault="005F74F3" w:rsidP="006811F9">
    <w:pPr>
      <w:pStyle w:val="Header"/>
      <w:jc w:val="center"/>
      <w:rPr>
        <w:sz w:val="20"/>
        <w:lang w:val="en-US"/>
      </w:rPr>
    </w:pPr>
    <w:bookmarkStart w:id="4" w:name="_Hlk70952440"/>
    <w:r w:rsidRPr="005F74F3">
      <w:rPr>
        <w:sz w:val="20"/>
        <w:lang w:val="en-US"/>
      </w:rPr>
      <w:t>ISIN Euronext Brussels BE0003766806</w:t>
    </w:r>
    <w:bookmarkEnd w:id="1"/>
    <w:bookmarkEnd w:id="4"/>
    <w:r w:rsidR="006811F9" w:rsidRPr="006811F9">
      <w:rPr>
        <w:sz w:val="20"/>
        <w:lang w:val="en-US"/>
      </w:rPr>
      <w:t xml:space="preserve">  </w:t>
    </w:r>
  </w:p>
  <w:bookmarkEnd w:id="3"/>
  <w:p w14:paraId="7D6EE9B7" w14:textId="23091B80" w:rsidR="00461395" w:rsidRDefault="00461395" w:rsidP="006811F9">
    <w:pPr>
      <w:pStyle w:val="Header"/>
      <w:jc w:val="center"/>
      <w:rPr>
        <w:sz w:val="20"/>
        <w:lang w:val="en-US"/>
      </w:rPr>
    </w:pPr>
  </w:p>
  <w:p w14:paraId="2F70C775" w14:textId="77777777" w:rsidR="00461395" w:rsidRPr="006811F9" w:rsidRDefault="00461395" w:rsidP="006811F9">
    <w:pPr>
      <w:pStyle w:val="Header"/>
      <w:jc w:val="center"/>
      <w:rPr>
        <w:sz w:val="20"/>
        <w:lang w:val="en-US"/>
      </w:rPr>
    </w:pPr>
  </w:p>
  <w:p w14:paraId="33737AEA" w14:textId="77777777" w:rsidR="006811F9" w:rsidRPr="006811F9" w:rsidRDefault="006811F9" w:rsidP="006811F9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89B"/>
    <w:multiLevelType w:val="hybridMultilevel"/>
    <w:tmpl w:val="300EF8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57B"/>
    <w:multiLevelType w:val="hybridMultilevel"/>
    <w:tmpl w:val="498E26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8F8"/>
    <w:multiLevelType w:val="hybridMultilevel"/>
    <w:tmpl w:val="1FB829B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6C7024">
      <w:start w:val="1"/>
      <w:numFmt w:val="upperLetter"/>
      <w:lvlText w:val="(%2)"/>
      <w:lvlJc w:val="left"/>
      <w:pPr>
        <w:ind w:left="1416" w:hanging="696"/>
      </w:pPr>
      <w:rPr>
        <w:rFonts w:hint="default"/>
      </w:rPr>
    </w:lvl>
    <w:lvl w:ilvl="2" w:tplc="7D42A9A0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4F0A9784">
      <w:start w:val="1"/>
      <w:numFmt w:val="lowerRoman"/>
      <w:lvlText w:val="(%4)"/>
      <w:lvlJc w:val="left"/>
      <w:pPr>
        <w:ind w:left="2520" w:hanging="360"/>
      </w:pPr>
      <w:rPr>
        <w:rFonts w:hint="default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068A9"/>
    <w:multiLevelType w:val="hybridMultilevel"/>
    <w:tmpl w:val="DB7CCE62"/>
    <w:lvl w:ilvl="0" w:tplc="080C000F">
      <w:start w:val="1"/>
      <w:numFmt w:val="decimal"/>
      <w:lvlText w:val="%1."/>
      <w:lvlJc w:val="left"/>
      <w:pPr>
        <w:ind w:left="838" w:hanging="360"/>
      </w:pPr>
    </w:lvl>
    <w:lvl w:ilvl="1" w:tplc="080C0019" w:tentative="1">
      <w:start w:val="1"/>
      <w:numFmt w:val="lowerLetter"/>
      <w:lvlText w:val="%2."/>
      <w:lvlJc w:val="left"/>
      <w:pPr>
        <w:ind w:left="1558" w:hanging="360"/>
      </w:pPr>
    </w:lvl>
    <w:lvl w:ilvl="2" w:tplc="080C001B" w:tentative="1">
      <w:start w:val="1"/>
      <w:numFmt w:val="lowerRoman"/>
      <w:lvlText w:val="%3."/>
      <w:lvlJc w:val="right"/>
      <w:pPr>
        <w:ind w:left="2278" w:hanging="180"/>
      </w:pPr>
    </w:lvl>
    <w:lvl w:ilvl="3" w:tplc="080C000F" w:tentative="1">
      <w:start w:val="1"/>
      <w:numFmt w:val="decimal"/>
      <w:lvlText w:val="%4."/>
      <w:lvlJc w:val="left"/>
      <w:pPr>
        <w:ind w:left="2998" w:hanging="360"/>
      </w:pPr>
    </w:lvl>
    <w:lvl w:ilvl="4" w:tplc="080C0019" w:tentative="1">
      <w:start w:val="1"/>
      <w:numFmt w:val="lowerLetter"/>
      <w:lvlText w:val="%5."/>
      <w:lvlJc w:val="left"/>
      <w:pPr>
        <w:ind w:left="3718" w:hanging="360"/>
      </w:pPr>
    </w:lvl>
    <w:lvl w:ilvl="5" w:tplc="080C001B" w:tentative="1">
      <w:start w:val="1"/>
      <w:numFmt w:val="lowerRoman"/>
      <w:lvlText w:val="%6."/>
      <w:lvlJc w:val="right"/>
      <w:pPr>
        <w:ind w:left="4438" w:hanging="180"/>
      </w:pPr>
    </w:lvl>
    <w:lvl w:ilvl="6" w:tplc="080C000F" w:tentative="1">
      <w:start w:val="1"/>
      <w:numFmt w:val="decimal"/>
      <w:lvlText w:val="%7."/>
      <w:lvlJc w:val="left"/>
      <w:pPr>
        <w:ind w:left="5158" w:hanging="360"/>
      </w:pPr>
    </w:lvl>
    <w:lvl w:ilvl="7" w:tplc="080C0019" w:tentative="1">
      <w:start w:val="1"/>
      <w:numFmt w:val="lowerLetter"/>
      <w:lvlText w:val="%8."/>
      <w:lvlJc w:val="left"/>
      <w:pPr>
        <w:ind w:left="5878" w:hanging="360"/>
      </w:pPr>
    </w:lvl>
    <w:lvl w:ilvl="8" w:tplc="080C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12B308C2"/>
    <w:multiLevelType w:val="hybridMultilevel"/>
    <w:tmpl w:val="5134AAC2"/>
    <w:lvl w:ilvl="0" w:tplc="D92CF70C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5D9A"/>
    <w:multiLevelType w:val="hybridMultilevel"/>
    <w:tmpl w:val="A3F8E74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>
      <w:start w:val="1"/>
      <w:numFmt w:val="lowerLetter"/>
      <w:lvlText w:val="%2."/>
      <w:lvlJc w:val="left"/>
      <w:pPr>
        <w:ind w:left="2148" w:hanging="360"/>
      </w:pPr>
    </w:lvl>
    <w:lvl w:ilvl="2" w:tplc="2000001B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96084F"/>
    <w:multiLevelType w:val="multilevel"/>
    <w:tmpl w:val="C5FE1B66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7" w15:restartNumberingAfterBreak="0">
    <w:nsid w:val="304E5673"/>
    <w:multiLevelType w:val="hybridMultilevel"/>
    <w:tmpl w:val="446A1B78"/>
    <w:lvl w:ilvl="0" w:tplc="56405DCE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32247"/>
    <w:multiLevelType w:val="hybridMultilevel"/>
    <w:tmpl w:val="57B42588"/>
    <w:lvl w:ilvl="0" w:tplc="20501538">
      <w:start w:val="1"/>
      <w:numFmt w:val="decimal"/>
      <w:lvlText w:val="%1."/>
      <w:lvlJc w:val="left"/>
      <w:pPr>
        <w:ind w:left="634" w:hanging="516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98" w:hanging="360"/>
      </w:pPr>
    </w:lvl>
    <w:lvl w:ilvl="2" w:tplc="080C001B" w:tentative="1">
      <w:start w:val="1"/>
      <w:numFmt w:val="lowerRoman"/>
      <w:lvlText w:val="%3."/>
      <w:lvlJc w:val="right"/>
      <w:pPr>
        <w:ind w:left="1918" w:hanging="180"/>
      </w:pPr>
    </w:lvl>
    <w:lvl w:ilvl="3" w:tplc="080C000F" w:tentative="1">
      <w:start w:val="1"/>
      <w:numFmt w:val="decimal"/>
      <w:lvlText w:val="%4."/>
      <w:lvlJc w:val="left"/>
      <w:pPr>
        <w:ind w:left="2638" w:hanging="360"/>
      </w:pPr>
    </w:lvl>
    <w:lvl w:ilvl="4" w:tplc="080C0019" w:tentative="1">
      <w:start w:val="1"/>
      <w:numFmt w:val="lowerLetter"/>
      <w:lvlText w:val="%5."/>
      <w:lvlJc w:val="left"/>
      <w:pPr>
        <w:ind w:left="3358" w:hanging="360"/>
      </w:pPr>
    </w:lvl>
    <w:lvl w:ilvl="5" w:tplc="080C001B" w:tentative="1">
      <w:start w:val="1"/>
      <w:numFmt w:val="lowerRoman"/>
      <w:lvlText w:val="%6."/>
      <w:lvlJc w:val="right"/>
      <w:pPr>
        <w:ind w:left="4078" w:hanging="180"/>
      </w:pPr>
    </w:lvl>
    <w:lvl w:ilvl="6" w:tplc="080C000F" w:tentative="1">
      <w:start w:val="1"/>
      <w:numFmt w:val="decimal"/>
      <w:lvlText w:val="%7."/>
      <w:lvlJc w:val="left"/>
      <w:pPr>
        <w:ind w:left="4798" w:hanging="360"/>
      </w:pPr>
    </w:lvl>
    <w:lvl w:ilvl="7" w:tplc="080C0019" w:tentative="1">
      <w:start w:val="1"/>
      <w:numFmt w:val="lowerLetter"/>
      <w:lvlText w:val="%8."/>
      <w:lvlJc w:val="left"/>
      <w:pPr>
        <w:ind w:left="5518" w:hanging="360"/>
      </w:pPr>
    </w:lvl>
    <w:lvl w:ilvl="8" w:tplc="08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80424CA"/>
    <w:multiLevelType w:val="hybridMultilevel"/>
    <w:tmpl w:val="A7422B84"/>
    <w:lvl w:ilvl="0" w:tplc="0B320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C2774"/>
    <w:multiLevelType w:val="hybridMultilevel"/>
    <w:tmpl w:val="C89223BA"/>
    <w:lvl w:ilvl="0" w:tplc="D85E1D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D05BC4"/>
    <w:multiLevelType w:val="hybridMultilevel"/>
    <w:tmpl w:val="60ECC58C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A5FA6"/>
    <w:multiLevelType w:val="hybridMultilevel"/>
    <w:tmpl w:val="5BF4324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4C55F30"/>
    <w:multiLevelType w:val="hybridMultilevel"/>
    <w:tmpl w:val="5D70EA7C"/>
    <w:lvl w:ilvl="0" w:tplc="97C01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0E86"/>
    <w:multiLevelType w:val="hybridMultilevel"/>
    <w:tmpl w:val="A06A7DAC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B5D3979"/>
    <w:multiLevelType w:val="hybridMultilevel"/>
    <w:tmpl w:val="BDD666D6"/>
    <w:lvl w:ilvl="0" w:tplc="569AADC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BE" w:eastAsia="fr-BE" w:bidi="fr-BE"/>
      </w:rPr>
    </w:lvl>
    <w:lvl w:ilvl="1" w:tplc="A30EE96C">
      <w:start w:val="1"/>
      <w:numFmt w:val="upperLetter"/>
      <w:lvlText w:val="(%2)"/>
      <w:lvlJc w:val="left"/>
      <w:pPr>
        <w:ind w:left="1248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fr-BE" w:eastAsia="fr-BE" w:bidi="fr-BE"/>
      </w:rPr>
    </w:lvl>
    <w:lvl w:ilvl="2" w:tplc="DB6EC3CC">
      <w:start w:val="1"/>
      <w:numFmt w:val="lowerRoman"/>
      <w:lvlText w:val="(%3)"/>
      <w:lvlJc w:val="left"/>
      <w:pPr>
        <w:ind w:left="1817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BE" w:eastAsia="fr-BE" w:bidi="fr-BE"/>
      </w:rPr>
    </w:lvl>
    <w:lvl w:ilvl="3" w:tplc="146006E8">
      <w:numFmt w:val="bullet"/>
      <w:lvlText w:val="•"/>
      <w:lvlJc w:val="left"/>
      <w:pPr>
        <w:ind w:left="2755" w:hanging="569"/>
      </w:pPr>
      <w:rPr>
        <w:rFonts w:hint="default"/>
        <w:lang w:val="fr-BE" w:eastAsia="fr-BE" w:bidi="fr-BE"/>
      </w:rPr>
    </w:lvl>
    <w:lvl w:ilvl="4" w:tplc="487054CE">
      <w:numFmt w:val="bullet"/>
      <w:lvlText w:val="•"/>
      <w:lvlJc w:val="left"/>
      <w:pPr>
        <w:ind w:left="3691" w:hanging="569"/>
      </w:pPr>
      <w:rPr>
        <w:rFonts w:hint="default"/>
        <w:lang w:val="fr-BE" w:eastAsia="fr-BE" w:bidi="fr-BE"/>
      </w:rPr>
    </w:lvl>
    <w:lvl w:ilvl="5" w:tplc="EAEE5802">
      <w:numFmt w:val="bullet"/>
      <w:lvlText w:val="•"/>
      <w:lvlJc w:val="left"/>
      <w:pPr>
        <w:ind w:left="4627" w:hanging="569"/>
      </w:pPr>
      <w:rPr>
        <w:rFonts w:hint="default"/>
        <w:lang w:val="fr-BE" w:eastAsia="fr-BE" w:bidi="fr-BE"/>
      </w:rPr>
    </w:lvl>
    <w:lvl w:ilvl="6" w:tplc="ACB07056">
      <w:numFmt w:val="bullet"/>
      <w:lvlText w:val="•"/>
      <w:lvlJc w:val="left"/>
      <w:pPr>
        <w:ind w:left="5563" w:hanging="569"/>
      </w:pPr>
      <w:rPr>
        <w:rFonts w:hint="default"/>
        <w:lang w:val="fr-BE" w:eastAsia="fr-BE" w:bidi="fr-BE"/>
      </w:rPr>
    </w:lvl>
    <w:lvl w:ilvl="7" w:tplc="FE3AB614">
      <w:numFmt w:val="bullet"/>
      <w:lvlText w:val="•"/>
      <w:lvlJc w:val="left"/>
      <w:pPr>
        <w:ind w:left="6499" w:hanging="569"/>
      </w:pPr>
      <w:rPr>
        <w:rFonts w:hint="default"/>
        <w:lang w:val="fr-BE" w:eastAsia="fr-BE" w:bidi="fr-BE"/>
      </w:rPr>
    </w:lvl>
    <w:lvl w:ilvl="8" w:tplc="C8063904">
      <w:numFmt w:val="bullet"/>
      <w:lvlText w:val="•"/>
      <w:lvlJc w:val="left"/>
      <w:pPr>
        <w:ind w:left="7434" w:hanging="569"/>
      </w:pPr>
      <w:rPr>
        <w:rFonts w:hint="default"/>
        <w:lang w:val="fr-BE" w:eastAsia="fr-BE" w:bidi="fr-BE"/>
      </w:rPr>
    </w:lvl>
  </w:abstractNum>
  <w:abstractNum w:abstractNumId="16" w15:restartNumberingAfterBreak="0">
    <w:nsid w:val="619C5F54"/>
    <w:multiLevelType w:val="hybridMultilevel"/>
    <w:tmpl w:val="53D6AD6C"/>
    <w:lvl w:ilvl="0" w:tplc="816206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9BE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965F9"/>
    <w:multiLevelType w:val="hybridMultilevel"/>
    <w:tmpl w:val="4CEC8AB8"/>
    <w:lvl w:ilvl="0" w:tplc="490839D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E7686"/>
    <w:multiLevelType w:val="hybridMultilevel"/>
    <w:tmpl w:val="5D842F5E"/>
    <w:lvl w:ilvl="0" w:tplc="AB30D6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color w:val="69BE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6F36"/>
    <w:multiLevelType w:val="hybridMultilevel"/>
    <w:tmpl w:val="3A462276"/>
    <w:lvl w:ilvl="0" w:tplc="569AADC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BE" w:eastAsia="fr-BE" w:bidi="fr-BE"/>
      </w:rPr>
    </w:lvl>
    <w:lvl w:ilvl="1" w:tplc="4B206090">
      <w:start w:val="1"/>
      <w:numFmt w:val="upperLetter"/>
      <w:lvlText w:val="(%2)"/>
      <w:lvlJc w:val="left"/>
      <w:pPr>
        <w:ind w:left="1248" w:hanging="56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BE" w:eastAsia="fr-BE" w:bidi="fr-BE"/>
      </w:rPr>
    </w:lvl>
    <w:lvl w:ilvl="2" w:tplc="DB6EC3CC">
      <w:start w:val="1"/>
      <w:numFmt w:val="lowerRoman"/>
      <w:lvlText w:val="(%3)"/>
      <w:lvlJc w:val="left"/>
      <w:pPr>
        <w:ind w:left="1817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BE" w:eastAsia="fr-BE" w:bidi="fr-BE"/>
      </w:rPr>
    </w:lvl>
    <w:lvl w:ilvl="3" w:tplc="146006E8">
      <w:numFmt w:val="bullet"/>
      <w:lvlText w:val="•"/>
      <w:lvlJc w:val="left"/>
      <w:pPr>
        <w:ind w:left="2755" w:hanging="569"/>
      </w:pPr>
      <w:rPr>
        <w:rFonts w:hint="default"/>
        <w:lang w:val="fr-BE" w:eastAsia="fr-BE" w:bidi="fr-BE"/>
      </w:rPr>
    </w:lvl>
    <w:lvl w:ilvl="4" w:tplc="487054CE">
      <w:numFmt w:val="bullet"/>
      <w:lvlText w:val="•"/>
      <w:lvlJc w:val="left"/>
      <w:pPr>
        <w:ind w:left="3691" w:hanging="569"/>
      </w:pPr>
      <w:rPr>
        <w:rFonts w:hint="default"/>
        <w:lang w:val="fr-BE" w:eastAsia="fr-BE" w:bidi="fr-BE"/>
      </w:rPr>
    </w:lvl>
    <w:lvl w:ilvl="5" w:tplc="EAEE5802">
      <w:numFmt w:val="bullet"/>
      <w:lvlText w:val="•"/>
      <w:lvlJc w:val="left"/>
      <w:pPr>
        <w:ind w:left="4627" w:hanging="569"/>
      </w:pPr>
      <w:rPr>
        <w:rFonts w:hint="default"/>
        <w:lang w:val="fr-BE" w:eastAsia="fr-BE" w:bidi="fr-BE"/>
      </w:rPr>
    </w:lvl>
    <w:lvl w:ilvl="6" w:tplc="ACB07056">
      <w:numFmt w:val="bullet"/>
      <w:lvlText w:val="•"/>
      <w:lvlJc w:val="left"/>
      <w:pPr>
        <w:ind w:left="5563" w:hanging="569"/>
      </w:pPr>
      <w:rPr>
        <w:rFonts w:hint="default"/>
        <w:lang w:val="fr-BE" w:eastAsia="fr-BE" w:bidi="fr-BE"/>
      </w:rPr>
    </w:lvl>
    <w:lvl w:ilvl="7" w:tplc="FE3AB614">
      <w:numFmt w:val="bullet"/>
      <w:lvlText w:val="•"/>
      <w:lvlJc w:val="left"/>
      <w:pPr>
        <w:ind w:left="6499" w:hanging="569"/>
      </w:pPr>
      <w:rPr>
        <w:rFonts w:hint="default"/>
        <w:lang w:val="fr-BE" w:eastAsia="fr-BE" w:bidi="fr-BE"/>
      </w:rPr>
    </w:lvl>
    <w:lvl w:ilvl="8" w:tplc="C8063904">
      <w:numFmt w:val="bullet"/>
      <w:lvlText w:val="•"/>
      <w:lvlJc w:val="left"/>
      <w:pPr>
        <w:ind w:left="7434" w:hanging="569"/>
      </w:pPr>
      <w:rPr>
        <w:rFonts w:hint="default"/>
        <w:lang w:val="fr-BE" w:eastAsia="fr-BE" w:bidi="fr-BE"/>
      </w:rPr>
    </w:lvl>
  </w:abstractNum>
  <w:abstractNum w:abstractNumId="20" w15:restartNumberingAfterBreak="0">
    <w:nsid w:val="6CCD32A5"/>
    <w:multiLevelType w:val="hybridMultilevel"/>
    <w:tmpl w:val="6DA00098"/>
    <w:lvl w:ilvl="0" w:tplc="355089FE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2A03002"/>
    <w:multiLevelType w:val="hybridMultilevel"/>
    <w:tmpl w:val="38CAFB5A"/>
    <w:lvl w:ilvl="0" w:tplc="53402C2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73374C1E"/>
    <w:multiLevelType w:val="hybridMultilevel"/>
    <w:tmpl w:val="B99E5B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50852"/>
    <w:multiLevelType w:val="hybridMultilevel"/>
    <w:tmpl w:val="D150AA2A"/>
    <w:lvl w:ilvl="0" w:tplc="79D0BE0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21"/>
  </w:num>
  <w:num w:numId="7">
    <w:abstractNumId w:val="3"/>
  </w:num>
  <w:num w:numId="8">
    <w:abstractNumId w:val="8"/>
  </w:num>
  <w:num w:numId="9">
    <w:abstractNumId w:val="22"/>
  </w:num>
  <w:num w:numId="10">
    <w:abstractNumId w:val="20"/>
  </w:num>
  <w:num w:numId="11">
    <w:abstractNumId w:val="17"/>
  </w:num>
  <w:num w:numId="12">
    <w:abstractNumId w:val="0"/>
  </w:num>
  <w:num w:numId="13">
    <w:abstractNumId w:val="7"/>
  </w:num>
  <w:num w:numId="14">
    <w:abstractNumId w:val="15"/>
  </w:num>
  <w:num w:numId="15">
    <w:abstractNumId w:val="9"/>
  </w:num>
  <w:num w:numId="16">
    <w:abstractNumId w:val="5"/>
  </w:num>
  <w:num w:numId="17">
    <w:abstractNumId w:val="23"/>
  </w:num>
  <w:num w:numId="18">
    <w:abstractNumId w:val="19"/>
  </w:num>
  <w:num w:numId="19">
    <w:abstractNumId w:val="12"/>
  </w:num>
  <w:num w:numId="20">
    <w:abstractNumId w:val="14"/>
  </w:num>
  <w:num w:numId="21">
    <w:abstractNumId w:val="11"/>
  </w:num>
  <w:num w:numId="22">
    <w:abstractNumId w:val="1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E"/>
    <w:rsid w:val="00022FFF"/>
    <w:rsid w:val="000310B2"/>
    <w:rsid w:val="00031C18"/>
    <w:rsid w:val="000464DB"/>
    <w:rsid w:val="000472FC"/>
    <w:rsid w:val="00050302"/>
    <w:rsid w:val="00052B34"/>
    <w:rsid w:val="00057B16"/>
    <w:rsid w:val="0009185A"/>
    <w:rsid w:val="000958E2"/>
    <w:rsid w:val="000B4316"/>
    <w:rsid w:val="000C57EA"/>
    <w:rsid w:val="000E24EC"/>
    <w:rsid w:val="000E7B85"/>
    <w:rsid w:val="00102222"/>
    <w:rsid w:val="00127BD5"/>
    <w:rsid w:val="001336FD"/>
    <w:rsid w:val="00147E95"/>
    <w:rsid w:val="001610A5"/>
    <w:rsid w:val="00194B69"/>
    <w:rsid w:val="001A5C13"/>
    <w:rsid w:val="001A6B1D"/>
    <w:rsid w:val="001C0A75"/>
    <w:rsid w:val="001D5B7F"/>
    <w:rsid w:val="001D6280"/>
    <w:rsid w:val="001E1D0D"/>
    <w:rsid w:val="001E356F"/>
    <w:rsid w:val="001F0345"/>
    <w:rsid w:val="001F3537"/>
    <w:rsid w:val="00200984"/>
    <w:rsid w:val="002032F0"/>
    <w:rsid w:val="0021780E"/>
    <w:rsid w:val="00232538"/>
    <w:rsid w:val="0026478C"/>
    <w:rsid w:val="00266EBE"/>
    <w:rsid w:val="00285147"/>
    <w:rsid w:val="002C7D44"/>
    <w:rsid w:val="002E78C5"/>
    <w:rsid w:val="002F58AE"/>
    <w:rsid w:val="00300CE0"/>
    <w:rsid w:val="00305AA9"/>
    <w:rsid w:val="003122FA"/>
    <w:rsid w:val="003751E7"/>
    <w:rsid w:val="00387F59"/>
    <w:rsid w:val="003A016D"/>
    <w:rsid w:val="003E31CA"/>
    <w:rsid w:val="003E691C"/>
    <w:rsid w:val="003E6C7A"/>
    <w:rsid w:val="003F6070"/>
    <w:rsid w:val="003F77D6"/>
    <w:rsid w:val="004041BC"/>
    <w:rsid w:val="00412FBA"/>
    <w:rsid w:val="004176F2"/>
    <w:rsid w:val="0042391B"/>
    <w:rsid w:val="00426742"/>
    <w:rsid w:val="00436853"/>
    <w:rsid w:val="00445DA9"/>
    <w:rsid w:val="00461395"/>
    <w:rsid w:val="00461F1E"/>
    <w:rsid w:val="004715CF"/>
    <w:rsid w:val="004809FE"/>
    <w:rsid w:val="00494617"/>
    <w:rsid w:val="00495DC1"/>
    <w:rsid w:val="004C19AC"/>
    <w:rsid w:val="004C7460"/>
    <w:rsid w:val="004E7A31"/>
    <w:rsid w:val="004F7148"/>
    <w:rsid w:val="00502D9D"/>
    <w:rsid w:val="0051766A"/>
    <w:rsid w:val="00555731"/>
    <w:rsid w:val="00556596"/>
    <w:rsid w:val="00564339"/>
    <w:rsid w:val="00565860"/>
    <w:rsid w:val="00571C41"/>
    <w:rsid w:val="00580B8B"/>
    <w:rsid w:val="005830AD"/>
    <w:rsid w:val="00583167"/>
    <w:rsid w:val="005D30C3"/>
    <w:rsid w:val="005E2250"/>
    <w:rsid w:val="005E36CE"/>
    <w:rsid w:val="005F0360"/>
    <w:rsid w:val="005F5EFA"/>
    <w:rsid w:val="005F74F3"/>
    <w:rsid w:val="00612A47"/>
    <w:rsid w:val="00640860"/>
    <w:rsid w:val="00642527"/>
    <w:rsid w:val="00650991"/>
    <w:rsid w:val="006811F9"/>
    <w:rsid w:val="006A71CD"/>
    <w:rsid w:val="006B1B64"/>
    <w:rsid w:val="006D30EF"/>
    <w:rsid w:val="006D506A"/>
    <w:rsid w:val="006E5443"/>
    <w:rsid w:val="006F657E"/>
    <w:rsid w:val="006F6F93"/>
    <w:rsid w:val="006F7E3A"/>
    <w:rsid w:val="00711957"/>
    <w:rsid w:val="00715F7A"/>
    <w:rsid w:val="007519B2"/>
    <w:rsid w:val="00753D5F"/>
    <w:rsid w:val="00776E8A"/>
    <w:rsid w:val="0078209D"/>
    <w:rsid w:val="0078370C"/>
    <w:rsid w:val="007A519F"/>
    <w:rsid w:val="007B31F7"/>
    <w:rsid w:val="007D03B7"/>
    <w:rsid w:val="00800DA6"/>
    <w:rsid w:val="008245D8"/>
    <w:rsid w:val="008959AD"/>
    <w:rsid w:val="008D624F"/>
    <w:rsid w:val="008E6542"/>
    <w:rsid w:val="008E7FA4"/>
    <w:rsid w:val="00901BFF"/>
    <w:rsid w:val="00915752"/>
    <w:rsid w:val="009164DE"/>
    <w:rsid w:val="00927B4D"/>
    <w:rsid w:val="009840D4"/>
    <w:rsid w:val="0098752C"/>
    <w:rsid w:val="009933D0"/>
    <w:rsid w:val="009A31C8"/>
    <w:rsid w:val="009B5BE5"/>
    <w:rsid w:val="009F4189"/>
    <w:rsid w:val="009F67E8"/>
    <w:rsid w:val="00A03191"/>
    <w:rsid w:val="00A06F57"/>
    <w:rsid w:val="00A140FB"/>
    <w:rsid w:val="00A16CB4"/>
    <w:rsid w:val="00A274F4"/>
    <w:rsid w:val="00A35EB9"/>
    <w:rsid w:val="00A568D3"/>
    <w:rsid w:val="00A763C6"/>
    <w:rsid w:val="00A803A8"/>
    <w:rsid w:val="00A817E1"/>
    <w:rsid w:val="00A820B1"/>
    <w:rsid w:val="00AA67E1"/>
    <w:rsid w:val="00AB2EC3"/>
    <w:rsid w:val="00AE7769"/>
    <w:rsid w:val="00AF7CC2"/>
    <w:rsid w:val="00B026D8"/>
    <w:rsid w:val="00B036FE"/>
    <w:rsid w:val="00B14097"/>
    <w:rsid w:val="00B34732"/>
    <w:rsid w:val="00B3585F"/>
    <w:rsid w:val="00B82948"/>
    <w:rsid w:val="00BA3C30"/>
    <w:rsid w:val="00BC4AFE"/>
    <w:rsid w:val="00BD4B94"/>
    <w:rsid w:val="00BE2ABA"/>
    <w:rsid w:val="00BF31D2"/>
    <w:rsid w:val="00C0107E"/>
    <w:rsid w:val="00C061F4"/>
    <w:rsid w:val="00C439B2"/>
    <w:rsid w:val="00C55358"/>
    <w:rsid w:val="00C56750"/>
    <w:rsid w:val="00C77021"/>
    <w:rsid w:val="00CB5611"/>
    <w:rsid w:val="00CD777E"/>
    <w:rsid w:val="00D23063"/>
    <w:rsid w:val="00D46C1C"/>
    <w:rsid w:val="00D50093"/>
    <w:rsid w:val="00D82197"/>
    <w:rsid w:val="00DA0CFC"/>
    <w:rsid w:val="00DA2D9A"/>
    <w:rsid w:val="00DA481F"/>
    <w:rsid w:val="00DA6D71"/>
    <w:rsid w:val="00DE598F"/>
    <w:rsid w:val="00E13567"/>
    <w:rsid w:val="00E36F98"/>
    <w:rsid w:val="00E53313"/>
    <w:rsid w:val="00E875B0"/>
    <w:rsid w:val="00E9073C"/>
    <w:rsid w:val="00EA08C4"/>
    <w:rsid w:val="00EC5BE3"/>
    <w:rsid w:val="00ED0D35"/>
    <w:rsid w:val="00EE7242"/>
    <w:rsid w:val="00F22B8E"/>
    <w:rsid w:val="00F51125"/>
    <w:rsid w:val="00F53A62"/>
    <w:rsid w:val="00F746A3"/>
    <w:rsid w:val="00F814D2"/>
    <w:rsid w:val="00F93D06"/>
    <w:rsid w:val="00FA6845"/>
    <w:rsid w:val="00FA7CBA"/>
    <w:rsid w:val="00FC39DF"/>
    <w:rsid w:val="00FC594A"/>
    <w:rsid w:val="00FD1194"/>
    <w:rsid w:val="00FD24AF"/>
    <w:rsid w:val="00FE5627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2C01EE1"/>
  <w15:chartTrackingRefBased/>
  <w15:docId w15:val="{28D58CBF-F6B1-4B9F-BAA3-5B8C0E71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FF"/>
    <w:pPr>
      <w:jc w:val="both"/>
    </w:pPr>
    <w:rPr>
      <w:rFonts w:ascii="Times New Roman" w:hAnsi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40860"/>
    <w:pPr>
      <w:widowControl w:val="0"/>
      <w:autoSpaceDE w:val="0"/>
      <w:autoSpaceDN w:val="0"/>
      <w:spacing w:after="0" w:line="240" w:lineRule="auto"/>
      <w:ind w:left="682" w:hanging="566"/>
      <w:jc w:val="left"/>
      <w:outlineLvl w:val="0"/>
    </w:pPr>
    <w:rPr>
      <w:rFonts w:eastAsia="Times New Roman" w:cs="Times New Roman"/>
      <w:b/>
      <w:bCs/>
      <w:lang w:val="fr-BE" w:eastAsia="fr-BE" w:bidi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A8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A8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80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1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4D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D2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D2"/>
    <w:rPr>
      <w:rFonts w:ascii="Segoe UI" w:hAnsi="Segoe UI" w:cs="Segoe UI"/>
      <w:sz w:val="18"/>
      <w:szCs w:val="18"/>
      <w:lang w:val="en-GB"/>
    </w:rPr>
  </w:style>
  <w:style w:type="paragraph" w:customStyle="1" w:styleId="Footerinfo">
    <w:name w:val="Footer info"/>
    <w:basedOn w:val="Normal"/>
    <w:qFormat/>
    <w:rsid w:val="006F6F93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MS Mincho" w:hAnsi="Arial" w:cs="ArialMT"/>
      <w:color w:val="000000" w:themeColor="text1"/>
      <w:sz w:val="18"/>
      <w:szCs w:val="18"/>
      <w:lang w:val="fr-FR" w:eastAsia="fr-FR"/>
    </w:rPr>
  </w:style>
  <w:style w:type="paragraph" w:customStyle="1" w:styleId="IBABUSINESSUNIT">
    <w:name w:val="IBA_BUSINESSUNIT"/>
    <w:basedOn w:val="Normal"/>
    <w:qFormat/>
    <w:rsid w:val="006F6F93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MS Mincho" w:hAnsi="Arial" w:cs="ArialMT"/>
      <w:color w:val="69BE28"/>
      <w:sz w:val="18"/>
      <w:szCs w:val="18"/>
      <w:lang w:val="fr-FR" w:eastAsia="fr-FR"/>
    </w:rPr>
  </w:style>
  <w:style w:type="paragraph" w:customStyle="1" w:styleId="Default">
    <w:name w:val="Default"/>
    <w:rsid w:val="006F6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Arabic1">
    <w:name w:val="List Arabic 1"/>
    <w:basedOn w:val="Normal"/>
    <w:next w:val="BodyText"/>
    <w:rsid w:val="006F6F93"/>
    <w:pPr>
      <w:numPr>
        <w:numId w:val="5"/>
      </w:numPr>
      <w:tabs>
        <w:tab w:val="left" w:pos="22"/>
      </w:tabs>
      <w:spacing w:after="200" w:line="288" w:lineRule="auto"/>
    </w:pPr>
    <w:rPr>
      <w:rFonts w:ascii="CG Times" w:eastAsia="Times New Roman" w:hAnsi="CG Times" w:cs="Times New Roman"/>
      <w:szCs w:val="20"/>
    </w:rPr>
  </w:style>
  <w:style w:type="paragraph" w:customStyle="1" w:styleId="ListArabic2">
    <w:name w:val="List Arabic 2"/>
    <w:basedOn w:val="Normal"/>
    <w:next w:val="Normal"/>
    <w:rsid w:val="006F6F93"/>
    <w:pPr>
      <w:numPr>
        <w:ilvl w:val="1"/>
        <w:numId w:val="5"/>
      </w:numPr>
      <w:tabs>
        <w:tab w:val="left" w:pos="50"/>
      </w:tabs>
      <w:spacing w:after="200" w:line="288" w:lineRule="auto"/>
    </w:pPr>
    <w:rPr>
      <w:rFonts w:ascii="CG Times" w:eastAsia="Times New Roman" w:hAnsi="CG Times" w:cs="Times New Roman"/>
      <w:szCs w:val="20"/>
    </w:rPr>
  </w:style>
  <w:style w:type="paragraph" w:customStyle="1" w:styleId="ListArabic3">
    <w:name w:val="List Arabic 3"/>
    <w:basedOn w:val="Normal"/>
    <w:next w:val="BodyText3"/>
    <w:rsid w:val="006F6F93"/>
    <w:pPr>
      <w:numPr>
        <w:ilvl w:val="2"/>
        <w:numId w:val="5"/>
      </w:numPr>
      <w:tabs>
        <w:tab w:val="left" w:pos="68"/>
      </w:tabs>
      <w:spacing w:after="200" w:line="288" w:lineRule="auto"/>
    </w:pPr>
    <w:rPr>
      <w:rFonts w:ascii="CG Times" w:eastAsia="Times New Roman" w:hAnsi="CG Times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F6F93"/>
    <w:pPr>
      <w:widowControl w:val="0"/>
      <w:spacing w:after="120" w:line="276" w:lineRule="auto"/>
      <w:jc w:val="left"/>
    </w:pPr>
    <w:rPr>
      <w:rFonts w:asciiTheme="minorHAnsi" w:hAnsiTheme="minorHAns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F6F9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F93"/>
    <w:pPr>
      <w:widowControl w:val="0"/>
      <w:spacing w:after="120" w:line="276" w:lineRule="auto"/>
      <w:jc w:val="left"/>
    </w:pPr>
    <w:rPr>
      <w:rFonts w:asciiTheme="minorHAnsi" w:hAnsiTheme="minorHAns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6F93"/>
    <w:rPr>
      <w:sz w:val="16"/>
      <w:szCs w:val="16"/>
      <w:lang w:val="en-US"/>
    </w:rPr>
  </w:style>
  <w:style w:type="paragraph" w:styleId="NoSpacing">
    <w:name w:val="No Spacing"/>
    <w:uiPriority w:val="1"/>
    <w:qFormat/>
    <w:rsid w:val="00DA2D9A"/>
    <w:pPr>
      <w:spacing w:after="0" w:line="240" w:lineRule="auto"/>
      <w:jc w:val="both"/>
    </w:pPr>
    <w:rPr>
      <w:rFonts w:ascii="Times New Roman" w:hAnsi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0860"/>
    <w:rPr>
      <w:rFonts w:ascii="Times New Roman" w:eastAsia="Times New Roman" w:hAnsi="Times New Roman" w:cs="Times New Roman"/>
      <w:b/>
      <w:bCs/>
      <w:lang w:eastAsia="fr-BE" w:bidi="fr-BE"/>
    </w:rPr>
  </w:style>
  <w:style w:type="table" w:styleId="TableGrid">
    <w:name w:val="Table Grid"/>
    <w:basedOn w:val="TableNormal"/>
    <w:uiPriority w:val="39"/>
    <w:rsid w:val="00927B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76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6F2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17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65E1C944CF2458DF4C4242D774319" ma:contentTypeVersion="12" ma:contentTypeDescription="Create a new document." ma:contentTypeScope="" ma:versionID="62ac6d11658cd145f65eba7441b8f97e">
  <xsd:schema xmlns:xsd="http://www.w3.org/2001/XMLSchema" xmlns:xs="http://www.w3.org/2001/XMLSchema" xmlns:p="http://schemas.microsoft.com/office/2006/metadata/properties" xmlns:ns3="c06de76e-f52b-42d2-9aa8-de091df8d8ce" xmlns:ns4="6eb16375-9a29-4de4-967f-8a3e8c39bc7c" targetNamespace="http://schemas.microsoft.com/office/2006/metadata/properties" ma:root="true" ma:fieldsID="727dca837572f0beaad3a86e22096996" ns3:_="" ns4:_="">
    <xsd:import namespace="c06de76e-f52b-42d2-9aa8-de091df8d8ce"/>
    <xsd:import namespace="6eb16375-9a29-4de4-967f-8a3e8c39b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e76e-f52b-42d2-9aa8-de091df8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6375-9a29-4de4-967f-8a3e8c39b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5CC7E-D1EA-4474-AB9A-E05573DF7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72C7A-4411-46C5-955F-0628C4090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E43B0-E0DA-4EA9-B5D5-6CEE4D6B5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e76e-f52b-42d2-9aa8-de091df8d8ce"/>
    <ds:schemaRef ds:uri="6eb16375-9a29-4de4-967f-8a3e8c3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75FA1-D04A-4177-8198-6F7DD16BE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</dc:creator>
  <cp:keywords/>
  <dc:description/>
  <cp:lastModifiedBy>Fanny Guilbert</cp:lastModifiedBy>
  <cp:revision>62</cp:revision>
  <dcterms:created xsi:type="dcterms:W3CDTF">2021-04-27T09:49:00Z</dcterms:created>
  <dcterms:modified xsi:type="dcterms:W3CDTF">2021-05-17T18:24:00Z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0x0101004DD65E1C944CF2458DF4C4242D774319</vt:lpwstr>
  </property>
  <property fmtid="{D5CDD505-2E9C-101B-9397-08002B2CF9AE}" pid="3" name="MSIP_Label_2fcd86af-859f-470c-a775-a7f72d10bae6_Enabled">
    <vt:lpwstr>true</vt:lpwstr>
  </property>
  <property fmtid="{D5CDD505-2E9C-101B-9397-08002B2CF9AE}" pid="4" name="MSIP_Label_2fcd86af-859f-470c-a775-a7f72d10bae6_SetDate">
    <vt:lpwstr>2021-04-27T09:48:48Z</vt:lpwstr>
  </property>
  <property fmtid="{D5CDD505-2E9C-101B-9397-08002B2CF9AE}" pid="5" name="MSIP_Label_2fcd86af-859f-470c-a775-a7f72d10bae6_Method">
    <vt:lpwstr>Standard</vt:lpwstr>
  </property>
  <property fmtid="{D5CDD505-2E9C-101B-9397-08002B2CF9AE}" pid="6" name="MSIP_Label_2fcd86af-859f-470c-a775-a7f72d10bae6_Name">
    <vt:lpwstr>2fcd86af-859f-470c-a775-a7f72d10bae6</vt:lpwstr>
  </property>
  <property fmtid="{D5CDD505-2E9C-101B-9397-08002B2CF9AE}" pid="7" name="MSIP_Label_2fcd86af-859f-470c-a775-a7f72d10bae6_SiteId">
    <vt:lpwstr>c2a8770b-ad33-4215-bbe7-ec4185e9587b</vt:lpwstr>
  </property>
  <property fmtid="{D5CDD505-2E9C-101B-9397-08002B2CF9AE}" pid="8" name="MSIP_Label_2fcd86af-859f-470c-a775-a7f72d10bae6_ActionId">
    <vt:lpwstr>c08d9605-9da1-4a95-ac06-84bec28867e7</vt:lpwstr>
  </property>
  <property fmtid="{D5CDD505-2E9C-101B-9397-08002B2CF9AE}" pid="9" name="MSIP_Label_2fcd86af-859f-470c-a775-a7f72d10bae6_ContentBits">
    <vt:lpwstr>0</vt:lpwstr>
  </property>
</Properties>
</file>