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E6E89" w14:textId="77777777" w:rsidR="00B435AB" w:rsidRDefault="00B435AB" w:rsidP="00B435AB">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lang w:eastAsia="zh-CN"/>
        </w:rPr>
        <w:drawing>
          <wp:inline distT="0" distB="0" distL="0" distR="0" wp14:anchorId="7A8D635E" wp14:editId="1D2A070F">
            <wp:extent cx="1925585" cy="675560"/>
            <wp:effectExtent l="0" t="0" r="5080" b="1079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7109" cy="697145"/>
                    </a:xfrm>
                    <a:prstGeom prst="rect">
                      <a:avLst/>
                    </a:prstGeom>
                    <a:noFill/>
                    <a:ln>
                      <a:noFill/>
                    </a:ln>
                  </pic:spPr>
                </pic:pic>
              </a:graphicData>
            </a:graphic>
          </wp:inline>
        </w:drawing>
      </w:r>
    </w:p>
    <w:p w14:paraId="222335F8" w14:textId="77777777" w:rsidR="00B435AB" w:rsidRDefault="00B435AB" w:rsidP="00B435AB">
      <w:pPr>
        <w:widowControl w:val="0"/>
        <w:autoSpaceDE w:val="0"/>
        <w:autoSpaceDN w:val="0"/>
        <w:adjustRightInd w:val="0"/>
        <w:spacing w:line="280" w:lineRule="atLeast"/>
        <w:jc w:val="center"/>
        <w:rPr>
          <w:rFonts w:ascii="Times" w:hAnsi="Times" w:cs="Times"/>
          <w:color w:val="000000"/>
        </w:rPr>
      </w:pPr>
    </w:p>
    <w:p w14:paraId="3BDA2769" w14:textId="77777777" w:rsidR="00B435AB" w:rsidRDefault="00B435AB" w:rsidP="00B435AB">
      <w:pPr>
        <w:widowControl w:val="0"/>
        <w:autoSpaceDE w:val="0"/>
        <w:autoSpaceDN w:val="0"/>
        <w:adjustRightInd w:val="0"/>
        <w:spacing w:line="280" w:lineRule="atLeast"/>
        <w:jc w:val="center"/>
        <w:rPr>
          <w:rFonts w:ascii="Times" w:hAnsi="Times" w:cs="Times"/>
          <w:color w:val="000000"/>
        </w:rPr>
      </w:pPr>
    </w:p>
    <w:p w14:paraId="3B26C973" w14:textId="77777777" w:rsidR="00B435AB" w:rsidRDefault="00B435AB" w:rsidP="00B435AB">
      <w:pPr>
        <w:widowControl w:val="0"/>
        <w:autoSpaceDE w:val="0"/>
        <w:autoSpaceDN w:val="0"/>
        <w:adjustRightInd w:val="0"/>
        <w:spacing w:line="280" w:lineRule="atLeast"/>
        <w:jc w:val="center"/>
        <w:rPr>
          <w:rFonts w:ascii="Times" w:hAnsi="Times" w:cs="Times"/>
          <w:color w:val="000000"/>
        </w:rPr>
      </w:pPr>
    </w:p>
    <w:p w14:paraId="5A0B269B" w14:textId="52EFEF1E" w:rsidR="00B435AB" w:rsidRPr="00B435AB" w:rsidRDefault="00B435AB" w:rsidP="00B435AB">
      <w:pPr>
        <w:widowControl w:val="0"/>
        <w:autoSpaceDE w:val="0"/>
        <w:autoSpaceDN w:val="0"/>
        <w:adjustRightInd w:val="0"/>
        <w:spacing w:after="240" w:line="360" w:lineRule="atLeast"/>
        <w:jc w:val="both"/>
        <w:rPr>
          <w:rFonts w:ascii="Arial" w:hAnsi="Arial" w:cs="Arial"/>
          <w:color w:val="000000"/>
          <w:sz w:val="16"/>
          <w:szCs w:val="16"/>
        </w:rPr>
      </w:pPr>
      <w:r>
        <w:rPr>
          <w:rFonts w:ascii="Arial" w:hAnsi="Arial" w:cs="Arial"/>
          <w:b/>
          <w:bCs/>
          <w:color w:val="000000"/>
          <w:sz w:val="28"/>
          <w:szCs w:val="28"/>
        </w:rPr>
        <w:t>Communiqué</w:t>
      </w:r>
      <w:r w:rsidRPr="00DD1172">
        <w:rPr>
          <w:rFonts w:ascii="Arial" w:hAnsi="Arial" w:cs="Arial"/>
          <w:b/>
          <w:bCs/>
          <w:color w:val="000000"/>
          <w:sz w:val="28"/>
          <w:szCs w:val="28"/>
        </w:rPr>
        <w:t xml:space="preserve"> </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Pr="00B435AB">
        <w:rPr>
          <w:rFonts w:ascii="Arial" w:hAnsi="Arial" w:cs="Arial"/>
          <w:color w:val="000000"/>
          <w:sz w:val="16"/>
          <w:szCs w:val="16"/>
        </w:rPr>
        <w:t xml:space="preserve">Voisins Le Bretonneux, le </w:t>
      </w:r>
      <w:r w:rsidR="00786BC5">
        <w:rPr>
          <w:rFonts w:ascii="Arial" w:hAnsi="Arial" w:cs="Arial"/>
          <w:color w:val="000000"/>
          <w:sz w:val="16"/>
          <w:szCs w:val="16"/>
        </w:rPr>
        <w:t>mercredi 9</w:t>
      </w:r>
      <w:r w:rsidRPr="00B435AB">
        <w:rPr>
          <w:rFonts w:ascii="Arial" w:hAnsi="Arial" w:cs="Arial"/>
          <w:color w:val="000000"/>
          <w:sz w:val="16"/>
          <w:szCs w:val="16"/>
        </w:rPr>
        <w:t xml:space="preserve"> Juin 2021 </w:t>
      </w:r>
      <w:r w:rsidR="00786BC5">
        <w:rPr>
          <w:rFonts w:ascii="Arial" w:hAnsi="Arial" w:cs="Arial"/>
          <w:color w:val="000000"/>
          <w:sz w:val="16"/>
          <w:szCs w:val="16"/>
        </w:rPr>
        <w:t>– 18H</w:t>
      </w:r>
    </w:p>
    <w:p w14:paraId="78D4DC60" w14:textId="77777777" w:rsidR="00B435AB" w:rsidRDefault="00B435AB" w:rsidP="00B435AB">
      <w:pPr>
        <w:widowControl w:val="0"/>
        <w:autoSpaceDE w:val="0"/>
        <w:autoSpaceDN w:val="0"/>
        <w:adjustRightInd w:val="0"/>
        <w:spacing w:line="360" w:lineRule="atLeast"/>
        <w:jc w:val="both"/>
        <w:outlineLvl w:val="0"/>
        <w:rPr>
          <w:rFonts w:ascii="Arial" w:hAnsi="Arial" w:cs="Arial"/>
          <w:bCs/>
          <w:color w:val="000000"/>
          <w:sz w:val="20"/>
          <w:szCs w:val="20"/>
        </w:rPr>
      </w:pPr>
    </w:p>
    <w:p w14:paraId="19174770" w14:textId="4B6B0586" w:rsidR="00E8248E" w:rsidRPr="00B616B2" w:rsidRDefault="00786BC5" w:rsidP="00E8248E">
      <w:pPr>
        <w:widowControl w:val="0"/>
        <w:autoSpaceDE w:val="0"/>
        <w:autoSpaceDN w:val="0"/>
        <w:adjustRightInd w:val="0"/>
        <w:spacing w:line="360" w:lineRule="atLeast"/>
        <w:jc w:val="center"/>
        <w:outlineLvl w:val="0"/>
        <w:rPr>
          <w:rFonts w:ascii="Arial" w:hAnsi="Arial" w:cs="Arial"/>
          <w:b/>
          <w:bCs/>
          <w:color w:val="00B0F0"/>
          <w:sz w:val="20"/>
          <w:szCs w:val="20"/>
        </w:rPr>
      </w:pPr>
      <w:r>
        <w:rPr>
          <w:rFonts w:ascii="Arial" w:hAnsi="Arial" w:cs="Arial"/>
          <w:b/>
          <w:bCs/>
          <w:color w:val="00B0F0"/>
          <w:sz w:val="20"/>
          <w:szCs w:val="20"/>
        </w:rPr>
        <w:t>Point sur l’activité</w:t>
      </w:r>
      <w:r w:rsidR="00E8248E" w:rsidRPr="00B616B2">
        <w:rPr>
          <w:rFonts w:ascii="Arial" w:hAnsi="Arial" w:cs="Arial"/>
          <w:b/>
          <w:bCs/>
          <w:color w:val="00B0F0"/>
          <w:sz w:val="20"/>
          <w:szCs w:val="20"/>
        </w:rPr>
        <w:t xml:space="preserve"> et </w:t>
      </w:r>
      <w:r>
        <w:rPr>
          <w:rFonts w:ascii="Arial" w:hAnsi="Arial" w:cs="Arial"/>
          <w:b/>
          <w:bCs/>
          <w:color w:val="00B0F0"/>
          <w:sz w:val="20"/>
          <w:szCs w:val="20"/>
        </w:rPr>
        <w:t xml:space="preserve">les </w:t>
      </w:r>
      <w:r w:rsidR="00E8248E" w:rsidRPr="00B616B2">
        <w:rPr>
          <w:rFonts w:ascii="Arial" w:hAnsi="Arial" w:cs="Arial"/>
          <w:b/>
          <w:bCs/>
          <w:color w:val="00B0F0"/>
          <w:sz w:val="20"/>
          <w:szCs w:val="20"/>
        </w:rPr>
        <w:t>perspectives</w:t>
      </w:r>
    </w:p>
    <w:p w14:paraId="2D1C5135" w14:textId="688457EB" w:rsidR="00B435AB" w:rsidRPr="00B616B2" w:rsidRDefault="00BC742C" w:rsidP="00E8248E">
      <w:pPr>
        <w:widowControl w:val="0"/>
        <w:autoSpaceDE w:val="0"/>
        <w:autoSpaceDN w:val="0"/>
        <w:adjustRightInd w:val="0"/>
        <w:spacing w:line="360" w:lineRule="atLeast"/>
        <w:jc w:val="center"/>
        <w:outlineLvl w:val="0"/>
        <w:rPr>
          <w:rFonts w:ascii="Arial" w:hAnsi="Arial" w:cs="Arial"/>
          <w:b/>
          <w:bCs/>
          <w:color w:val="00B0F0"/>
          <w:sz w:val="20"/>
          <w:szCs w:val="20"/>
        </w:rPr>
      </w:pPr>
      <w:bookmarkStart w:id="0" w:name="_GoBack"/>
      <w:bookmarkEnd w:id="0"/>
      <w:r>
        <w:rPr>
          <w:rFonts w:ascii="Arial" w:hAnsi="Arial" w:cs="Arial"/>
          <w:b/>
          <w:bCs/>
          <w:color w:val="00B0F0"/>
          <w:sz w:val="20"/>
          <w:szCs w:val="20"/>
        </w:rPr>
        <w:t>Jeudi</w:t>
      </w:r>
      <w:r w:rsidR="00E8248E" w:rsidRPr="00B616B2">
        <w:rPr>
          <w:rFonts w:ascii="Arial" w:hAnsi="Arial" w:cs="Arial"/>
          <w:b/>
          <w:bCs/>
          <w:color w:val="00B0F0"/>
          <w:sz w:val="20"/>
          <w:szCs w:val="20"/>
        </w:rPr>
        <w:t xml:space="preserve"> 10 Juin 2021.</w:t>
      </w:r>
    </w:p>
    <w:p w14:paraId="3264169A" w14:textId="77777777" w:rsidR="00E8248E" w:rsidRDefault="00E8248E" w:rsidP="00E8248E">
      <w:pPr>
        <w:widowControl w:val="0"/>
        <w:autoSpaceDE w:val="0"/>
        <w:autoSpaceDN w:val="0"/>
        <w:adjustRightInd w:val="0"/>
        <w:spacing w:line="360" w:lineRule="atLeast"/>
        <w:jc w:val="center"/>
        <w:outlineLvl w:val="0"/>
        <w:rPr>
          <w:rFonts w:ascii="Arial" w:hAnsi="Arial" w:cs="Arial"/>
          <w:bCs/>
          <w:color w:val="000000"/>
          <w:sz w:val="20"/>
          <w:szCs w:val="20"/>
        </w:rPr>
      </w:pPr>
    </w:p>
    <w:p w14:paraId="44C3DC33" w14:textId="59B523B8" w:rsidR="00E8248E" w:rsidRDefault="00E8248E" w:rsidP="00E8248E">
      <w:pPr>
        <w:widowControl w:val="0"/>
        <w:autoSpaceDE w:val="0"/>
        <w:autoSpaceDN w:val="0"/>
        <w:adjustRightInd w:val="0"/>
        <w:spacing w:line="360" w:lineRule="atLeast"/>
        <w:outlineLvl w:val="0"/>
        <w:rPr>
          <w:rFonts w:ascii="Arial" w:hAnsi="Arial" w:cs="Arial"/>
          <w:bCs/>
          <w:color w:val="000000"/>
          <w:sz w:val="20"/>
          <w:szCs w:val="20"/>
        </w:rPr>
      </w:pPr>
      <w:r>
        <w:rPr>
          <w:rFonts w:ascii="Arial" w:hAnsi="Arial" w:cs="Arial"/>
          <w:bCs/>
          <w:color w:val="000000"/>
          <w:sz w:val="20"/>
          <w:szCs w:val="20"/>
        </w:rPr>
        <w:t>Le support de présentation de la réunion d’informations du 10 Juin 2021, sera accessible depuis la « homepage » du nouveau site web d’Orège dans la rubriques « actualités »</w:t>
      </w:r>
      <w:r w:rsidR="00786BC5">
        <w:rPr>
          <w:rFonts w:ascii="Arial" w:hAnsi="Arial" w:cs="Arial"/>
          <w:bCs/>
          <w:color w:val="000000"/>
          <w:sz w:val="20"/>
          <w:szCs w:val="20"/>
        </w:rPr>
        <w:t>.</w:t>
      </w:r>
    </w:p>
    <w:p w14:paraId="28E36A98" w14:textId="77777777" w:rsidR="00B435AB" w:rsidRDefault="00B435AB" w:rsidP="00B435AB">
      <w:pPr>
        <w:widowControl w:val="0"/>
        <w:autoSpaceDE w:val="0"/>
        <w:autoSpaceDN w:val="0"/>
        <w:adjustRightInd w:val="0"/>
        <w:spacing w:line="360" w:lineRule="atLeast"/>
        <w:jc w:val="both"/>
        <w:outlineLvl w:val="0"/>
        <w:rPr>
          <w:rFonts w:ascii="Arial" w:hAnsi="Arial" w:cs="Arial"/>
          <w:bCs/>
          <w:color w:val="000000"/>
          <w:sz w:val="20"/>
          <w:szCs w:val="20"/>
        </w:rPr>
      </w:pPr>
    </w:p>
    <w:p w14:paraId="377D096F" w14:textId="77777777" w:rsidR="00B435AB" w:rsidRDefault="00B435AB" w:rsidP="00B435AB">
      <w:pPr>
        <w:widowControl w:val="0"/>
        <w:autoSpaceDE w:val="0"/>
        <w:autoSpaceDN w:val="0"/>
        <w:adjustRightInd w:val="0"/>
        <w:spacing w:line="360" w:lineRule="atLeast"/>
        <w:jc w:val="both"/>
        <w:outlineLvl w:val="0"/>
        <w:rPr>
          <w:rFonts w:ascii="Arial" w:hAnsi="Arial" w:cs="Arial"/>
          <w:bCs/>
          <w:color w:val="000000"/>
          <w:sz w:val="20"/>
          <w:szCs w:val="20"/>
        </w:rPr>
      </w:pPr>
    </w:p>
    <w:p w14:paraId="52DFB45A" w14:textId="77777777" w:rsidR="00E8248E" w:rsidRDefault="00E8248E" w:rsidP="00B435AB">
      <w:pPr>
        <w:widowControl w:val="0"/>
        <w:autoSpaceDE w:val="0"/>
        <w:autoSpaceDN w:val="0"/>
        <w:adjustRightInd w:val="0"/>
        <w:spacing w:line="360" w:lineRule="atLeast"/>
        <w:jc w:val="both"/>
        <w:outlineLvl w:val="0"/>
        <w:rPr>
          <w:rFonts w:ascii="Arial" w:hAnsi="Arial" w:cs="Arial"/>
          <w:bCs/>
          <w:color w:val="000000"/>
          <w:sz w:val="20"/>
          <w:szCs w:val="20"/>
        </w:rPr>
      </w:pPr>
    </w:p>
    <w:p w14:paraId="6B16B00B" w14:textId="77777777" w:rsidR="00E8248E" w:rsidRDefault="00E8248E" w:rsidP="00B435AB">
      <w:pPr>
        <w:widowControl w:val="0"/>
        <w:autoSpaceDE w:val="0"/>
        <w:autoSpaceDN w:val="0"/>
        <w:adjustRightInd w:val="0"/>
        <w:spacing w:line="360" w:lineRule="atLeast"/>
        <w:jc w:val="both"/>
        <w:outlineLvl w:val="0"/>
        <w:rPr>
          <w:rFonts w:ascii="Arial" w:hAnsi="Arial" w:cs="Arial"/>
          <w:bCs/>
          <w:color w:val="000000"/>
          <w:sz w:val="20"/>
          <w:szCs w:val="20"/>
        </w:rPr>
      </w:pPr>
      <w:r>
        <w:rPr>
          <w:rFonts w:ascii="Arial" w:hAnsi="Arial" w:cs="Arial"/>
          <w:bCs/>
          <w:color w:val="000000"/>
          <w:sz w:val="20"/>
          <w:szCs w:val="20"/>
        </w:rPr>
        <w:t>Pour toutes informations :</w:t>
      </w:r>
    </w:p>
    <w:p w14:paraId="606C7D8C" w14:textId="77777777" w:rsidR="00B435AB" w:rsidRDefault="00B435AB" w:rsidP="00B435AB">
      <w:pPr>
        <w:widowControl w:val="0"/>
        <w:autoSpaceDE w:val="0"/>
        <w:autoSpaceDN w:val="0"/>
        <w:adjustRightInd w:val="0"/>
        <w:spacing w:line="360" w:lineRule="atLeast"/>
        <w:jc w:val="both"/>
        <w:outlineLvl w:val="0"/>
        <w:rPr>
          <w:rFonts w:ascii="MS Mincho" w:eastAsia="MS Mincho" w:hAnsi="MS Mincho" w:cs="MS Mincho"/>
          <w:color w:val="FF0000"/>
          <w:sz w:val="20"/>
          <w:szCs w:val="20"/>
        </w:rPr>
      </w:pPr>
      <w:r w:rsidRPr="00DD1172">
        <w:rPr>
          <w:rFonts w:ascii="Arial" w:hAnsi="Arial" w:cs="Arial"/>
          <w:color w:val="813A5F"/>
          <w:sz w:val="20"/>
          <w:szCs w:val="20"/>
        </w:rPr>
        <w:t>carine.oger@orege.com</w:t>
      </w:r>
    </w:p>
    <w:p w14:paraId="3D193EE6" w14:textId="77777777" w:rsidR="00B435AB" w:rsidRPr="00B53822" w:rsidRDefault="00B435AB" w:rsidP="00B435AB">
      <w:pPr>
        <w:widowControl w:val="0"/>
        <w:autoSpaceDE w:val="0"/>
        <w:autoSpaceDN w:val="0"/>
        <w:adjustRightInd w:val="0"/>
        <w:spacing w:line="360" w:lineRule="atLeast"/>
        <w:rPr>
          <w:rFonts w:ascii="Arial" w:hAnsi="Arial" w:cs="Arial"/>
          <w:color w:val="000000"/>
          <w:sz w:val="18"/>
          <w:szCs w:val="18"/>
        </w:rPr>
      </w:pPr>
    </w:p>
    <w:p w14:paraId="0C8ECBA2" w14:textId="77777777" w:rsidR="00B435AB" w:rsidRDefault="00B435AB" w:rsidP="00B435AB">
      <w:pPr>
        <w:widowControl w:val="0"/>
        <w:autoSpaceDE w:val="0"/>
        <w:autoSpaceDN w:val="0"/>
        <w:adjustRightInd w:val="0"/>
        <w:spacing w:line="360" w:lineRule="atLeast"/>
        <w:outlineLvl w:val="0"/>
        <w:rPr>
          <w:rFonts w:ascii="Arial" w:hAnsi="Arial" w:cs="Arial"/>
          <w:b/>
          <w:bCs/>
          <w:color w:val="1CA7E5"/>
          <w:sz w:val="20"/>
          <w:szCs w:val="20"/>
        </w:rPr>
      </w:pPr>
      <w:r w:rsidRPr="00B53822">
        <w:rPr>
          <w:rFonts w:ascii="Arial" w:hAnsi="Arial" w:cs="Arial"/>
          <w:b/>
          <w:bCs/>
          <w:color w:val="1CA7E5"/>
          <w:sz w:val="20"/>
          <w:szCs w:val="20"/>
        </w:rPr>
        <w:t xml:space="preserve">A propos d’Orège </w:t>
      </w:r>
    </w:p>
    <w:p w14:paraId="5D26C3AA" w14:textId="77777777" w:rsidR="00B435AB" w:rsidRPr="00B53822" w:rsidRDefault="00B435AB" w:rsidP="00B435AB">
      <w:pPr>
        <w:widowControl w:val="0"/>
        <w:autoSpaceDE w:val="0"/>
        <w:autoSpaceDN w:val="0"/>
        <w:adjustRightInd w:val="0"/>
        <w:spacing w:line="360" w:lineRule="atLeast"/>
        <w:rPr>
          <w:rFonts w:ascii="Arial" w:hAnsi="Arial" w:cs="Arial"/>
          <w:color w:val="000000"/>
          <w:sz w:val="20"/>
          <w:szCs w:val="20"/>
        </w:rPr>
      </w:pPr>
    </w:p>
    <w:p w14:paraId="332D4B57" w14:textId="77777777" w:rsidR="00B435AB" w:rsidRPr="004D1F3C" w:rsidRDefault="00B435AB" w:rsidP="00B435AB">
      <w:pPr>
        <w:widowControl w:val="0"/>
        <w:autoSpaceDE w:val="0"/>
        <w:autoSpaceDN w:val="0"/>
        <w:adjustRightInd w:val="0"/>
        <w:spacing w:line="276" w:lineRule="auto"/>
        <w:jc w:val="both"/>
        <w:rPr>
          <w:rFonts w:ascii="Arial" w:hAnsi="Arial" w:cs="Arial"/>
          <w:sz w:val="16"/>
          <w:szCs w:val="16"/>
        </w:rPr>
      </w:pPr>
      <w:r w:rsidRPr="004D1F3C">
        <w:rPr>
          <w:rFonts w:ascii="Arial" w:hAnsi="Arial" w:cs="Arial"/>
          <w:sz w:val="16"/>
          <w:szCs w:val="16"/>
        </w:rPr>
        <w:t>Orège, acteur de l’économie circulaire et du développement durable, est une entreprise à dimension internationale, spécialisée dans le développement et la commercialisation de solutions de conditionnement, de traitement, et de valorisation des boues.</w:t>
      </w:r>
    </w:p>
    <w:p w14:paraId="6BB028BC" w14:textId="77777777" w:rsidR="00B435AB" w:rsidRDefault="00B435AB" w:rsidP="00B435AB">
      <w:pPr>
        <w:widowControl w:val="0"/>
        <w:autoSpaceDE w:val="0"/>
        <w:autoSpaceDN w:val="0"/>
        <w:adjustRightInd w:val="0"/>
        <w:spacing w:line="276" w:lineRule="auto"/>
        <w:jc w:val="both"/>
        <w:rPr>
          <w:rFonts w:ascii="Arial" w:hAnsi="Arial" w:cs="Arial"/>
          <w:sz w:val="16"/>
          <w:szCs w:val="16"/>
        </w:rPr>
      </w:pPr>
      <w:r w:rsidRPr="004D1F3C">
        <w:rPr>
          <w:rFonts w:ascii="Arial" w:hAnsi="Arial" w:cs="Arial"/>
          <w:sz w:val="16"/>
          <w:szCs w:val="16"/>
        </w:rPr>
        <w:t>Filiale, du groupe Eren, Orège accompagne ses clients dans une dizaine de pays à partir de ses sites en France, aux Etats-Unis, en Angleterre et en Allemagne.</w:t>
      </w:r>
    </w:p>
    <w:p w14:paraId="6017B639" w14:textId="77777777" w:rsidR="00B435AB" w:rsidRPr="004D1F3C" w:rsidRDefault="00B435AB" w:rsidP="00B435AB">
      <w:pPr>
        <w:widowControl w:val="0"/>
        <w:autoSpaceDE w:val="0"/>
        <w:autoSpaceDN w:val="0"/>
        <w:adjustRightInd w:val="0"/>
        <w:spacing w:line="276" w:lineRule="auto"/>
        <w:jc w:val="both"/>
        <w:rPr>
          <w:rFonts w:ascii="Arial" w:hAnsi="Arial" w:cs="Arial"/>
          <w:sz w:val="16"/>
          <w:szCs w:val="16"/>
        </w:rPr>
      </w:pPr>
    </w:p>
    <w:p w14:paraId="08B6815A" w14:textId="77777777" w:rsidR="00B435AB" w:rsidRPr="004D1F3C" w:rsidRDefault="00B435AB" w:rsidP="00B435AB">
      <w:pPr>
        <w:widowControl w:val="0"/>
        <w:autoSpaceDE w:val="0"/>
        <w:autoSpaceDN w:val="0"/>
        <w:adjustRightInd w:val="0"/>
        <w:spacing w:line="276" w:lineRule="auto"/>
        <w:jc w:val="both"/>
        <w:rPr>
          <w:rFonts w:ascii="Arial" w:hAnsi="Arial" w:cs="Arial"/>
          <w:sz w:val="16"/>
          <w:szCs w:val="16"/>
        </w:rPr>
      </w:pPr>
      <w:r w:rsidRPr="004D1F3C">
        <w:rPr>
          <w:rFonts w:ascii="Arial" w:hAnsi="Arial" w:cs="Arial"/>
          <w:sz w:val="16"/>
          <w:szCs w:val="16"/>
        </w:rPr>
        <w:t>Orège a pour partenaires :</w:t>
      </w:r>
    </w:p>
    <w:p w14:paraId="5C8D0899" w14:textId="77777777" w:rsidR="00B435AB" w:rsidRPr="004D1F3C" w:rsidRDefault="00B435AB" w:rsidP="00B435AB">
      <w:pPr>
        <w:widowControl w:val="0"/>
        <w:autoSpaceDE w:val="0"/>
        <w:autoSpaceDN w:val="0"/>
        <w:adjustRightInd w:val="0"/>
        <w:spacing w:line="276" w:lineRule="auto"/>
        <w:jc w:val="both"/>
        <w:rPr>
          <w:rFonts w:ascii="Arial" w:hAnsi="Arial" w:cs="Arial"/>
          <w:sz w:val="16"/>
          <w:szCs w:val="16"/>
        </w:rPr>
      </w:pPr>
    </w:p>
    <w:p w14:paraId="298FCA8C" w14:textId="77777777" w:rsidR="00B435AB" w:rsidRPr="004D1F3C" w:rsidRDefault="00B435AB" w:rsidP="00B435AB">
      <w:pPr>
        <w:jc w:val="both"/>
        <w:rPr>
          <w:rFonts w:ascii="Arial" w:hAnsi="Arial" w:cs="Arial"/>
          <w:sz w:val="16"/>
          <w:szCs w:val="16"/>
        </w:rPr>
      </w:pPr>
      <w:r w:rsidRPr="004D1F3C">
        <w:rPr>
          <w:rFonts w:ascii="Arial" w:hAnsi="Arial" w:cs="Arial"/>
          <w:sz w:val="16"/>
          <w:szCs w:val="16"/>
        </w:rPr>
        <w:t>- Le Groupe Alfa Laval : groupe scandinave</w:t>
      </w:r>
      <w:r w:rsidRPr="004D1F3C">
        <w:rPr>
          <w:rFonts w:ascii="Arial" w:hAnsi="Arial" w:cs="Arial"/>
          <w:color w:val="000000" w:themeColor="text1"/>
          <w:sz w:val="16"/>
          <w:szCs w:val="16"/>
        </w:rPr>
        <w:t xml:space="preserve">, </w:t>
      </w:r>
      <w:r w:rsidRPr="004D1F3C">
        <w:rPr>
          <w:rFonts w:ascii="Arial" w:hAnsi="Arial" w:cs="Arial"/>
          <w:sz w:val="16"/>
          <w:szCs w:val="16"/>
        </w:rPr>
        <w:t>leader mondial, spécialisé dans le développement et la commercialisation de produits et solutions de séparation, de transfert de fluides et d’échange thermique dans les domaines de l’énergie, de l’environnement, de l’agro-alimentaire et de l’eau.</w:t>
      </w:r>
    </w:p>
    <w:p w14:paraId="0C5A2518" w14:textId="77777777" w:rsidR="00B435AB" w:rsidRPr="004D1F3C" w:rsidRDefault="00B435AB" w:rsidP="00B435AB">
      <w:pPr>
        <w:widowControl w:val="0"/>
        <w:autoSpaceDE w:val="0"/>
        <w:autoSpaceDN w:val="0"/>
        <w:adjustRightInd w:val="0"/>
        <w:spacing w:line="276" w:lineRule="auto"/>
        <w:jc w:val="both"/>
        <w:rPr>
          <w:rFonts w:ascii="Arial" w:hAnsi="Arial" w:cs="Arial"/>
          <w:sz w:val="16"/>
          <w:szCs w:val="16"/>
        </w:rPr>
      </w:pPr>
    </w:p>
    <w:p w14:paraId="794DC116" w14:textId="77777777" w:rsidR="00B435AB" w:rsidRPr="004D1F3C" w:rsidRDefault="00B435AB" w:rsidP="00B435AB">
      <w:pPr>
        <w:spacing w:line="276" w:lineRule="auto"/>
        <w:jc w:val="both"/>
        <w:rPr>
          <w:rFonts w:ascii="Arial" w:hAnsi="Arial" w:cs="Arial"/>
          <w:sz w:val="16"/>
          <w:szCs w:val="16"/>
        </w:rPr>
      </w:pPr>
      <w:r w:rsidRPr="004D1F3C">
        <w:rPr>
          <w:rFonts w:ascii="Arial" w:hAnsi="Arial" w:cs="Arial"/>
          <w:sz w:val="16"/>
          <w:szCs w:val="16"/>
        </w:rPr>
        <w:t>- Le Groupe Itochu Machine-Technos Corp : ITCMT est une filiale du Groupe Japonais ITOCHU Corporation, une des plus importantes et des plus réputées « </w:t>
      </w:r>
      <w:r w:rsidRPr="004D1F3C">
        <w:rPr>
          <w:rFonts w:ascii="Arial" w:hAnsi="Arial" w:cs="Arial"/>
          <w:i/>
          <w:iCs/>
          <w:sz w:val="16"/>
          <w:szCs w:val="16"/>
        </w:rPr>
        <w:t>sôgô shôsha</w:t>
      </w:r>
      <w:r w:rsidRPr="004D1F3C">
        <w:rPr>
          <w:rFonts w:ascii="Arial" w:hAnsi="Arial" w:cs="Arial"/>
          <w:sz w:val="16"/>
          <w:szCs w:val="16"/>
        </w:rPr>
        <w:t> » (maison de commerce diversifiée), qui distribue et intègre des équipements et solutions industriels, notamment dans les domaines de l’environnement et de la valorisation énergétique.</w:t>
      </w:r>
    </w:p>
    <w:p w14:paraId="36F5721D" w14:textId="77777777" w:rsidR="00B435AB" w:rsidRPr="004D1F3C" w:rsidRDefault="00B435AB" w:rsidP="00B435AB">
      <w:pPr>
        <w:jc w:val="both"/>
        <w:rPr>
          <w:rFonts w:ascii="Arial" w:hAnsi="Arial" w:cs="Arial"/>
          <w:sz w:val="16"/>
          <w:szCs w:val="16"/>
        </w:rPr>
      </w:pPr>
    </w:p>
    <w:p w14:paraId="0127859A" w14:textId="77777777" w:rsidR="00B435AB" w:rsidRPr="004D1F3C" w:rsidRDefault="00B435AB" w:rsidP="00B435AB">
      <w:pPr>
        <w:rPr>
          <w:rFonts w:ascii="Arial" w:hAnsi="Arial" w:cs="Arial"/>
          <w:sz w:val="16"/>
          <w:szCs w:val="16"/>
        </w:rPr>
      </w:pPr>
      <w:r w:rsidRPr="004D1F3C">
        <w:rPr>
          <w:rFonts w:ascii="Arial" w:hAnsi="Arial" w:cs="Arial"/>
          <w:sz w:val="16"/>
          <w:szCs w:val="16"/>
        </w:rPr>
        <w:t>Orège est cotée sur le marché réglementé d’Euronext - Paris depuis le 5 juillet 2013</w:t>
      </w:r>
      <w:r w:rsidRPr="004D1F3C">
        <w:rPr>
          <w:rFonts w:ascii="Arial" w:hAnsi="Arial" w:cs="Arial"/>
          <w:sz w:val="16"/>
          <w:szCs w:val="16"/>
        </w:rPr>
        <w:br/>
        <w:t>ISIN : FR0010609206 – OREGE</w:t>
      </w:r>
      <w:r w:rsidRPr="004D1F3C">
        <w:rPr>
          <w:rFonts w:ascii="Arial" w:hAnsi="Arial" w:cs="Arial"/>
          <w:sz w:val="16"/>
          <w:szCs w:val="16"/>
        </w:rPr>
        <w:br/>
      </w:r>
      <w:hyperlink r:id="rId5" w:history="1">
        <w:r w:rsidRPr="004D1F3C">
          <w:rPr>
            <w:rStyle w:val="Lienhypertexte"/>
            <w:rFonts w:ascii="Arial" w:hAnsi="Arial" w:cs="Arial"/>
            <w:sz w:val="16"/>
            <w:szCs w:val="16"/>
          </w:rPr>
          <w:t>www.orege.com</w:t>
        </w:r>
      </w:hyperlink>
      <w:r w:rsidRPr="004D1F3C">
        <w:rPr>
          <w:rFonts w:ascii="Arial" w:hAnsi="Arial" w:cs="Arial"/>
          <w:sz w:val="16"/>
          <w:szCs w:val="16"/>
        </w:rPr>
        <w:t xml:space="preserve"> </w:t>
      </w:r>
    </w:p>
    <w:p w14:paraId="643D07DC" w14:textId="77777777" w:rsidR="00857EFB" w:rsidRDefault="00857EFB"/>
    <w:sectPr w:rsidR="00857EFB" w:rsidSect="00EA1C5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5AB"/>
    <w:rsid w:val="00725929"/>
    <w:rsid w:val="00786BC5"/>
    <w:rsid w:val="00857EFB"/>
    <w:rsid w:val="00B435AB"/>
    <w:rsid w:val="00B616B2"/>
    <w:rsid w:val="00BC742C"/>
    <w:rsid w:val="00E824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D7E7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35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435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oreg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250</Words>
  <Characters>1380</Characters>
  <Application>Microsoft Macintosh Word</Application>
  <DocSecurity>0</DocSecurity>
  <Lines>11</Lines>
  <Paragraphs>3</Paragraphs>
  <ScaleCrop>false</ScaleCrop>
  <HeadingPairs>
    <vt:vector size="4" baseType="variant">
      <vt:variant>
        <vt:lpstr>Titre</vt:lpstr>
      </vt:variant>
      <vt:variant>
        <vt:i4>1</vt:i4>
      </vt:variant>
      <vt:variant>
        <vt:lpstr>Headings</vt:lpstr>
      </vt:variant>
      <vt:variant>
        <vt:i4>6</vt:i4>
      </vt:variant>
    </vt:vector>
  </HeadingPairs>
  <TitlesOfParts>
    <vt:vector size="7" baseType="lpstr">
      <vt:lpstr/>
      <vt:lpstr/>
      <vt:lpstr/>
      <vt:lpstr/>
      <vt:lpstr/>
      <vt:lpstr>Carine OGER : carine.oger@orege.com - Tel: 06.16.62.07.75</vt:lpstr>
      <vt:lpstr>A propos d’Orège </vt:lpstr>
    </vt:vector>
  </TitlesOfParts>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5</cp:revision>
  <dcterms:created xsi:type="dcterms:W3CDTF">2021-06-08T10:44:00Z</dcterms:created>
  <dcterms:modified xsi:type="dcterms:W3CDTF">2021-06-09T15:59:00Z</dcterms:modified>
</cp:coreProperties>
</file>