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0AD" w:rsidRDefault="009E20AD">
      <w:pPr>
        <w:rPr>
          <w:color w:val="000000"/>
        </w:rPr>
      </w:pPr>
    </w:p>
    <w:p w:rsidR="009E20AD" w:rsidRDefault="00FC1DFC">
      <w:pPr>
        <w:pStyle w:val="Titre1"/>
        <w:rPr>
          <w:color w:val="FF0000"/>
          <w:sz w:val="26"/>
          <w:szCs w:val="26"/>
        </w:rPr>
      </w:pPr>
      <w:bookmarkStart w:id="0" w:name="_9gnnjuy7moui" w:colFirst="0" w:colLast="0"/>
      <w:bookmarkEnd w:id="0"/>
      <w:r>
        <w:rPr>
          <w:color w:val="000000"/>
          <w:sz w:val="26"/>
          <w:szCs w:val="26"/>
        </w:rPr>
        <w:t>Très forte croissance du chiffre d’affaires au premier trimestre 2022 de +16,2% à taux de change comparables (+19,3% à taux réels),</w:t>
      </w:r>
      <w:r>
        <w:rPr>
          <w:color w:val="FF0000"/>
          <w:sz w:val="26"/>
          <w:szCs w:val="26"/>
        </w:rPr>
        <w:t xml:space="preserve"> </w:t>
      </w:r>
      <w:r>
        <w:rPr>
          <w:color w:val="000000"/>
          <w:sz w:val="26"/>
          <w:szCs w:val="26"/>
        </w:rPr>
        <w:t>portée par de bonnes performances dans toutes les zones</w:t>
      </w:r>
    </w:p>
    <w:p w:rsidR="009E20AD" w:rsidRDefault="009E20AD"/>
    <w:p w:rsidR="009E20AD" w:rsidRDefault="009E20AD">
      <w:pPr>
        <w:rPr>
          <w:i/>
        </w:rPr>
      </w:pPr>
    </w:p>
    <w:p w:rsidR="009E20AD" w:rsidRDefault="00FC1DFC">
      <w:pPr>
        <w:rPr>
          <w:i/>
        </w:rPr>
      </w:pPr>
      <w:r>
        <w:rPr>
          <w:i/>
        </w:rPr>
        <w:t>Communiqué diffusé le 14 avril 2022 après bourse</w:t>
      </w:r>
    </w:p>
    <w:p w:rsidR="009E20AD" w:rsidRDefault="009E20AD">
      <w:pPr>
        <w:spacing w:line="240" w:lineRule="auto"/>
        <w:rPr>
          <w:sz w:val="12"/>
          <w:szCs w:val="12"/>
        </w:rPr>
      </w:pPr>
    </w:p>
    <w:tbl>
      <w:tblPr>
        <w:tblStyle w:val="a"/>
        <w:tblW w:w="104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3000"/>
        <w:gridCol w:w="2250"/>
        <w:gridCol w:w="2490"/>
      </w:tblGrid>
      <w:tr w:rsidR="009E20AD">
        <w:trPr>
          <w:trHeight w:val="120"/>
        </w:trPr>
        <w:tc>
          <w:tcPr>
            <w:tcW w:w="10400" w:type="dxa"/>
            <w:gridSpan w:val="4"/>
            <w:tcBorders>
              <w:bottom w:val="nil"/>
            </w:tcBorders>
            <w:shd w:val="clear" w:color="auto" w:fill="514237"/>
          </w:tcPr>
          <w:p w:rsidR="009E20AD" w:rsidRDefault="00FC1DFC">
            <w:pPr>
              <w:ind w:left="214"/>
              <w:rPr>
                <w:smallCaps/>
                <w:color w:val="FFFFFF"/>
                <w:sz w:val="14"/>
                <w:szCs w:val="14"/>
              </w:rPr>
            </w:pPr>
            <w:r>
              <w:rPr>
                <w:smallCaps/>
                <w:color w:val="FFFFFF"/>
                <w:sz w:val="14"/>
                <w:szCs w:val="14"/>
              </w:rPr>
              <w:t>CHIFFRES CLÉS</w:t>
            </w:r>
          </w:p>
        </w:tc>
      </w:tr>
      <w:tr w:rsidR="009E20AD">
        <w:tc>
          <w:tcPr>
            <w:tcW w:w="2660" w:type="dxa"/>
            <w:tcBorders>
              <w:top w:val="nil"/>
              <w:left w:val="nil"/>
              <w:bottom w:val="single" w:sz="4" w:space="0" w:color="514237"/>
              <w:right w:val="nil"/>
            </w:tcBorders>
            <w:shd w:val="clear" w:color="auto" w:fill="F5F5F5"/>
            <w:tcMar>
              <w:top w:w="113" w:type="dxa"/>
              <w:bottom w:w="113" w:type="dxa"/>
            </w:tcMar>
          </w:tcPr>
          <w:p w:rsidR="009E20AD" w:rsidRDefault="00FC1DFC">
            <w:pPr>
              <w:jc w:val="left"/>
              <w:rPr>
                <w:b/>
                <w:color w:val="004D97"/>
                <w:sz w:val="14"/>
                <w:szCs w:val="14"/>
              </w:rPr>
            </w:pPr>
            <w:r>
              <w:rPr>
                <w:b/>
                <w:color w:val="004D97"/>
                <w:sz w:val="14"/>
                <w:szCs w:val="14"/>
              </w:rPr>
              <w:t>Chiffre d’affaires</w:t>
            </w:r>
          </w:p>
          <w:p w:rsidR="009E20AD" w:rsidRDefault="00FC1DFC">
            <w:pPr>
              <w:spacing w:line="240" w:lineRule="auto"/>
              <w:jc w:val="left"/>
              <w:rPr>
                <w:b/>
                <w:color w:val="004D97"/>
                <w:sz w:val="14"/>
                <w:szCs w:val="14"/>
              </w:rPr>
            </w:pPr>
            <w:r>
              <w:rPr>
                <w:sz w:val="14"/>
                <w:szCs w:val="14"/>
              </w:rPr>
              <w:t>1</w:t>
            </w:r>
            <w:r>
              <w:rPr>
                <w:sz w:val="14"/>
                <w:szCs w:val="14"/>
                <w:vertAlign w:val="superscript"/>
              </w:rPr>
              <w:t>er</w:t>
            </w:r>
            <w:r>
              <w:rPr>
                <w:sz w:val="14"/>
                <w:szCs w:val="14"/>
              </w:rPr>
              <w:t xml:space="preserve"> trimestre 2022</w:t>
            </w:r>
          </w:p>
          <w:p w:rsidR="009E20AD" w:rsidRDefault="009E20AD">
            <w:pPr>
              <w:spacing w:line="240" w:lineRule="auto"/>
              <w:jc w:val="left"/>
              <w:rPr>
                <w:sz w:val="14"/>
                <w:szCs w:val="14"/>
              </w:rPr>
            </w:pPr>
          </w:p>
          <w:p w:rsidR="009E20AD" w:rsidRDefault="00FC1DFC">
            <w:pPr>
              <w:spacing w:line="240" w:lineRule="auto"/>
              <w:rPr>
                <w:rFonts w:ascii="Georgia" w:eastAsia="Georgia" w:hAnsi="Georgia" w:cs="Georgia"/>
                <w:b/>
                <w:color w:val="004D97"/>
                <w:sz w:val="32"/>
                <w:szCs w:val="32"/>
              </w:rPr>
            </w:pPr>
            <w:r>
              <w:rPr>
                <w:rFonts w:ascii="Georgia" w:eastAsia="Georgia" w:hAnsi="Georgia" w:cs="Georgia"/>
                <w:b/>
                <w:color w:val="004D97"/>
                <w:sz w:val="32"/>
                <w:szCs w:val="32"/>
              </w:rPr>
              <w:t>318,0 M€</w:t>
            </w:r>
          </w:p>
        </w:tc>
        <w:tc>
          <w:tcPr>
            <w:tcW w:w="3000" w:type="dxa"/>
            <w:tcBorders>
              <w:top w:val="nil"/>
              <w:left w:val="nil"/>
              <w:bottom w:val="single" w:sz="4" w:space="0" w:color="514237"/>
              <w:right w:val="nil"/>
            </w:tcBorders>
            <w:shd w:val="clear" w:color="auto" w:fill="F5F5F5"/>
            <w:tcMar>
              <w:top w:w="113" w:type="dxa"/>
              <w:bottom w:w="113" w:type="dxa"/>
            </w:tcMar>
          </w:tcPr>
          <w:p w:rsidR="009E20AD" w:rsidRDefault="00FC1DFC">
            <w:pPr>
              <w:spacing w:line="240" w:lineRule="auto"/>
              <w:jc w:val="left"/>
              <w:rPr>
                <w:b/>
                <w:color w:val="004D97"/>
                <w:sz w:val="14"/>
                <w:szCs w:val="14"/>
              </w:rPr>
            </w:pPr>
            <w:r>
              <w:rPr>
                <w:b/>
                <w:color w:val="004D97"/>
                <w:sz w:val="14"/>
                <w:szCs w:val="14"/>
              </w:rPr>
              <w:t xml:space="preserve">Croissance à taux de change </w:t>
            </w:r>
            <w:r>
              <w:rPr>
                <w:b/>
                <w:color w:val="004D97"/>
                <w:sz w:val="14"/>
                <w:szCs w:val="14"/>
              </w:rPr>
              <w:br/>
              <w:t xml:space="preserve">et périmètre constants </w:t>
            </w:r>
            <w:r>
              <w:rPr>
                <w:b/>
                <w:color w:val="004D97"/>
                <w:sz w:val="14"/>
                <w:szCs w:val="14"/>
                <w:vertAlign w:val="superscript"/>
              </w:rPr>
              <w:t>1</w:t>
            </w:r>
          </w:p>
          <w:p w:rsidR="009E20AD" w:rsidRDefault="009E20AD">
            <w:pPr>
              <w:spacing w:line="240" w:lineRule="auto"/>
              <w:rPr>
                <w:b/>
                <w:color w:val="004D97"/>
                <w:sz w:val="14"/>
                <w:szCs w:val="14"/>
              </w:rPr>
            </w:pPr>
          </w:p>
          <w:p w:rsidR="009E20AD" w:rsidRDefault="00FC1DFC">
            <w:pPr>
              <w:spacing w:line="240" w:lineRule="auto"/>
              <w:rPr>
                <w:b/>
              </w:rPr>
            </w:pPr>
            <w:r>
              <w:rPr>
                <w:rFonts w:ascii="Georgia" w:eastAsia="Georgia" w:hAnsi="Georgia" w:cs="Georgia"/>
                <w:b/>
                <w:color w:val="004D97"/>
                <w:sz w:val="32"/>
                <w:szCs w:val="32"/>
              </w:rPr>
              <w:t>+16,2%</w:t>
            </w:r>
            <w:r>
              <w:rPr>
                <w:rFonts w:ascii="Georgia" w:eastAsia="Georgia" w:hAnsi="Georgia" w:cs="Georgia"/>
                <w:b/>
                <w:color w:val="004D97"/>
                <w:sz w:val="36"/>
                <w:szCs w:val="36"/>
              </w:rPr>
              <w:t xml:space="preserve"> </w:t>
            </w:r>
            <w:r>
              <w:rPr>
                <w:sz w:val="14"/>
                <w:szCs w:val="14"/>
              </w:rPr>
              <w:t>dont</w:t>
            </w:r>
            <w:r>
              <w:rPr>
                <w:b/>
                <w:sz w:val="14"/>
                <w:szCs w:val="14"/>
              </w:rPr>
              <w:t xml:space="preserve"> </w:t>
            </w:r>
          </w:p>
          <w:p w:rsidR="009E20AD" w:rsidRDefault="00FC1DFC">
            <w:pPr>
              <w:spacing w:line="240" w:lineRule="auto"/>
              <w:rPr>
                <w:b/>
                <w:color w:val="FF0000"/>
                <w:sz w:val="14"/>
                <w:szCs w:val="14"/>
              </w:rPr>
            </w:pPr>
            <w:r>
              <w:rPr>
                <w:b/>
                <w:sz w:val="14"/>
                <w:szCs w:val="14"/>
              </w:rPr>
              <w:br/>
              <w:t>animaux de compagnie</w:t>
            </w:r>
            <w:r>
              <w:rPr>
                <w:b/>
                <w:color w:val="004D97"/>
                <w:sz w:val="14"/>
                <w:szCs w:val="14"/>
              </w:rPr>
              <w:t xml:space="preserve"> +19,5% </w:t>
            </w:r>
          </w:p>
          <w:p w:rsidR="009E20AD" w:rsidRDefault="00FC1DFC">
            <w:pPr>
              <w:spacing w:line="240" w:lineRule="auto"/>
              <w:rPr>
                <w:b/>
                <w:color w:val="004D97"/>
                <w:sz w:val="14"/>
                <w:szCs w:val="14"/>
              </w:rPr>
            </w:pPr>
            <w:r>
              <w:rPr>
                <w:b/>
                <w:sz w:val="14"/>
                <w:szCs w:val="14"/>
              </w:rPr>
              <w:t>animaux de production</w:t>
            </w:r>
            <w:r>
              <w:rPr>
                <w:b/>
                <w:color w:val="004D97"/>
                <w:sz w:val="14"/>
                <w:szCs w:val="14"/>
              </w:rPr>
              <w:t xml:space="preserve"> +13,3%</w:t>
            </w:r>
          </w:p>
        </w:tc>
        <w:tc>
          <w:tcPr>
            <w:tcW w:w="2250" w:type="dxa"/>
            <w:tcBorders>
              <w:top w:val="nil"/>
              <w:left w:val="nil"/>
              <w:bottom w:val="single" w:sz="4" w:space="0" w:color="514237"/>
              <w:right w:val="nil"/>
            </w:tcBorders>
            <w:shd w:val="clear" w:color="auto" w:fill="F5F5F5"/>
            <w:tcMar>
              <w:top w:w="113" w:type="dxa"/>
              <w:bottom w:w="113" w:type="dxa"/>
            </w:tcMar>
          </w:tcPr>
          <w:p w:rsidR="009E20AD" w:rsidRDefault="00FC1DFC">
            <w:pPr>
              <w:spacing w:line="240" w:lineRule="auto"/>
              <w:jc w:val="left"/>
              <w:rPr>
                <w:b/>
                <w:color w:val="004D97"/>
                <w:sz w:val="14"/>
                <w:szCs w:val="14"/>
              </w:rPr>
            </w:pPr>
            <w:r>
              <w:rPr>
                <w:b/>
                <w:color w:val="004D97"/>
                <w:sz w:val="14"/>
                <w:szCs w:val="14"/>
              </w:rPr>
              <w:t xml:space="preserve">Croissance à taux </w:t>
            </w:r>
          </w:p>
          <w:p w:rsidR="009E20AD" w:rsidRDefault="00FC1DFC">
            <w:pPr>
              <w:spacing w:line="240" w:lineRule="auto"/>
              <w:jc w:val="left"/>
              <w:rPr>
                <w:b/>
                <w:color w:val="004D97"/>
                <w:sz w:val="14"/>
                <w:szCs w:val="14"/>
              </w:rPr>
            </w:pPr>
            <w:r>
              <w:rPr>
                <w:b/>
                <w:color w:val="004D97"/>
                <w:sz w:val="14"/>
                <w:szCs w:val="14"/>
              </w:rPr>
              <w:t xml:space="preserve">de </w:t>
            </w:r>
            <w:proofErr w:type="gramStart"/>
            <w:r>
              <w:rPr>
                <w:b/>
                <w:color w:val="004D97"/>
                <w:sz w:val="14"/>
                <w:szCs w:val="14"/>
              </w:rPr>
              <w:t>change</w:t>
            </w:r>
            <w:proofErr w:type="gramEnd"/>
            <w:r>
              <w:rPr>
                <w:b/>
                <w:color w:val="004D97"/>
                <w:sz w:val="14"/>
                <w:szCs w:val="14"/>
              </w:rPr>
              <w:t xml:space="preserve"> constants</w:t>
            </w:r>
          </w:p>
          <w:p w:rsidR="009E20AD" w:rsidRDefault="009E20AD">
            <w:pPr>
              <w:spacing w:line="240" w:lineRule="auto"/>
              <w:jc w:val="left"/>
              <w:rPr>
                <w:b/>
                <w:color w:val="004D97"/>
                <w:sz w:val="14"/>
                <w:szCs w:val="14"/>
              </w:rPr>
            </w:pPr>
          </w:p>
          <w:p w:rsidR="009E20AD" w:rsidRDefault="00FC1DFC">
            <w:pPr>
              <w:spacing w:line="240" w:lineRule="auto"/>
              <w:rPr>
                <w:rFonts w:ascii="Georgia" w:eastAsia="Georgia" w:hAnsi="Georgia" w:cs="Georgia"/>
                <w:b/>
                <w:color w:val="004D97"/>
                <w:sz w:val="34"/>
                <w:szCs w:val="34"/>
              </w:rPr>
            </w:pPr>
            <w:r>
              <w:rPr>
                <w:rFonts w:ascii="Georgia" w:eastAsia="Georgia" w:hAnsi="Georgia" w:cs="Georgia"/>
                <w:b/>
                <w:color w:val="004D97"/>
                <w:sz w:val="32"/>
                <w:szCs w:val="32"/>
              </w:rPr>
              <w:t>+16,2%</w:t>
            </w:r>
            <w:r>
              <w:rPr>
                <w:rFonts w:ascii="Georgia" w:eastAsia="Georgia" w:hAnsi="Georgia" w:cs="Georgia"/>
                <w:b/>
                <w:color w:val="004D97"/>
                <w:sz w:val="34"/>
                <w:szCs w:val="34"/>
              </w:rPr>
              <w:t xml:space="preserve"> </w:t>
            </w:r>
          </w:p>
          <w:p w:rsidR="009E20AD" w:rsidRDefault="009E20AD">
            <w:pPr>
              <w:spacing w:line="240" w:lineRule="auto"/>
              <w:jc w:val="left"/>
              <w:rPr>
                <w:rFonts w:ascii="Georgia" w:eastAsia="Georgia" w:hAnsi="Georgia" w:cs="Georgia"/>
                <w:b/>
                <w:color w:val="004D97"/>
                <w:sz w:val="20"/>
                <w:szCs w:val="20"/>
              </w:rPr>
            </w:pPr>
          </w:p>
        </w:tc>
        <w:tc>
          <w:tcPr>
            <w:tcW w:w="2490" w:type="dxa"/>
            <w:tcBorders>
              <w:top w:val="nil"/>
              <w:left w:val="nil"/>
              <w:bottom w:val="single" w:sz="4" w:space="0" w:color="514237"/>
              <w:right w:val="nil"/>
            </w:tcBorders>
            <w:shd w:val="clear" w:color="auto" w:fill="F5F5F5"/>
            <w:tcMar>
              <w:top w:w="113" w:type="dxa"/>
              <w:bottom w:w="113" w:type="dxa"/>
            </w:tcMar>
          </w:tcPr>
          <w:p w:rsidR="009E20AD" w:rsidRDefault="00FC1DFC">
            <w:pPr>
              <w:spacing w:line="240" w:lineRule="auto"/>
              <w:jc w:val="left"/>
              <w:rPr>
                <w:b/>
                <w:color w:val="004D97"/>
                <w:sz w:val="14"/>
                <w:szCs w:val="14"/>
              </w:rPr>
            </w:pPr>
            <w:r>
              <w:rPr>
                <w:b/>
                <w:color w:val="004D97"/>
                <w:sz w:val="14"/>
                <w:szCs w:val="14"/>
              </w:rPr>
              <w:t xml:space="preserve">Évolution </w:t>
            </w:r>
            <w:r>
              <w:rPr>
                <w:b/>
                <w:color w:val="004D97"/>
                <w:sz w:val="14"/>
                <w:szCs w:val="14"/>
              </w:rPr>
              <w:br/>
              <w:t>globale</w:t>
            </w:r>
          </w:p>
          <w:p w:rsidR="009E20AD" w:rsidRDefault="009E20AD">
            <w:pPr>
              <w:spacing w:line="240" w:lineRule="auto"/>
              <w:jc w:val="left"/>
              <w:rPr>
                <w:b/>
                <w:color w:val="004D97"/>
                <w:sz w:val="14"/>
                <w:szCs w:val="14"/>
              </w:rPr>
            </w:pPr>
          </w:p>
          <w:p w:rsidR="009E20AD" w:rsidRDefault="00FC1DFC">
            <w:pPr>
              <w:spacing w:line="240" w:lineRule="auto"/>
              <w:rPr>
                <w:rFonts w:ascii="Georgia" w:eastAsia="Georgia" w:hAnsi="Georgia" w:cs="Georgia"/>
                <w:b/>
                <w:color w:val="004D97"/>
                <w:sz w:val="32"/>
                <w:szCs w:val="32"/>
              </w:rPr>
            </w:pPr>
            <w:r>
              <w:rPr>
                <w:rFonts w:ascii="Georgia" w:eastAsia="Georgia" w:hAnsi="Georgia" w:cs="Georgia"/>
                <w:b/>
                <w:color w:val="004D97"/>
                <w:sz w:val="32"/>
                <w:szCs w:val="32"/>
              </w:rPr>
              <w:t>+19,3%</w:t>
            </w:r>
          </w:p>
          <w:p w:rsidR="009E20AD" w:rsidRDefault="009E20AD">
            <w:pPr>
              <w:spacing w:line="240" w:lineRule="auto"/>
              <w:jc w:val="left"/>
              <w:rPr>
                <w:rFonts w:ascii="Georgia" w:eastAsia="Georgia" w:hAnsi="Georgia" w:cs="Georgia"/>
                <w:b/>
                <w:color w:val="004D97"/>
                <w:sz w:val="32"/>
                <w:szCs w:val="32"/>
              </w:rPr>
            </w:pPr>
          </w:p>
        </w:tc>
      </w:tr>
    </w:tbl>
    <w:p w:rsidR="009E20AD" w:rsidRDefault="009E20AD">
      <w:pPr>
        <w:spacing w:line="240" w:lineRule="auto"/>
        <w:rPr>
          <w:i/>
          <w:sz w:val="15"/>
          <w:szCs w:val="15"/>
          <w:vertAlign w:val="superscript"/>
        </w:rPr>
      </w:pPr>
    </w:p>
    <w:p w:rsidR="009E20AD" w:rsidRDefault="00FC1DFC">
      <w:pPr>
        <w:spacing w:line="240" w:lineRule="auto"/>
        <w:rPr>
          <w:sz w:val="12"/>
          <w:szCs w:val="12"/>
        </w:rPr>
      </w:pPr>
      <w:r>
        <w:rPr>
          <w:i/>
          <w:sz w:val="15"/>
          <w:szCs w:val="15"/>
          <w:vertAlign w:val="superscript"/>
        </w:rPr>
        <w:t>1</w:t>
      </w:r>
      <w:r>
        <w:rPr>
          <w:i/>
          <w:sz w:val="15"/>
          <w:szCs w:val="15"/>
        </w:rPr>
        <w:t xml:space="preserve"> L’évolution à taux de change et périmètre constants correspond à la croissance organique des ventes hors variation des taux de changes en calculant l’indicateur de l’exercice considéré et celui de l’exercice précédent sur la base de taux de change identiques (le taux de change utilisé est celui de l’exercice précédent), et hors variation de périmètre en calculant l’indicateur de l’exercice considéré sur la base du périmètre de consolidation de l’exercice précédent.</w:t>
      </w:r>
    </w:p>
    <w:p w:rsidR="009E20AD" w:rsidRDefault="009E20AD">
      <w:pPr>
        <w:spacing w:line="240" w:lineRule="auto"/>
        <w:rPr>
          <w:b/>
          <w:color w:val="004D97"/>
          <w:u w:val="single"/>
        </w:rPr>
      </w:pPr>
    </w:p>
    <w:p w:rsidR="009E20AD" w:rsidRDefault="009E20AD">
      <w:pPr>
        <w:spacing w:line="240" w:lineRule="auto"/>
        <w:rPr>
          <w:b/>
          <w:color w:val="004D97"/>
          <w:u w:val="single"/>
        </w:rPr>
      </w:pPr>
    </w:p>
    <w:p w:rsidR="009E20AD" w:rsidRDefault="00FC1DFC">
      <w:pPr>
        <w:spacing w:line="240" w:lineRule="auto"/>
        <w:rPr>
          <w:color w:val="434343"/>
          <w:sz w:val="12"/>
          <w:szCs w:val="12"/>
          <w:u w:val="single"/>
        </w:rPr>
      </w:pPr>
      <w:r>
        <w:rPr>
          <w:b/>
          <w:color w:val="004D97"/>
          <w:u w:val="single"/>
        </w:rPr>
        <w:t>Le chiffre d’affaires consolidé trimestriel</w:t>
      </w:r>
    </w:p>
    <w:p w:rsidR="009E20AD" w:rsidRDefault="00FC1DFC">
      <w:pPr>
        <w:spacing w:line="240" w:lineRule="auto"/>
        <w:rPr>
          <w:color w:val="434343"/>
        </w:rPr>
      </w:pPr>
      <w:r>
        <w:rPr>
          <w:color w:val="434343"/>
        </w:rPr>
        <w:t>Notre chiffre d’affaires au premier trimestre s’est élevé à 318,0 millions €, en progression de +19,3% par rapport à la même période de 2021. À parités constantes, la croissance ressort à +16,2% portée par une très bonne performance dans le segment des animaux de compagnie. Cette croissance bénéficie, pour partie, d'un effet de base favorable représentant 2 points de croissance du chiffre d’affaires, expliqué par les nouveaux produits acquis à partir du deuxième trimestre 2021. Cette croissance est également alimentée dans certains pays par des augmentations de stocks dans la distribution. À noter que notre performance réelle est favorablement impactée par l’appréciation de certaines devises notamment le dollar américain, la roupie indienne, et le réal brésilien.</w:t>
      </w:r>
    </w:p>
    <w:p w:rsidR="009E20AD" w:rsidRDefault="009E20AD">
      <w:pPr>
        <w:spacing w:line="240" w:lineRule="auto"/>
        <w:rPr>
          <w:color w:val="434343"/>
        </w:rPr>
      </w:pPr>
    </w:p>
    <w:p w:rsidR="009E20AD" w:rsidRDefault="00FC1DFC">
      <w:pPr>
        <w:spacing w:line="240" w:lineRule="auto"/>
        <w:rPr>
          <w:color w:val="434343"/>
        </w:rPr>
      </w:pPr>
      <w:r>
        <w:rPr>
          <w:color w:val="434343"/>
        </w:rPr>
        <w:t>Notre croissance au premier trimestre est principalement tirée par la performance des zones Asie-Pacifique, Europe et Amérique latine. En Asie-Pacifique, l’évolution à taux réels est de +25,9% (+22,5% à taux de change constants), l’Australie, et l’Inde tirent la croissance de la zone générant près de 80% de cette dernière, ce qui permet de compenser le retrait de la Chine impactée par la Covid-19 et un effet de base très exigeant en comparaison du premier trimestre 2021. En Europe, le chiffre d’affaires progresse de +11,2% à taux réels (+10,4% à taux constants). Les principaux pays contributeurs à cette performance sont la France, l’Italie, le Royaume-Uni, les activité</w:t>
      </w:r>
      <w:r w:rsidR="00F410AE">
        <w:rPr>
          <w:color w:val="434343"/>
        </w:rPr>
        <w:t>s</w:t>
      </w:r>
      <w:r>
        <w:rPr>
          <w:color w:val="434343"/>
        </w:rPr>
        <w:t xml:space="preserve"> Export et OTC de la zone, et l’Allemagne portés par le fort dynamisme des gammes pour les animaux de compagnie (notamment le </w:t>
      </w:r>
      <w:proofErr w:type="spellStart"/>
      <w:r>
        <w:rPr>
          <w:i/>
          <w:color w:val="434343"/>
        </w:rPr>
        <w:t>petfood</w:t>
      </w:r>
      <w:proofErr w:type="spellEnd"/>
      <w:r>
        <w:rPr>
          <w:color w:val="434343"/>
        </w:rPr>
        <w:t xml:space="preserve">, les spécialités, et les vaccins), qui compensent le retrait sur les gammes destinées aux animaux de production. En Amérique latine hors Chili, le Groupe a réalisé un excellent début d’année. L’activité a progressé de +35,6% à taux réels (+27,2% à taux de change constants), grâce à la croissance à deux chiffres de toutes les filiales et notamment à la forte contribution du Brésil et du Mexique. Le Chili affiche, quant à lui, une croissance de +9,5% à taux réels (+6,0% à taux de change constants), porté par les ventes des gammes pour les animaux de compagnie et les saumons. Enfin, aux États-Unis, l’activité est en progression au premier trimestre de +26,2% (+17,5% à taux de change constants). Elle bénéficie des ventes soutenues sur les nouveaux produits lancés en 2021, et également sur les antiparasitaires externes. </w:t>
      </w:r>
    </w:p>
    <w:p w:rsidR="009E20AD" w:rsidRDefault="009E20AD">
      <w:pPr>
        <w:spacing w:line="240" w:lineRule="auto"/>
        <w:rPr>
          <w:color w:val="434343"/>
        </w:rPr>
      </w:pPr>
    </w:p>
    <w:p w:rsidR="009E20AD" w:rsidRDefault="00FC1DFC">
      <w:pPr>
        <w:spacing w:line="240" w:lineRule="auto"/>
        <w:rPr>
          <w:color w:val="434343"/>
        </w:rPr>
      </w:pPr>
      <w:r>
        <w:rPr>
          <w:b/>
          <w:color w:val="004D97"/>
        </w:rPr>
        <w:t>Sur le plan des espèces,</w:t>
      </w:r>
      <w:r>
        <w:rPr>
          <w:color w:val="FF0000"/>
        </w:rPr>
        <w:t xml:space="preserve"> </w:t>
      </w:r>
      <w:r>
        <w:rPr>
          <w:color w:val="434343"/>
        </w:rPr>
        <w:t xml:space="preserve">l’activité animaux de compagnie évolue globalement de +22,3% à taux réels (+19,5% à taux constants), essentiellement tirée par la très bonne croissance à deux chiffres des gammes </w:t>
      </w:r>
      <w:proofErr w:type="spellStart"/>
      <w:r>
        <w:rPr>
          <w:i/>
          <w:color w:val="434343"/>
        </w:rPr>
        <w:t>petfood</w:t>
      </w:r>
      <w:proofErr w:type="spellEnd"/>
      <w:r>
        <w:rPr>
          <w:color w:val="434343"/>
        </w:rPr>
        <w:t>, spécialités, dermatologie et hygiène, et la gamme des vaccins pour chiens et chats. Le segment des animaux de production affiche également une belle croissance de +16,9% à taux réels (+13,3%  à taux de change constants), principalement porté par le secteur des ruminants (+17,1% à taux constants), et le secteur de l’aquaculture (+6,9% à taux constants) en comparaison à la même période de 2021.</w:t>
      </w:r>
    </w:p>
    <w:p w:rsidR="009E20AD" w:rsidRDefault="00FC1DFC">
      <w:pPr>
        <w:spacing w:line="240" w:lineRule="auto"/>
        <w:ind w:left="2160"/>
        <w:rPr>
          <w:color w:val="434343"/>
        </w:rPr>
      </w:pPr>
      <w:r>
        <w:rPr>
          <w:color w:val="434343"/>
        </w:rPr>
        <w:t xml:space="preserve"> </w:t>
      </w:r>
    </w:p>
    <w:p w:rsidR="009E20AD" w:rsidRDefault="00FC1DFC">
      <w:pPr>
        <w:keepNext/>
        <w:pBdr>
          <w:top w:val="nil"/>
          <w:left w:val="nil"/>
          <w:bottom w:val="nil"/>
          <w:right w:val="nil"/>
          <w:between w:val="nil"/>
        </w:pBdr>
        <w:spacing w:line="240" w:lineRule="auto"/>
        <w:jc w:val="left"/>
        <w:rPr>
          <w:b/>
          <w:color w:val="004D97"/>
          <w:u w:val="single"/>
        </w:rPr>
      </w:pPr>
      <w:r>
        <w:rPr>
          <w:b/>
          <w:color w:val="004D97"/>
          <w:u w:val="single"/>
        </w:rPr>
        <w:t>Perspectives</w:t>
      </w:r>
    </w:p>
    <w:p w:rsidR="009E20AD" w:rsidRDefault="00FC1DFC">
      <w:pPr>
        <w:spacing w:line="240" w:lineRule="auto"/>
        <w:rPr>
          <w:color w:val="434343"/>
        </w:rPr>
      </w:pPr>
      <w:r>
        <w:rPr>
          <w:color w:val="434343"/>
        </w:rPr>
        <w:t>Forts de la performance du premier trimestre, mais considérant les incertitudes des mois à venir ainsi que la normalisation attendue du marché, nous élargissons notre perspective de croissance du chiffre d’affaires à taux et périmètre constants à une fourchette comprise entre 5% et 10%. Le ratio de «résultat opérationnel courant avant amortissement des actifs issus d’acquisitions» sur «chiffre d’affaires» devrait se consolider autour de 15% à taux de change constants (avec un surinvestissement volontaire en R&amp;D d'environ 1 point en pourcentage du chiffre d’affaires par rapport à 2021).</w:t>
      </w:r>
      <w:r>
        <w:rPr>
          <w:b/>
          <w:color w:val="434343"/>
        </w:rPr>
        <w:t xml:space="preserve"> </w:t>
      </w:r>
      <w:r>
        <w:rPr>
          <w:color w:val="434343"/>
        </w:rPr>
        <w:t>Notre désendettement devrait se situer autour de 60 millions € hors dividendes, à périmètre et taux de change constants.</w:t>
      </w:r>
    </w:p>
    <w:p w:rsidR="009E20AD" w:rsidRDefault="009E20AD">
      <w:pPr>
        <w:spacing w:line="240" w:lineRule="auto"/>
        <w:rPr>
          <w:color w:val="434343"/>
        </w:rPr>
      </w:pPr>
    </w:p>
    <w:p w:rsidR="009E20AD" w:rsidRDefault="00FC1DFC">
      <w:pPr>
        <w:spacing w:line="240" w:lineRule="auto"/>
        <w:rPr>
          <w:color w:val="434343"/>
          <w:u w:val="single"/>
        </w:rPr>
      </w:pPr>
      <w:r>
        <w:rPr>
          <w:color w:val="434343"/>
          <w:u w:val="single"/>
        </w:rPr>
        <w:t>Crise sanitaire liée à la Covid-19 et guerre en Ukraine</w:t>
      </w:r>
    </w:p>
    <w:p w:rsidR="009E20AD" w:rsidRDefault="00FC1DFC">
      <w:pPr>
        <w:spacing w:line="240" w:lineRule="auto"/>
        <w:rPr>
          <w:color w:val="434343"/>
        </w:rPr>
      </w:pPr>
      <w:r>
        <w:rPr>
          <w:color w:val="434343"/>
        </w:rPr>
        <w:t>Nous continuons à faire face à des contraintes importantes au niveau de la production, de la logistique et de la fourniture de certains intermédiaires, ainsi que plus récemment aux impacts de l'inflation sur nos coûts (énergie, matières premières, etc</w:t>
      </w:r>
      <w:r w:rsidR="004402F0">
        <w:rPr>
          <w:color w:val="434343"/>
        </w:rPr>
        <w:t>.</w:t>
      </w:r>
      <w:r>
        <w:rPr>
          <w:color w:val="434343"/>
        </w:rPr>
        <w:t>).</w:t>
      </w:r>
    </w:p>
    <w:p w:rsidR="009E20AD" w:rsidRDefault="009E20AD">
      <w:pPr>
        <w:spacing w:line="240" w:lineRule="auto"/>
        <w:rPr>
          <w:color w:val="434343"/>
        </w:rPr>
      </w:pPr>
    </w:p>
    <w:p w:rsidR="009E20AD" w:rsidRDefault="009E20AD">
      <w:pPr>
        <w:spacing w:line="240" w:lineRule="auto"/>
        <w:rPr>
          <w:color w:val="434343"/>
        </w:rPr>
      </w:pPr>
    </w:p>
    <w:p w:rsidR="009E20AD" w:rsidRDefault="009E20AD">
      <w:pPr>
        <w:spacing w:line="240" w:lineRule="auto"/>
        <w:rPr>
          <w:color w:val="FF0000"/>
        </w:rPr>
      </w:pPr>
    </w:p>
    <w:p w:rsidR="009E20AD" w:rsidRDefault="009E20AD">
      <w:pPr>
        <w:spacing w:line="240" w:lineRule="auto"/>
        <w:rPr>
          <w:color w:val="434343"/>
        </w:rPr>
      </w:pPr>
      <w:bookmarkStart w:id="1" w:name="_4mghjqxfafrn" w:colFirst="0" w:colLast="0"/>
      <w:bookmarkEnd w:id="1"/>
    </w:p>
    <w:p w:rsidR="009E20AD" w:rsidRDefault="009E20AD"/>
    <w:p w:rsidR="009E20AD" w:rsidRDefault="009E20AD"/>
    <w:p w:rsidR="009E20AD" w:rsidRDefault="009E20AD">
      <w:pPr>
        <w:rPr>
          <w:b/>
        </w:rPr>
      </w:pPr>
      <w:bookmarkStart w:id="2" w:name="_GoBack"/>
      <w:bookmarkEnd w:id="2"/>
    </w:p>
    <w:p w:rsidR="009E20AD" w:rsidRDefault="009E20AD">
      <w:pPr>
        <w:rPr>
          <w:b/>
        </w:rPr>
      </w:pPr>
    </w:p>
    <w:p w:rsidR="009E20AD" w:rsidRDefault="009E20AD">
      <w:pPr>
        <w:rPr>
          <w:b/>
        </w:rPr>
      </w:pPr>
    </w:p>
    <w:p w:rsidR="009E20AD" w:rsidRDefault="009E20AD">
      <w:pPr>
        <w:rPr>
          <w:b/>
        </w:rPr>
      </w:pPr>
    </w:p>
    <w:p w:rsidR="009E20AD" w:rsidRDefault="009E20AD">
      <w:pPr>
        <w:rPr>
          <w:b/>
        </w:rPr>
      </w:pPr>
    </w:p>
    <w:p w:rsidR="009E20AD" w:rsidRDefault="009E20AD">
      <w:pPr>
        <w:rPr>
          <w:b/>
        </w:rPr>
      </w:pPr>
    </w:p>
    <w:p w:rsidR="009E20AD" w:rsidRDefault="009E20AD">
      <w:pPr>
        <w:pBdr>
          <w:top w:val="single" w:sz="4" w:space="1" w:color="000000"/>
        </w:pBdr>
      </w:pPr>
    </w:p>
    <w:p w:rsidR="009E20AD" w:rsidRDefault="00FC1DFC">
      <w:pPr>
        <w:rPr>
          <w:b/>
        </w:rPr>
      </w:pPr>
      <w:r>
        <w:rPr>
          <w:b/>
        </w:rPr>
        <w:t>Œuvrer depuis toujours pour la santé animale</w:t>
      </w:r>
    </w:p>
    <w:p w:rsidR="009E20AD" w:rsidRDefault="00FC1DFC">
      <w:pPr>
        <w:rPr>
          <w:b/>
        </w:rPr>
      </w:pPr>
      <w:r>
        <w:t xml:space="preserve">Chez </w:t>
      </w:r>
      <w:proofErr w:type="spellStart"/>
      <w:r>
        <w:t>Virbac</w:t>
      </w:r>
      <w:proofErr w:type="spellEnd"/>
      <w:r>
        <w:t>, nous mettons des solutions innovantes à disposition des vétérinaires, éleveurs et propriétaires d’animaux de plus de 100 pays autour du monde. Couvrant plus de 50 espèces, notre gamme de produits et services permet de diagnostiquer, prévenir et traiter la majorité des pathologies. Chaque jour, nous nous engageons à améliorer la qualité de vie des animaux et à façonner tous ensemble l’avenir de la santé animale.</w:t>
      </w:r>
    </w:p>
    <w:p w:rsidR="009E20AD" w:rsidRDefault="009E20AD">
      <w:pPr>
        <w:widowControl w:val="0"/>
        <w:spacing w:line="276" w:lineRule="auto"/>
        <w:jc w:val="left"/>
      </w:pPr>
    </w:p>
    <w:p w:rsidR="009E20AD" w:rsidRDefault="00FC1DFC">
      <w:pPr>
        <w:rPr>
          <w:b/>
        </w:rPr>
      </w:pPr>
      <w:r>
        <w:rPr>
          <w:noProof/>
        </w:rPr>
        <w:drawing>
          <wp:inline distT="114300" distB="114300" distL="114300" distR="114300">
            <wp:extent cx="6515425" cy="18669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6515425" cy="1866900"/>
                    </a:xfrm>
                    <a:prstGeom prst="rect">
                      <a:avLst/>
                    </a:prstGeom>
                    <a:ln/>
                  </pic:spPr>
                </pic:pic>
              </a:graphicData>
            </a:graphic>
          </wp:inline>
        </w:drawing>
      </w:r>
    </w:p>
    <w:p w:rsidR="009E20AD" w:rsidRDefault="009E20AD"/>
    <w:p w:rsidR="009E20AD" w:rsidRDefault="009E20AD">
      <w:pPr>
        <w:pBdr>
          <w:top w:val="single" w:sz="4" w:space="1" w:color="000000"/>
        </w:pBdr>
        <w:rPr>
          <w:sz w:val="12"/>
          <w:szCs w:val="12"/>
        </w:rPr>
      </w:pPr>
    </w:p>
    <w:p w:rsidR="009E20AD" w:rsidRDefault="009E20AD">
      <w:pPr>
        <w:pBdr>
          <w:top w:val="single" w:sz="4" w:space="1" w:color="000000"/>
          <w:left w:val="nil"/>
          <w:bottom w:val="nil"/>
          <w:right w:val="nil"/>
          <w:between w:val="nil"/>
        </w:pBdr>
        <w:rPr>
          <w:b/>
        </w:rPr>
      </w:pPr>
    </w:p>
    <w:p w:rsidR="009E20AD" w:rsidRDefault="00FC1DFC">
      <w:pPr>
        <w:pBdr>
          <w:top w:val="nil"/>
          <w:left w:val="nil"/>
          <w:bottom w:val="nil"/>
          <w:right w:val="nil"/>
          <w:between w:val="nil"/>
        </w:pBdr>
        <w:spacing w:line="240" w:lineRule="auto"/>
        <w:rPr>
          <w:sz w:val="12"/>
          <w:szCs w:val="12"/>
        </w:rPr>
      </w:pPr>
      <w:proofErr w:type="spellStart"/>
      <w:r>
        <w:rPr>
          <w:sz w:val="12"/>
          <w:szCs w:val="12"/>
        </w:rPr>
        <w:t>Virbac</w:t>
      </w:r>
      <w:proofErr w:type="spellEnd"/>
      <w:r>
        <w:rPr>
          <w:sz w:val="12"/>
          <w:szCs w:val="12"/>
        </w:rPr>
        <w:t xml:space="preserve"> : NYSE Euronext - compartiment A –code ISIN : FR0000031577 / MNEMO : VIRP</w:t>
      </w:r>
    </w:p>
    <w:p w:rsidR="009E20AD" w:rsidRDefault="00FC1DFC">
      <w:pPr>
        <w:pBdr>
          <w:top w:val="nil"/>
          <w:left w:val="nil"/>
          <w:bottom w:val="nil"/>
          <w:right w:val="nil"/>
          <w:between w:val="nil"/>
        </w:pBdr>
        <w:spacing w:line="240" w:lineRule="auto"/>
        <w:rPr>
          <w:sz w:val="12"/>
          <w:szCs w:val="12"/>
        </w:rPr>
      </w:pPr>
      <w:r>
        <w:rPr>
          <w:sz w:val="12"/>
          <w:szCs w:val="12"/>
        </w:rPr>
        <w:t>Direction financière : tél. 04 92 08 71 32 - finances@virbac.com - corporate.virbac.com</w:t>
      </w:r>
    </w:p>
    <w:sectPr w:rsidR="009E20AD">
      <w:headerReference w:type="default" r:id="rId7"/>
      <w:footerReference w:type="even" r:id="rId8"/>
      <w:footerReference w:type="default" r:id="rId9"/>
      <w:pgSz w:w="11907" w:h="16840"/>
      <w:pgMar w:top="1275" w:right="794" w:bottom="121" w:left="851" w:header="709" w:footer="113"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F07" w:rsidRDefault="00542F07">
      <w:pPr>
        <w:spacing w:line="240" w:lineRule="auto"/>
      </w:pPr>
      <w:r>
        <w:separator/>
      </w:r>
    </w:p>
  </w:endnote>
  <w:endnote w:type="continuationSeparator" w:id="0">
    <w:p w:rsidR="00542F07" w:rsidRDefault="00542F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AD" w:rsidRDefault="00FC1DFC">
    <w:pPr>
      <w:pBdr>
        <w:top w:val="nil"/>
        <w:left w:val="nil"/>
        <w:bottom w:val="nil"/>
        <w:right w:val="nil"/>
        <w:between w:val="nil"/>
      </w:pBdr>
      <w:tabs>
        <w:tab w:val="center" w:pos="4536"/>
        <w:tab w:val="right" w:pos="9072"/>
      </w:tabs>
      <w:rPr>
        <w:color w:val="262626"/>
        <w:sz w:val="18"/>
        <w:szCs w:val="18"/>
      </w:rPr>
    </w:pPr>
    <w:r>
      <w:rPr>
        <w:color w:val="262626"/>
        <w:sz w:val="18"/>
        <w:szCs w:val="18"/>
      </w:rPr>
      <w:fldChar w:fldCharType="begin"/>
    </w:r>
    <w:r>
      <w:rPr>
        <w:color w:val="262626"/>
        <w:sz w:val="18"/>
        <w:szCs w:val="18"/>
      </w:rPr>
      <w:instrText>PAGE</w:instrText>
    </w:r>
    <w:r>
      <w:rPr>
        <w:color w:val="262626"/>
        <w:sz w:val="18"/>
        <w:szCs w:val="18"/>
      </w:rPr>
      <w:fldChar w:fldCharType="end"/>
    </w:r>
  </w:p>
  <w:p w:rsidR="009E20AD" w:rsidRDefault="009E20AD">
    <w:pPr>
      <w:pBdr>
        <w:top w:val="nil"/>
        <w:left w:val="nil"/>
        <w:bottom w:val="nil"/>
        <w:right w:val="nil"/>
        <w:between w:val="nil"/>
      </w:pBdr>
      <w:tabs>
        <w:tab w:val="center" w:pos="4536"/>
        <w:tab w:val="right" w:pos="9072"/>
      </w:tabs>
    </w:pPr>
  </w:p>
  <w:p w:rsidR="009E20AD" w:rsidRDefault="009E20AD">
    <w:pPr>
      <w:pBdr>
        <w:top w:val="nil"/>
        <w:left w:val="nil"/>
        <w:bottom w:val="nil"/>
        <w:right w:val="nil"/>
        <w:between w:val="nil"/>
      </w:pBd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AD" w:rsidRDefault="009E20AD">
    <w:pPr>
      <w:pBdr>
        <w:top w:val="nil"/>
        <w:left w:val="nil"/>
        <w:bottom w:val="nil"/>
        <w:right w:val="nil"/>
        <w:between w:val="nil"/>
      </w:pBdr>
      <w:spacing w:line="240" w:lineRule="auto"/>
      <w:rPr>
        <w:sz w:val="12"/>
        <w:szCs w:val="12"/>
      </w:rPr>
    </w:pPr>
  </w:p>
  <w:p w:rsidR="009E20AD" w:rsidRDefault="009E20AD">
    <w:pPr>
      <w:pBdr>
        <w:top w:val="nil"/>
        <w:left w:val="nil"/>
        <w:bottom w:val="nil"/>
        <w:right w:val="nil"/>
        <w:between w:val="nil"/>
      </w:pBdr>
      <w:tabs>
        <w:tab w:val="center" w:pos="4536"/>
        <w:tab w:val="right" w:pos="9072"/>
      </w:tabs>
      <w:rPr>
        <w:color w:val="514237"/>
        <w:sz w:val="12"/>
        <w:szCs w:val="12"/>
      </w:rPr>
    </w:pPr>
  </w:p>
  <w:p w:rsidR="009E20AD" w:rsidRDefault="009E20AD">
    <w:pPr>
      <w:pBdr>
        <w:top w:val="nil"/>
        <w:left w:val="nil"/>
        <w:bottom w:val="nil"/>
        <w:right w:val="nil"/>
        <w:between w:val="nil"/>
      </w:pBdr>
      <w:tabs>
        <w:tab w:val="center" w:pos="453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F07" w:rsidRDefault="00542F07">
      <w:pPr>
        <w:spacing w:line="240" w:lineRule="auto"/>
      </w:pPr>
      <w:r>
        <w:separator/>
      </w:r>
    </w:p>
  </w:footnote>
  <w:footnote w:type="continuationSeparator" w:id="0">
    <w:p w:rsidR="00542F07" w:rsidRDefault="00542F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AD" w:rsidRDefault="00FC1DFC">
    <w:pPr>
      <w:pBdr>
        <w:top w:val="nil"/>
        <w:left w:val="nil"/>
        <w:bottom w:val="nil"/>
        <w:right w:val="nil"/>
        <w:between w:val="nil"/>
      </w:pBdr>
      <w:tabs>
        <w:tab w:val="center" w:pos="4536"/>
        <w:tab w:val="right" w:pos="9072"/>
      </w:tabs>
    </w:pPr>
    <w:r>
      <w:rPr>
        <w:noProof/>
      </w:rPr>
      <w:drawing>
        <wp:anchor distT="0" distB="0" distL="114300" distR="114300" simplePos="0" relativeHeight="251658240" behindDoc="0" locked="0" layoutInCell="1" hidden="0" allowOverlap="1">
          <wp:simplePos x="0" y="0"/>
          <wp:positionH relativeFrom="column">
            <wp:posOffset>-233679</wp:posOffset>
          </wp:positionH>
          <wp:positionV relativeFrom="paragraph">
            <wp:posOffset>-621664</wp:posOffset>
          </wp:positionV>
          <wp:extent cx="1554480" cy="88392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54480" cy="88392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0AD"/>
    <w:rsid w:val="004402F0"/>
    <w:rsid w:val="00542F07"/>
    <w:rsid w:val="009E20AD"/>
    <w:rsid w:val="00DB5574"/>
    <w:rsid w:val="00F410AE"/>
    <w:rsid w:val="00FC1D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9E2BE-B9CA-498C-A59A-5D631B27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595959"/>
        <w:sz w:val="16"/>
        <w:szCs w:val="16"/>
        <w:lang w:val="fr-FR" w:eastAsia="fr-FR" w:bidi="ar-SA"/>
      </w:rPr>
    </w:rPrDefault>
    <w:pPrDefault>
      <w:pPr>
        <w:spacing w:line="19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spacing w:line="240" w:lineRule="auto"/>
      <w:outlineLvl w:val="0"/>
    </w:pPr>
    <w:rPr>
      <w:b/>
      <w:color w:val="514237"/>
      <w:sz w:val="44"/>
      <w:szCs w:val="44"/>
    </w:rPr>
  </w:style>
  <w:style w:type="paragraph" w:styleId="Titre2">
    <w:name w:val="heading 2"/>
    <w:basedOn w:val="Normal"/>
    <w:next w:val="Normal"/>
    <w:pPr>
      <w:keepNext/>
      <w:pBdr>
        <w:top w:val="nil"/>
        <w:left w:val="nil"/>
        <w:bottom w:val="nil"/>
        <w:right w:val="nil"/>
        <w:between w:val="nil"/>
      </w:pBdr>
      <w:outlineLvl w:val="1"/>
    </w:pPr>
    <w:rPr>
      <w:b/>
      <w:color w:val="004D97"/>
    </w:rPr>
  </w:style>
  <w:style w:type="paragraph" w:styleId="Titre3">
    <w:name w:val="heading 3"/>
    <w:basedOn w:val="Normal"/>
    <w:next w:val="Normal"/>
    <w:pPr>
      <w:pBdr>
        <w:top w:val="single" w:sz="4" w:space="1" w:color="E0DBD9"/>
        <w:left w:val="single" w:sz="4" w:space="4" w:color="E0DBD9"/>
        <w:bottom w:val="single" w:sz="4" w:space="1" w:color="E0DBD9"/>
        <w:right w:val="single" w:sz="4" w:space="4" w:color="E0DBD9"/>
      </w:pBdr>
      <w:shd w:val="clear" w:color="auto" w:fill="E0DBD9"/>
      <w:outlineLvl w:val="2"/>
    </w:pPr>
    <w:rPr>
      <w:smallCaps/>
    </w:rPr>
  </w:style>
  <w:style w:type="paragraph" w:styleId="Titre4">
    <w:name w:val="heading 4"/>
    <w:basedOn w:val="Normal"/>
    <w:next w:val="Normal"/>
    <w:pPr>
      <w:keepNext/>
      <w:pBdr>
        <w:top w:val="nil"/>
        <w:left w:val="nil"/>
        <w:bottom w:val="nil"/>
        <w:right w:val="nil"/>
        <w:between w:val="nil"/>
      </w:pBdr>
      <w:outlineLvl w:val="3"/>
    </w:pPr>
    <w:rPr>
      <w:b/>
      <w:color w:val="004D97"/>
    </w:rPr>
  </w:style>
  <w:style w:type="paragraph" w:styleId="Titre5">
    <w:name w:val="heading 5"/>
    <w:basedOn w:val="Normal"/>
    <w:next w:val="Normal"/>
    <w:pPr>
      <w:pBdr>
        <w:top w:val="nil"/>
        <w:left w:val="nil"/>
        <w:bottom w:val="nil"/>
        <w:right w:val="nil"/>
        <w:between w:val="nil"/>
      </w:pBdr>
      <w:outlineLvl w:val="4"/>
    </w:pPr>
    <w:rPr>
      <w:b/>
      <w:sz w:val="14"/>
      <w:szCs w:val="14"/>
      <w:u w:val="single"/>
    </w:rPr>
  </w:style>
  <w:style w:type="paragraph" w:styleId="Titre6">
    <w:name w:val="heading 6"/>
    <w:basedOn w:val="Normal"/>
    <w:next w:val="Normal"/>
    <w:pPr>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spacing w:before="240" w:after="60"/>
      <w:jc w:val="right"/>
    </w:pPr>
    <w:rPr>
      <w:rFonts w:ascii="Cambria" w:eastAsia="Cambria" w:hAnsi="Cambria" w:cs="Cambria"/>
      <w:color w:val="FF0000"/>
      <w:sz w:val="2"/>
      <w:szCs w:val="2"/>
    </w:rPr>
  </w:style>
  <w:style w:type="paragraph" w:styleId="Sous-titre">
    <w:name w:val="Subtitle"/>
    <w:basedOn w:val="Normal"/>
    <w:next w:val="Normal"/>
    <w:pPr>
      <w:spacing w:after="60"/>
      <w:jc w:val="right"/>
    </w:pPr>
    <w:rPr>
      <w:rFonts w:ascii="Cambria" w:eastAsia="Cambria" w:hAnsi="Cambria" w:cs="Cambria"/>
      <w:color w:val="FF0000"/>
      <w:sz w:val="2"/>
      <w:szCs w:val="2"/>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885</Words>
  <Characters>4870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Virbac</Company>
  <LinksUpToDate>false</LinksUpToDate>
  <CharactersWithSpaces>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Rodriguez</dc:creator>
  <cp:lastModifiedBy>Manuela Rodriguez</cp:lastModifiedBy>
  <cp:revision>2</cp:revision>
  <dcterms:created xsi:type="dcterms:W3CDTF">2022-04-14T12:14:00Z</dcterms:created>
  <dcterms:modified xsi:type="dcterms:W3CDTF">2022-04-14T12:14:00Z</dcterms:modified>
</cp:coreProperties>
</file>