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BC7F7" w14:textId="58A71556" w:rsidR="0059003A" w:rsidRDefault="0059003A" w:rsidP="00032AE2">
      <w:pPr>
        <w:pStyle w:val="paragraph"/>
        <w:spacing w:before="0" w:beforeAutospacing="0" w:after="0" w:afterAutospacing="0"/>
        <w:ind w:right="-270"/>
        <w:jc w:val="center"/>
        <w:textAlignment w:val="baseline"/>
        <w:rPr>
          <w:rStyle w:val="normaltextrun"/>
          <w:rFonts w:ascii="Calibri" w:hAnsi="Calibri" w:cs="Calibri"/>
          <w:b/>
          <w:bCs/>
          <w:color w:val="002060"/>
          <w:sz w:val="48"/>
          <w:szCs w:val="48"/>
          <w:lang w:val="en-US"/>
        </w:rPr>
      </w:pPr>
      <w:r w:rsidRPr="0059003A">
        <w:rPr>
          <w:rStyle w:val="normaltextrun"/>
          <w:rFonts w:ascii="Calibri" w:hAnsi="Calibri" w:cs="Calibri"/>
          <w:b/>
          <w:bCs/>
          <w:color w:val="002060"/>
          <w:sz w:val="48"/>
          <w:szCs w:val="48"/>
          <w:lang w:val="en-US"/>
        </w:rPr>
        <w:t>Millicom (Tigo) raises 2026</w:t>
      </w:r>
      <w:r w:rsidR="00E1037D">
        <w:rPr>
          <w:rStyle w:val="normaltextrun"/>
          <w:rFonts w:ascii="Calibri" w:hAnsi="Calibri" w:cs="Calibri"/>
          <w:b/>
          <w:bCs/>
          <w:color w:val="002060"/>
          <w:sz w:val="48"/>
          <w:szCs w:val="48"/>
          <w:lang w:val="en-US"/>
        </w:rPr>
        <w:t xml:space="preserve"> Financial Guidance and</w:t>
      </w:r>
      <w:r w:rsidR="007D0736">
        <w:rPr>
          <w:rStyle w:val="normaltextrun"/>
          <w:rFonts w:ascii="Calibri" w:hAnsi="Calibri" w:cs="Calibri"/>
          <w:b/>
          <w:bCs/>
          <w:color w:val="002060"/>
          <w:sz w:val="48"/>
          <w:szCs w:val="48"/>
          <w:lang w:val="en-US"/>
        </w:rPr>
        <w:t xml:space="preserve"> declares</w:t>
      </w:r>
      <w:r w:rsidRPr="0059003A">
        <w:rPr>
          <w:rStyle w:val="normaltextrun"/>
          <w:rFonts w:ascii="Calibri" w:hAnsi="Calibri" w:cs="Calibri"/>
          <w:b/>
          <w:bCs/>
          <w:color w:val="002060"/>
          <w:sz w:val="48"/>
          <w:szCs w:val="48"/>
          <w:lang w:val="en-US"/>
        </w:rPr>
        <w:t xml:space="preserve"> </w:t>
      </w:r>
      <w:r w:rsidR="000B0BCD">
        <w:rPr>
          <w:rStyle w:val="normaltextrun"/>
          <w:rFonts w:ascii="Calibri" w:hAnsi="Calibri" w:cs="Calibri"/>
          <w:b/>
          <w:bCs/>
          <w:color w:val="002060"/>
          <w:sz w:val="48"/>
          <w:szCs w:val="48"/>
          <w:lang w:val="en-US"/>
        </w:rPr>
        <w:t>$</w:t>
      </w:r>
      <w:r w:rsidR="00A42F4F">
        <w:rPr>
          <w:rStyle w:val="normaltextrun"/>
          <w:rFonts w:ascii="Calibri" w:hAnsi="Calibri" w:cs="Calibri"/>
          <w:b/>
          <w:bCs/>
          <w:color w:val="002060"/>
          <w:sz w:val="48"/>
          <w:szCs w:val="48"/>
          <w:lang w:val="en-US"/>
        </w:rPr>
        <w:t xml:space="preserve">1.50 </w:t>
      </w:r>
      <w:r w:rsidR="000B0BCD">
        <w:rPr>
          <w:rStyle w:val="normaltextrun"/>
          <w:rFonts w:ascii="Calibri" w:hAnsi="Calibri" w:cs="Calibri"/>
          <w:b/>
          <w:bCs/>
          <w:color w:val="002060"/>
          <w:sz w:val="48"/>
          <w:szCs w:val="48"/>
          <w:lang w:val="en-US"/>
        </w:rPr>
        <w:t xml:space="preserve">per share interim dividend </w:t>
      </w:r>
    </w:p>
    <w:p w14:paraId="13D91EE3" w14:textId="77777777" w:rsidR="0059003A" w:rsidRPr="0059003A" w:rsidRDefault="0059003A" w:rsidP="0059003A">
      <w:pPr>
        <w:pStyle w:val="paragraph"/>
        <w:spacing w:before="0" w:beforeAutospacing="0" w:after="0" w:afterAutospacing="0"/>
        <w:ind w:right="-270"/>
        <w:jc w:val="center"/>
        <w:textAlignment w:val="baseline"/>
        <w:rPr>
          <w:rStyle w:val="normaltextrun"/>
          <w:rFonts w:ascii="Calibri" w:hAnsi="Calibri" w:cs="Calibri"/>
          <w:b/>
          <w:bCs/>
          <w:color w:val="002060"/>
          <w:sz w:val="48"/>
          <w:szCs w:val="48"/>
          <w:lang w:val="en-US"/>
        </w:rPr>
      </w:pPr>
    </w:p>
    <w:p w14:paraId="585B507E" w14:textId="7DD8864A" w:rsidR="0059003A" w:rsidRPr="004D20B9" w:rsidRDefault="0059003A" w:rsidP="00D2031D">
      <w:pPr>
        <w:pStyle w:val="paragraph"/>
        <w:ind w:right="-270"/>
        <w:jc w:val="both"/>
        <w:textAlignment w:val="baseline"/>
        <w:rPr>
          <w:rStyle w:val="normaltextrun"/>
          <w:rFonts w:ascii="Calibri" w:hAnsi="Calibri" w:cs="Calibri"/>
          <w:color w:val="002060"/>
          <w:lang w:val="en-US"/>
        </w:rPr>
      </w:pPr>
      <w:r w:rsidRPr="004D20B9">
        <w:rPr>
          <w:rStyle w:val="normaltextrun"/>
          <w:rFonts w:ascii="Calibri" w:hAnsi="Calibri" w:cs="Calibri"/>
          <w:b/>
          <w:color w:val="002060"/>
          <w:lang w:val="en-US"/>
        </w:rPr>
        <w:t xml:space="preserve">Luxembourg, </w:t>
      </w:r>
      <w:r w:rsidR="00032AE2" w:rsidRPr="004D20B9">
        <w:rPr>
          <w:rStyle w:val="normaltextrun"/>
          <w:rFonts w:ascii="Calibri" w:hAnsi="Calibri" w:cs="Calibri"/>
          <w:b/>
          <w:color w:val="002060"/>
          <w:lang w:val="en-US"/>
        </w:rPr>
        <w:t>August</w:t>
      </w:r>
      <w:r w:rsidR="379E4FEA" w:rsidRPr="004D20B9">
        <w:rPr>
          <w:rStyle w:val="normaltextrun"/>
          <w:rFonts w:ascii="Calibri" w:hAnsi="Calibri" w:cs="Calibri"/>
          <w:b/>
          <w:bCs/>
          <w:color w:val="002060"/>
          <w:lang w:val="en-US"/>
        </w:rPr>
        <w:t xml:space="preserve"> </w:t>
      </w:r>
      <w:r w:rsidR="379E4FEA" w:rsidRPr="004D20B9">
        <w:rPr>
          <w:rStyle w:val="normaltextrun"/>
          <w:rFonts w:ascii="Calibri" w:hAnsi="Calibri" w:cs="Calibri"/>
          <w:b/>
          <w:color w:val="002060"/>
          <w:lang w:val="en-US"/>
        </w:rPr>
        <w:t>0</w:t>
      </w:r>
      <w:r w:rsidR="0C1F877F" w:rsidRPr="004D20B9">
        <w:rPr>
          <w:rStyle w:val="normaltextrun"/>
          <w:rFonts w:ascii="Calibri" w:hAnsi="Calibri" w:cs="Calibri"/>
          <w:b/>
          <w:color w:val="002060"/>
          <w:lang w:val="en-US"/>
        </w:rPr>
        <w:t>6</w:t>
      </w:r>
      <w:r w:rsidRPr="004D20B9">
        <w:rPr>
          <w:rStyle w:val="normaltextrun"/>
          <w:rFonts w:ascii="Calibri" w:hAnsi="Calibri" w:cs="Calibri"/>
          <w:b/>
          <w:color w:val="002060"/>
          <w:lang w:val="en-US"/>
        </w:rPr>
        <w:t>, 2026</w:t>
      </w:r>
      <w:r w:rsidRPr="004D20B9">
        <w:rPr>
          <w:rStyle w:val="normaltextrun"/>
          <w:rFonts w:ascii="Calibri" w:hAnsi="Calibri" w:cs="Calibri"/>
          <w:color w:val="002060"/>
          <w:lang w:val="en-US"/>
        </w:rPr>
        <w:t xml:space="preserve"> – Millicom International Cellular S.A. (“Millicom” or the “Company”) today announced an </w:t>
      </w:r>
      <w:r w:rsidR="003D3B19" w:rsidRPr="004D20B9">
        <w:rPr>
          <w:rStyle w:val="normaltextrun"/>
          <w:rFonts w:ascii="Calibri" w:hAnsi="Calibri" w:cs="Calibri"/>
          <w:color w:val="002060"/>
          <w:lang w:val="en-US"/>
        </w:rPr>
        <w:t xml:space="preserve">increase </w:t>
      </w:r>
      <w:r w:rsidRPr="004D20B9">
        <w:rPr>
          <w:rStyle w:val="normaltextrun"/>
          <w:rFonts w:ascii="Calibri" w:hAnsi="Calibri" w:cs="Calibri"/>
          <w:color w:val="002060"/>
          <w:lang w:val="en-US"/>
        </w:rPr>
        <w:t xml:space="preserve">to its 2026 Equity Free Cash Flow (“EFCF”) </w:t>
      </w:r>
      <w:r w:rsidR="00CB0D91" w:rsidRPr="004D20B9">
        <w:rPr>
          <w:rStyle w:val="normaltextrun"/>
          <w:rFonts w:ascii="Calibri" w:hAnsi="Calibri" w:cs="Calibri"/>
          <w:color w:val="002060"/>
          <w:lang w:val="en-US"/>
        </w:rPr>
        <w:t>target</w:t>
      </w:r>
      <w:r w:rsidR="00984B8B" w:rsidRPr="004D20B9">
        <w:rPr>
          <w:rStyle w:val="normaltextrun"/>
          <w:rFonts w:ascii="Calibri" w:hAnsi="Calibri" w:cs="Calibri"/>
          <w:color w:val="002060"/>
          <w:lang w:val="en-US"/>
        </w:rPr>
        <w:t xml:space="preserve">, a reduction </w:t>
      </w:r>
      <w:r w:rsidR="00C302BE" w:rsidRPr="004D20B9">
        <w:rPr>
          <w:rStyle w:val="normaltextrun"/>
          <w:rFonts w:ascii="Calibri" w:hAnsi="Calibri" w:cs="Calibri"/>
          <w:color w:val="002060"/>
          <w:lang w:val="en-US"/>
        </w:rPr>
        <w:t xml:space="preserve">in </w:t>
      </w:r>
      <w:r w:rsidR="00D83859" w:rsidRPr="004D20B9">
        <w:rPr>
          <w:rStyle w:val="normaltextrun"/>
          <w:rFonts w:ascii="Calibri" w:hAnsi="Calibri" w:cs="Calibri"/>
          <w:color w:val="002060"/>
          <w:lang w:val="en-US"/>
        </w:rPr>
        <w:t xml:space="preserve">its </w:t>
      </w:r>
      <w:r w:rsidR="005E4976" w:rsidRPr="004D20B9">
        <w:rPr>
          <w:rStyle w:val="normaltextrun"/>
          <w:rFonts w:ascii="Calibri" w:hAnsi="Calibri" w:cs="Calibri"/>
          <w:color w:val="002060"/>
          <w:lang w:val="en-US"/>
        </w:rPr>
        <w:t xml:space="preserve">year-end </w:t>
      </w:r>
      <w:r w:rsidR="009E08C5" w:rsidRPr="004D20B9">
        <w:rPr>
          <w:rStyle w:val="normaltextrun"/>
          <w:rFonts w:ascii="Calibri" w:hAnsi="Calibri" w:cs="Calibri"/>
          <w:color w:val="002060"/>
          <w:lang w:val="en-US"/>
        </w:rPr>
        <w:t xml:space="preserve">leverage </w:t>
      </w:r>
      <w:r w:rsidRPr="004D20B9">
        <w:rPr>
          <w:rStyle w:val="normaltextrun"/>
          <w:rFonts w:ascii="Calibri" w:hAnsi="Calibri" w:cs="Calibri"/>
          <w:color w:val="002060"/>
          <w:lang w:val="en-US"/>
        </w:rPr>
        <w:t>target</w:t>
      </w:r>
      <w:r w:rsidR="005E4976" w:rsidRPr="004D20B9">
        <w:rPr>
          <w:rStyle w:val="normaltextrun"/>
          <w:rFonts w:ascii="Calibri" w:hAnsi="Calibri" w:cs="Calibri"/>
          <w:color w:val="002060"/>
          <w:lang w:val="en-US"/>
        </w:rPr>
        <w:t xml:space="preserve">, and the declaration of an interim dividend. </w:t>
      </w:r>
    </w:p>
    <w:p w14:paraId="422BDEDF" w14:textId="33F5107C" w:rsidR="0059003A" w:rsidRPr="004D20B9" w:rsidRDefault="0059003A" w:rsidP="00D2031D">
      <w:pPr>
        <w:pStyle w:val="paragraph"/>
        <w:ind w:right="-270"/>
        <w:jc w:val="both"/>
        <w:textAlignment w:val="baseline"/>
        <w:rPr>
          <w:rStyle w:val="normaltextrun"/>
          <w:rFonts w:ascii="Calibri" w:hAnsi="Calibri" w:cs="Calibri"/>
          <w:color w:val="002060"/>
          <w:lang w:val="en-US"/>
        </w:rPr>
      </w:pPr>
      <w:r w:rsidRPr="004D20B9">
        <w:rPr>
          <w:rStyle w:val="normaltextrun"/>
          <w:rFonts w:ascii="Calibri" w:hAnsi="Calibri" w:cs="Calibri"/>
          <w:color w:val="002060"/>
          <w:lang w:val="en-US"/>
        </w:rPr>
        <w:t xml:space="preserve">Based on its strong year-to-date performance and </w:t>
      </w:r>
      <w:r w:rsidR="005E4976" w:rsidRPr="004D20B9">
        <w:rPr>
          <w:rStyle w:val="normaltextrun"/>
          <w:rFonts w:ascii="Calibri" w:hAnsi="Calibri" w:cs="Calibri"/>
          <w:color w:val="002060"/>
          <w:lang w:val="en-US"/>
        </w:rPr>
        <w:t xml:space="preserve">positive </w:t>
      </w:r>
      <w:r w:rsidRPr="004D20B9">
        <w:rPr>
          <w:rStyle w:val="normaltextrun"/>
          <w:rFonts w:ascii="Calibri" w:hAnsi="Calibri" w:cs="Calibri"/>
          <w:color w:val="002060"/>
          <w:lang w:val="en-US"/>
        </w:rPr>
        <w:t xml:space="preserve">outlook for the remainder of the year, Millicom now </w:t>
      </w:r>
      <w:r w:rsidR="003B16A1" w:rsidRPr="004D20B9">
        <w:rPr>
          <w:rStyle w:val="normaltextrun"/>
          <w:rFonts w:ascii="Calibri" w:hAnsi="Calibri" w:cs="Calibri"/>
          <w:color w:val="002060"/>
          <w:lang w:val="en-US"/>
        </w:rPr>
        <w:t xml:space="preserve">expects </w:t>
      </w:r>
      <w:r w:rsidRPr="004D20B9">
        <w:rPr>
          <w:rStyle w:val="normaltextrun"/>
          <w:rFonts w:ascii="Calibri" w:hAnsi="Calibri" w:cs="Calibri"/>
          <w:color w:val="002060"/>
          <w:lang w:val="en-US"/>
        </w:rPr>
        <w:t xml:space="preserve">2026 EFCF of </w:t>
      </w:r>
      <w:r w:rsidR="004E7C99" w:rsidRPr="004D20B9">
        <w:rPr>
          <w:rStyle w:val="normaltextrun"/>
          <w:rFonts w:ascii="Calibri" w:hAnsi="Calibri" w:cs="Calibri"/>
          <w:color w:val="002060"/>
          <w:lang w:val="en-US"/>
        </w:rPr>
        <w:t>around</w:t>
      </w:r>
      <w:r w:rsidRPr="004D20B9">
        <w:rPr>
          <w:rStyle w:val="normaltextrun"/>
          <w:rFonts w:ascii="Calibri" w:hAnsi="Calibri" w:cs="Calibri"/>
          <w:color w:val="002060"/>
          <w:lang w:val="en-US"/>
        </w:rPr>
        <w:t xml:space="preserve"> $1</w:t>
      </w:r>
      <w:r w:rsidR="004E7C99" w:rsidRPr="004D20B9">
        <w:rPr>
          <w:rStyle w:val="normaltextrun"/>
          <w:rFonts w:ascii="Calibri" w:hAnsi="Calibri" w:cs="Calibri"/>
          <w:color w:val="002060"/>
          <w:lang w:val="en-US"/>
        </w:rPr>
        <w:t>.1</w:t>
      </w:r>
      <w:r w:rsidRPr="004D20B9">
        <w:rPr>
          <w:rStyle w:val="normaltextrun"/>
          <w:rFonts w:ascii="Calibri" w:hAnsi="Calibri" w:cs="Calibri"/>
          <w:color w:val="002060"/>
          <w:lang w:val="en-US"/>
        </w:rPr>
        <w:t xml:space="preserve"> billion, compared with its previous target of at least $900 million.</w:t>
      </w:r>
      <w:r w:rsidR="00EF373A" w:rsidRPr="004D20B9">
        <w:rPr>
          <w:rStyle w:val="normaltextrun"/>
          <w:rFonts w:ascii="Calibri" w:hAnsi="Calibri" w:cs="Calibri"/>
          <w:color w:val="002060"/>
          <w:lang w:val="en-US"/>
        </w:rPr>
        <w:t xml:space="preserve"> Further</w:t>
      </w:r>
      <w:r w:rsidR="5121D0A9" w:rsidRPr="004D20B9">
        <w:rPr>
          <w:rStyle w:val="normaltextrun"/>
          <w:rFonts w:ascii="Calibri" w:hAnsi="Calibri" w:cs="Calibri"/>
          <w:color w:val="002060"/>
          <w:lang w:val="en-US"/>
        </w:rPr>
        <w:t>,</w:t>
      </w:r>
      <w:r w:rsidR="00EF373A" w:rsidRPr="004D20B9">
        <w:rPr>
          <w:rStyle w:val="normaltextrun"/>
          <w:rFonts w:ascii="Calibri" w:hAnsi="Calibri" w:cs="Calibri"/>
          <w:color w:val="002060"/>
          <w:lang w:val="en-US"/>
        </w:rPr>
        <w:t xml:space="preserve"> </w:t>
      </w:r>
      <w:r w:rsidR="007A47E6" w:rsidRPr="004D20B9">
        <w:rPr>
          <w:rStyle w:val="normaltextrun"/>
          <w:rFonts w:ascii="Calibri" w:hAnsi="Calibri" w:cs="Calibri"/>
          <w:color w:val="002060"/>
          <w:lang w:val="en-US"/>
        </w:rPr>
        <w:t xml:space="preserve">Millicom </w:t>
      </w:r>
      <w:r w:rsidR="00082C3F" w:rsidRPr="004D20B9">
        <w:rPr>
          <w:rStyle w:val="normaltextrun"/>
          <w:rFonts w:ascii="Calibri" w:hAnsi="Calibri" w:cs="Calibri"/>
          <w:color w:val="002060"/>
          <w:lang w:val="en-US"/>
        </w:rPr>
        <w:t xml:space="preserve">lowered its </w:t>
      </w:r>
      <w:r w:rsidR="002733CB" w:rsidRPr="004D20B9">
        <w:rPr>
          <w:rStyle w:val="normaltextrun"/>
          <w:rFonts w:ascii="Calibri" w:hAnsi="Calibri" w:cs="Calibri"/>
          <w:color w:val="002060"/>
          <w:lang w:val="en-US"/>
        </w:rPr>
        <w:t xml:space="preserve">year-end leverage target to </w:t>
      </w:r>
      <w:r w:rsidR="00531AD0" w:rsidRPr="004D20B9">
        <w:rPr>
          <w:rStyle w:val="normaltextrun"/>
          <w:rFonts w:ascii="Calibri" w:hAnsi="Calibri" w:cs="Calibri"/>
          <w:color w:val="002060"/>
          <w:lang w:val="en-US"/>
        </w:rPr>
        <w:t>below 2.5x</w:t>
      </w:r>
      <w:r w:rsidR="0054044D" w:rsidRPr="004D20B9">
        <w:rPr>
          <w:rStyle w:val="normaltextrun"/>
          <w:rFonts w:ascii="Calibri" w:hAnsi="Calibri" w:cs="Calibri"/>
          <w:color w:val="002060"/>
          <w:lang w:val="en-US"/>
        </w:rPr>
        <w:t xml:space="preserve">, </w:t>
      </w:r>
      <w:r w:rsidR="00B15BF2" w:rsidRPr="004D20B9">
        <w:rPr>
          <w:rStyle w:val="normaltextrun"/>
          <w:rFonts w:ascii="Calibri" w:hAnsi="Calibri" w:cs="Calibri"/>
          <w:color w:val="002060"/>
          <w:lang w:val="en-US"/>
        </w:rPr>
        <w:t xml:space="preserve">from </w:t>
      </w:r>
      <w:r w:rsidR="0054044D" w:rsidRPr="004D20B9">
        <w:rPr>
          <w:rStyle w:val="normaltextrun"/>
          <w:rFonts w:ascii="Calibri" w:hAnsi="Calibri" w:cs="Calibri"/>
          <w:color w:val="002060"/>
          <w:lang w:val="en-US"/>
        </w:rPr>
        <w:t xml:space="preserve">its previous target of </w:t>
      </w:r>
      <w:r w:rsidR="003B1B58" w:rsidRPr="004D20B9">
        <w:rPr>
          <w:rStyle w:val="normaltextrun"/>
          <w:rFonts w:ascii="Calibri" w:hAnsi="Calibri" w:cs="Calibri"/>
          <w:color w:val="002060"/>
          <w:lang w:val="en-US"/>
        </w:rPr>
        <w:t xml:space="preserve">around 2.5x. </w:t>
      </w:r>
    </w:p>
    <w:p w14:paraId="2811D679" w14:textId="76A4C5AE" w:rsidR="0059003A" w:rsidRPr="004D20B9" w:rsidRDefault="006139A6" w:rsidP="00D2031D">
      <w:pPr>
        <w:pStyle w:val="paragraph"/>
        <w:ind w:right="-270"/>
        <w:jc w:val="both"/>
        <w:textAlignment w:val="baseline"/>
        <w:rPr>
          <w:rStyle w:val="normaltextrun"/>
          <w:rFonts w:ascii="Calibri" w:hAnsi="Calibri" w:cs="Calibri"/>
          <w:color w:val="002060"/>
          <w:lang w:val="en-US"/>
        </w:rPr>
      </w:pPr>
      <w:proofErr w:type="gramStart"/>
      <w:r w:rsidRPr="004D20B9">
        <w:rPr>
          <w:rStyle w:val="normaltextrun"/>
          <w:rFonts w:ascii="Calibri" w:hAnsi="Calibri" w:cs="Calibri"/>
          <w:color w:val="002060"/>
          <w:lang w:val="en-US"/>
        </w:rPr>
        <w:t>In light of</w:t>
      </w:r>
      <w:proofErr w:type="gramEnd"/>
      <w:r w:rsidRPr="004D20B9">
        <w:rPr>
          <w:rStyle w:val="normaltextrun"/>
          <w:rFonts w:ascii="Calibri" w:hAnsi="Calibri" w:cs="Calibri"/>
          <w:color w:val="002060"/>
          <w:lang w:val="en-US"/>
        </w:rPr>
        <w:t xml:space="preserve"> this strong financial performance and enhanced cash flow outlook</w:t>
      </w:r>
      <w:r w:rsidR="0059003A" w:rsidRPr="004D20B9">
        <w:rPr>
          <w:rStyle w:val="normaltextrun"/>
          <w:rFonts w:ascii="Calibri" w:hAnsi="Calibri" w:cs="Calibri"/>
          <w:color w:val="002060"/>
          <w:lang w:val="en-US"/>
        </w:rPr>
        <w:t xml:space="preserve">, the Board of Directors of Millicom (the “Board”) </w:t>
      </w:r>
      <w:r w:rsidR="72343499" w:rsidRPr="004D20B9">
        <w:rPr>
          <w:rStyle w:val="normaltextrun"/>
          <w:rFonts w:ascii="Calibri" w:hAnsi="Calibri" w:cs="Calibri"/>
          <w:color w:val="002060"/>
          <w:lang w:val="en-US"/>
        </w:rPr>
        <w:t>declared</w:t>
      </w:r>
      <w:r w:rsidR="0059003A" w:rsidRPr="004D20B9">
        <w:rPr>
          <w:rStyle w:val="normaltextrun"/>
          <w:rFonts w:ascii="Calibri" w:hAnsi="Calibri" w:cs="Calibri"/>
          <w:color w:val="002060"/>
          <w:lang w:val="en-US"/>
        </w:rPr>
        <w:t xml:space="preserve"> an </w:t>
      </w:r>
      <w:r w:rsidR="00347CB3" w:rsidRPr="004D20B9">
        <w:rPr>
          <w:rStyle w:val="normaltextrun"/>
          <w:rFonts w:ascii="Calibri" w:hAnsi="Calibri" w:cs="Calibri"/>
          <w:color w:val="002060"/>
          <w:lang w:val="en-US"/>
        </w:rPr>
        <w:t>interim dividend of</w:t>
      </w:r>
      <w:r w:rsidR="00AB0013" w:rsidRPr="004D20B9">
        <w:rPr>
          <w:rStyle w:val="normaltextrun"/>
          <w:rFonts w:ascii="Calibri" w:hAnsi="Calibri" w:cs="Calibri"/>
          <w:color w:val="002060"/>
          <w:lang w:val="en-US"/>
        </w:rPr>
        <w:t xml:space="preserve"> $1.50 per share payable in two equal installments </w:t>
      </w:r>
      <w:r w:rsidR="00B254C2" w:rsidRPr="004D20B9">
        <w:rPr>
          <w:rStyle w:val="normaltextrun"/>
          <w:rFonts w:ascii="Calibri" w:hAnsi="Calibri" w:cs="Calibri"/>
          <w:color w:val="002060"/>
          <w:lang w:val="en-US"/>
        </w:rPr>
        <w:t>on January 15</w:t>
      </w:r>
      <w:proofErr w:type="gramStart"/>
      <w:r w:rsidR="00B254C2" w:rsidRPr="004D20B9">
        <w:rPr>
          <w:rStyle w:val="normaltextrun"/>
          <w:rFonts w:ascii="Calibri" w:hAnsi="Calibri" w:cs="Calibri"/>
          <w:color w:val="002060"/>
          <w:vertAlign w:val="superscript"/>
          <w:lang w:val="en-US"/>
        </w:rPr>
        <w:t>th</w:t>
      </w:r>
      <w:r w:rsidR="00B254C2" w:rsidRPr="004D20B9">
        <w:rPr>
          <w:rStyle w:val="normaltextrun"/>
          <w:rFonts w:ascii="Calibri" w:hAnsi="Calibri" w:cs="Calibri"/>
          <w:color w:val="002060"/>
          <w:lang w:val="en-US"/>
        </w:rPr>
        <w:t xml:space="preserve"> </w:t>
      </w:r>
      <w:r w:rsidR="49F99017" w:rsidRPr="004D20B9">
        <w:rPr>
          <w:rStyle w:val="normaltextrun"/>
          <w:rFonts w:ascii="Calibri" w:hAnsi="Calibri" w:cs="Calibri"/>
          <w:color w:val="002060"/>
          <w:lang w:val="en-US"/>
        </w:rPr>
        <w:t>,</w:t>
      </w:r>
      <w:proofErr w:type="gramEnd"/>
      <w:r w:rsidR="49F99017" w:rsidRPr="004D20B9">
        <w:rPr>
          <w:rStyle w:val="normaltextrun"/>
          <w:rFonts w:ascii="Calibri" w:hAnsi="Calibri" w:cs="Calibri"/>
          <w:color w:val="002060"/>
          <w:lang w:val="en-US"/>
        </w:rPr>
        <w:t xml:space="preserve"> </w:t>
      </w:r>
      <w:r w:rsidR="00B254C2" w:rsidRPr="004D20B9">
        <w:rPr>
          <w:rStyle w:val="normaltextrun"/>
          <w:rFonts w:ascii="Calibri" w:hAnsi="Calibri" w:cs="Calibri"/>
          <w:color w:val="002060"/>
          <w:lang w:val="en-US"/>
        </w:rPr>
        <w:t>2027 and April</w:t>
      </w:r>
      <w:r w:rsidR="00E827F6" w:rsidRPr="004D20B9">
        <w:rPr>
          <w:rStyle w:val="normaltextrun"/>
          <w:rFonts w:ascii="Calibri" w:hAnsi="Calibri" w:cs="Calibri"/>
          <w:color w:val="002060"/>
          <w:lang w:val="en-US"/>
        </w:rPr>
        <w:t xml:space="preserve"> 15</w:t>
      </w:r>
      <w:r w:rsidR="00E827F6" w:rsidRPr="004D20B9">
        <w:rPr>
          <w:rStyle w:val="normaltextrun"/>
          <w:rFonts w:ascii="Calibri" w:hAnsi="Calibri" w:cs="Calibri"/>
          <w:color w:val="002060"/>
          <w:vertAlign w:val="superscript"/>
          <w:lang w:val="en-US"/>
        </w:rPr>
        <w:t>th</w:t>
      </w:r>
      <w:r w:rsidR="00E827F6" w:rsidRPr="004D20B9">
        <w:rPr>
          <w:rStyle w:val="normaltextrun"/>
          <w:rFonts w:ascii="Calibri" w:hAnsi="Calibri" w:cs="Calibri"/>
          <w:color w:val="002060"/>
          <w:lang w:val="en-US"/>
        </w:rPr>
        <w:t xml:space="preserve">, </w:t>
      </w:r>
      <w:r w:rsidR="004E7701" w:rsidRPr="004D20B9">
        <w:rPr>
          <w:rStyle w:val="normaltextrun"/>
          <w:rFonts w:ascii="Calibri" w:hAnsi="Calibri" w:cs="Calibri"/>
          <w:color w:val="002060"/>
          <w:lang w:val="en-US"/>
        </w:rPr>
        <w:t>2</w:t>
      </w:r>
      <w:r w:rsidR="00E827F6" w:rsidRPr="004D20B9">
        <w:rPr>
          <w:rStyle w:val="normaltextrun"/>
          <w:rFonts w:ascii="Calibri" w:hAnsi="Calibri" w:cs="Calibri"/>
          <w:color w:val="002060"/>
          <w:lang w:val="en-US"/>
        </w:rPr>
        <w:t xml:space="preserve">027. </w:t>
      </w:r>
    </w:p>
    <w:p w14:paraId="37312812" w14:textId="77777777" w:rsidR="00521725" w:rsidRPr="004D20B9" w:rsidRDefault="0059003A" w:rsidP="00521725">
      <w:pPr>
        <w:pStyle w:val="paragraph"/>
        <w:ind w:right="-270"/>
        <w:jc w:val="both"/>
        <w:textAlignment w:val="baseline"/>
        <w:rPr>
          <w:rStyle w:val="normaltextrun"/>
          <w:rFonts w:ascii="Calibri" w:hAnsi="Calibri" w:cs="Calibri"/>
          <w:color w:val="002060"/>
          <w:lang w:val="en-US"/>
        </w:rPr>
      </w:pPr>
      <w:r w:rsidRPr="004D20B9">
        <w:rPr>
          <w:rStyle w:val="normaltextrun"/>
          <w:rFonts w:ascii="Calibri" w:hAnsi="Calibri" w:cs="Calibri"/>
          <w:b/>
          <w:bCs/>
          <w:color w:val="002060"/>
          <w:lang w:val="en-US"/>
        </w:rPr>
        <w:t>Millicom Chief Executive Officer Marcelo Benitez commented:</w:t>
      </w:r>
      <w:r w:rsidR="00D2031D" w:rsidRPr="004D20B9">
        <w:rPr>
          <w:rStyle w:val="normaltextrun"/>
          <w:rFonts w:ascii="Calibri" w:hAnsi="Calibri" w:cs="Calibri"/>
          <w:b/>
          <w:bCs/>
          <w:color w:val="002060"/>
          <w:lang w:val="en-US"/>
        </w:rPr>
        <w:t xml:space="preserve"> </w:t>
      </w:r>
      <w:r w:rsidR="005D1B84" w:rsidRPr="004D20B9">
        <w:rPr>
          <w:rStyle w:val="normaltextrun"/>
          <w:rFonts w:ascii="Calibri" w:hAnsi="Calibri" w:cs="Calibri"/>
          <w:color w:val="002060"/>
          <w:lang w:val="en-US"/>
        </w:rPr>
        <w:t>“</w:t>
      </w:r>
      <w:r w:rsidR="00521725" w:rsidRPr="004D20B9">
        <w:rPr>
          <w:rStyle w:val="normaltextrun"/>
          <w:rFonts w:ascii="Calibri" w:hAnsi="Calibri" w:cs="Calibri"/>
          <w:color w:val="002060"/>
          <w:lang w:val="en-US"/>
        </w:rPr>
        <w:t>Our strategy, centered on delivering the best customer experience, combined with disciplined execution and a relentless focus on efficiency, continues to deliver strong and sustainable results. This performance gives us the confidence to raise our 2026 EFCF target to around $1.1 billion, reduce our year-end leverage target to below 2.5x, and enhance shareholder returns through an interim dividend”.</w:t>
      </w:r>
    </w:p>
    <w:p w14:paraId="0AD708C7" w14:textId="00AFFB23" w:rsidR="00521725" w:rsidRPr="004D20B9" w:rsidRDefault="00521725" w:rsidP="00521725">
      <w:pPr>
        <w:pStyle w:val="paragraph"/>
        <w:ind w:right="-270"/>
        <w:jc w:val="both"/>
        <w:textAlignment w:val="baseline"/>
        <w:rPr>
          <w:rStyle w:val="normaltextrun"/>
          <w:rFonts w:ascii="Calibri" w:hAnsi="Calibri" w:cs="Calibri"/>
          <w:color w:val="002060"/>
          <w:lang w:val="en-US"/>
        </w:rPr>
      </w:pPr>
      <w:r w:rsidRPr="004D20B9">
        <w:rPr>
          <w:rStyle w:val="normaltextrun"/>
          <w:rFonts w:ascii="Calibri" w:hAnsi="Calibri" w:cs="Calibri"/>
          <w:color w:val="002060"/>
          <w:lang w:val="en-US"/>
        </w:rPr>
        <w:t xml:space="preserve">“As we continue to strengthen our financial performance, we remain equally committed to expanding connectivity, advancing digital inclusion, and creating more opportunities for the communities we serve in Latin America”, he </w:t>
      </w:r>
      <w:r w:rsidRPr="00215045">
        <w:rPr>
          <w:rStyle w:val="normaltextrun"/>
          <w:rFonts w:ascii="Calibri" w:hAnsi="Calibri" w:cs="Calibri"/>
          <w:color w:val="002060"/>
          <w:lang w:val="en-US"/>
        </w:rPr>
        <w:t>emphasized</w:t>
      </w:r>
      <w:r w:rsidRPr="004D20B9">
        <w:rPr>
          <w:rStyle w:val="normaltextrun"/>
          <w:rFonts w:ascii="Calibri" w:hAnsi="Calibri" w:cs="Calibri"/>
          <w:color w:val="002060"/>
          <w:lang w:val="en-US"/>
        </w:rPr>
        <w:t>.</w:t>
      </w:r>
    </w:p>
    <w:p w14:paraId="6699EAB4" w14:textId="359AB323" w:rsidR="0059003A" w:rsidRPr="004D20B9" w:rsidRDefault="0059003A" w:rsidP="00521725">
      <w:pPr>
        <w:pStyle w:val="paragraph"/>
        <w:ind w:right="-270"/>
        <w:jc w:val="both"/>
        <w:textAlignment w:val="baseline"/>
        <w:rPr>
          <w:rStyle w:val="normaltextrun"/>
          <w:rFonts w:ascii="Calibri" w:hAnsi="Calibri" w:cs="Calibri"/>
          <w:color w:val="002060"/>
          <w:lang w:val="en-US"/>
        </w:rPr>
      </w:pPr>
      <w:r w:rsidRPr="004D20B9">
        <w:rPr>
          <w:rStyle w:val="normaltextrun"/>
          <w:rFonts w:ascii="Calibri" w:hAnsi="Calibri" w:cs="Calibri"/>
          <w:color w:val="002060"/>
          <w:lang w:val="en-US"/>
        </w:rPr>
        <w:t>The payment schedule and other important information relating to the dividend are expected to be as follows:</w:t>
      </w:r>
    </w:p>
    <w:p w14:paraId="39CDEC4F" w14:textId="45317618" w:rsidR="0059003A" w:rsidRPr="004D20B9" w:rsidRDefault="0059003A" w:rsidP="00D2031D">
      <w:pPr>
        <w:pStyle w:val="paragraph"/>
        <w:ind w:right="-270"/>
        <w:jc w:val="both"/>
        <w:textAlignment w:val="baseline"/>
        <w:rPr>
          <w:rStyle w:val="normaltextrun"/>
          <w:rFonts w:ascii="Calibri" w:hAnsi="Calibri" w:cs="Calibri"/>
          <w:b/>
          <w:bCs/>
          <w:color w:val="002060"/>
          <w:lang w:val="en-US"/>
        </w:rPr>
      </w:pPr>
      <w:r w:rsidRPr="004D20B9">
        <w:rPr>
          <w:rStyle w:val="normaltextrun"/>
          <w:rFonts w:ascii="Calibri" w:hAnsi="Calibri" w:cs="Calibri"/>
          <w:b/>
          <w:color w:val="002060"/>
          <w:lang w:val="en-US"/>
        </w:rPr>
        <w:t>First</w:t>
      </w:r>
      <w:r w:rsidR="00B4139B" w:rsidRPr="004D20B9">
        <w:rPr>
          <w:rStyle w:val="normaltextrun"/>
          <w:rFonts w:ascii="Calibri" w:hAnsi="Calibri" w:cs="Calibri"/>
          <w:b/>
          <w:color w:val="002060"/>
          <w:lang w:val="en-US"/>
        </w:rPr>
        <w:t xml:space="preserve"> Installment Interim </w:t>
      </w:r>
      <w:r w:rsidRPr="004D20B9">
        <w:rPr>
          <w:rStyle w:val="normaltextrun"/>
          <w:rFonts w:ascii="Calibri" w:hAnsi="Calibri" w:cs="Calibri"/>
          <w:b/>
          <w:color w:val="002060"/>
          <w:lang w:val="en-US"/>
        </w:rPr>
        <w:t>Dividend Payment</w:t>
      </w:r>
    </w:p>
    <w:p w14:paraId="2BEF6246" w14:textId="6EDBD8CA" w:rsidR="0059003A" w:rsidRPr="004D20B9" w:rsidRDefault="0059003A" w:rsidP="00D2031D">
      <w:pPr>
        <w:pStyle w:val="paragraph"/>
        <w:ind w:right="-270"/>
        <w:jc w:val="both"/>
        <w:textAlignment w:val="baseline"/>
        <w:rPr>
          <w:rStyle w:val="normaltextrun"/>
          <w:rFonts w:ascii="Calibri" w:hAnsi="Calibri" w:cs="Calibri"/>
          <w:color w:val="002060"/>
          <w:lang w:val="en-US"/>
        </w:rPr>
      </w:pPr>
      <w:r w:rsidRPr="004D20B9">
        <w:rPr>
          <w:rStyle w:val="normaltextrun"/>
          <w:rFonts w:ascii="Calibri" w:hAnsi="Calibri" w:cs="Calibri"/>
          <w:b/>
          <w:color w:val="002060"/>
          <w:lang w:val="en-US"/>
        </w:rPr>
        <w:t>Record Date</w:t>
      </w:r>
      <w:r w:rsidRPr="004D20B9">
        <w:rPr>
          <w:rStyle w:val="normaltextrun"/>
          <w:rFonts w:ascii="Calibri" w:hAnsi="Calibri" w:cs="Calibri"/>
          <w:color w:val="002060"/>
          <w:lang w:val="en-US"/>
        </w:rPr>
        <w:t xml:space="preserve">: January 8, 2027. The first </w:t>
      </w:r>
      <w:r w:rsidR="00B4139B" w:rsidRPr="004D20B9">
        <w:rPr>
          <w:rStyle w:val="normaltextrun"/>
          <w:rFonts w:ascii="Calibri" w:hAnsi="Calibri" w:cs="Calibri"/>
          <w:color w:val="002060"/>
          <w:lang w:val="en-US"/>
        </w:rPr>
        <w:t xml:space="preserve">interim </w:t>
      </w:r>
      <w:r w:rsidRPr="004D20B9">
        <w:rPr>
          <w:rStyle w:val="normaltextrun"/>
          <w:rFonts w:ascii="Calibri" w:hAnsi="Calibri" w:cs="Calibri"/>
          <w:color w:val="002060"/>
          <w:lang w:val="en-US"/>
        </w:rPr>
        <w:t>dividend payment of $</w:t>
      </w:r>
      <w:r w:rsidR="00B4139B" w:rsidRPr="004D20B9">
        <w:rPr>
          <w:rStyle w:val="normaltextrun"/>
          <w:rFonts w:ascii="Calibri" w:hAnsi="Calibri" w:cs="Calibri"/>
          <w:color w:val="002060"/>
          <w:lang w:val="en-US"/>
        </w:rPr>
        <w:t>0.75</w:t>
      </w:r>
      <w:r w:rsidRPr="004D20B9">
        <w:rPr>
          <w:rStyle w:val="normaltextrun"/>
          <w:rFonts w:ascii="Calibri" w:hAnsi="Calibri" w:cs="Calibri"/>
          <w:color w:val="002060"/>
          <w:lang w:val="en-US"/>
        </w:rPr>
        <w:t xml:space="preserve"> per share will be paid to shareholders registered in the U.S. with Broadridge (including DTCC) on January 8, 2027, at 23:59 CET.</w:t>
      </w:r>
    </w:p>
    <w:p w14:paraId="1999ED86" w14:textId="4008305B" w:rsidR="0059003A" w:rsidRPr="004D20B9" w:rsidRDefault="0059003A" w:rsidP="00D2031D">
      <w:pPr>
        <w:pStyle w:val="paragraph"/>
        <w:ind w:right="-270"/>
        <w:jc w:val="both"/>
        <w:textAlignment w:val="baseline"/>
        <w:rPr>
          <w:rStyle w:val="normaltextrun"/>
          <w:rFonts w:ascii="Calibri" w:hAnsi="Calibri" w:cs="Calibri"/>
          <w:color w:val="002060"/>
          <w:lang w:val="en-US"/>
        </w:rPr>
      </w:pPr>
      <w:r w:rsidRPr="004D20B9">
        <w:rPr>
          <w:rStyle w:val="normaltextrun"/>
          <w:rFonts w:ascii="Calibri" w:hAnsi="Calibri" w:cs="Calibri"/>
          <w:b/>
          <w:color w:val="002060"/>
          <w:lang w:val="en-US"/>
        </w:rPr>
        <w:lastRenderedPageBreak/>
        <w:t>Ex-Dividend Date</w:t>
      </w:r>
      <w:r w:rsidR="00F56A15" w:rsidRPr="004D20B9">
        <w:rPr>
          <w:rStyle w:val="normaltextrun"/>
          <w:rFonts w:ascii="Calibri" w:hAnsi="Calibri" w:cs="Calibri"/>
          <w:color w:val="002060"/>
          <w:lang w:val="en-US"/>
        </w:rPr>
        <w:t>:</w:t>
      </w:r>
      <w:r w:rsidR="00F56A15" w:rsidRPr="004D20B9">
        <w:rPr>
          <w:rFonts w:ascii="Calibri" w:hAnsi="Calibri" w:cs="Calibri"/>
          <w:lang w:val="en-US"/>
        </w:rPr>
        <w:t xml:space="preserve"> </w:t>
      </w:r>
      <w:r w:rsidRPr="004D20B9" w:rsidDel="00F56A15">
        <w:rPr>
          <w:rStyle w:val="normaltextrun"/>
          <w:rFonts w:ascii="Calibri" w:hAnsi="Calibri" w:cs="Calibri"/>
          <w:color w:val="002060"/>
          <w:lang w:val="en-US"/>
        </w:rPr>
        <w:t>January 8, 2027</w:t>
      </w:r>
      <w:r w:rsidR="00F56A15" w:rsidRPr="004D20B9">
        <w:rPr>
          <w:rStyle w:val="normaltextrun"/>
          <w:rFonts w:ascii="Calibri" w:hAnsi="Calibri" w:cs="Calibri"/>
          <w:color w:val="002060"/>
          <w:lang w:val="en-US"/>
        </w:rPr>
        <w:t xml:space="preserve">. Shares purchased on or before January 7, 2027, the last trading day before the ex-dividend date, will be eligible to receive the first </w:t>
      </w:r>
      <w:r w:rsidR="24AE6DC5" w:rsidRPr="004D20B9">
        <w:rPr>
          <w:rStyle w:val="normaltextrun"/>
          <w:rFonts w:ascii="Calibri" w:hAnsi="Calibri" w:cs="Calibri"/>
          <w:color w:val="002060"/>
          <w:lang w:val="en-US"/>
        </w:rPr>
        <w:t>installment</w:t>
      </w:r>
      <w:r w:rsidR="00F56A15" w:rsidRPr="004D20B9">
        <w:rPr>
          <w:rStyle w:val="normaltextrun"/>
          <w:rFonts w:ascii="Calibri" w:hAnsi="Calibri" w:cs="Calibri"/>
          <w:color w:val="002060"/>
          <w:lang w:val="en-US"/>
        </w:rPr>
        <w:t xml:space="preserve"> interim dividend</w:t>
      </w:r>
      <w:r w:rsidR="53842B2D" w:rsidRPr="004D20B9">
        <w:rPr>
          <w:rStyle w:val="normaltextrun"/>
          <w:rFonts w:ascii="Calibri" w:hAnsi="Calibri" w:cs="Calibri"/>
          <w:color w:val="002060"/>
          <w:lang w:val="en-US"/>
        </w:rPr>
        <w:t>.</w:t>
      </w:r>
    </w:p>
    <w:p w14:paraId="4139FC34" w14:textId="77777777" w:rsidR="0059003A" w:rsidRPr="004D20B9" w:rsidRDefault="0059003A" w:rsidP="00D2031D">
      <w:pPr>
        <w:pStyle w:val="paragraph"/>
        <w:ind w:right="-270"/>
        <w:jc w:val="both"/>
        <w:textAlignment w:val="baseline"/>
        <w:rPr>
          <w:rStyle w:val="normaltextrun"/>
          <w:rFonts w:ascii="Calibri" w:hAnsi="Calibri" w:cs="Calibri"/>
          <w:color w:val="002060"/>
          <w:lang w:val="en-US"/>
        </w:rPr>
      </w:pPr>
      <w:r w:rsidRPr="004D20B9">
        <w:rPr>
          <w:rStyle w:val="normaltextrun"/>
          <w:rFonts w:ascii="Calibri" w:hAnsi="Calibri" w:cs="Calibri"/>
          <w:b/>
          <w:bCs/>
          <w:color w:val="002060"/>
          <w:lang w:val="en-US"/>
        </w:rPr>
        <w:t>Currency</w:t>
      </w:r>
      <w:r w:rsidRPr="004D20B9">
        <w:rPr>
          <w:rStyle w:val="normaltextrun"/>
          <w:rFonts w:ascii="Calibri" w:hAnsi="Calibri" w:cs="Calibri"/>
          <w:color w:val="002060"/>
          <w:lang w:val="en-US"/>
        </w:rPr>
        <w:t>: The dividend will be paid in U.S. dollars.</w:t>
      </w:r>
    </w:p>
    <w:p w14:paraId="688D3E84" w14:textId="0ECDA5CB" w:rsidR="0059003A" w:rsidRPr="004D20B9" w:rsidRDefault="0059003A" w:rsidP="00D2031D">
      <w:pPr>
        <w:pStyle w:val="paragraph"/>
        <w:ind w:right="-270"/>
        <w:jc w:val="both"/>
        <w:textAlignment w:val="baseline"/>
        <w:rPr>
          <w:rStyle w:val="normaltextrun"/>
          <w:rFonts w:ascii="Calibri" w:hAnsi="Calibri" w:cs="Calibri"/>
          <w:color w:val="002060"/>
          <w:lang w:val="en-US"/>
        </w:rPr>
      </w:pPr>
      <w:r w:rsidRPr="004D20B9">
        <w:rPr>
          <w:rStyle w:val="normaltextrun"/>
          <w:rFonts w:ascii="Calibri" w:hAnsi="Calibri" w:cs="Calibri"/>
          <w:b/>
          <w:color w:val="002060"/>
          <w:lang w:val="en-US"/>
        </w:rPr>
        <w:t>Payment Date:</w:t>
      </w:r>
      <w:r w:rsidRPr="004D20B9">
        <w:rPr>
          <w:rStyle w:val="normaltextrun"/>
          <w:rFonts w:ascii="Calibri" w:hAnsi="Calibri" w:cs="Calibri"/>
          <w:color w:val="002060"/>
          <w:lang w:val="en-US"/>
        </w:rPr>
        <w:t xml:space="preserve"> On or around January 15, 2027.</w:t>
      </w:r>
    </w:p>
    <w:p w14:paraId="356C62ED" w14:textId="76C50C00" w:rsidR="000F1A48" w:rsidRPr="004D20B9" w:rsidRDefault="000F1A48" w:rsidP="000F1A48">
      <w:pPr>
        <w:pStyle w:val="paragraph"/>
        <w:ind w:right="-270"/>
        <w:jc w:val="both"/>
        <w:textAlignment w:val="baseline"/>
        <w:rPr>
          <w:rStyle w:val="normaltextrun"/>
          <w:rFonts w:ascii="Calibri" w:hAnsi="Calibri" w:cs="Calibri"/>
          <w:b/>
          <w:bCs/>
          <w:color w:val="002060"/>
          <w:lang w:val="en-US"/>
        </w:rPr>
      </w:pPr>
      <w:r w:rsidRPr="004D20B9">
        <w:rPr>
          <w:rStyle w:val="normaltextrun"/>
          <w:rFonts w:ascii="Calibri" w:hAnsi="Calibri" w:cs="Calibri"/>
          <w:b/>
          <w:color w:val="002060"/>
          <w:lang w:val="en-US"/>
        </w:rPr>
        <w:t>Second Installment Interim Dividend Payment</w:t>
      </w:r>
    </w:p>
    <w:p w14:paraId="46886982" w14:textId="52A82249" w:rsidR="000F1A48" w:rsidRPr="004D20B9" w:rsidRDefault="000F1A48" w:rsidP="000F1A48">
      <w:pPr>
        <w:pStyle w:val="paragraph"/>
        <w:ind w:right="-270"/>
        <w:jc w:val="both"/>
        <w:textAlignment w:val="baseline"/>
        <w:rPr>
          <w:rStyle w:val="normaltextrun"/>
          <w:rFonts w:ascii="Calibri" w:hAnsi="Calibri" w:cs="Calibri"/>
          <w:color w:val="002060"/>
          <w:lang w:val="en-US"/>
        </w:rPr>
      </w:pPr>
      <w:r w:rsidRPr="004D20B9">
        <w:rPr>
          <w:rStyle w:val="normaltextrun"/>
          <w:rFonts w:ascii="Calibri" w:hAnsi="Calibri" w:cs="Calibri"/>
          <w:b/>
          <w:color w:val="002060"/>
          <w:lang w:val="en-US"/>
        </w:rPr>
        <w:t>Record Date</w:t>
      </w:r>
      <w:r w:rsidRPr="004D20B9">
        <w:rPr>
          <w:rStyle w:val="normaltextrun"/>
          <w:rFonts w:ascii="Calibri" w:hAnsi="Calibri" w:cs="Calibri"/>
          <w:color w:val="002060"/>
          <w:lang w:val="en-US"/>
        </w:rPr>
        <w:t xml:space="preserve">: April 8, 2027. The second </w:t>
      </w:r>
      <w:r w:rsidR="24C21CF5" w:rsidRPr="004D20B9">
        <w:rPr>
          <w:rStyle w:val="normaltextrun"/>
          <w:rFonts w:ascii="Calibri" w:hAnsi="Calibri" w:cs="Calibri"/>
          <w:color w:val="002060"/>
          <w:lang w:val="en-US"/>
        </w:rPr>
        <w:t xml:space="preserve">installment </w:t>
      </w:r>
      <w:r w:rsidRPr="004D20B9">
        <w:rPr>
          <w:rStyle w:val="normaltextrun"/>
          <w:rFonts w:ascii="Calibri" w:hAnsi="Calibri" w:cs="Calibri"/>
          <w:color w:val="002060"/>
          <w:lang w:val="en-US"/>
        </w:rPr>
        <w:t>interim dividend payment of $0.75 per share will be paid to shareholders registered in the U.S. with Broadridge (including DTCC) on April 8, 2027, at 23:59 CET.</w:t>
      </w:r>
    </w:p>
    <w:p w14:paraId="7A4475CB" w14:textId="369FDA9D" w:rsidR="000F1A48" w:rsidRPr="004D20B9" w:rsidRDefault="000F1A48" w:rsidP="000F1A48">
      <w:pPr>
        <w:pStyle w:val="paragraph"/>
        <w:ind w:right="-270"/>
        <w:jc w:val="both"/>
        <w:textAlignment w:val="baseline"/>
        <w:rPr>
          <w:rStyle w:val="normaltextrun"/>
          <w:rFonts w:ascii="Calibri" w:hAnsi="Calibri" w:cs="Calibri"/>
          <w:color w:val="002060"/>
          <w:lang w:val="en-US"/>
        </w:rPr>
      </w:pPr>
      <w:r w:rsidRPr="004D20B9">
        <w:rPr>
          <w:rStyle w:val="normaltextrun"/>
          <w:rFonts w:ascii="Calibri" w:hAnsi="Calibri" w:cs="Calibri"/>
          <w:b/>
          <w:color w:val="002060"/>
          <w:lang w:val="en-US"/>
        </w:rPr>
        <w:t>Ex-Dividend Date</w:t>
      </w:r>
      <w:r w:rsidRPr="004D20B9">
        <w:rPr>
          <w:rStyle w:val="normaltextrun"/>
          <w:rFonts w:ascii="Calibri" w:hAnsi="Calibri" w:cs="Calibri"/>
          <w:color w:val="002060"/>
          <w:lang w:val="en-US"/>
        </w:rPr>
        <w:t xml:space="preserve">: </w:t>
      </w:r>
      <w:r w:rsidR="0019334D" w:rsidRPr="004D20B9" w:rsidDel="009A6F54">
        <w:rPr>
          <w:rStyle w:val="normaltextrun"/>
          <w:rFonts w:ascii="Calibri" w:hAnsi="Calibri" w:cs="Calibri"/>
          <w:color w:val="002060"/>
          <w:lang w:val="en-US"/>
        </w:rPr>
        <w:t>April</w:t>
      </w:r>
      <w:r w:rsidRPr="004D20B9" w:rsidDel="009A6F54">
        <w:rPr>
          <w:rStyle w:val="normaltextrun"/>
          <w:rFonts w:ascii="Calibri" w:hAnsi="Calibri" w:cs="Calibri"/>
          <w:color w:val="002060"/>
          <w:lang w:val="en-US"/>
        </w:rPr>
        <w:t xml:space="preserve"> 8, 2027</w:t>
      </w:r>
      <w:r w:rsidR="009D3251" w:rsidRPr="004D20B9">
        <w:rPr>
          <w:rStyle w:val="normaltextrun"/>
          <w:rFonts w:ascii="Calibri" w:hAnsi="Calibri" w:cs="Calibri"/>
          <w:color w:val="002060"/>
          <w:lang w:val="en-US"/>
        </w:rPr>
        <w:t xml:space="preserve">. Shares purchased on or before April 7, 2027, the last trading day before the ex-dividend date, will be eligible to receive the </w:t>
      </w:r>
      <w:r w:rsidR="267EF1C0" w:rsidRPr="004D20B9">
        <w:rPr>
          <w:rStyle w:val="normaltextrun"/>
          <w:rFonts w:ascii="Calibri" w:hAnsi="Calibri" w:cs="Calibri"/>
          <w:color w:val="002060"/>
          <w:lang w:val="en-US"/>
        </w:rPr>
        <w:t>second</w:t>
      </w:r>
      <w:r w:rsidR="009D3251" w:rsidRPr="004D20B9">
        <w:rPr>
          <w:rStyle w:val="normaltextrun"/>
          <w:rFonts w:ascii="Calibri" w:hAnsi="Calibri" w:cs="Calibri"/>
          <w:color w:val="002060"/>
          <w:lang w:val="en-US"/>
        </w:rPr>
        <w:t xml:space="preserve"> </w:t>
      </w:r>
      <w:r w:rsidR="482FB496" w:rsidRPr="004D20B9">
        <w:rPr>
          <w:rStyle w:val="normaltextrun"/>
          <w:rFonts w:ascii="Calibri" w:hAnsi="Calibri" w:cs="Calibri"/>
          <w:color w:val="002060"/>
          <w:lang w:val="en-US"/>
        </w:rPr>
        <w:t xml:space="preserve">installment </w:t>
      </w:r>
      <w:r w:rsidR="009D3251" w:rsidRPr="004D20B9">
        <w:rPr>
          <w:rStyle w:val="normaltextrun"/>
          <w:rFonts w:ascii="Calibri" w:hAnsi="Calibri" w:cs="Calibri"/>
          <w:color w:val="002060"/>
          <w:lang w:val="en-US"/>
        </w:rPr>
        <w:t>interim dividend</w:t>
      </w:r>
      <w:r w:rsidR="23C4C787" w:rsidRPr="004D20B9">
        <w:rPr>
          <w:rStyle w:val="normaltextrun"/>
          <w:rFonts w:ascii="Calibri" w:hAnsi="Calibri" w:cs="Calibri"/>
          <w:color w:val="002060"/>
          <w:lang w:val="en-US"/>
        </w:rPr>
        <w:t>.</w:t>
      </w:r>
    </w:p>
    <w:p w14:paraId="2F67D738" w14:textId="77777777" w:rsidR="000F1A48" w:rsidRPr="004D20B9" w:rsidRDefault="000F1A48" w:rsidP="000F1A48">
      <w:pPr>
        <w:pStyle w:val="paragraph"/>
        <w:ind w:right="-270"/>
        <w:jc w:val="both"/>
        <w:textAlignment w:val="baseline"/>
        <w:rPr>
          <w:rStyle w:val="normaltextrun"/>
          <w:rFonts w:ascii="Calibri" w:hAnsi="Calibri" w:cs="Calibri"/>
          <w:color w:val="002060"/>
          <w:lang w:val="en-US"/>
        </w:rPr>
      </w:pPr>
      <w:r w:rsidRPr="004D20B9">
        <w:rPr>
          <w:rStyle w:val="normaltextrun"/>
          <w:rFonts w:ascii="Calibri" w:hAnsi="Calibri" w:cs="Calibri"/>
          <w:b/>
          <w:bCs/>
          <w:color w:val="002060"/>
          <w:lang w:val="en-US"/>
        </w:rPr>
        <w:t>Currency</w:t>
      </w:r>
      <w:r w:rsidRPr="004D20B9">
        <w:rPr>
          <w:rStyle w:val="normaltextrun"/>
          <w:rFonts w:ascii="Calibri" w:hAnsi="Calibri" w:cs="Calibri"/>
          <w:color w:val="002060"/>
          <w:lang w:val="en-US"/>
        </w:rPr>
        <w:t>: The dividend will be paid in U.S. dollars.</w:t>
      </w:r>
    </w:p>
    <w:p w14:paraId="3E1C20D4" w14:textId="6D8CAB46" w:rsidR="00102E65" w:rsidRPr="004D20B9" w:rsidRDefault="000F1A48" w:rsidP="00102E65">
      <w:pPr>
        <w:pStyle w:val="paragraph"/>
        <w:ind w:right="-270"/>
        <w:jc w:val="both"/>
        <w:textAlignment w:val="baseline"/>
        <w:rPr>
          <w:rStyle w:val="normaltextrun"/>
          <w:rFonts w:ascii="Calibri" w:hAnsi="Calibri" w:cs="Calibri"/>
          <w:color w:val="002060"/>
          <w:lang w:val="en-US"/>
        </w:rPr>
      </w:pPr>
      <w:r w:rsidRPr="004D20B9">
        <w:rPr>
          <w:rStyle w:val="normaltextrun"/>
          <w:rFonts w:ascii="Calibri" w:hAnsi="Calibri" w:cs="Calibri"/>
          <w:b/>
          <w:color w:val="002060"/>
          <w:lang w:val="en-US"/>
        </w:rPr>
        <w:t>Payment Date:</w:t>
      </w:r>
      <w:r w:rsidRPr="004D20B9">
        <w:rPr>
          <w:rStyle w:val="normaltextrun"/>
          <w:rFonts w:ascii="Calibri" w:hAnsi="Calibri" w:cs="Calibri"/>
          <w:color w:val="002060"/>
          <w:lang w:val="en-US"/>
        </w:rPr>
        <w:t xml:space="preserve"> On or around </w:t>
      </w:r>
      <w:r w:rsidR="0019334D" w:rsidRPr="004D20B9">
        <w:rPr>
          <w:rStyle w:val="normaltextrun"/>
          <w:rFonts w:ascii="Calibri" w:hAnsi="Calibri" w:cs="Calibri"/>
          <w:color w:val="002060"/>
          <w:lang w:val="en-US"/>
        </w:rPr>
        <w:t>April</w:t>
      </w:r>
      <w:r w:rsidRPr="004D20B9">
        <w:rPr>
          <w:rStyle w:val="normaltextrun"/>
          <w:rFonts w:ascii="Calibri" w:hAnsi="Calibri" w:cs="Calibri"/>
          <w:color w:val="002060"/>
          <w:lang w:val="en-US"/>
        </w:rPr>
        <w:t xml:space="preserve"> 15, 2027.</w:t>
      </w:r>
    </w:p>
    <w:p w14:paraId="04FB6168" w14:textId="0A5C3D73" w:rsidR="40DE0E0D" w:rsidRPr="004D20B9" w:rsidRDefault="0059003A" w:rsidP="001520E7">
      <w:pPr>
        <w:pStyle w:val="paragraph"/>
        <w:ind w:right="-270"/>
        <w:jc w:val="both"/>
        <w:textAlignment w:val="baseline"/>
        <w:rPr>
          <w:rStyle w:val="normaltextrun"/>
          <w:rFonts w:ascii="Calibri" w:hAnsi="Calibri" w:cs="Calibri"/>
          <w:lang w:val="en-US"/>
        </w:rPr>
      </w:pPr>
      <w:r w:rsidRPr="004D20B9">
        <w:rPr>
          <w:rStyle w:val="normaltextrun"/>
          <w:rFonts w:ascii="Calibri" w:hAnsi="Calibri" w:cs="Calibri"/>
          <w:color w:val="002060"/>
          <w:lang w:val="en-US"/>
        </w:rPr>
        <w:t xml:space="preserve">In accordance with Luxembourg income tax law, dividend payments will be subject to a 15% withholding tax. Millicom will withhold the applicable tax and remit it to the Luxembourg tax administration. Dividends will be paid </w:t>
      </w:r>
      <w:proofErr w:type="gramStart"/>
      <w:r w:rsidRPr="004D20B9">
        <w:rPr>
          <w:rStyle w:val="normaltextrun"/>
          <w:rFonts w:ascii="Calibri" w:hAnsi="Calibri" w:cs="Calibri"/>
          <w:color w:val="002060"/>
          <w:lang w:val="en-US"/>
        </w:rPr>
        <w:t>net</w:t>
      </w:r>
      <w:proofErr w:type="gramEnd"/>
      <w:r w:rsidRPr="004D20B9">
        <w:rPr>
          <w:rStyle w:val="normaltextrun"/>
          <w:rFonts w:ascii="Calibri" w:hAnsi="Calibri" w:cs="Calibri"/>
          <w:color w:val="002060"/>
          <w:lang w:val="en-US"/>
        </w:rPr>
        <w:t xml:space="preserve"> </w:t>
      </w:r>
      <w:proofErr w:type="gramStart"/>
      <w:r w:rsidRPr="004D20B9">
        <w:rPr>
          <w:rStyle w:val="normaltextrun"/>
          <w:rFonts w:ascii="Calibri" w:hAnsi="Calibri" w:cs="Calibri"/>
          <w:color w:val="002060"/>
          <w:lang w:val="en-US"/>
        </w:rPr>
        <w:t>of</w:t>
      </w:r>
      <w:proofErr w:type="gramEnd"/>
      <w:r w:rsidRPr="004D20B9">
        <w:rPr>
          <w:rStyle w:val="normaltextrun"/>
          <w:rFonts w:ascii="Calibri" w:hAnsi="Calibri" w:cs="Calibri"/>
          <w:color w:val="002060"/>
          <w:lang w:val="en-US"/>
        </w:rPr>
        <w:t xml:space="preserve"> withholding tax. However, under certain conditions, a </w:t>
      </w:r>
      <w:proofErr w:type="gramStart"/>
      <w:r w:rsidRPr="004D20B9">
        <w:rPr>
          <w:rStyle w:val="normaltextrun"/>
          <w:rFonts w:ascii="Calibri" w:hAnsi="Calibri" w:cs="Calibri"/>
          <w:color w:val="002060"/>
          <w:lang w:val="en-US"/>
        </w:rPr>
        <w:t>reduced withholding</w:t>
      </w:r>
      <w:proofErr w:type="gramEnd"/>
      <w:r w:rsidRPr="004D20B9">
        <w:rPr>
          <w:rStyle w:val="normaltextrun"/>
          <w:rFonts w:ascii="Calibri" w:hAnsi="Calibri" w:cs="Calibri"/>
          <w:color w:val="002060"/>
          <w:lang w:val="en-US"/>
        </w:rPr>
        <w:t xml:space="preserve"> tax rate or an exemption may apply. Millicom shareholders should consult their tax advisors regarding potential tax implications.</w:t>
      </w:r>
    </w:p>
    <w:p w14:paraId="54A87C92" w14:textId="68D6D88D" w:rsidR="002C565E" w:rsidRPr="009B0F15" w:rsidRDefault="2C0DF36B" w:rsidP="009B0F15">
      <w:pPr>
        <w:pStyle w:val="paragraph"/>
        <w:ind w:right="-270"/>
        <w:jc w:val="both"/>
        <w:rPr>
          <w:rStyle w:val="normaltextrun"/>
          <w:rFonts w:ascii="Calibri" w:hAnsi="Calibri" w:cs="Calibri"/>
          <w:color w:val="002060"/>
          <w:lang w:val="en-US"/>
        </w:rPr>
      </w:pPr>
      <w:r w:rsidRPr="004D20B9">
        <w:rPr>
          <w:rStyle w:val="normaltextrun"/>
          <w:rFonts w:ascii="Calibri" w:hAnsi="Calibri" w:cs="Calibri"/>
          <w:color w:val="002060"/>
          <w:lang w:val="en-US"/>
        </w:rPr>
        <w:t xml:space="preserve">Further information regarding shareholder remuneration is available in the Millicom website: </w:t>
      </w:r>
      <w:hyperlink r:id="rId7" w:history="1">
        <w:r w:rsidRPr="004D20B9">
          <w:rPr>
            <w:rStyle w:val="Hyperlink"/>
            <w:rFonts w:ascii="Calibri" w:hAnsi="Calibri" w:cs="Calibri"/>
            <w:lang w:val="en-US"/>
          </w:rPr>
          <w:t>https://www.millicom.com/investors/shareholder-remuneration</w:t>
        </w:r>
      </w:hyperlink>
    </w:p>
    <w:p w14:paraId="27498BBE" w14:textId="0A4AEDE4" w:rsidR="001520E7" w:rsidRPr="009B0F15" w:rsidRDefault="0059003A" w:rsidP="009B0F15">
      <w:pPr>
        <w:pStyle w:val="paragraph"/>
        <w:ind w:right="-270"/>
        <w:jc w:val="center"/>
        <w:textAlignment w:val="baseline"/>
        <w:rPr>
          <w:rFonts w:ascii="Calibri" w:hAnsi="Calibri" w:cs="Calibri"/>
          <w:color w:val="002060"/>
          <w:lang w:val="en-US"/>
        </w:rPr>
      </w:pPr>
      <w:r w:rsidRPr="004D20B9">
        <w:rPr>
          <w:rStyle w:val="normaltextrun"/>
          <w:rFonts w:ascii="Calibri" w:hAnsi="Calibri" w:cs="Calibri"/>
          <w:color w:val="002060"/>
          <w:lang w:val="en-US"/>
        </w:rPr>
        <w:t>-END-</w:t>
      </w:r>
    </w:p>
    <w:p w14:paraId="19AED577" w14:textId="0FAE2837" w:rsidR="0059003A" w:rsidRPr="004D20B9" w:rsidRDefault="0059003A" w:rsidP="00D2031D">
      <w:pPr>
        <w:spacing w:after="240"/>
        <w:jc w:val="both"/>
        <w:rPr>
          <w:rFonts w:ascii="Calibri" w:hAnsi="Calibri" w:cs="Calibri"/>
          <w:b/>
          <w:color w:val="002060"/>
          <w:lang w:val="en"/>
        </w:rPr>
      </w:pPr>
      <w:r w:rsidRPr="004D20B9">
        <w:rPr>
          <w:rFonts w:ascii="Calibri" w:hAnsi="Calibri" w:cs="Calibri"/>
          <w:b/>
          <w:color w:val="002060"/>
          <w:lang w:val="en"/>
        </w:rPr>
        <w:t>For further information, please contact</w:t>
      </w:r>
      <w:bookmarkStart w:id="0" w:name="_Hlk101974476"/>
      <w:r w:rsidRPr="004D20B9">
        <w:rPr>
          <w:rFonts w:ascii="Calibri" w:hAnsi="Calibri" w:cs="Calibri"/>
          <w:b/>
          <w:color w:val="002060"/>
          <w:lang w:val="en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9"/>
        <w:gridCol w:w="4429"/>
      </w:tblGrid>
      <w:tr w:rsidR="0059003A" w:rsidRPr="004D20B9" w14:paraId="39B50EAF" w14:textId="77777777">
        <w:tc>
          <w:tcPr>
            <w:tcW w:w="4675" w:type="dxa"/>
            <w:tcBorders>
              <w:bottom w:val="nil"/>
            </w:tcBorders>
          </w:tcPr>
          <w:p w14:paraId="633FF8FD" w14:textId="77777777" w:rsidR="0059003A" w:rsidRPr="004D20B9" w:rsidRDefault="0059003A" w:rsidP="00D2031D">
            <w:pPr>
              <w:jc w:val="both"/>
              <w:rPr>
                <w:rFonts w:ascii="Calibri" w:hAnsi="Calibri" w:cs="Calibri"/>
                <w:b/>
                <w:color w:val="002060"/>
                <w:lang w:val="en"/>
              </w:rPr>
            </w:pPr>
            <w:r w:rsidRPr="004D20B9">
              <w:rPr>
                <w:rFonts w:ascii="Calibri" w:hAnsi="Calibri" w:cs="Calibri"/>
                <w:b/>
                <w:color w:val="002060"/>
                <w:lang w:val="en"/>
              </w:rPr>
              <w:t>Press:</w:t>
            </w:r>
          </w:p>
        </w:tc>
        <w:tc>
          <w:tcPr>
            <w:tcW w:w="4675" w:type="dxa"/>
            <w:tcBorders>
              <w:bottom w:val="nil"/>
            </w:tcBorders>
          </w:tcPr>
          <w:p w14:paraId="283FFC0C" w14:textId="77777777" w:rsidR="0059003A" w:rsidRPr="004D20B9" w:rsidRDefault="0059003A" w:rsidP="00D2031D">
            <w:pPr>
              <w:jc w:val="both"/>
              <w:rPr>
                <w:rFonts w:ascii="Calibri" w:hAnsi="Calibri" w:cs="Calibri"/>
                <w:b/>
                <w:color w:val="002060"/>
                <w:lang w:val="en"/>
              </w:rPr>
            </w:pPr>
            <w:r w:rsidRPr="004D20B9">
              <w:rPr>
                <w:rFonts w:ascii="Calibri" w:hAnsi="Calibri" w:cs="Calibri"/>
                <w:b/>
                <w:color w:val="002060"/>
                <w:lang w:val="en"/>
              </w:rPr>
              <w:t>Investors:</w:t>
            </w:r>
          </w:p>
        </w:tc>
      </w:tr>
      <w:tr w:rsidR="0059003A" w:rsidRPr="004D20B9" w14:paraId="2EAB8E90" w14:textId="77777777">
        <w:tc>
          <w:tcPr>
            <w:tcW w:w="4675" w:type="dxa"/>
            <w:tcBorders>
              <w:top w:val="nil"/>
            </w:tcBorders>
          </w:tcPr>
          <w:p w14:paraId="72011D7F" w14:textId="77777777" w:rsidR="0059003A" w:rsidRPr="004D20B9" w:rsidRDefault="0059003A" w:rsidP="00D2031D">
            <w:pPr>
              <w:jc w:val="both"/>
              <w:rPr>
                <w:rFonts w:ascii="Calibri" w:hAnsi="Calibri" w:cs="Calibri"/>
                <w:bCs/>
                <w:color w:val="002060"/>
                <w:lang w:val="pt-BR"/>
              </w:rPr>
            </w:pPr>
            <w:r w:rsidRPr="004D20B9">
              <w:rPr>
                <w:rFonts w:ascii="Calibri" w:hAnsi="Calibri" w:cs="Calibri"/>
                <w:bCs/>
                <w:color w:val="002060"/>
                <w:lang w:val="pt-BR"/>
              </w:rPr>
              <w:t>Sofia Corral, Director Corporate Communications</w:t>
            </w:r>
            <w:r w:rsidRPr="004D20B9">
              <w:rPr>
                <w:rFonts w:ascii="Calibri" w:hAnsi="Calibri" w:cs="Calibri"/>
                <w:bCs/>
                <w:color w:val="002060"/>
                <w:lang w:val="pt-BR"/>
              </w:rPr>
              <w:br/>
            </w:r>
            <w:r w:rsidRPr="004D20B9">
              <w:rPr>
                <w:rFonts w:ascii="Calibri" w:hAnsi="Calibri" w:cs="Calibri"/>
              </w:rPr>
              <w:fldChar w:fldCharType="begin"/>
            </w:r>
            <w:r w:rsidRPr="004D20B9">
              <w:rPr>
                <w:rFonts w:ascii="Calibri" w:hAnsi="Calibri" w:cs="Calibri"/>
                <w:lang w:val="es-PA"/>
              </w:rPr>
              <w:instrText>HYPERLINK "mailto:press@millicom.com"</w:instrText>
            </w:r>
            <w:r w:rsidRPr="004D20B9">
              <w:rPr>
                <w:rFonts w:ascii="Calibri" w:hAnsi="Calibri" w:cs="Calibri"/>
              </w:rPr>
            </w:r>
            <w:r w:rsidRPr="004D20B9">
              <w:rPr>
                <w:rFonts w:ascii="Calibri" w:hAnsi="Calibri" w:cs="Calibri"/>
              </w:rPr>
              <w:fldChar w:fldCharType="separate"/>
            </w:r>
            <w:r w:rsidRPr="004D20B9">
              <w:rPr>
                <w:rStyle w:val="Hyperlink"/>
                <w:rFonts w:ascii="Calibri" w:hAnsi="Calibri" w:cs="Calibri"/>
                <w:bCs/>
                <w:lang w:val="pt-BR"/>
              </w:rPr>
              <w:t>press@millicom.com</w:t>
            </w:r>
            <w:r w:rsidRPr="004D20B9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675" w:type="dxa"/>
            <w:tcBorders>
              <w:top w:val="nil"/>
            </w:tcBorders>
          </w:tcPr>
          <w:p w14:paraId="2FD58DBE" w14:textId="77777777" w:rsidR="0059003A" w:rsidRPr="004D20B9" w:rsidRDefault="0059003A" w:rsidP="00D2031D">
            <w:pPr>
              <w:jc w:val="both"/>
              <w:rPr>
                <w:rFonts w:ascii="Calibri" w:hAnsi="Calibri" w:cs="Calibri"/>
                <w:bCs/>
                <w:color w:val="002060"/>
                <w:lang w:val="de-DE"/>
              </w:rPr>
            </w:pPr>
            <w:r w:rsidRPr="004D20B9">
              <w:rPr>
                <w:rFonts w:ascii="Calibri" w:hAnsi="Calibri" w:cs="Calibri"/>
                <w:bCs/>
                <w:color w:val="002060"/>
                <w:lang w:val="de-DE"/>
              </w:rPr>
              <w:t>Luca Pfeifer, VP Investor Relations</w:t>
            </w:r>
            <w:r w:rsidRPr="004D20B9">
              <w:rPr>
                <w:rFonts w:ascii="Calibri" w:hAnsi="Calibri" w:cs="Calibri"/>
                <w:bCs/>
                <w:color w:val="002060"/>
                <w:lang w:val="de-DE"/>
              </w:rPr>
              <w:br/>
              <w:t>investors@millicom.com</w:t>
            </w:r>
          </w:p>
        </w:tc>
      </w:tr>
      <w:bookmarkEnd w:id="0"/>
    </w:tbl>
    <w:p w14:paraId="32D98922" w14:textId="77777777" w:rsidR="00032AE2" w:rsidRPr="004D20B9" w:rsidRDefault="00032AE2" w:rsidP="00D2031D">
      <w:pPr>
        <w:pStyle w:val="NoSpacing"/>
        <w:jc w:val="both"/>
        <w:rPr>
          <w:rFonts w:ascii="Calibri" w:hAnsi="Calibri" w:cs="Calibri"/>
          <w:lang w:val="es-AR"/>
        </w:rPr>
      </w:pPr>
    </w:p>
    <w:p w14:paraId="1BED62BE" w14:textId="41609FA6" w:rsidR="00032AE2" w:rsidRPr="004D20B9" w:rsidRDefault="0059003A" w:rsidP="00D2031D">
      <w:pPr>
        <w:spacing w:after="0" w:line="240" w:lineRule="auto"/>
        <w:jc w:val="both"/>
        <w:rPr>
          <w:rFonts w:ascii="Calibri" w:eastAsia="Arial" w:hAnsi="Calibri" w:cs="Calibri"/>
          <w:b/>
          <w:color w:val="002060"/>
          <w:kern w:val="0"/>
          <w:sz w:val="22"/>
          <w:szCs w:val="22"/>
          <w:lang w:val="en"/>
          <w14:ligatures w14:val="none"/>
        </w:rPr>
      </w:pPr>
      <w:r w:rsidRPr="004D20B9">
        <w:rPr>
          <w:rFonts w:ascii="Calibri" w:eastAsia="Arial" w:hAnsi="Calibri" w:cs="Calibri"/>
          <w:b/>
          <w:color w:val="002060"/>
          <w:kern w:val="0"/>
          <w:sz w:val="22"/>
          <w:szCs w:val="22"/>
          <w:lang w:val="en"/>
          <w14:ligatures w14:val="none"/>
        </w:rPr>
        <w:t>About Millicom</w:t>
      </w:r>
    </w:p>
    <w:p w14:paraId="6DCACF33" w14:textId="1C55A025" w:rsidR="00EF576D" w:rsidRPr="004D20B9" w:rsidRDefault="0059003A" w:rsidP="00D2031D">
      <w:pPr>
        <w:spacing w:after="0" w:line="240" w:lineRule="auto"/>
        <w:jc w:val="both"/>
        <w:rPr>
          <w:rFonts w:ascii="Calibri" w:hAnsi="Calibri" w:cs="Calibri"/>
          <w:lang w:val="en-US"/>
        </w:rPr>
      </w:pPr>
      <w:r w:rsidRPr="004D20B9">
        <w:rPr>
          <w:rFonts w:ascii="Calibri" w:eastAsia="Arial" w:hAnsi="Calibri" w:cs="Calibri"/>
          <w:color w:val="002060"/>
          <w:kern w:val="0"/>
          <w:sz w:val="22"/>
          <w:szCs w:val="22"/>
          <w:lang w:val="en-US"/>
          <w14:ligatures w14:val="none"/>
        </w:rPr>
        <w:lastRenderedPageBreak/>
        <w:t xml:space="preserve">Millicom (NASDAQ: TIGO) is a leading provider of fixed and mobile telecommunications services in Latin America. Through its TIGO® and Tigo Business® brands, the company provides a wide range of digital services and products, including TIGO Money for mobile financial services, TIGO Sports for local entertainment, TIGO </w:t>
      </w:r>
      <w:proofErr w:type="spellStart"/>
      <w:r w:rsidRPr="004D20B9">
        <w:rPr>
          <w:rFonts w:ascii="Calibri" w:eastAsia="Arial" w:hAnsi="Calibri" w:cs="Calibri"/>
          <w:color w:val="002060"/>
          <w:kern w:val="0"/>
          <w:sz w:val="22"/>
          <w:szCs w:val="22"/>
          <w:lang w:val="en-US"/>
          <w14:ligatures w14:val="none"/>
        </w:rPr>
        <w:t>ONEtv</w:t>
      </w:r>
      <w:proofErr w:type="spellEnd"/>
      <w:r w:rsidRPr="004D20B9">
        <w:rPr>
          <w:rFonts w:ascii="Calibri" w:eastAsia="Arial" w:hAnsi="Calibri" w:cs="Calibri"/>
          <w:color w:val="002060"/>
          <w:kern w:val="0"/>
          <w:sz w:val="22"/>
          <w:szCs w:val="22"/>
          <w:lang w:val="en-US"/>
          <w14:ligatures w14:val="none"/>
        </w:rPr>
        <w:t xml:space="preserve"> for pay TV, high-speed data, voice, and business-to-business solutions such as cloud and security. As of June 30, 2026, Millicom, including its Honduras Joint Venture and Chile associate, employed over 20,000 people and provided mobile and fiber-cable services through its digital highways to more than 69 million customers, with a fiber-cable footprint over 22 million homes passed. Founded in 1990, Millicom International Cellular S.A. is headquartered in Luxembourg with principal executive offices in Doral, Florida.</w:t>
      </w:r>
    </w:p>
    <w:p w14:paraId="6CF65238" w14:textId="04A86C0D" w:rsidR="23C9B398" w:rsidRPr="004D20B9" w:rsidRDefault="23C9B398" w:rsidP="23C9B398">
      <w:pPr>
        <w:spacing w:after="0" w:line="240" w:lineRule="auto"/>
        <w:jc w:val="both"/>
        <w:rPr>
          <w:rFonts w:ascii="Calibri" w:eastAsia="Arial" w:hAnsi="Calibri" w:cs="Calibri"/>
          <w:color w:val="002060"/>
          <w:sz w:val="22"/>
          <w:szCs w:val="22"/>
          <w:lang w:val="en-US"/>
        </w:rPr>
      </w:pPr>
    </w:p>
    <w:p w14:paraId="2768BDDD" w14:textId="4BCB30F9" w:rsidR="06A1376F" w:rsidRPr="004D20B9" w:rsidRDefault="6852D2EB" w:rsidP="06A1376F">
      <w:pPr>
        <w:spacing w:after="0" w:line="240" w:lineRule="auto"/>
        <w:jc w:val="both"/>
        <w:rPr>
          <w:rFonts w:ascii="Calibri" w:eastAsia="Arial" w:hAnsi="Calibri" w:cs="Calibri"/>
          <w:b/>
          <w:bCs/>
          <w:color w:val="002060"/>
          <w:sz w:val="22"/>
          <w:szCs w:val="22"/>
          <w:lang w:val="en-US"/>
        </w:rPr>
      </w:pPr>
      <w:proofErr w:type="gramStart"/>
      <w:r w:rsidRPr="004D20B9">
        <w:rPr>
          <w:rFonts w:ascii="Calibri" w:eastAsia="Arial" w:hAnsi="Calibri" w:cs="Calibri"/>
          <w:b/>
          <w:bCs/>
          <w:color w:val="002060"/>
          <w:sz w:val="22"/>
          <w:szCs w:val="22"/>
          <w:lang w:val="en-US"/>
        </w:rPr>
        <w:t>Safe-</w:t>
      </w:r>
      <w:proofErr w:type="spellStart"/>
      <w:r w:rsidRPr="004D20B9">
        <w:rPr>
          <w:rFonts w:ascii="Calibri" w:eastAsia="Arial" w:hAnsi="Calibri" w:cs="Calibri"/>
          <w:b/>
          <w:bCs/>
          <w:color w:val="002060"/>
          <w:sz w:val="22"/>
          <w:szCs w:val="22"/>
          <w:lang w:val="en-US"/>
        </w:rPr>
        <w:t>harbour</w:t>
      </w:r>
      <w:proofErr w:type="spellEnd"/>
      <w:proofErr w:type="gramEnd"/>
    </w:p>
    <w:p w14:paraId="53578D0B" w14:textId="6E5BFFDA" w:rsidR="23C9B398" w:rsidRPr="004D20B9" w:rsidRDefault="23C9B398" w:rsidP="23C9B398">
      <w:pPr>
        <w:spacing w:after="0" w:line="240" w:lineRule="auto"/>
        <w:jc w:val="both"/>
        <w:rPr>
          <w:rFonts w:ascii="Calibri" w:eastAsia="Arial" w:hAnsi="Calibri" w:cs="Calibri"/>
          <w:color w:val="002060"/>
          <w:sz w:val="22"/>
          <w:szCs w:val="22"/>
          <w:lang w:val="en-US"/>
        </w:rPr>
      </w:pPr>
    </w:p>
    <w:p w14:paraId="3F1506FF" w14:textId="596715D2" w:rsidR="010B9796" w:rsidRPr="004D20B9" w:rsidRDefault="6852D2EB" w:rsidP="06A1376F">
      <w:pPr>
        <w:spacing w:after="0" w:line="240" w:lineRule="auto"/>
        <w:jc w:val="both"/>
        <w:rPr>
          <w:rFonts w:ascii="Calibri" w:hAnsi="Calibri" w:cs="Calibri"/>
          <w:lang w:val="en-US"/>
        </w:rPr>
      </w:pP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 xml:space="preserve">Cautionary Language Concerning Forward-Looking Statements </w:t>
      </w:r>
    </w:p>
    <w:p w14:paraId="728E1704" w14:textId="24109BE0" w:rsidR="76C49F30" w:rsidRPr="004D20B9" w:rsidRDefault="76C49F30" w:rsidP="76C49F30">
      <w:pPr>
        <w:spacing w:after="0" w:line="240" w:lineRule="auto"/>
        <w:jc w:val="both"/>
        <w:rPr>
          <w:rFonts w:ascii="Calibri" w:eastAsia="Arial" w:hAnsi="Calibri" w:cs="Calibri"/>
          <w:color w:val="002060"/>
          <w:sz w:val="22"/>
          <w:szCs w:val="22"/>
          <w:lang w:val="en-US"/>
        </w:rPr>
      </w:pPr>
    </w:p>
    <w:p w14:paraId="39CCF313" w14:textId="59F61F39" w:rsidR="010B9796" w:rsidRPr="004D20B9" w:rsidRDefault="010B9796" w:rsidP="00F5304E">
      <w:pPr>
        <w:spacing w:after="0" w:line="240" w:lineRule="auto"/>
        <w:jc w:val="both"/>
        <w:rPr>
          <w:rFonts w:ascii="Calibri" w:eastAsia="Arial" w:hAnsi="Calibri" w:cs="Calibri"/>
          <w:color w:val="002060"/>
          <w:sz w:val="22"/>
          <w:szCs w:val="22"/>
          <w:lang w:val="en-US"/>
        </w:rPr>
      </w:pP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Statements included herein that are not historical facts, including without limitation statements concerning future strategy,</w:t>
      </w:r>
      <w:r w:rsidR="0B0A6CC5"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 xml:space="preserve"> </w:t>
      </w: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plans, objectives, expectations and intentions, projected financial results, liquidity, growth and prospects, are forward-looking</w:t>
      </w:r>
      <w:r w:rsidR="5C673713"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 xml:space="preserve"> </w:t>
      </w: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 xml:space="preserve">statements. Such forward-looking statements involve </w:t>
      </w:r>
      <w:proofErr w:type="gramStart"/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a number of</w:t>
      </w:r>
      <w:proofErr w:type="gramEnd"/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 xml:space="preserve"> risks and uncertainties and are subject to change at any</w:t>
      </w:r>
      <w:r w:rsidR="6E4E61D3"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 xml:space="preserve"> </w:t>
      </w: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 xml:space="preserve">time. In the event such risks or uncertainties materialize, Millicom’s results could be materially adversely affected. </w:t>
      </w:r>
      <w:proofErr w:type="gramStart"/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In particular,</w:t>
      </w:r>
      <w:r w:rsidR="78D5C6D6"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 xml:space="preserve"> </w:t>
      </w: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there</w:t>
      </w:r>
      <w:proofErr w:type="gramEnd"/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 xml:space="preserve"> is uncertainty about global economic activity and inflation, the demand for Millicom's products and services, and global</w:t>
      </w:r>
      <w:r w:rsidR="2A5D7F71"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 xml:space="preserve"> </w:t>
      </w: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supply chains. The risks and uncertainties include, but are not limited to, the following:</w:t>
      </w:r>
    </w:p>
    <w:p w14:paraId="6864F9BD" w14:textId="46D7AFC9" w:rsidR="010B9796" w:rsidRPr="004D20B9" w:rsidRDefault="010B9796" w:rsidP="00F5304E">
      <w:pPr>
        <w:spacing w:after="0" w:line="240" w:lineRule="auto"/>
        <w:jc w:val="both"/>
        <w:rPr>
          <w:rFonts w:ascii="Calibri" w:eastAsia="Arial" w:hAnsi="Calibri" w:cs="Calibri"/>
          <w:color w:val="002060"/>
          <w:sz w:val="22"/>
          <w:szCs w:val="22"/>
          <w:lang w:val="en-US"/>
        </w:rPr>
      </w:pP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• global economic conditions, foreign exchange rate fluctuations and high inflation, as well as local economic conditions in</w:t>
      </w:r>
      <w:r w:rsidR="314D20D3"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 xml:space="preserve"> </w:t>
      </w: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the markets we serve, which can be impacted by geopolitical developments outside of our principal geographic markets;</w:t>
      </w:r>
    </w:p>
    <w:p w14:paraId="653DF9CB" w14:textId="1F0C6F15" w:rsidR="010B9796" w:rsidRPr="004D20B9" w:rsidRDefault="010B9796" w:rsidP="00F5304E">
      <w:pPr>
        <w:spacing w:after="0" w:line="240" w:lineRule="auto"/>
        <w:jc w:val="both"/>
        <w:rPr>
          <w:rFonts w:ascii="Calibri" w:eastAsia="Arial" w:hAnsi="Calibri" w:cs="Calibri"/>
          <w:color w:val="002060"/>
          <w:sz w:val="22"/>
          <w:szCs w:val="22"/>
          <w:lang w:val="en-US"/>
        </w:rPr>
      </w:pP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• potential disruption due to health crises, including pandemics, epidemics, or other public health emergencies, geopolitical</w:t>
      </w:r>
      <w:r w:rsidR="1017A60F"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 xml:space="preserve"> </w:t>
      </w: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events, armed conflict and acts by terrorists;</w:t>
      </w:r>
    </w:p>
    <w:p w14:paraId="7697503D" w14:textId="3D459C35" w:rsidR="010B9796" w:rsidRPr="004D20B9" w:rsidRDefault="010B9796" w:rsidP="00F5304E">
      <w:pPr>
        <w:spacing w:after="0" w:line="240" w:lineRule="auto"/>
        <w:jc w:val="both"/>
        <w:rPr>
          <w:rFonts w:ascii="Calibri" w:eastAsia="Arial" w:hAnsi="Calibri" w:cs="Calibri"/>
          <w:color w:val="002060"/>
          <w:sz w:val="22"/>
          <w:szCs w:val="22"/>
          <w:lang w:val="en-US"/>
        </w:rPr>
      </w:pP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• telecommunications usage levels, including traffic, customer growth and the accelerated transition from traditional to</w:t>
      </w:r>
      <w:r w:rsidR="7DD03CC1"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 xml:space="preserve"> </w:t>
      </w: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digital services and alternative technologies;</w:t>
      </w:r>
    </w:p>
    <w:p w14:paraId="45FD4D0F" w14:textId="39352FCC" w:rsidR="010B9796" w:rsidRPr="004D20B9" w:rsidRDefault="010B9796" w:rsidP="00F5304E">
      <w:pPr>
        <w:spacing w:after="0" w:line="240" w:lineRule="auto"/>
        <w:jc w:val="both"/>
        <w:rPr>
          <w:rFonts w:ascii="Calibri" w:eastAsia="Arial" w:hAnsi="Calibri" w:cs="Calibri"/>
          <w:color w:val="002060"/>
          <w:sz w:val="22"/>
          <w:szCs w:val="22"/>
          <w:lang w:val="en-US"/>
        </w:rPr>
      </w:pP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• competitive forces, including pricing pressures, piracy, the ability to connect to other operators’ networks and our ability to</w:t>
      </w:r>
      <w:r w:rsidR="5EC1CED6"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 xml:space="preserve"> </w:t>
      </w: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retain market share in the face of competition from existing and new market entrants as well as industry consolidation;</w:t>
      </w:r>
    </w:p>
    <w:p w14:paraId="2CDB8E5A" w14:textId="3517F80D" w:rsidR="010B9796" w:rsidRPr="004D20B9" w:rsidRDefault="010B9796" w:rsidP="00F5304E">
      <w:pPr>
        <w:spacing w:after="0" w:line="240" w:lineRule="auto"/>
        <w:jc w:val="both"/>
        <w:rPr>
          <w:rFonts w:ascii="Calibri" w:eastAsia="Arial" w:hAnsi="Calibri" w:cs="Calibri"/>
          <w:color w:val="002060"/>
          <w:sz w:val="22"/>
          <w:szCs w:val="22"/>
          <w:lang w:val="en-US"/>
        </w:rPr>
      </w:pP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• the achievement of our operational goals, environmental, social and governance targets, financial targets and strategic</w:t>
      </w:r>
      <w:r w:rsidR="117AFC72"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 xml:space="preserve"> </w:t>
      </w: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plans, including the anticipated efficiencies and savings of our cost-reduction project, the acceleration of cash flow growth,</w:t>
      </w:r>
    </w:p>
    <w:p w14:paraId="5B56FE85" w14:textId="4782FEDF" w:rsidR="010B9796" w:rsidRPr="004D20B9" w:rsidRDefault="010B9796" w:rsidP="00F5304E">
      <w:pPr>
        <w:spacing w:after="0" w:line="240" w:lineRule="auto"/>
        <w:jc w:val="both"/>
        <w:rPr>
          <w:rFonts w:ascii="Calibri" w:eastAsia="Arial" w:hAnsi="Calibri" w:cs="Calibri"/>
          <w:color w:val="002060"/>
          <w:sz w:val="22"/>
          <w:szCs w:val="22"/>
          <w:lang w:val="en-US"/>
        </w:rPr>
      </w:pP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the expansion of our fixed broadband network and the reduction in net leverage;</w:t>
      </w:r>
    </w:p>
    <w:p w14:paraId="31DA1073" w14:textId="5818C20E" w:rsidR="010B9796" w:rsidRPr="004D20B9" w:rsidRDefault="010B9796" w:rsidP="00F5304E">
      <w:pPr>
        <w:spacing w:after="0" w:line="240" w:lineRule="auto"/>
        <w:jc w:val="both"/>
        <w:rPr>
          <w:rFonts w:ascii="Calibri" w:eastAsia="Arial" w:hAnsi="Calibri" w:cs="Calibri"/>
          <w:color w:val="002060"/>
          <w:sz w:val="22"/>
          <w:szCs w:val="22"/>
          <w:lang w:val="en-US"/>
        </w:rPr>
      </w:pP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• legal or regulatory developments and changes, or changes in governmental policy, including with respect to the availability</w:t>
      </w:r>
      <w:r w:rsidR="1EF1B6EF"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 xml:space="preserve"> </w:t>
      </w: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and terms and conditions of spectrum and licenses, the level of tariffs, laws and regulations which require the provision of</w:t>
      </w:r>
      <w:r w:rsidR="4270F538"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 xml:space="preserve"> </w:t>
      </w: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services to customers without charging, tax matters, controls or limits on the purchase of U.S. dollars, the terms of</w:t>
      </w:r>
    </w:p>
    <w:p w14:paraId="72494D81" w14:textId="710E02DC" w:rsidR="010B9796" w:rsidRPr="004D20B9" w:rsidRDefault="010B9796" w:rsidP="00F5304E">
      <w:pPr>
        <w:spacing w:after="0" w:line="240" w:lineRule="auto"/>
        <w:jc w:val="both"/>
        <w:rPr>
          <w:rFonts w:ascii="Calibri" w:eastAsia="Arial" w:hAnsi="Calibri" w:cs="Calibri"/>
          <w:color w:val="002060"/>
          <w:sz w:val="22"/>
          <w:szCs w:val="22"/>
          <w:lang w:val="en-US"/>
        </w:rPr>
      </w:pP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interconnection, customer access and international settlement arrangements;</w:t>
      </w:r>
    </w:p>
    <w:p w14:paraId="15364A79" w14:textId="3C3108FF" w:rsidR="010B9796" w:rsidRPr="004D20B9" w:rsidRDefault="010B9796" w:rsidP="00F5304E">
      <w:pPr>
        <w:spacing w:after="0" w:line="240" w:lineRule="auto"/>
        <w:jc w:val="both"/>
        <w:rPr>
          <w:rFonts w:ascii="Calibri" w:eastAsia="Arial" w:hAnsi="Calibri" w:cs="Calibri"/>
          <w:color w:val="002060"/>
          <w:sz w:val="22"/>
          <w:szCs w:val="22"/>
          <w:lang w:val="en-US"/>
        </w:rPr>
      </w:pP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• our ability to grow our business in our Latin American markets;</w:t>
      </w:r>
    </w:p>
    <w:p w14:paraId="38FFBA55" w14:textId="45524CED" w:rsidR="010B9796" w:rsidRPr="004D20B9" w:rsidRDefault="010B9796" w:rsidP="00F5304E">
      <w:pPr>
        <w:spacing w:after="0" w:line="240" w:lineRule="auto"/>
        <w:jc w:val="both"/>
        <w:rPr>
          <w:rFonts w:ascii="Calibri" w:eastAsia="Arial" w:hAnsi="Calibri" w:cs="Calibri"/>
          <w:color w:val="002060"/>
          <w:sz w:val="22"/>
          <w:szCs w:val="22"/>
          <w:lang w:val="en-US"/>
        </w:rPr>
      </w:pP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• adverse legal or regulatory disputes or proceedings;</w:t>
      </w:r>
    </w:p>
    <w:p w14:paraId="2E88E059" w14:textId="14AE092A" w:rsidR="010B9796" w:rsidRPr="004D20B9" w:rsidRDefault="010B9796" w:rsidP="00F5304E">
      <w:pPr>
        <w:spacing w:after="0" w:line="240" w:lineRule="auto"/>
        <w:jc w:val="both"/>
        <w:rPr>
          <w:rFonts w:ascii="Calibri" w:eastAsia="Arial" w:hAnsi="Calibri" w:cs="Calibri"/>
          <w:color w:val="002060"/>
          <w:sz w:val="22"/>
          <w:szCs w:val="22"/>
          <w:lang w:val="en-US"/>
        </w:rPr>
      </w:pP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lastRenderedPageBreak/>
        <w:t>• the success of our business, operating and financing initiatives and strategies, including partnerships and capital</w:t>
      </w:r>
      <w:r w:rsidR="308C088E"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 xml:space="preserve"> </w:t>
      </w: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expenditure plans;</w:t>
      </w:r>
    </w:p>
    <w:p w14:paraId="5927C232" w14:textId="27C14A48" w:rsidR="010B9796" w:rsidRPr="004D20B9" w:rsidRDefault="010B9796" w:rsidP="00F5304E">
      <w:pPr>
        <w:spacing w:after="0" w:line="240" w:lineRule="auto"/>
        <w:jc w:val="both"/>
        <w:rPr>
          <w:rFonts w:ascii="Calibri" w:eastAsia="Arial" w:hAnsi="Calibri" w:cs="Calibri"/>
          <w:color w:val="002060"/>
          <w:sz w:val="22"/>
          <w:szCs w:val="22"/>
          <w:lang w:val="en-US"/>
        </w:rPr>
      </w:pP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• our expectations regarding the growth in fixed broadband penetration rates and the return that our investment in</w:t>
      </w:r>
      <w:r w:rsidR="61834E98"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 xml:space="preserve"> </w:t>
      </w: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broadband networks will yield;</w:t>
      </w:r>
    </w:p>
    <w:p w14:paraId="7F6A3078" w14:textId="322127B0" w:rsidR="010B9796" w:rsidRPr="004D20B9" w:rsidRDefault="010B9796" w:rsidP="00F5304E">
      <w:pPr>
        <w:spacing w:after="0" w:line="240" w:lineRule="auto"/>
        <w:jc w:val="both"/>
        <w:rPr>
          <w:rFonts w:ascii="Calibri" w:eastAsia="Arial" w:hAnsi="Calibri" w:cs="Calibri"/>
          <w:color w:val="002060"/>
          <w:sz w:val="22"/>
          <w:szCs w:val="22"/>
          <w:lang w:val="en-US"/>
        </w:rPr>
      </w:pP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• the level and timing of the growth and profitability of new initiatives, start-up costs associated with entering new markets,</w:t>
      </w:r>
      <w:r w:rsidR="72235019"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 xml:space="preserve"> </w:t>
      </w: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the successful deployment of new systems and applications to support new initiatives;</w:t>
      </w:r>
    </w:p>
    <w:p w14:paraId="4BE093B5" w14:textId="3264DA81" w:rsidR="010B9796" w:rsidRPr="004D20B9" w:rsidRDefault="010B9796" w:rsidP="00F5304E">
      <w:pPr>
        <w:spacing w:after="0" w:line="240" w:lineRule="auto"/>
        <w:jc w:val="both"/>
        <w:rPr>
          <w:rFonts w:ascii="Calibri" w:eastAsia="Arial" w:hAnsi="Calibri" w:cs="Calibri"/>
          <w:color w:val="002060"/>
          <w:sz w:val="22"/>
          <w:szCs w:val="22"/>
          <w:lang w:val="en-US"/>
        </w:rPr>
      </w:pP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• our ability to optimize the utilization of our owned and leased towers, and increase our network coverage, capacity and</w:t>
      </w:r>
      <w:r w:rsidR="715490F0"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 xml:space="preserve"> </w:t>
      </w: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quality of service by focusing capital on other fixed assets;</w:t>
      </w:r>
    </w:p>
    <w:p w14:paraId="09A6AB66" w14:textId="740C29F4" w:rsidR="010B9796" w:rsidRPr="004D20B9" w:rsidRDefault="010B9796" w:rsidP="00F5304E">
      <w:pPr>
        <w:spacing w:after="0" w:line="240" w:lineRule="auto"/>
        <w:jc w:val="both"/>
        <w:rPr>
          <w:rFonts w:ascii="Calibri" w:eastAsia="Arial" w:hAnsi="Calibri" w:cs="Calibri"/>
          <w:color w:val="002060"/>
          <w:sz w:val="22"/>
          <w:szCs w:val="22"/>
          <w:lang w:val="en-US"/>
        </w:rPr>
      </w:pP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• relationships with key suppliers and costs of handsets and other equipment;</w:t>
      </w:r>
    </w:p>
    <w:p w14:paraId="036103B3" w14:textId="226E16FE" w:rsidR="010B9796" w:rsidRPr="004D20B9" w:rsidRDefault="010B9796" w:rsidP="00F5304E">
      <w:pPr>
        <w:spacing w:after="0" w:line="240" w:lineRule="auto"/>
        <w:jc w:val="both"/>
        <w:rPr>
          <w:rFonts w:ascii="Calibri" w:eastAsia="Arial" w:hAnsi="Calibri" w:cs="Calibri"/>
          <w:color w:val="002060"/>
          <w:sz w:val="22"/>
          <w:szCs w:val="22"/>
          <w:lang w:val="en-US"/>
        </w:rPr>
      </w:pP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• disruptions in our supply chain due to economic and political instability, the outbreak of war or other hostilities, public</w:t>
      </w:r>
      <w:r w:rsidR="70E5A391"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 xml:space="preserve"> </w:t>
      </w: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health emergencies, natural disasters and general business conditions;</w:t>
      </w:r>
    </w:p>
    <w:p w14:paraId="2A1D1530" w14:textId="6DE11123" w:rsidR="010B9796" w:rsidRPr="004D20B9" w:rsidRDefault="010B9796" w:rsidP="00F5304E">
      <w:pPr>
        <w:spacing w:after="0" w:line="240" w:lineRule="auto"/>
        <w:jc w:val="both"/>
        <w:rPr>
          <w:rFonts w:ascii="Calibri" w:eastAsia="Arial" w:hAnsi="Calibri" w:cs="Calibri"/>
          <w:color w:val="002060"/>
          <w:sz w:val="22"/>
          <w:szCs w:val="22"/>
          <w:lang w:val="en-US"/>
        </w:rPr>
      </w:pP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• our ability to successfully pursue acquisitions, investments or merger opportunities, integrate any acquired businesses in a</w:t>
      </w:r>
      <w:r w:rsidR="7F7CAB84"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 xml:space="preserve"> </w:t>
      </w: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timely and cost-effective manner, divest or restructure assets and businesses, and achieve the expected benefits of such</w:t>
      </w:r>
      <w:r w:rsidR="4514203B"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 xml:space="preserve"> </w:t>
      </w: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transactions;</w:t>
      </w:r>
    </w:p>
    <w:p w14:paraId="014A7A15" w14:textId="1A1F3CE0" w:rsidR="010B9796" w:rsidRPr="004D20B9" w:rsidRDefault="010B9796" w:rsidP="00F5304E">
      <w:pPr>
        <w:spacing w:after="0" w:line="240" w:lineRule="auto"/>
        <w:jc w:val="both"/>
        <w:rPr>
          <w:rFonts w:ascii="Calibri" w:eastAsia="Arial" w:hAnsi="Calibri" w:cs="Calibri"/>
          <w:color w:val="002060"/>
          <w:sz w:val="22"/>
          <w:szCs w:val="22"/>
          <w:lang w:val="en-US"/>
        </w:rPr>
      </w:pP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• the availability, terms and use of capital, the impact of regulatory and competitive developments on capital outlays, the</w:t>
      </w:r>
      <w:r w:rsidR="05511096"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 xml:space="preserve"> </w:t>
      </w: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ability to achieve cost savings and realize productivity improvements;</w:t>
      </w:r>
    </w:p>
    <w:p w14:paraId="21E41FC2" w14:textId="52B8F72C" w:rsidR="010B9796" w:rsidRPr="004D20B9" w:rsidRDefault="010B9796" w:rsidP="00F5304E">
      <w:pPr>
        <w:spacing w:after="0" w:line="240" w:lineRule="auto"/>
        <w:jc w:val="both"/>
        <w:rPr>
          <w:rFonts w:ascii="Calibri" w:eastAsia="Arial" w:hAnsi="Calibri" w:cs="Calibri"/>
          <w:color w:val="002060"/>
          <w:sz w:val="22"/>
          <w:szCs w:val="22"/>
          <w:lang w:val="en-US"/>
        </w:rPr>
      </w:pP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• technological development and evolving industry standards, including challenges in meeting customer demand for new</w:t>
      </w:r>
      <w:r w:rsidR="44164B92"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 xml:space="preserve"> </w:t>
      </w: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technology and the cost of upgrading existing infrastructure;</w:t>
      </w:r>
    </w:p>
    <w:p w14:paraId="49361E71" w14:textId="2BEAE20C" w:rsidR="010B9796" w:rsidRPr="004D20B9" w:rsidRDefault="010B9796" w:rsidP="00F5304E">
      <w:pPr>
        <w:spacing w:after="0" w:line="240" w:lineRule="auto"/>
        <w:jc w:val="both"/>
        <w:rPr>
          <w:rFonts w:ascii="Calibri" w:hAnsi="Calibri" w:cs="Calibri"/>
          <w:lang w:val="en-US"/>
        </w:rPr>
      </w:pP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• cybersecurity threats, a security breach or other significant disruption of our IT systems or those of our business, partners,</w:t>
      </w:r>
      <w:r w:rsidR="2E0F7348"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 xml:space="preserve"> </w:t>
      </w: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suppliers or customers;</w:t>
      </w:r>
      <w:r w:rsidR="2E0F7348"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 xml:space="preserve"> </w:t>
      </w:r>
    </w:p>
    <w:p w14:paraId="62AFC627" w14:textId="799E0CF0" w:rsidR="010B9796" w:rsidRPr="004D20B9" w:rsidRDefault="010B9796" w:rsidP="59FECA63">
      <w:pPr>
        <w:spacing w:after="0" w:line="240" w:lineRule="auto"/>
        <w:jc w:val="both"/>
        <w:rPr>
          <w:rFonts w:ascii="Calibri" w:hAnsi="Calibri" w:cs="Calibri"/>
          <w:lang w:val="en-US"/>
        </w:rPr>
      </w:pP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• the capacity to upstream cash generated in operations through dividends, royalties, management fees and repayment of</w:t>
      </w:r>
      <w:r w:rsidR="1B97E5A5"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 xml:space="preserve"> </w:t>
      </w: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shareholder loans; and</w:t>
      </w:r>
      <w:r w:rsidR="1B97E5A5"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 xml:space="preserve"> </w:t>
      </w:r>
    </w:p>
    <w:p w14:paraId="7A47AF94" w14:textId="21F1EF73" w:rsidR="010B9796" w:rsidRPr="004D20B9" w:rsidRDefault="010B9796" w:rsidP="59FECA63">
      <w:pPr>
        <w:spacing w:after="0" w:line="240" w:lineRule="auto"/>
        <w:jc w:val="both"/>
        <w:rPr>
          <w:rFonts w:ascii="Calibri" w:hAnsi="Calibri" w:cs="Calibri"/>
          <w:lang w:val="en-US"/>
        </w:rPr>
      </w:pP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• other factors or trends affecting our financial condition or results of operations.</w:t>
      </w:r>
    </w:p>
    <w:p w14:paraId="7A7C4FF4" w14:textId="4BFD4173" w:rsidR="59FECA63" w:rsidRPr="004D20B9" w:rsidRDefault="59FECA63" w:rsidP="59FECA63">
      <w:pPr>
        <w:spacing w:after="0" w:line="240" w:lineRule="auto"/>
        <w:jc w:val="both"/>
        <w:rPr>
          <w:rFonts w:ascii="Calibri" w:eastAsia="Arial" w:hAnsi="Calibri" w:cs="Calibri"/>
          <w:color w:val="002060"/>
          <w:sz w:val="22"/>
          <w:szCs w:val="22"/>
          <w:lang w:val="en-US"/>
        </w:rPr>
      </w:pPr>
    </w:p>
    <w:p w14:paraId="6117769C" w14:textId="26EBB5CE" w:rsidR="010B9796" w:rsidRPr="004D20B9" w:rsidRDefault="010B9796" w:rsidP="00F5304E">
      <w:pPr>
        <w:spacing w:after="0" w:line="240" w:lineRule="auto"/>
        <w:jc w:val="both"/>
        <w:rPr>
          <w:rFonts w:ascii="Calibri" w:eastAsia="Arial" w:hAnsi="Calibri" w:cs="Calibri"/>
          <w:color w:val="002060"/>
          <w:sz w:val="22"/>
          <w:szCs w:val="22"/>
          <w:lang w:val="en-US"/>
        </w:rPr>
      </w:pP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A further list and description of risks, uncertainties and other matters can be found in Millicom’s Annual Report on Form 20-F,</w:t>
      </w:r>
      <w:r w:rsidR="77CAC7C3"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 xml:space="preserve"> </w:t>
      </w: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including those risks outlined in “Item 3. Key Information—D. Risk Factors,” and in Millicom’s subsequent U.S. Securities and</w:t>
      </w:r>
      <w:r w:rsidR="15E6EC8D"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 xml:space="preserve"> </w:t>
      </w: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 xml:space="preserve">Exchange Commission filings, all of which are available at </w:t>
      </w:r>
      <w:hyperlink r:id="rId8" w:history="1">
        <w:r w:rsidRPr="004D20B9">
          <w:rPr>
            <w:rFonts w:ascii="Calibri" w:eastAsia="Arial" w:hAnsi="Calibri" w:cs="Calibri"/>
            <w:color w:val="002060"/>
            <w:sz w:val="22"/>
            <w:szCs w:val="22"/>
            <w:lang w:val="en-US"/>
          </w:rPr>
          <w:t>www.sec.gov</w:t>
        </w:r>
      </w:hyperlink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. All forward-looking statements attributable to us or any</w:t>
      </w:r>
      <w:r w:rsidR="10757B91"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 xml:space="preserve"> </w:t>
      </w: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person acting on our behalf are expressly qualified in their entirety by this cautionary statement. Readers are cautioned not to</w:t>
      </w:r>
      <w:r w:rsidR="7A31376A"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 xml:space="preserve"> </w:t>
      </w: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place undue reliance on these forward-looking statements that speak only as of the date hereof. Except to the extent otherwise</w:t>
      </w:r>
      <w:r w:rsidR="5CBD3106"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 xml:space="preserve"> </w:t>
      </w: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 xml:space="preserve">required by applicable law, we do not undertake any obligation to update or revise forward-looking statements, whether </w:t>
      </w:r>
      <w:proofErr w:type="gramStart"/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as a</w:t>
      </w:r>
      <w:r w:rsidR="15A2733D"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 xml:space="preserve"> </w:t>
      </w:r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>result of</w:t>
      </w:r>
      <w:proofErr w:type="gramEnd"/>
      <w:r w:rsidRPr="004D20B9">
        <w:rPr>
          <w:rFonts w:ascii="Calibri" w:eastAsia="Arial" w:hAnsi="Calibri" w:cs="Calibri"/>
          <w:color w:val="002060"/>
          <w:sz w:val="22"/>
          <w:szCs w:val="22"/>
          <w:lang w:val="en-US"/>
        </w:rPr>
        <w:t xml:space="preserve"> new information, future events or otherwise.</w:t>
      </w:r>
    </w:p>
    <w:p w14:paraId="6B4D873C" w14:textId="396C988B" w:rsidR="00EF576D" w:rsidRPr="004D20B9" w:rsidRDefault="00EF576D" w:rsidP="00904A24">
      <w:pPr>
        <w:spacing w:after="0" w:line="240" w:lineRule="auto"/>
        <w:jc w:val="both"/>
        <w:rPr>
          <w:rFonts w:ascii="Calibri" w:eastAsia="Arial" w:hAnsi="Calibri" w:cs="Calibri"/>
          <w:color w:val="002060"/>
          <w:sz w:val="22"/>
          <w:szCs w:val="22"/>
          <w:lang w:val="en-US"/>
        </w:rPr>
      </w:pPr>
    </w:p>
    <w:sectPr w:rsidR="00EF576D" w:rsidRPr="004D20B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95B0A" w14:textId="77777777" w:rsidR="004428FA" w:rsidRDefault="004428FA" w:rsidP="00032AE2">
      <w:pPr>
        <w:spacing w:after="0" w:line="240" w:lineRule="auto"/>
      </w:pPr>
      <w:r>
        <w:separator/>
      </w:r>
    </w:p>
  </w:endnote>
  <w:endnote w:type="continuationSeparator" w:id="0">
    <w:p w14:paraId="68515B5F" w14:textId="77777777" w:rsidR="004428FA" w:rsidRDefault="004428FA" w:rsidP="00032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03522" w14:textId="77777777" w:rsidR="004428FA" w:rsidRDefault="004428FA" w:rsidP="00032AE2">
      <w:pPr>
        <w:spacing w:after="0" w:line="240" w:lineRule="auto"/>
      </w:pPr>
      <w:r>
        <w:separator/>
      </w:r>
    </w:p>
  </w:footnote>
  <w:footnote w:type="continuationSeparator" w:id="0">
    <w:p w14:paraId="5236F5E7" w14:textId="77777777" w:rsidR="004428FA" w:rsidRDefault="004428FA" w:rsidP="00032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DF1D9" w14:textId="437491B2" w:rsidR="00032AE2" w:rsidRDefault="00032AE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A06262A" wp14:editId="49F4F495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766050" cy="1314450"/>
          <wp:effectExtent l="0" t="0" r="6350" b="0"/>
          <wp:wrapTight wrapText="bothSides">
            <wp:wrapPolygon edited="0">
              <wp:start x="0" y="0"/>
              <wp:lineTo x="0" y="21287"/>
              <wp:lineTo x="21565" y="21287"/>
              <wp:lineTo x="21565" y="0"/>
              <wp:lineTo x="0" y="0"/>
            </wp:wrapPolygon>
          </wp:wrapTight>
          <wp:docPr id="540439418" name="Picture 2">
            <a:extLst xmlns:a="http://schemas.openxmlformats.org/drawingml/2006/main">
              <a:ext uri="{FF2B5EF4-FFF2-40B4-BE49-F238E27FC236}">
                <a16:creationId xmlns:a16="http://schemas.microsoft.com/office/drawing/2014/main" id="{CC1F0F69-F8FE-44DE-9D8F-DB95215A8D0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0439418" name="Picture 5404394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050" cy="1314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A881FD" w14:textId="77777777" w:rsidR="00032AE2" w:rsidRDefault="00032A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01B7C"/>
    <w:multiLevelType w:val="multilevel"/>
    <w:tmpl w:val="3920D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8038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3A"/>
    <w:rsid w:val="00001F2B"/>
    <w:rsid w:val="00004F22"/>
    <w:rsid w:val="00006B7F"/>
    <w:rsid w:val="00013686"/>
    <w:rsid w:val="00016F9F"/>
    <w:rsid w:val="000171A7"/>
    <w:rsid w:val="000175F4"/>
    <w:rsid w:val="000241EB"/>
    <w:rsid w:val="000313A0"/>
    <w:rsid w:val="00031BA2"/>
    <w:rsid w:val="00032AE2"/>
    <w:rsid w:val="0003727E"/>
    <w:rsid w:val="000421B6"/>
    <w:rsid w:val="00043F8A"/>
    <w:rsid w:val="000440CC"/>
    <w:rsid w:val="00051D9F"/>
    <w:rsid w:val="0006000F"/>
    <w:rsid w:val="00062171"/>
    <w:rsid w:val="00065572"/>
    <w:rsid w:val="000656A9"/>
    <w:rsid w:val="00065C27"/>
    <w:rsid w:val="00066F14"/>
    <w:rsid w:val="00071B33"/>
    <w:rsid w:val="000759BB"/>
    <w:rsid w:val="000815CF"/>
    <w:rsid w:val="00082A36"/>
    <w:rsid w:val="00082C3F"/>
    <w:rsid w:val="00083ED7"/>
    <w:rsid w:val="000931EA"/>
    <w:rsid w:val="00096714"/>
    <w:rsid w:val="000A15ED"/>
    <w:rsid w:val="000A1B86"/>
    <w:rsid w:val="000A375F"/>
    <w:rsid w:val="000A66C5"/>
    <w:rsid w:val="000B0277"/>
    <w:rsid w:val="000B0BCD"/>
    <w:rsid w:val="000B456A"/>
    <w:rsid w:val="000B6AD5"/>
    <w:rsid w:val="000D07BE"/>
    <w:rsid w:val="000D1C43"/>
    <w:rsid w:val="000D2509"/>
    <w:rsid w:val="000D27C6"/>
    <w:rsid w:val="000D3CB3"/>
    <w:rsid w:val="000D5390"/>
    <w:rsid w:val="000E1BF0"/>
    <w:rsid w:val="000E1F7B"/>
    <w:rsid w:val="000E3AD0"/>
    <w:rsid w:val="000E3B3A"/>
    <w:rsid w:val="000E5C63"/>
    <w:rsid w:val="000E79BE"/>
    <w:rsid w:val="000F1A48"/>
    <w:rsid w:val="000F482C"/>
    <w:rsid w:val="000F72FC"/>
    <w:rsid w:val="00102E65"/>
    <w:rsid w:val="001135EA"/>
    <w:rsid w:val="00114DA7"/>
    <w:rsid w:val="0012026E"/>
    <w:rsid w:val="001217CC"/>
    <w:rsid w:val="00136FC0"/>
    <w:rsid w:val="001374AA"/>
    <w:rsid w:val="00137C58"/>
    <w:rsid w:val="00141474"/>
    <w:rsid w:val="00141C86"/>
    <w:rsid w:val="00143652"/>
    <w:rsid w:val="001454D4"/>
    <w:rsid w:val="00145EB5"/>
    <w:rsid w:val="001475EB"/>
    <w:rsid w:val="001520E7"/>
    <w:rsid w:val="00153408"/>
    <w:rsid w:val="00161505"/>
    <w:rsid w:val="00166A2E"/>
    <w:rsid w:val="00180DF7"/>
    <w:rsid w:val="00181BDB"/>
    <w:rsid w:val="00184ABF"/>
    <w:rsid w:val="0019334D"/>
    <w:rsid w:val="00195AE5"/>
    <w:rsid w:val="001A0B6E"/>
    <w:rsid w:val="001A3F6B"/>
    <w:rsid w:val="001B0B57"/>
    <w:rsid w:val="001B3CD2"/>
    <w:rsid w:val="001B4C01"/>
    <w:rsid w:val="001B697E"/>
    <w:rsid w:val="001C2E7A"/>
    <w:rsid w:val="001C2F95"/>
    <w:rsid w:val="001D3953"/>
    <w:rsid w:val="001E0769"/>
    <w:rsid w:val="001E0A6E"/>
    <w:rsid w:val="001E13F8"/>
    <w:rsid w:val="001E7DB6"/>
    <w:rsid w:val="001F2C45"/>
    <w:rsid w:val="001F31BC"/>
    <w:rsid w:val="001F4F76"/>
    <w:rsid w:val="00203EA2"/>
    <w:rsid w:val="00205972"/>
    <w:rsid w:val="002064BA"/>
    <w:rsid w:val="00215045"/>
    <w:rsid w:val="00223A94"/>
    <w:rsid w:val="002244BE"/>
    <w:rsid w:val="00225EB6"/>
    <w:rsid w:val="00230D86"/>
    <w:rsid w:val="0023231F"/>
    <w:rsid w:val="0023565B"/>
    <w:rsid w:val="0023789E"/>
    <w:rsid w:val="00242BAD"/>
    <w:rsid w:val="00244353"/>
    <w:rsid w:val="00246522"/>
    <w:rsid w:val="00251D0B"/>
    <w:rsid w:val="00253264"/>
    <w:rsid w:val="00260038"/>
    <w:rsid w:val="00262602"/>
    <w:rsid w:val="0026659C"/>
    <w:rsid w:val="002733CB"/>
    <w:rsid w:val="00273A0E"/>
    <w:rsid w:val="00276A91"/>
    <w:rsid w:val="00276D16"/>
    <w:rsid w:val="002853D2"/>
    <w:rsid w:val="00290225"/>
    <w:rsid w:val="00291BC2"/>
    <w:rsid w:val="002931DD"/>
    <w:rsid w:val="00296751"/>
    <w:rsid w:val="002971CD"/>
    <w:rsid w:val="002A1EB6"/>
    <w:rsid w:val="002A205A"/>
    <w:rsid w:val="002A338B"/>
    <w:rsid w:val="002A43C6"/>
    <w:rsid w:val="002A4D81"/>
    <w:rsid w:val="002A5B36"/>
    <w:rsid w:val="002A5BC9"/>
    <w:rsid w:val="002A7712"/>
    <w:rsid w:val="002A789A"/>
    <w:rsid w:val="002B0DA4"/>
    <w:rsid w:val="002B7635"/>
    <w:rsid w:val="002B789D"/>
    <w:rsid w:val="002C28F0"/>
    <w:rsid w:val="002C3BCF"/>
    <w:rsid w:val="002C565E"/>
    <w:rsid w:val="002D3A43"/>
    <w:rsid w:val="002D42FC"/>
    <w:rsid w:val="002E0622"/>
    <w:rsid w:val="002E4528"/>
    <w:rsid w:val="002E7D5E"/>
    <w:rsid w:val="002F21F3"/>
    <w:rsid w:val="002F34E3"/>
    <w:rsid w:val="003001C9"/>
    <w:rsid w:val="003004CA"/>
    <w:rsid w:val="00300EE3"/>
    <w:rsid w:val="00304BC8"/>
    <w:rsid w:val="00306CDB"/>
    <w:rsid w:val="00307236"/>
    <w:rsid w:val="003161BC"/>
    <w:rsid w:val="00316B2B"/>
    <w:rsid w:val="00330694"/>
    <w:rsid w:val="003342BB"/>
    <w:rsid w:val="00336D34"/>
    <w:rsid w:val="00346371"/>
    <w:rsid w:val="00347070"/>
    <w:rsid w:val="00347CB3"/>
    <w:rsid w:val="00351938"/>
    <w:rsid w:val="00354B4D"/>
    <w:rsid w:val="00390272"/>
    <w:rsid w:val="003A4FA0"/>
    <w:rsid w:val="003A6004"/>
    <w:rsid w:val="003B0D1A"/>
    <w:rsid w:val="003B16A1"/>
    <w:rsid w:val="003B1B58"/>
    <w:rsid w:val="003B28FB"/>
    <w:rsid w:val="003B3284"/>
    <w:rsid w:val="003B4A64"/>
    <w:rsid w:val="003B7F3C"/>
    <w:rsid w:val="003C0F78"/>
    <w:rsid w:val="003D3B19"/>
    <w:rsid w:val="003D5726"/>
    <w:rsid w:val="003E0D41"/>
    <w:rsid w:val="003E1D2B"/>
    <w:rsid w:val="003E619D"/>
    <w:rsid w:val="003E7E4F"/>
    <w:rsid w:val="003F0F8C"/>
    <w:rsid w:val="003F6A8B"/>
    <w:rsid w:val="004038AB"/>
    <w:rsid w:val="0040476A"/>
    <w:rsid w:val="0040630C"/>
    <w:rsid w:val="00410DFB"/>
    <w:rsid w:val="00420B2E"/>
    <w:rsid w:val="00421015"/>
    <w:rsid w:val="004364BB"/>
    <w:rsid w:val="004367EC"/>
    <w:rsid w:val="004428FA"/>
    <w:rsid w:val="00446233"/>
    <w:rsid w:val="004506D8"/>
    <w:rsid w:val="00454FDB"/>
    <w:rsid w:val="00461E34"/>
    <w:rsid w:val="00461F82"/>
    <w:rsid w:val="004653BE"/>
    <w:rsid w:val="00466D85"/>
    <w:rsid w:val="00467CC5"/>
    <w:rsid w:val="0047453C"/>
    <w:rsid w:val="004818C0"/>
    <w:rsid w:val="004864BF"/>
    <w:rsid w:val="00486888"/>
    <w:rsid w:val="00487006"/>
    <w:rsid w:val="004943CD"/>
    <w:rsid w:val="00495E0A"/>
    <w:rsid w:val="00495E76"/>
    <w:rsid w:val="00495FB5"/>
    <w:rsid w:val="004A32AC"/>
    <w:rsid w:val="004A4BF5"/>
    <w:rsid w:val="004B1096"/>
    <w:rsid w:val="004B74FF"/>
    <w:rsid w:val="004C0C02"/>
    <w:rsid w:val="004C2FD9"/>
    <w:rsid w:val="004C7849"/>
    <w:rsid w:val="004D20B9"/>
    <w:rsid w:val="004D3629"/>
    <w:rsid w:val="004D6F83"/>
    <w:rsid w:val="004E165B"/>
    <w:rsid w:val="004E48FC"/>
    <w:rsid w:val="004E66CD"/>
    <w:rsid w:val="004E7701"/>
    <w:rsid w:val="004E7C99"/>
    <w:rsid w:val="00500C24"/>
    <w:rsid w:val="00510BC1"/>
    <w:rsid w:val="0051137B"/>
    <w:rsid w:val="00516D7B"/>
    <w:rsid w:val="00521725"/>
    <w:rsid w:val="005258F9"/>
    <w:rsid w:val="00527FD2"/>
    <w:rsid w:val="00530361"/>
    <w:rsid w:val="0053196F"/>
    <w:rsid w:val="00531AD0"/>
    <w:rsid w:val="005335BD"/>
    <w:rsid w:val="0053502D"/>
    <w:rsid w:val="00537921"/>
    <w:rsid w:val="0054044D"/>
    <w:rsid w:val="00543EEC"/>
    <w:rsid w:val="005448AB"/>
    <w:rsid w:val="005458D7"/>
    <w:rsid w:val="00552DF6"/>
    <w:rsid w:val="0055796A"/>
    <w:rsid w:val="005636A3"/>
    <w:rsid w:val="0056552C"/>
    <w:rsid w:val="00565EF2"/>
    <w:rsid w:val="00570169"/>
    <w:rsid w:val="00572B6E"/>
    <w:rsid w:val="005750D0"/>
    <w:rsid w:val="00575C8B"/>
    <w:rsid w:val="0059003A"/>
    <w:rsid w:val="00591D1E"/>
    <w:rsid w:val="005A0F63"/>
    <w:rsid w:val="005A1453"/>
    <w:rsid w:val="005A393F"/>
    <w:rsid w:val="005A67F9"/>
    <w:rsid w:val="005B06F4"/>
    <w:rsid w:val="005B3E6B"/>
    <w:rsid w:val="005C21EF"/>
    <w:rsid w:val="005C395C"/>
    <w:rsid w:val="005C5C89"/>
    <w:rsid w:val="005D1B84"/>
    <w:rsid w:val="005D274B"/>
    <w:rsid w:val="005D316D"/>
    <w:rsid w:val="005D717F"/>
    <w:rsid w:val="005E3E7F"/>
    <w:rsid w:val="005E4976"/>
    <w:rsid w:val="005E7063"/>
    <w:rsid w:val="005E7D50"/>
    <w:rsid w:val="005F4E54"/>
    <w:rsid w:val="005F54B8"/>
    <w:rsid w:val="005F7889"/>
    <w:rsid w:val="00602274"/>
    <w:rsid w:val="00602E51"/>
    <w:rsid w:val="00607357"/>
    <w:rsid w:val="006139A6"/>
    <w:rsid w:val="00615F89"/>
    <w:rsid w:val="00617510"/>
    <w:rsid w:val="0062046A"/>
    <w:rsid w:val="006215E1"/>
    <w:rsid w:val="00627E37"/>
    <w:rsid w:val="00631C60"/>
    <w:rsid w:val="006424B8"/>
    <w:rsid w:val="00643F4E"/>
    <w:rsid w:val="006443B3"/>
    <w:rsid w:val="00644405"/>
    <w:rsid w:val="0065456B"/>
    <w:rsid w:val="00654837"/>
    <w:rsid w:val="00661B56"/>
    <w:rsid w:val="00666D19"/>
    <w:rsid w:val="00671F28"/>
    <w:rsid w:val="00674104"/>
    <w:rsid w:val="0067545C"/>
    <w:rsid w:val="006755BB"/>
    <w:rsid w:val="0067623E"/>
    <w:rsid w:val="0067710C"/>
    <w:rsid w:val="006858BF"/>
    <w:rsid w:val="00691F0D"/>
    <w:rsid w:val="00692F0D"/>
    <w:rsid w:val="006942B1"/>
    <w:rsid w:val="0069447C"/>
    <w:rsid w:val="006A14C3"/>
    <w:rsid w:val="006B1453"/>
    <w:rsid w:val="006B1E04"/>
    <w:rsid w:val="006C1C57"/>
    <w:rsid w:val="006C2B5A"/>
    <w:rsid w:val="006C344A"/>
    <w:rsid w:val="006C3A22"/>
    <w:rsid w:val="006C7D7A"/>
    <w:rsid w:val="006D1F59"/>
    <w:rsid w:val="006D39AA"/>
    <w:rsid w:val="006D3C06"/>
    <w:rsid w:val="006D6E2D"/>
    <w:rsid w:val="006D78C1"/>
    <w:rsid w:val="006E7A74"/>
    <w:rsid w:val="006F2510"/>
    <w:rsid w:val="006F6397"/>
    <w:rsid w:val="006F6900"/>
    <w:rsid w:val="00703DEE"/>
    <w:rsid w:val="00703EEC"/>
    <w:rsid w:val="0071018E"/>
    <w:rsid w:val="00712DB4"/>
    <w:rsid w:val="007149FE"/>
    <w:rsid w:val="0071726E"/>
    <w:rsid w:val="007174C1"/>
    <w:rsid w:val="00721A34"/>
    <w:rsid w:val="00724698"/>
    <w:rsid w:val="00732E69"/>
    <w:rsid w:val="007332CA"/>
    <w:rsid w:val="00737D59"/>
    <w:rsid w:val="00744DD4"/>
    <w:rsid w:val="00745016"/>
    <w:rsid w:val="0074699F"/>
    <w:rsid w:val="00746F4F"/>
    <w:rsid w:val="00752194"/>
    <w:rsid w:val="007647AC"/>
    <w:rsid w:val="007775C4"/>
    <w:rsid w:val="00782104"/>
    <w:rsid w:val="007843A4"/>
    <w:rsid w:val="0078494B"/>
    <w:rsid w:val="00796A76"/>
    <w:rsid w:val="00797496"/>
    <w:rsid w:val="007976FF"/>
    <w:rsid w:val="007A07C7"/>
    <w:rsid w:val="007A47D5"/>
    <w:rsid w:val="007A47E6"/>
    <w:rsid w:val="007A5CD0"/>
    <w:rsid w:val="007B24E5"/>
    <w:rsid w:val="007B4869"/>
    <w:rsid w:val="007B5371"/>
    <w:rsid w:val="007B6289"/>
    <w:rsid w:val="007C1267"/>
    <w:rsid w:val="007C14D8"/>
    <w:rsid w:val="007C2C26"/>
    <w:rsid w:val="007C3071"/>
    <w:rsid w:val="007C5EC6"/>
    <w:rsid w:val="007C6594"/>
    <w:rsid w:val="007C6914"/>
    <w:rsid w:val="007D0736"/>
    <w:rsid w:val="007D1141"/>
    <w:rsid w:val="007D4108"/>
    <w:rsid w:val="007D5B3D"/>
    <w:rsid w:val="007E37EC"/>
    <w:rsid w:val="007F1F80"/>
    <w:rsid w:val="008047C5"/>
    <w:rsid w:val="008131B1"/>
    <w:rsid w:val="00820790"/>
    <w:rsid w:val="00821EBC"/>
    <w:rsid w:val="00822B1D"/>
    <w:rsid w:val="0082493A"/>
    <w:rsid w:val="00826AD8"/>
    <w:rsid w:val="00837F6B"/>
    <w:rsid w:val="00841CBC"/>
    <w:rsid w:val="00842D33"/>
    <w:rsid w:val="0085074D"/>
    <w:rsid w:val="00851969"/>
    <w:rsid w:val="00863129"/>
    <w:rsid w:val="00863F7A"/>
    <w:rsid w:val="0087786D"/>
    <w:rsid w:val="00884D61"/>
    <w:rsid w:val="008949F6"/>
    <w:rsid w:val="008A2B72"/>
    <w:rsid w:val="008A5506"/>
    <w:rsid w:val="008B1679"/>
    <w:rsid w:val="008B207D"/>
    <w:rsid w:val="008B2863"/>
    <w:rsid w:val="008B3F05"/>
    <w:rsid w:val="008B6AB1"/>
    <w:rsid w:val="008B79A5"/>
    <w:rsid w:val="008B7A74"/>
    <w:rsid w:val="008C2C89"/>
    <w:rsid w:val="008C30C0"/>
    <w:rsid w:val="008C7698"/>
    <w:rsid w:val="008D166A"/>
    <w:rsid w:val="008D6C52"/>
    <w:rsid w:val="008F7210"/>
    <w:rsid w:val="00903806"/>
    <w:rsid w:val="00904A24"/>
    <w:rsid w:val="00905FE5"/>
    <w:rsid w:val="00906CF9"/>
    <w:rsid w:val="009074A6"/>
    <w:rsid w:val="00907DBC"/>
    <w:rsid w:val="00910BA9"/>
    <w:rsid w:val="0091345C"/>
    <w:rsid w:val="009154FE"/>
    <w:rsid w:val="00920E1F"/>
    <w:rsid w:val="0092236B"/>
    <w:rsid w:val="009251CC"/>
    <w:rsid w:val="009253DE"/>
    <w:rsid w:val="00930D89"/>
    <w:rsid w:val="009318FE"/>
    <w:rsid w:val="009326D5"/>
    <w:rsid w:val="00942CAB"/>
    <w:rsid w:val="00946185"/>
    <w:rsid w:val="009510D8"/>
    <w:rsid w:val="00955DF3"/>
    <w:rsid w:val="00966746"/>
    <w:rsid w:val="00971D54"/>
    <w:rsid w:val="009733FF"/>
    <w:rsid w:val="0097491E"/>
    <w:rsid w:val="00980D13"/>
    <w:rsid w:val="00984B8B"/>
    <w:rsid w:val="00985584"/>
    <w:rsid w:val="00991736"/>
    <w:rsid w:val="00992356"/>
    <w:rsid w:val="00993C13"/>
    <w:rsid w:val="00994E1B"/>
    <w:rsid w:val="00997338"/>
    <w:rsid w:val="00997967"/>
    <w:rsid w:val="009A1FE1"/>
    <w:rsid w:val="009A4D70"/>
    <w:rsid w:val="009A4F1B"/>
    <w:rsid w:val="009A6F54"/>
    <w:rsid w:val="009B0F15"/>
    <w:rsid w:val="009B3D45"/>
    <w:rsid w:val="009B79D7"/>
    <w:rsid w:val="009C1AB3"/>
    <w:rsid w:val="009C3EE1"/>
    <w:rsid w:val="009C64F6"/>
    <w:rsid w:val="009C6D6B"/>
    <w:rsid w:val="009D25C5"/>
    <w:rsid w:val="009D3251"/>
    <w:rsid w:val="009D4AEB"/>
    <w:rsid w:val="009E08C5"/>
    <w:rsid w:val="009E1832"/>
    <w:rsid w:val="009E71E7"/>
    <w:rsid w:val="009E7335"/>
    <w:rsid w:val="009F536D"/>
    <w:rsid w:val="00A05AB7"/>
    <w:rsid w:val="00A0622A"/>
    <w:rsid w:val="00A12BB6"/>
    <w:rsid w:val="00A207B4"/>
    <w:rsid w:val="00A23ADA"/>
    <w:rsid w:val="00A3013D"/>
    <w:rsid w:val="00A33B31"/>
    <w:rsid w:val="00A341FD"/>
    <w:rsid w:val="00A35969"/>
    <w:rsid w:val="00A42F4F"/>
    <w:rsid w:val="00A509FF"/>
    <w:rsid w:val="00A53262"/>
    <w:rsid w:val="00A5334B"/>
    <w:rsid w:val="00A56B26"/>
    <w:rsid w:val="00A56BF1"/>
    <w:rsid w:val="00A6090A"/>
    <w:rsid w:val="00A60EE2"/>
    <w:rsid w:val="00A67165"/>
    <w:rsid w:val="00A70241"/>
    <w:rsid w:val="00A7323A"/>
    <w:rsid w:val="00A759B3"/>
    <w:rsid w:val="00A80EF5"/>
    <w:rsid w:val="00A858AE"/>
    <w:rsid w:val="00A96FF0"/>
    <w:rsid w:val="00AA2127"/>
    <w:rsid w:val="00AA430C"/>
    <w:rsid w:val="00AB0013"/>
    <w:rsid w:val="00AB601C"/>
    <w:rsid w:val="00AC1E5B"/>
    <w:rsid w:val="00AC4D73"/>
    <w:rsid w:val="00AC6B01"/>
    <w:rsid w:val="00AD68EC"/>
    <w:rsid w:val="00B02B7B"/>
    <w:rsid w:val="00B15BF2"/>
    <w:rsid w:val="00B21C76"/>
    <w:rsid w:val="00B229B0"/>
    <w:rsid w:val="00B22D44"/>
    <w:rsid w:val="00B23D26"/>
    <w:rsid w:val="00B254C2"/>
    <w:rsid w:val="00B3317F"/>
    <w:rsid w:val="00B4139B"/>
    <w:rsid w:val="00B526E6"/>
    <w:rsid w:val="00B55FDF"/>
    <w:rsid w:val="00B5775B"/>
    <w:rsid w:val="00B67C86"/>
    <w:rsid w:val="00B7451F"/>
    <w:rsid w:val="00B7725A"/>
    <w:rsid w:val="00B94331"/>
    <w:rsid w:val="00B97D33"/>
    <w:rsid w:val="00BA4579"/>
    <w:rsid w:val="00BB3E01"/>
    <w:rsid w:val="00BC320F"/>
    <w:rsid w:val="00BC4ED9"/>
    <w:rsid w:val="00BC73FD"/>
    <w:rsid w:val="00BE11AE"/>
    <w:rsid w:val="00BE705F"/>
    <w:rsid w:val="00BE707D"/>
    <w:rsid w:val="00BE7FC3"/>
    <w:rsid w:val="00BF0C84"/>
    <w:rsid w:val="00BF216C"/>
    <w:rsid w:val="00BF702F"/>
    <w:rsid w:val="00C00724"/>
    <w:rsid w:val="00C02528"/>
    <w:rsid w:val="00C034C2"/>
    <w:rsid w:val="00C07EC0"/>
    <w:rsid w:val="00C14D99"/>
    <w:rsid w:val="00C2033F"/>
    <w:rsid w:val="00C2785E"/>
    <w:rsid w:val="00C302BE"/>
    <w:rsid w:val="00C33828"/>
    <w:rsid w:val="00C410B9"/>
    <w:rsid w:val="00C44F2B"/>
    <w:rsid w:val="00C450FD"/>
    <w:rsid w:val="00C45CC7"/>
    <w:rsid w:val="00C46EDB"/>
    <w:rsid w:val="00C50164"/>
    <w:rsid w:val="00C509E5"/>
    <w:rsid w:val="00C564B3"/>
    <w:rsid w:val="00C60854"/>
    <w:rsid w:val="00C626E6"/>
    <w:rsid w:val="00C662A6"/>
    <w:rsid w:val="00C713FD"/>
    <w:rsid w:val="00C7397B"/>
    <w:rsid w:val="00C83F9E"/>
    <w:rsid w:val="00C8416E"/>
    <w:rsid w:val="00C90684"/>
    <w:rsid w:val="00C9145D"/>
    <w:rsid w:val="00CA1EA4"/>
    <w:rsid w:val="00CB00E3"/>
    <w:rsid w:val="00CB0D91"/>
    <w:rsid w:val="00CB7B01"/>
    <w:rsid w:val="00CC0B85"/>
    <w:rsid w:val="00CC1510"/>
    <w:rsid w:val="00CC23C7"/>
    <w:rsid w:val="00CE3475"/>
    <w:rsid w:val="00CE6797"/>
    <w:rsid w:val="00CF35F5"/>
    <w:rsid w:val="00CF3B34"/>
    <w:rsid w:val="00CF7D0C"/>
    <w:rsid w:val="00D032C3"/>
    <w:rsid w:val="00D058B4"/>
    <w:rsid w:val="00D07478"/>
    <w:rsid w:val="00D10A01"/>
    <w:rsid w:val="00D12B74"/>
    <w:rsid w:val="00D132B9"/>
    <w:rsid w:val="00D13A9B"/>
    <w:rsid w:val="00D13E3C"/>
    <w:rsid w:val="00D14522"/>
    <w:rsid w:val="00D2031D"/>
    <w:rsid w:val="00D204F5"/>
    <w:rsid w:val="00D232F1"/>
    <w:rsid w:val="00D249DF"/>
    <w:rsid w:val="00D26605"/>
    <w:rsid w:val="00D361E8"/>
    <w:rsid w:val="00D47754"/>
    <w:rsid w:val="00D709D5"/>
    <w:rsid w:val="00D81477"/>
    <w:rsid w:val="00D83859"/>
    <w:rsid w:val="00D854E4"/>
    <w:rsid w:val="00D87B79"/>
    <w:rsid w:val="00D96841"/>
    <w:rsid w:val="00DA3EAD"/>
    <w:rsid w:val="00DB55B7"/>
    <w:rsid w:val="00DC01F8"/>
    <w:rsid w:val="00DC4B8B"/>
    <w:rsid w:val="00DC5662"/>
    <w:rsid w:val="00DC7AA5"/>
    <w:rsid w:val="00DD02D0"/>
    <w:rsid w:val="00DD435B"/>
    <w:rsid w:val="00DD6BA9"/>
    <w:rsid w:val="00DF012E"/>
    <w:rsid w:val="00DF2481"/>
    <w:rsid w:val="00DF24E7"/>
    <w:rsid w:val="00DF38C2"/>
    <w:rsid w:val="00DF79E7"/>
    <w:rsid w:val="00E04DEA"/>
    <w:rsid w:val="00E06BE1"/>
    <w:rsid w:val="00E06F9C"/>
    <w:rsid w:val="00E1037D"/>
    <w:rsid w:val="00E17A91"/>
    <w:rsid w:val="00E31461"/>
    <w:rsid w:val="00E32C67"/>
    <w:rsid w:val="00E33AFB"/>
    <w:rsid w:val="00E353C6"/>
    <w:rsid w:val="00E358E7"/>
    <w:rsid w:val="00E36297"/>
    <w:rsid w:val="00E416AF"/>
    <w:rsid w:val="00E4763C"/>
    <w:rsid w:val="00E47CC8"/>
    <w:rsid w:val="00E5650A"/>
    <w:rsid w:val="00E57FEB"/>
    <w:rsid w:val="00E6162F"/>
    <w:rsid w:val="00E6406F"/>
    <w:rsid w:val="00E73F88"/>
    <w:rsid w:val="00E81571"/>
    <w:rsid w:val="00E81A34"/>
    <w:rsid w:val="00E827F6"/>
    <w:rsid w:val="00E86651"/>
    <w:rsid w:val="00E87CBB"/>
    <w:rsid w:val="00E9371C"/>
    <w:rsid w:val="00E94249"/>
    <w:rsid w:val="00E955BC"/>
    <w:rsid w:val="00EA0628"/>
    <w:rsid w:val="00EB2D92"/>
    <w:rsid w:val="00EB5F35"/>
    <w:rsid w:val="00EC29B2"/>
    <w:rsid w:val="00ED1E77"/>
    <w:rsid w:val="00ED34A5"/>
    <w:rsid w:val="00ED4C8A"/>
    <w:rsid w:val="00ED4F09"/>
    <w:rsid w:val="00ED5CC6"/>
    <w:rsid w:val="00EE0194"/>
    <w:rsid w:val="00EE1947"/>
    <w:rsid w:val="00EF2813"/>
    <w:rsid w:val="00EF2B8E"/>
    <w:rsid w:val="00EF373A"/>
    <w:rsid w:val="00EF576D"/>
    <w:rsid w:val="00F033D3"/>
    <w:rsid w:val="00F03A68"/>
    <w:rsid w:val="00F0418D"/>
    <w:rsid w:val="00F13E46"/>
    <w:rsid w:val="00F15C14"/>
    <w:rsid w:val="00F21FA5"/>
    <w:rsid w:val="00F45967"/>
    <w:rsid w:val="00F51FFD"/>
    <w:rsid w:val="00F5304E"/>
    <w:rsid w:val="00F54B96"/>
    <w:rsid w:val="00F56A15"/>
    <w:rsid w:val="00F573F6"/>
    <w:rsid w:val="00F60C28"/>
    <w:rsid w:val="00F61D2F"/>
    <w:rsid w:val="00F61FA4"/>
    <w:rsid w:val="00F6245D"/>
    <w:rsid w:val="00F70DFC"/>
    <w:rsid w:val="00F748AA"/>
    <w:rsid w:val="00F77894"/>
    <w:rsid w:val="00F9477E"/>
    <w:rsid w:val="00FA2B1D"/>
    <w:rsid w:val="00FA395A"/>
    <w:rsid w:val="00FA5C3B"/>
    <w:rsid w:val="00FA6B86"/>
    <w:rsid w:val="00FA7582"/>
    <w:rsid w:val="00FB4246"/>
    <w:rsid w:val="00FB5C87"/>
    <w:rsid w:val="00FC0648"/>
    <w:rsid w:val="00FC1169"/>
    <w:rsid w:val="00FC3A7E"/>
    <w:rsid w:val="00FD7EB8"/>
    <w:rsid w:val="00FE6C4A"/>
    <w:rsid w:val="00FE7269"/>
    <w:rsid w:val="00FF3ADA"/>
    <w:rsid w:val="00FF6AC9"/>
    <w:rsid w:val="010B9796"/>
    <w:rsid w:val="02849235"/>
    <w:rsid w:val="042590D3"/>
    <w:rsid w:val="046CAAD4"/>
    <w:rsid w:val="05511096"/>
    <w:rsid w:val="057247BA"/>
    <w:rsid w:val="0581AB2E"/>
    <w:rsid w:val="05AA692F"/>
    <w:rsid w:val="05B0F773"/>
    <w:rsid w:val="05FBC771"/>
    <w:rsid w:val="06A1376F"/>
    <w:rsid w:val="073DC300"/>
    <w:rsid w:val="075F7F86"/>
    <w:rsid w:val="078314A9"/>
    <w:rsid w:val="0806E46C"/>
    <w:rsid w:val="08773983"/>
    <w:rsid w:val="0919E022"/>
    <w:rsid w:val="0A0D5366"/>
    <w:rsid w:val="0A415890"/>
    <w:rsid w:val="0B0A6CC5"/>
    <w:rsid w:val="0B1A21E3"/>
    <w:rsid w:val="0C1F877F"/>
    <w:rsid w:val="0C3F5961"/>
    <w:rsid w:val="0D02C2F3"/>
    <w:rsid w:val="0DD0605A"/>
    <w:rsid w:val="0E90B369"/>
    <w:rsid w:val="1017A60F"/>
    <w:rsid w:val="10757B91"/>
    <w:rsid w:val="10B1C06C"/>
    <w:rsid w:val="117A70C0"/>
    <w:rsid w:val="117AFC72"/>
    <w:rsid w:val="11A0B8DB"/>
    <w:rsid w:val="1309233E"/>
    <w:rsid w:val="13F3213B"/>
    <w:rsid w:val="13F36538"/>
    <w:rsid w:val="147CD930"/>
    <w:rsid w:val="1481CD3B"/>
    <w:rsid w:val="15A2733D"/>
    <w:rsid w:val="15E6EC8D"/>
    <w:rsid w:val="166E2C4F"/>
    <w:rsid w:val="169130E5"/>
    <w:rsid w:val="16A2D4AE"/>
    <w:rsid w:val="1997080A"/>
    <w:rsid w:val="19BC151A"/>
    <w:rsid w:val="1B97E5A5"/>
    <w:rsid w:val="1BAE5795"/>
    <w:rsid w:val="1C102403"/>
    <w:rsid w:val="1EEF051E"/>
    <w:rsid w:val="1EF1B6EF"/>
    <w:rsid w:val="1FA3704F"/>
    <w:rsid w:val="1FDEC935"/>
    <w:rsid w:val="20C671F6"/>
    <w:rsid w:val="21815265"/>
    <w:rsid w:val="227AAA7C"/>
    <w:rsid w:val="229E3CE6"/>
    <w:rsid w:val="23097CC3"/>
    <w:rsid w:val="23A263F6"/>
    <w:rsid w:val="23C4C787"/>
    <w:rsid w:val="23C9B398"/>
    <w:rsid w:val="23E70138"/>
    <w:rsid w:val="24AE6DC5"/>
    <w:rsid w:val="24C21CF5"/>
    <w:rsid w:val="2537727A"/>
    <w:rsid w:val="2596D278"/>
    <w:rsid w:val="267EF1C0"/>
    <w:rsid w:val="27E5D8F1"/>
    <w:rsid w:val="2A5D7F71"/>
    <w:rsid w:val="2BD4D574"/>
    <w:rsid w:val="2C0DF36B"/>
    <w:rsid w:val="2E0F7348"/>
    <w:rsid w:val="30759F39"/>
    <w:rsid w:val="307A6AAB"/>
    <w:rsid w:val="308C088E"/>
    <w:rsid w:val="314D20D3"/>
    <w:rsid w:val="32C01FAB"/>
    <w:rsid w:val="33ECB985"/>
    <w:rsid w:val="35827747"/>
    <w:rsid w:val="35D89CDE"/>
    <w:rsid w:val="363A3393"/>
    <w:rsid w:val="364207BD"/>
    <w:rsid w:val="379E4FEA"/>
    <w:rsid w:val="3901FC32"/>
    <w:rsid w:val="3B0560EB"/>
    <w:rsid w:val="3C4C00F3"/>
    <w:rsid w:val="3EF1F04B"/>
    <w:rsid w:val="40DE0E0D"/>
    <w:rsid w:val="421B89A5"/>
    <w:rsid w:val="4270F538"/>
    <w:rsid w:val="434A04A3"/>
    <w:rsid w:val="43C734AB"/>
    <w:rsid w:val="43D68A32"/>
    <w:rsid w:val="44164B92"/>
    <w:rsid w:val="4438C84D"/>
    <w:rsid w:val="44D7B0FD"/>
    <w:rsid w:val="4514203B"/>
    <w:rsid w:val="461112DC"/>
    <w:rsid w:val="46810115"/>
    <w:rsid w:val="46F45CB8"/>
    <w:rsid w:val="4728F6CC"/>
    <w:rsid w:val="4740018A"/>
    <w:rsid w:val="482FB496"/>
    <w:rsid w:val="49F99017"/>
    <w:rsid w:val="4A930357"/>
    <w:rsid w:val="4A97AA12"/>
    <w:rsid w:val="4AA22EF3"/>
    <w:rsid w:val="4B0C442A"/>
    <w:rsid w:val="4BF9A99D"/>
    <w:rsid w:val="4DB326B8"/>
    <w:rsid w:val="4DD7B446"/>
    <w:rsid w:val="4EAB4869"/>
    <w:rsid w:val="4FDE43D8"/>
    <w:rsid w:val="5067A788"/>
    <w:rsid w:val="508A16CF"/>
    <w:rsid w:val="50F0A04E"/>
    <w:rsid w:val="5121D0A9"/>
    <w:rsid w:val="519524CF"/>
    <w:rsid w:val="51B81BDF"/>
    <w:rsid w:val="51C4368D"/>
    <w:rsid w:val="529204D4"/>
    <w:rsid w:val="53842B2D"/>
    <w:rsid w:val="5408BB1A"/>
    <w:rsid w:val="578F0B41"/>
    <w:rsid w:val="58096AE5"/>
    <w:rsid w:val="581281F8"/>
    <w:rsid w:val="59D6906C"/>
    <w:rsid w:val="59DE6268"/>
    <w:rsid w:val="59FECA63"/>
    <w:rsid w:val="5A6337AA"/>
    <w:rsid w:val="5B68F5ED"/>
    <w:rsid w:val="5C673713"/>
    <w:rsid w:val="5CBD3106"/>
    <w:rsid w:val="5E5FBB7E"/>
    <w:rsid w:val="5E603120"/>
    <w:rsid w:val="5EC1CED6"/>
    <w:rsid w:val="5FE4EDD6"/>
    <w:rsid w:val="6066E66A"/>
    <w:rsid w:val="606AB41A"/>
    <w:rsid w:val="6081C079"/>
    <w:rsid w:val="608BD7B9"/>
    <w:rsid w:val="60B03BB9"/>
    <w:rsid w:val="613BDE83"/>
    <w:rsid w:val="6145A298"/>
    <w:rsid w:val="6165F71C"/>
    <w:rsid w:val="61834E98"/>
    <w:rsid w:val="62F2FAEF"/>
    <w:rsid w:val="6454ADDF"/>
    <w:rsid w:val="649B32BD"/>
    <w:rsid w:val="65911998"/>
    <w:rsid w:val="6852D2EB"/>
    <w:rsid w:val="698CEAB6"/>
    <w:rsid w:val="6B0FA873"/>
    <w:rsid w:val="6BABB6E0"/>
    <w:rsid w:val="6E3298C2"/>
    <w:rsid w:val="6E4E61D3"/>
    <w:rsid w:val="6F6DC0DA"/>
    <w:rsid w:val="6F73C437"/>
    <w:rsid w:val="70E5A391"/>
    <w:rsid w:val="71198EB9"/>
    <w:rsid w:val="714A22B2"/>
    <w:rsid w:val="715490F0"/>
    <w:rsid w:val="717ACDDE"/>
    <w:rsid w:val="72235019"/>
    <w:rsid w:val="72343499"/>
    <w:rsid w:val="7270C0BB"/>
    <w:rsid w:val="74140972"/>
    <w:rsid w:val="7427BD7A"/>
    <w:rsid w:val="748D8FAB"/>
    <w:rsid w:val="7642FE83"/>
    <w:rsid w:val="76C49F30"/>
    <w:rsid w:val="774EAE5C"/>
    <w:rsid w:val="775E0E64"/>
    <w:rsid w:val="77BC48E2"/>
    <w:rsid w:val="77CAC7C3"/>
    <w:rsid w:val="783B2130"/>
    <w:rsid w:val="78955E0E"/>
    <w:rsid w:val="78D5C6D6"/>
    <w:rsid w:val="790D07D7"/>
    <w:rsid w:val="79BE6E82"/>
    <w:rsid w:val="79E20E53"/>
    <w:rsid w:val="7A31376A"/>
    <w:rsid w:val="7BAEC39F"/>
    <w:rsid w:val="7BBD2146"/>
    <w:rsid w:val="7C687B7D"/>
    <w:rsid w:val="7CE183E0"/>
    <w:rsid w:val="7DD03CC1"/>
    <w:rsid w:val="7E96FD1D"/>
    <w:rsid w:val="7F0DF64F"/>
    <w:rsid w:val="7F6F1056"/>
    <w:rsid w:val="7F7CA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089628"/>
  <w15:chartTrackingRefBased/>
  <w15:docId w15:val="{85990E62-BEFF-4FCF-BFF3-7DDEC697D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00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00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00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0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00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00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00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00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00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00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00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00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0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00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00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00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00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00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00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00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00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00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00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00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00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00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00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00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003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9003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003A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90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s-US" w:eastAsia="es-US"/>
      <w14:ligatures w14:val="none"/>
    </w:rPr>
  </w:style>
  <w:style w:type="character" w:customStyle="1" w:styleId="normaltextrun">
    <w:name w:val="normaltextrun"/>
    <w:basedOn w:val="DefaultParagraphFont"/>
    <w:rsid w:val="0059003A"/>
  </w:style>
  <w:style w:type="table" w:styleId="TableGrid">
    <w:name w:val="Table Grid"/>
    <w:basedOn w:val="TableNormal"/>
    <w:uiPriority w:val="59"/>
    <w:rsid w:val="0059003A"/>
    <w:pPr>
      <w:spacing w:after="0" w:line="240" w:lineRule="auto"/>
    </w:pPr>
    <w:rPr>
      <w:rFonts w:ascii="Arial" w:eastAsia="Arial" w:hAnsi="Arial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32AE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32A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AE2"/>
  </w:style>
  <w:style w:type="paragraph" w:styleId="Footer">
    <w:name w:val="footer"/>
    <w:basedOn w:val="Normal"/>
    <w:link w:val="FooterChar"/>
    <w:uiPriority w:val="99"/>
    <w:unhideWhenUsed/>
    <w:rsid w:val="00032A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AE2"/>
  </w:style>
  <w:style w:type="paragraph" w:styleId="Revision">
    <w:name w:val="Revision"/>
    <w:hidden/>
    <w:uiPriority w:val="99"/>
    <w:semiHidden/>
    <w:rsid w:val="00347CB3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rsid w:val="005458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58D7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458D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2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246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FB424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c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llicom.com/investors/shareholder-remuneration" TargetMode="External"/><Relationship Id="rId12" Type="http://schemas.microsoft.com/office/2019/05/relationships/documenttasks" Target="documenttasks/documenttasks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6EE115C2-88A6-42B4-B8BC-597A3F3A31D9}">
    <t:Anchor>
      <t:Comment id="545360451"/>
    </t:Anchor>
    <t:History>
      <t:Event id="{A967D00F-41ED-453E-891B-6D384E5CC390}" time="2026-08-04T22:36:43.119Z">
        <t:Attribution userId="S::maria.maiori@millicom.com::0d1a17e5-eaec-417d-9b8d-c52f2197cfff" userProvider="AD" userName="Maria Maiori"/>
        <t:Anchor>
          <t:Comment id="545360451"/>
        </t:Anchor>
        <t:Create/>
      </t:Event>
      <t:Event id="{E817D695-A61B-4A8A-B60B-540F7BC3AE36}" time="2026-08-04T22:36:43.119Z">
        <t:Attribution userId="S::maria.maiori@millicom.com::0d1a17e5-eaec-417d-9b8d-c52f2197cfff" userProvider="AD" userName="Maria Maiori"/>
        <t:Anchor>
          <t:Comment id="545360451"/>
        </t:Anchor>
        <t:Assign userId="S::Alessandra.Braggion@Millicom.com::00cfcbf6-d4ea-434d-83fb-8e939dae0024" userProvider="AD" userName="Alessandra Braggion"/>
      </t:Event>
      <t:Event id="{18FC8794-7E66-42DA-BD53-765EA2F61142}" time="2026-08-04T22:36:43.119Z">
        <t:Attribution userId="S::maria.maiori@millicom.com::0d1a17e5-eaec-417d-9b8d-c52f2197cfff" userProvider="AD" userName="Maria Maiori"/>
        <t:Anchor>
          <t:Comment id="545360451"/>
        </t:Anchor>
        <t:SetTitle title="I think the ordinary dividend declared in the AGM 2026 relates to fiscal year 2025. @Alessandra Braggion can you please confirm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1532</Words>
  <Characters>8429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Corral</dc:creator>
  <cp:keywords/>
  <dc:description/>
  <cp:lastModifiedBy>Sofia Corral</cp:lastModifiedBy>
  <cp:revision>5</cp:revision>
  <dcterms:created xsi:type="dcterms:W3CDTF">2026-08-05T22:27:00Z</dcterms:created>
  <dcterms:modified xsi:type="dcterms:W3CDTF">2026-08-06T02:20:00Z</dcterms:modified>
</cp:coreProperties>
</file>