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6048" w14:textId="77777777" w:rsidR="009C4E7F" w:rsidRDefault="009C4E7F" w:rsidP="00377288">
      <w:pPr>
        <w:pStyle w:val="BodyText"/>
        <w:rPr>
          <w:b/>
          <w:bCs/>
          <w:u w:val="single"/>
        </w:rPr>
      </w:pPr>
    </w:p>
    <w:p w14:paraId="132C7ED4" w14:textId="0360D404" w:rsidR="00377288" w:rsidRDefault="00377288" w:rsidP="00377288">
      <w:pPr>
        <w:pStyle w:val="BodyText"/>
        <w:rPr>
          <w:b/>
          <w:bCs/>
        </w:rPr>
      </w:pPr>
      <w:r w:rsidRPr="0088513D">
        <w:rPr>
          <w:b/>
          <w:bCs/>
        </w:rPr>
        <w:t>Bilag</w:t>
      </w:r>
      <w:r w:rsidR="0088513D" w:rsidRPr="0088513D">
        <w:rPr>
          <w:b/>
          <w:bCs/>
        </w:rPr>
        <w:t>:</w:t>
      </w:r>
      <w:r>
        <w:rPr>
          <w:b/>
          <w:bCs/>
        </w:rPr>
        <w:t xml:space="preserve"> Selskabsmeddelelse nr. </w:t>
      </w:r>
      <w:r w:rsidR="00DA2A54">
        <w:rPr>
          <w:b/>
          <w:bCs/>
        </w:rPr>
        <w:t>3</w:t>
      </w:r>
      <w:r w:rsidR="00A06166">
        <w:rPr>
          <w:b/>
          <w:bCs/>
        </w:rPr>
        <w:t>3</w:t>
      </w:r>
      <w:r>
        <w:rPr>
          <w:b/>
          <w:bCs/>
        </w:rPr>
        <w:t>/20</w:t>
      </w:r>
      <w:r w:rsidR="0068420F">
        <w:rPr>
          <w:b/>
          <w:bCs/>
        </w:rPr>
        <w:t>2</w:t>
      </w:r>
      <w:r w:rsidR="00C94B26">
        <w:rPr>
          <w:b/>
          <w:bCs/>
        </w:rPr>
        <w:t>5</w:t>
      </w:r>
    </w:p>
    <w:p w14:paraId="2D0A483C" w14:textId="77777777" w:rsidR="00377288" w:rsidRDefault="00377288" w:rsidP="00377288">
      <w:pPr>
        <w:pStyle w:val="BodyText"/>
        <w:rPr>
          <w:b/>
          <w:bCs/>
        </w:rPr>
      </w:pPr>
    </w:p>
    <w:p w14:paraId="7E81E8A1" w14:textId="50E1B8E6" w:rsidR="00377288" w:rsidRDefault="00377288" w:rsidP="00377288">
      <w:pPr>
        <w:pStyle w:val="BodyText"/>
        <w:rPr>
          <w:sz w:val="24"/>
          <w:szCs w:val="24"/>
        </w:rPr>
      </w:pPr>
      <w:r w:rsidRPr="006701F8">
        <w:rPr>
          <w:b/>
          <w:bCs/>
          <w:sz w:val="24"/>
          <w:szCs w:val="24"/>
        </w:rPr>
        <w:t xml:space="preserve">Vilkår for Realkredit Danmarks auktion </w:t>
      </w:r>
      <w:r w:rsidRPr="001B58A3">
        <w:rPr>
          <w:b/>
          <w:bCs/>
          <w:sz w:val="24"/>
          <w:szCs w:val="24"/>
        </w:rPr>
        <w:t xml:space="preserve">den </w:t>
      </w:r>
      <w:r w:rsidR="0088513D" w:rsidRPr="001B58A3">
        <w:rPr>
          <w:b/>
          <w:bCs/>
          <w:sz w:val="24"/>
          <w:szCs w:val="24"/>
        </w:rPr>
        <w:t>2</w:t>
      </w:r>
      <w:r w:rsidR="001B58A3" w:rsidRPr="001B58A3">
        <w:rPr>
          <w:b/>
          <w:bCs/>
          <w:sz w:val="24"/>
          <w:szCs w:val="24"/>
        </w:rPr>
        <w:t>6</w:t>
      </w:r>
      <w:r w:rsidR="0088513D" w:rsidRPr="001B58A3">
        <w:rPr>
          <w:b/>
          <w:bCs/>
          <w:sz w:val="24"/>
          <w:szCs w:val="24"/>
        </w:rPr>
        <w:t>.</w:t>
      </w:r>
      <w:r w:rsidR="001B64B7" w:rsidRPr="00D5559C">
        <w:rPr>
          <w:b/>
          <w:bCs/>
          <w:sz w:val="24"/>
          <w:szCs w:val="24"/>
        </w:rPr>
        <w:t xml:space="preserve"> </w:t>
      </w:r>
      <w:r w:rsidR="0088090F" w:rsidRPr="00D5559C">
        <w:rPr>
          <w:b/>
          <w:bCs/>
          <w:sz w:val="24"/>
          <w:szCs w:val="24"/>
        </w:rPr>
        <w:t>maj</w:t>
      </w:r>
      <w:r w:rsidR="0088090F" w:rsidRPr="00526325">
        <w:rPr>
          <w:b/>
          <w:bCs/>
          <w:sz w:val="24"/>
          <w:szCs w:val="24"/>
        </w:rPr>
        <w:t xml:space="preserve"> </w:t>
      </w:r>
      <w:r w:rsidR="0088513D">
        <w:rPr>
          <w:b/>
          <w:bCs/>
          <w:sz w:val="24"/>
          <w:szCs w:val="24"/>
        </w:rPr>
        <w:t>202</w:t>
      </w:r>
      <w:r w:rsidR="00C94B26">
        <w:rPr>
          <w:b/>
          <w:bCs/>
          <w:sz w:val="24"/>
          <w:szCs w:val="24"/>
        </w:rPr>
        <w:t>5</w:t>
      </w:r>
    </w:p>
    <w:p w14:paraId="58C66997" w14:textId="77777777" w:rsidR="00377288" w:rsidRPr="006701F8" w:rsidRDefault="00377288" w:rsidP="0037728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bCs/>
          <w:color w:val="000000"/>
          <w:sz w:val="24"/>
          <w:u w:val="single"/>
        </w:rPr>
      </w:pPr>
    </w:p>
    <w:p w14:paraId="4ECD9E7F" w14:textId="77777777" w:rsidR="00377288" w:rsidRPr="006701F8" w:rsidRDefault="00377288" w:rsidP="0037728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ind w:left="2608" w:hanging="2608"/>
        <w:rPr>
          <w:color w:val="000000"/>
          <w:szCs w:val="22"/>
        </w:rPr>
      </w:pPr>
      <w:r w:rsidRPr="006701F8">
        <w:rPr>
          <w:b/>
          <w:bCs/>
          <w:color w:val="000000"/>
          <w:szCs w:val="22"/>
          <w:u w:val="single"/>
        </w:rPr>
        <w:t>Auktionen</w:t>
      </w:r>
      <w:r w:rsidRPr="006701F8">
        <w:rPr>
          <w:color w:val="000000"/>
          <w:szCs w:val="22"/>
        </w:rPr>
        <w:tab/>
      </w:r>
    </w:p>
    <w:p w14:paraId="41464368" w14:textId="7E2C6639" w:rsidR="0037728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6701F8">
        <w:rPr>
          <w:color w:val="000000"/>
          <w:szCs w:val="22"/>
        </w:rPr>
        <w:t>Auktionen fo</w:t>
      </w:r>
      <w:r w:rsidR="009056B0">
        <w:rPr>
          <w:color w:val="000000"/>
          <w:szCs w:val="22"/>
        </w:rPr>
        <w:t xml:space="preserve">regår på </w:t>
      </w:r>
      <w:r w:rsidR="00F72525">
        <w:rPr>
          <w:color w:val="000000"/>
          <w:szCs w:val="22"/>
        </w:rPr>
        <w:t xml:space="preserve">CPH Auctions på </w:t>
      </w:r>
      <w:r w:rsidR="009056B0">
        <w:rPr>
          <w:color w:val="000000"/>
          <w:szCs w:val="22"/>
        </w:rPr>
        <w:t>N</w:t>
      </w:r>
      <w:r w:rsidR="00BB78B4">
        <w:rPr>
          <w:color w:val="000000"/>
          <w:szCs w:val="22"/>
        </w:rPr>
        <w:t>asdaq</w:t>
      </w:r>
      <w:r w:rsidR="009056B0">
        <w:rPr>
          <w:color w:val="000000"/>
          <w:szCs w:val="22"/>
        </w:rPr>
        <w:t xml:space="preserve"> Copenhagen</w:t>
      </w:r>
      <w:r w:rsidR="00F72525">
        <w:rPr>
          <w:color w:val="000000"/>
          <w:szCs w:val="22"/>
        </w:rPr>
        <w:t xml:space="preserve"> A/S</w:t>
      </w:r>
      <w:r w:rsidRPr="006701F8">
        <w:rPr>
          <w:color w:val="000000"/>
          <w:szCs w:val="22"/>
        </w:rPr>
        <w:t xml:space="preserve">. </w:t>
      </w:r>
    </w:p>
    <w:p w14:paraId="3F94BB62" w14:textId="77777777" w:rsidR="005E6841" w:rsidRDefault="005E6841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47E566D5" w14:textId="77777777" w:rsidR="005E6841" w:rsidRDefault="005E6841" w:rsidP="005E6841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>
        <w:rPr>
          <w:szCs w:val="22"/>
        </w:rPr>
        <w:t>Ved auktione</w:t>
      </w:r>
      <w:r w:rsidR="0088513D">
        <w:rPr>
          <w:szCs w:val="22"/>
        </w:rPr>
        <w:t>r</w:t>
      </w:r>
      <w:r>
        <w:rPr>
          <w:szCs w:val="22"/>
        </w:rPr>
        <w:t>n</w:t>
      </w:r>
      <w:r w:rsidR="0088513D">
        <w:rPr>
          <w:szCs w:val="22"/>
        </w:rPr>
        <w:t>e</w:t>
      </w:r>
      <w:r>
        <w:rPr>
          <w:szCs w:val="22"/>
        </w:rPr>
        <w:t xml:space="preserve"> anvendes det hollandske auktionsprincip og auktionstypen ”</w:t>
      </w:r>
      <w:proofErr w:type="spellStart"/>
      <w:r>
        <w:rPr>
          <w:szCs w:val="22"/>
        </w:rPr>
        <w:t>hidden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call</w:t>
      </w:r>
      <w:proofErr w:type="spellEnd"/>
      <w:r>
        <w:rPr>
          <w:szCs w:val="22"/>
        </w:rPr>
        <w:t>”.</w:t>
      </w:r>
    </w:p>
    <w:p w14:paraId="46A6D71D" w14:textId="77777777" w:rsidR="0037728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0997564B" w14:textId="77777777" w:rsidR="005E6841" w:rsidRDefault="005E6841" w:rsidP="009C4E7F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9C4E7F">
        <w:rPr>
          <w:color w:val="000000"/>
          <w:szCs w:val="22"/>
        </w:rPr>
        <w:t xml:space="preserve">”Hidden </w:t>
      </w:r>
      <w:proofErr w:type="spellStart"/>
      <w:r w:rsidRPr="009C4E7F">
        <w:rPr>
          <w:color w:val="000000"/>
          <w:szCs w:val="22"/>
        </w:rPr>
        <w:t>call</w:t>
      </w:r>
      <w:proofErr w:type="spellEnd"/>
      <w:r w:rsidRPr="009C4E7F">
        <w:rPr>
          <w:color w:val="000000"/>
          <w:szCs w:val="22"/>
        </w:rPr>
        <w:t xml:space="preserve">” </w:t>
      </w:r>
      <w:proofErr w:type="gramStart"/>
      <w:r w:rsidRPr="009C4E7F">
        <w:rPr>
          <w:color w:val="000000"/>
          <w:szCs w:val="22"/>
        </w:rPr>
        <w:t>betyder,</w:t>
      </w:r>
      <w:proofErr w:type="gramEnd"/>
      <w:r w:rsidRPr="009C4E7F">
        <w:rPr>
          <w:color w:val="000000"/>
          <w:szCs w:val="22"/>
        </w:rPr>
        <w:t xml:space="preserve"> at auktionsdeltagere kun kan se egne bud, og at emittent kan se alle bud.</w:t>
      </w:r>
    </w:p>
    <w:p w14:paraId="0DD63E29" w14:textId="77777777" w:rsidR="007407C6" w:rsidRDefault="007407C6" w:rsidP="009C4E7F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6F1B663C" w14:textId="77777777" w:rsidR="0099426C" w:rsidRPr="006701F8" w:rsidRDefault="0099426C" w:rsidP="0099426C">
      <w:pPr>
        <w:pStyle w:val="BodyTextIndent"/>
        <w:tabs>
          <w:tab w:val="left" w:pos="0"/>
        </w:tabs>
        <w:spacing w:line="240" w:lineRule="auto"/>
        <w:ind w:left="0"/>
        <w:rPr>
          <w:b/>
          <w:bCs/>
          <w:szCs w:val="22"/>
          <w:u w:val="single"/>
        </w:rPr>
      </w:pPr>
      <w:r w:rsidRPr="006701F8">
        <w:rPr>
          <w:b/>
          <w:bCs/>
          <w:szCs w:val="22"/>
          <w:u w:val="single"/>
        </w:rPr>
        <w:t>Bud/afregning</w:t>
      </w:r>
    </w:p>
    <w:p w14:paraId="6113BA39" w14:textId="77777777" w:rsidR="00C1780C" w:rsidRPr="00C1780C" w:rsidRDefault="00C1780C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i/>
          <w:iCs/>
          <w:color w:val="000000"/>
          <w:szCs w:val="22"/>
        </w:rPr>
      </w:pPr>
      <w:r w:rsidRPr="00C1780C">
        <w:rPr>
          <w:i/>
          <w:iCs/>
          <w:color w:val="000000"/>
          <w:szCs w:val="22"/>
        </w:rPr>
        <w:t>RD Cibor6®</w:t>
      </w:r>
    </w:p>
    <w:p w14:paraId="092E069C" w14:textId="4FC8AFF9" w:rsidR="0099426C" w:rsidRPr="009C4E7F" w:rsidRDefault="0099426C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9C4E7F">
        <w:rPr>
          <w:color w:val="000000"/>
          <w:szCs w:val="22"/>
        </w:rPr>
        <w:t>Obligationen udbydes til kurs 100,</w:t>
      </w:r>
      <w:r>
        <w:rPr>
          <w:color w:val="000000"/>
          <w:szCs w:val="22"/>
        </w:rPr>
        <w:t>2</w:t>
      </w:r>
      <w:r w:rsidRPr="009C4E7F">
        <w:rPr>
          <w:color w:val="000000"/>
          <w:szCs w:val="22"/>
        </w:rPr>
        <w:t>0, og bud afgives i form af mængde og tillæg til referencerenten.</w:t>
      </w:r>
    </w:p>
    <w:p w14:paraId="45C0370F" w14:textId="77777777" w:rsidR="0099426C" w:rsidRDefault="0099426C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7A0D109D" w14:textId="7B382497" w:rsidR="0099426C" w:rsidRDefault="0099426C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9C4E7F">
        <w:rPr>
          <w:color w:val="000000"/>
          <w:szCs w:val="22"/>
        </w:rPr>
        <w:t>Rentetillægget vil gælde fra 1. juli 20</w:t>
      </w:r>
      <w:r w:rsidR="00045809">
        <w:rPr>
          <w:color w:val="000000"/>
          <w:szCs w:val="22"/>
        </w:rPr>
        <w:t>2</w:t>
      </w:r>
      <w:r w:rsidR="00C94B26">
        <w:rPr>
          <w:color w:val="000000"/>
          <w:szCs w:val="22"/>
        </w:rPr>
        <w:t>5</w:t>
      </w:r>
      <w:r w:rsidRPr="009C4E7F">
        <w:rPr>
          <w:color w:val="000000"/>
          <w:szCs w:val="22"/>
        </w:rPr>
        <w:t xml:space="preserve"> og til obligation</w:t>
      </w:r>
      <w:r>
        <w:rPr>
          <w:color w:val="000000"/>
          <w:szCs w:val="22"/>
        </w:rPr>
        <w:t>en</w:t>
      </w:r>
      <w:r w:rsidRPr="009C4E7F">
        <w:rPr>
          <w:color w:val="000000"/>
          <w:szCs w:val="22"/>
        </w:rPr>
        <w:t>s udløb.</w:t>
      </w:r>
    </w:p>
    <w:p w14:paraId="624352E4" w14:textId="77777777" w:rsidR="0099426C" w:rsidRDefault="0099426C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2F825408" w14:textId="78FE687B" w:rsidR="00C1780C" w:rsidRPr="00C1780C" w:rsidRDefault="00C1780C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i/>
          <w:iCs/>
          <w:color w:val="000000"/>
          <w:szCs w:val="22"/>
        </w:rPr>
      </w:pPr>
      <w:r w:rsidRPr="00C1780C">
        <w:rPr>
          <w:i/>
          <w:iCs/>
          <w:color w:val="000000"/>
          <w:szCs w:val="22"/>
        </w:rPr>
        <w:t>RD Cibor6® Green</w:t>
      </w:r>
    </w:p>
    <w:p w14:paraId="0AC8D064" w14:textId="7E94B0D2" w:rsidR="00C1780C" w:rsidRDefault="00C1780C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C1780C">
        <w:rPr>
          <w:color w:val="000000"/>
          <w:szCs w:val="22"/>
        </w:rPr>
        <w:t>Bud afgives i form af mængde og kurs.</w:t>
      </w:r>
    </w:p>
    <w:p w14:paraId="1618F0AC" w14:textId="77777777" w:rsidR="00C1780C" w:rsidRDefault="00C1780C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4BCFD868" w14:textId="77777777" w:rsidR="0099426C" w:rsidRDefault="005F2A6F" w:rsidP="0099426C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5F2A6F">
        <w:rPr>
          <w:color w:val="000000"/>
          <w:szCs w:val="22"/>
        </w:rPr>
        <w:t>Tidspunktet fra sidste bud er lagt ind til den endelige tildeling, kaldet IPMO-perioden, er 10 minutter. Realkredit Danmark afregner hurtigst muligt efter skæringstidspunktet og senest ved IPMO-periodens udløb.</w:t>
      </w:r>
    </w:p>
    <w:p w14:paraId="7FADF6FA" w14:textId="77777777" w:rsidR="0099426C" w:rsidRDefault="0099426C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color w:val="000000"/>
          <w:szCs w:val="22"/>
          <w:u w:val="single"/>
        </w:rPr>
      </w:pPr>
    </w:p>
    <w:p w14:paraId="4FE8D5EC" w14:textId="77777777" w:rsidR="00377288" w:rsidRPr="006573BE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color w:val="000000"/>
          <w:szCs w:val="22"/>
          <w:u w:val="single"/>
        </w:rPr>
      </w:pPr>
      <w:r w:rsidRPr="004D7D45">
        <w:rPr>
          <w:b/>
          <w:color w:val="000000"/>
          <w:szCs w:val="22"/>
          <w:u w:val="single"/>
        </w:rPr>
        <w:t>Tildeling</w:t>
      </w:r>
    </w:p>
    <w:p w14:paraId="32639760" w14:textId="77777777" w:rsidR="00377288" w:rsidRPr="009C4E7F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6701F8">
        <w:rPr>
          <w:color w:val="000000"/>
          <w:szCs w:val="22"/>
        </w:rPr>
        <w:t>Det hollandske auktionsprincip betyder, at</w:t>
      </w:r>
      <w:r w:rsidRPr="009C4E7F">
        <w:rPr>
          <w:color w:val="000000"/>
          <w:szCs w:val="22"/>
        </w:rPr>
        <w:t xml:space="preserve"> alle bud </w:t>
      </w:r>
      <w:r w:rsidR="009C4E7F" w:rsidRPr="009C4E7F">
        <w:rPr>
          <w:color w:val="000000"/>
          <w:szCs w:val="22"/>
        </w:rPr>
        <w:t>under</w:t>
      </w:r>
      <w:r w:rsidRPr="009C4E7F">
        <w:rPr>
          <w:color w:val="000000"/>
          <w:szCs w:val="22"/>
        </w:rPr>
        <w:t xml:space="preserve"> skærings</w:t>
      </w:r>
      <w:r w:rsidR="009C4E7F" w:rsidRPr="009C4E7F">
        <w:rPr>
          <w:color w:val="000000"/>
          <w:szCs w:val="22"/>
        </w:rPr>
        <w:t>tillægget</w:t>
      </w:r>
      <w:r w:rsidRPr="009C4E7F">
        <w:rPr>
          <w:color w:val="000000"/>
          <w:szCs w:val="22"/>
        </w:rPr>
        <w:t xml:space="preserve"> vil blive afregnet det fulde beløb til skær</w:t>
      </w:r>
      <w:r w:rsidR="00906747" w:rsidRPr="009C4E7F">
        <w:rPr>
          <w:color w:val="000000"/>
          <w:szCs w:val="22"/>
        </w:rPr>
        <w:t>in</w:t>
      </w:r>
      <w:r w:rsidR="009C4E7F" w:rsidRPr="009C4E7F">
        <w:rPr>
          <w:color w:val="000000"/>
          <w:szCs w:val="22"/>
        </w:rPr>
        <w:t>gstillægge</w:t>
      </w:r>
      <w:r w:rsidR="00704F59">
        <w:rPr>
          <w:color w:val="000000"/>
          <w:szCs w:val="22"/>
        </w:rPr>
        <w:t>t</w:t>
      </w:r>
      <w:r w:rsidRPr="009C4E7F">
        <w:rPr>
          <w:color w:val="000000"/>
          <w:szCs w:val="22"/>
        </w:rPr>
        <w:t>.</w:t>
      </w:r>
    </w:p>
    <w:p w14:paraId="31B31325" w14:textId="77777777" w:rsidR="00377288" w:rsidRPr="006701F8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3DF2410B" w14:textId="3F78FE39" w:rsidR="009C4E7F" w:rsidRDefault="009C4E7F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9C4E7F">
        <w:rPr>
          <w:color w:val="000000"/>
          <w:szCs w:val="22"/>
        </w:rPr>
        <w:t>For bud på skæringstillægget</w:t>
      </w:r>
      <w:r w:rsidR="00C1780C">
        <w:rPr>
          <w:color w:val="000000"/>
          <w:szCs w:val="22"/>
        </w:rPr>
        <w:t>/-kursen</w:t>
      </w:r>
      <w:r w:rsidR="00377288" w:rsidRPr="009C4E7F">
        <w:rPr>
          <w:color w:val="000000"/>
          <w:szCs w:val="22"/>
        </w:rPr>
        <w:t xml:space="preserve"> kan der blive tale om pro rata tildeling. </w:t>
      </w:r>
    </w:p>
    <w:p w14:paraId="11B60B3B" w14:textId="77777777" w:rsidR="009C4E7F" w:rsidRDefault="009C4E7F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0FD98DCF" w14:textId="5924C9A2" w:rsidR="00377288" w:rsidRPr="009C4E7F" w:rsidRDefault="00377288" w:rsidP="0037728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 w:rsidRPr="009C4E7F">
        <w:rPr>
          <w:color w:val="000000"/>
          <w:szCs w:val="22"/>
        </w:rPr>
        <w:t xml:space="preserve">Alle bud </w:t>
      </w:r>
      <w:r w:rsidR="00592D3F">
        <w:rPr>
          <w:color w:val="000000"/>
          <w:szCs w:val="22"/>
        </w:rPr>
        <w:t>over</w:t>
      </w:r>
      <w:r w:rsidRPr="009C4E7F">
        <w:rPr>
          <w:color w:val="000000"/>
          <w:szCs w:val="22"/>
        </w:rPr>
        <w:t xml:space="preserve"> skærings</w:t>
      </w:r>
      <w:r w:rsidR="00592D3F">
        <w:rPr>
          <w:color w:val="000000"/>
          <w:szCs w:val="22"/>
        </w:rPr>
        <w:t>tillægget</w:t>
      </w:r>
      <w:r w:rsidR="00C1780C">
        <w:rPr>
          <w:color w:val="000000"/>
          <w:szCs w:val="22"/>
        </w:rPr>
        <w:t>/under skæringskursen</w:t>
      </w:r>
      <w:r w:rsidRPr="009C4E7F">
        <w:rPr>
          <w:color w:val="000000"/>
          <w:szCs w:val="22"/>
        </w:rPr>
        <w:t xml:space="preserve"> vil ikke blive afregnet. </w:t>
      </w:r>
    </w:p>
    <w:p w14:paraId="2821FA98" w14:textId="77777777" w:rsidR="00377288" w:rsidRPr="009C4E7F" w:rsidRDefault="00377288" w:rsidP="009C4E7F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3A975C21" w14:textId="77777777" w:rsidR="00906747" w:rsidRDefault="00377288" w:rsidP="00D52D2F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szCs w:val="22"/>
        </w:rPr>
      </w:pPr>
      <w:r w:rsidRPr="006701F8">
        <w:rPr>
          <w:b/>
          <w:bCs/>
          <w:szCs w:val="22"/>
          <w:u w:val="single"/>
        </w:rPr>
        <w:t>Decimaler</w:t>
      </w:r>
      <w:r w:rsidRPr="006701F8">
        <w:rPr>
          <w:szCs w:val="22"/>
        </w:rPr>
        <w:t xml:space="preserve"> </w:t>
      </w:r>
    </w:p>
    <w:p w14:paraId="5BB63FB2" w14:textId="77777777" w:rsidR="00377288" w:rsidRPr="006701F8" w:rsidRDefault="00377288" w:rsidP="00D52D2F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szCs w:val="22"/>
        </w:rPr>
      </w:pPr>
      <w:r w:rsidRPr="006701F8">
        <w:rPr>
          <w:szCs w:val="22"/>
        </w:rPr>
        <w:t>Det vil være muligt at lægge bud ind</w:t>
      </w:r>
      <w:r w:rsidR="009C4E7F">
        <w:rPr>
          <w:szCs w:val="22"/>
        </w:rPr>
        <w:t xml:space="preserve"> </w:t>
      </w:r>
      <w:r w:rsidRPr="006701F8">
        <w:rPr>
          <w:szCs w:val="22"/>
        </w:rPr>
        <w:t xml:space="preserve">med </w:t>
      </w:r>
      <w:r w:rsidRPr="0088090F">
        <w:rPr>
          <w:szCs w:val="22"/>
        </w:rPr>
        <w:t>t</w:t>
      </w:r>
      <w:r w:rsidR="0088090F">
        <w:rPr>
          <w:szCs w:val="22"/>
        </w:rPr>
        <w:t>o</w:t>
      </w:r>
      <w:r w:rsidRPr="006701F8">
        <w:rPr>
          <w:szCs w:val="22"/>
        </w:rPr>
        <w:t xml:space="preserve"> decimalers nøjagtighed.</w:t>
      </w:r>
    </w:p>
    <w:p w14:paraId="79B6641B" w14:textId="77777777" w:rsidR="00377288" w:rsidRPr="00D52D2F" w:rsidRDefault="00377288" w:rsidP="00906747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szCs w:val="22"/>
        </w:rPr>
      </w:pPr>
    </w:p>
    <w:p w14:paraId="652B54D8" w14:textId="77777777" w:rsidR="00F72525" w:rsidRPr="00F72525" w:rsidRDefault="00F72525" w:rsidP="00F72525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b/>
          <w:bCs/>
          <w:color w:val="000000"/>
          <w:sz w:val="18"/>
          <w:szCs w:val="22"/>
          <w:u w:val="single"/>
        </w:rPr>
      </w:pPr>
      <w:r w:rsidRPr="006701F8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Valør</w:t>
      </w:r>
    </w:p>
    <w:p w14:paraId="4A62D82E" w14:textId="794EB97B" w:rsidR="00F72525" w:rsidRDefault="00584245" w:rsidP="001E3C1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  <w:r>
        <w:rPr>
          <w:color w:val="000000"/>
          <w:szCs w:val="22"/>
        </w:rPr>
        <w:t>1</w:t>
      </w:r>
      <w:r w:rsidR="001E3C18">
        <w:rPr>
          <w:color w:val="000000"/>
          <w:szCs w:val="22"/>
        </w:rPr>
        <w:t xml:space="preserve">. </w:t>
      </w:r>
      <w:r w:rsidR="0088090F">
        <w:rPr>
          <w:color w:val="000000"/>
          <w:szCs w:val="22"/>
        </w:rPr>
        <w:t>juli</w:t>
      </w:r>
      <w:r w:rsidR="00F72525">
        <w:rPr>
          <w:color w:val="000000"/>
          <w:szCs w:val="22"/>
        </w:rPr>
        <w:t xml:space="preserve"> </w:t>
      </w:r>
      <w:r w:rsidR="0088513D">
        <w:rPr>
          <w:color w:val="000000"/>
          <w:szCs w:val="22"/>
        </w:rPr>
        <w:t>202</w:t>
      </w:r>
      <w:r w:rsidR="00C94B26">
        <w:rPr>
          <w:color w:val="000000"/>
          <w:szCs w:val="22"/>
        </w:rPr>
        <w:t>5.</w:t>
      </w:r>
    </w:p>
    <w:p w14:paraId="4D0C4443" w14:textId="77777777" w:rsidR="001E3C18" w:rsidRDefault="001E3C18" w:rsidP="001E3C18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color w:val="000000"/>
          <w:szCs w:val="22"/>
        </w:rPr>
      </w:pPr>
    </w:p>
    <w:p w14:paraId="6AA3993A" w14:textId="77777777" w:rsidR="001E3C18" w:rsidRPr="0046691C" w:rsidRDefault="001E3C18" w:rsidP="001E3C1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Cs/>
          <w:szCs w:val="22"/>
        </w:rPr>
      </w:pPr>
      <w:r w:rsidRPr="00516BE7">
        <w:rPr>
          <w:bCs/>
          <w:szCs w:val="22"/>
        </w:rPr>
        <w:t xml:space="preserve">Realkredit Danmark tilbyder så vidt muligt investorer at modtage de på auktionen købte obligationer med spot valør, </w:t>
      </w:r>
      <w:proofErr w:type="gramStart"/>
      <w:r w:rsidRPr="00516BE7">
        <w:rPr>
          <w:bCs/>
          <w:szCs w:val="22"/>
        </w:rPr>
        <w:t>såfremt</w:t>
      </w:r>
      <w:proofErr w:type="gramEnd"/>
      <w:r w:rsidRPr="00516BE7">
        <w:rPr>
          <w:bCs/>
          <w:szCs w:val="22"/>
        </w:rPr>
        <w:t xml:space="preserve"> investor leverer udløbende </w:t>
      </w:r>
      <w:proofErr w:type="spellStart"/>
      <w:r w:rsidRPr="00516BE7">
        <w:rPr>
          <w:bCs/>
          <w:szCs w:val="22"/>
        </w:rPr>
        <w:t>inkonverterbare</w:t>
      </w:r>
      <w:proofErr w:type="spellEnd"/>
      <w:r w:rsidRPr="00516BE7">
        <w:rPr>
          <w:bCs/>
          <w:szCs w:val="22"/>
        </w:rPr>
        <w:t>, variabelt forrentede Realkredit Danmark obligationer imod. Ombytning aftales med RD Funding på 4513 2019.</w:t>
      </w:r>
    </w:p>
    <w:p w14:paraId="213A2C93" w14:textId="77777777" w:rsidR="00F72525" w:rsidRDefault="00F72525" w:rsidP="00F72525">
      <w:pPr>
        <w:pStyle w:val="BodyText"/>
        <w:rPr>
          <w:rFonts w:ascii="Times New Roman" w:hAnsi="Times New Roman"/>
          <w:color w:val="000000"/>
          <w:sz w:val="22"/>
          <w:szCs w:val="22"/>
        </w:rPr>
      </w:pPr>
    </w:p>
    <w:p w14:paraId="4FCCC976" w14:textId="77777777" w:rsidR="00F72525" w:rsidRPr="006701F8" w:rsidRDefault="00AB09A2" w:rsidP="00F72525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br w:type="page"/>
      </w:r>
      <w:r w:rsidR="00F72525" w:rsidRPr="006701F8">
        <w:rPr>
          <w:rFonts w:ascii="Times New Roman" w:hAnsi="Times New Roman"/>
          <w:b/>
          <w:bCs/>
          <w:sz w:val="22"/>
          <w:szCs w:val="22"/>
          <w:u w:val="single"/>
        </w:rPr>
        <w:lastRenderedPageBreak/>
        <w:t>Deltagere</w:t>
      </w:r>
    </w:p>
    <w:p w14:paraId="7E598755" w14:textId="77777777" w:rsidR="00F72525" w:rsidRDefault="00F72525" w:rsidP="00F72525">
      <w:pPr>
        <w:pStyle w:val="BodyText"/>
        <w:rPr>
          <w:rFonts w:ascii="Times New Roman" w:hAnsi="Times New Roman"/>
          <w:sz w:val="22"/>
          <w:szCs w:val="22"/>
        </w:rPr>
      </w:pPr>
      <w:r w:rsidRPr="006573BE">
        <w:rPr>
          <w:rFonts w:ascii="Times New Roman" w:hAnsi="Times New Roman"/>
          <w:sz w:val="22"/>
          <w:szCs w:val="22"/>
        </w:rPr>
        <w:t xml:space="preserve">Bud kan afgives af alle med adgang til </w:t>
      </w:r>
      <w:r>
        <w:rPr>
          <w:rFonts w:ascii="Times New Roman" w:hAnsi="Times New Roman"/>
          <w:sz w:val="22"/>
          <w:szCs w:val="22"/>
        </w:rPr>
        <w:t xml:space="preserve">CPH Auctions på </w:t>
      </w:r>
      <w:r w:rsidRPr="006573BE">
        <w:rPr>
          <w:rFonts w:ascii="Times New Roman" w:hAnsi="Times New Roman"/>
          <w:sz w:val="22"/>
          <w:szCs w:val="22"/>
        </w:rPr>
        <w:t>N</w:t>
      </w:r>
      <w:r w:rsidR="00BB78B4">
        <w:rPr>
          <w:rFonts w:ascii="Times New Roman" w:hAnsi="Times New Roman"/>
          <w:sz w:val="22"/>
          <w:szCs w:val="22"/>
        </w:rPr>
        <w:t>asdaq</w:t>
      </w:r>
      <w:r w:rsidRPr="006573BE">
        <w:rPr>
          <w:rFonts w:ascii="Times New Roman" w:hAnsi="Times New Roman"/>
          <w:sz w:val="22"/>
          <w:szCs w:val="22"/>
        </w:rPr>
        <w:t xml:space="preserve"> Copenhagen</w:t>
      </w:r>
      <w:r>
        <w:rPr>
          <w:rFonts w:ascii="Times New Roman" w:hAnsi="Times New Roman"/>
          <w:sz w:val="22"/>
          <w:szCs w:val="22"/>
        </w:rPr>
        <w:t xml:space="preserve"> A/S</w:t>
      </w:r>
      <w:r w:rsidRPr="006573BE">
        <w:rPr>
          <w:rFonts w:ascii="Times New Roman" w:hAnsi="Times New Roman"/>
          <w:sz w:val="22"/>
          <w:szCs w:val="22"/>
        </w:rPr>
        <w:t>.</w:t>
      </w:r>
    </w:p>
    <w:p w14:paraId="4BA9D56B" w14:textId="77777777" w:rsidR="00BD70CC" w:rsidRPr="006573BE" w:rsidRDefault="00BD70CC" w:rsidP="00F72525">
      <w:pPr>
        <w:pStyle w:val="BodyText"/>
        <w:rPr>
          <w:rFonts w:ascii="Times New Roman" w:hAnsi="Times New Roman"/>
          <w:sz w:val="22"/>
          <w:szCs w:val="22"/>
        </w:rPr>
      </w:pPr>
    </w:p>
    <w:p w14:paraId="4D6D485B" w14:textId="77777777" w:rsidR="00BD70CC" w:rsidRPr="00BD70CC" w:rsidRDefault="00BD70CC" w:rsidP="00377288">
      <w:pPr>
        <w:pStyle w:val="BodyTextIndent"/>
        <w:tabs>
          <w:tab w:val="left" w:pos="0"/>
        </w:tabs>
        <w:spacing w:line="360" w:lineRule="auto"/>
        <w:ind w:left="0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Foreløbig m</w:t>
      </w:r>
      <w:r w:rsidRPr="00BD70CC">
        <w:rPr>
          <w:b/>
          <w:bCs/>
          <w:szCs w:val="22"/>
          <w:u w:val="single"/>
        </w:rPr>
        <w:t>æ</w:t>
      </w:r>
      <w:r>
        <w:rPr>
          <w:b/>
          <w:bCs/>
          <w:szCs w:val="22"/>
          <w:u w:val="single"/>
        </w:rPr>
        <w:t>n</w:t>
      </w:r>
      <w:r w:rsidRPr="00BD70CC">
        <w:rPr>
          <w:b/>
          <w:bCs/>
          <w:szCs w:val="22"/>
          <w:u w:val="single"/>
        </w:rPr>
        <w:t>gde</w:t>
      </w:r>
    </w:p>
    <w:p w14:paraId="747DA6C5" w14:textId="77777777" w:rsidR="00C33C3F" w:rsidRDefault="00377288" w:rsidP="005210F9">
      <w:pPr>
        <w:pStyle w:val="BodyTextIndent"/>
        <w:tabs>
          <w:tab w:val="left" w:pos="0"/>
        </w:tabs>
        <w:spacing w:line="360" w:lineRule="auto"/>
        <w:ind w:left="0"/>
      </w:pPr>
      <w:r w:rsidRPr="006701F8">
        <w:rPr>
          <w:bCs/>
          <w:szCs w:val="22"/>
        </w:rPr>
        <w:t xml:space="preserve">Følgende SDRO </w:t>
      </w:r>
      <w:r w:rsidR="0088090F">
        <w:rPr>
          <w:bCs/>
          <w:szCs w:val="22"/>
        </w:rPr>
        <w:t xml:space="preserve">forventes </w:t>
      </w:r>
      <w:r w:rsidRPr="006701F8">
        <w:rPr>
          <w:bCs/>
          <w:szCs w:val="22"/>
        </w:rPr>
        <w:t>udb</w:t>
      </w:r>
      <w:r w:rsidR="0088090F">
        <w:rPr>
          <w:bCs/>
          <w:szCs w:val="22"/>
        </w:rPr>
        <w:t>udt</w:t>
      </w:r>
      <w:r w:rsidRPr="006701F8">
        <w:rPr>
          <w:bCs/>
          <w:szCs w:val="22"/>
        </w:rPr>
        <w:t>:</w:t>
      </w:r>
    </w:p>
    <w:tbl>
      <w:tblPr>
        <w:tblpPr w:leftFromText="141" w:rightFromText="141" w:vertAnchor="text" w:horzAnchor="margin" w:tblpXSpec="center" w:tblpY="11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368"/>
        <w:gridCol w:w="680"/>
        <w:gridCol w:w="1191"/>
        <w:gridCol w:w="964"/>
        <w:gridCol w:w="794"/>
        <w:gridCol w:w="794"/>
        <w:gridCol w:w="1077"/>
      </w:tblGrid>
      <w:tr w:rsidR="00145905" w:rsidRPr="006701F8" w14:paraId="4528B18F" w14:textId="77777777" w:rsidTr="00D5559C">
        <w:tc>
          <w:tcPr>
            <w:tcW w:w="1384" w:type="dxa"/>
          </w:tcPr>
          <w:p w14:paraId="1373B9FF" w14:textId="77777777" w:rsidR="00145905" w:rsidRPr="006701F8" w:rsidRDefault="00145905" w:rsidP="00592D3F">
            <w:pPr>
              <w:pStyle w:val="Brevoverskrift"/>
              <w:tabs>
                <w:tab w:val="clear" w:pos="5143"/>
              </w:tabs>
              <w:spacing w:before="0"/>
              <w:ind w:left="-3621" w:firstLine="3621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Dato</w:t>
            </w:r>
          </w:p>
        </w:tc>
        <w:tc>
          <w:tcPr>
            <w:tcW w:w="1134" w:type="dxa"/>
          </w:tcPr>
          <w:p w14:paraId="59B32ACD" w14:textId="77777777" w:rsidR="00145905" w:rsidRDefault="00145905" w:rsidP="00592D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Skærings-tidspunkt</w:t>
            </w:r>
          </w:p>
        </w:tc>
        <w:tc>
          <w:tcPr>
            <w:tcW w:w="1368" w:type="dxa"/>
          </w:tcPr>
          <w:p w14:paraId="497DD908" w14:textId="77777777" w:rsidR="00145905" w:rsidRDefault="00584245" w:rsidP="00592D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Lånty</w:t>
            </w:r>
            <w:r w:rsidR="0025688B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680" w:type="dxa"/>
          </w:tcPr>
          <w:p w14:paraId="7BFBEA95" w14:textId="77777777" w:rsidR="00145905" w:rsidRDefault="00145905" w:rsidP="00592D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Serie</w:t>
            </w:r>
          </w:p>
        </w:tc>
        <w:tc>
          <w:tcPr>
            <w:tcW w:w="1191" w:type="dxa"/>
          </w:tcPr>
          <w:p w14:paraId="0A635ECD" w14:textId="77777777" w:rsidR="00145905" w:rsidRPr="006701F8" w:rsidRDefault="00145905" w:rsidP="00592D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Reference-rente</w:t>
            </w:r>
          </w:p>
        </w:tc>
        <w:tc>
          <w:tcPr>
            <w:tcW w:w="964" w:type="dxa"/>
          </w:tcPr>
          <w:p w14:paraId="21389DF0" w14:textId="77777777" w:rsidR="00145905" w:rsidRPr="00A23422" w:rsidRDefault="00145905" w:rsidP="00592D3F">
            <w:pPr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Udløb</w:t>
            </w:r>
            <w:proofErr w:type="spellEnd"/>
          </w:p>
          <w:p w14:paraId="140FD443" w14:textId="77777777" w:rsidR="00145905" w:rsidRPr="00A23422" w:rsidRDefault="00145905" w:rsidP="00592D3F">
            <w:pPr>
              <w:jc w:val="center"/>
              <w:rPr>
                <w:b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E4EBA2C" w14:textId="77777777" w:rsidR="00145905" w:rsidRDefault="00145905" w:rsidP="00592D3F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2"/>
                <w:lang w:val="en-GB"/>
              </w:rPr>
              <w:t>Rente-</w:t>
            </w:r>
            <w:proofErr w:type="spellStart"/>
            <w:r>
              <w:rPr>
                <w:b/>
                <w:bCs/>
                <w:sz w:val="20"/>
                <w:szCs w:val="22"/>
                <w:lang w:val="en-GB"/>
              </w:rPr>
              <w:t>gulv</w:t>
            </w:r>
            <w:proofErr w:type="spellEnd"/>
          </w:p>
        </w:tc>
        <w:tc>
          <w:tcPr>
            <w:tcW w:w="794" w:type="dxa"/>
          </w:tcPr>
          <w:p w14:paraId="6D490DC9" w14:textId="77777777" w:rsidR="00145905" w:rsidRDefault="00145905" w:rsidP="00592D3F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2"/>
                <w:lang w:val="en-GB"/>
              </w:rPr>
              <w:t>Valuta</w:t>
            </w:r>
          </w:p>
        </w:tc>
        <w:tc>
          <w:tcPr>
            <w:tcW w:w="1077" w:type="dxa"/>
          </w:tcPr>
          <w:p w14:paraId="26A2D620" w14:textId="77777777" w:rsidR="00145905" w:rsidRDefault="00145905" w:rsidP="00592D3F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2"/>
                <w:lang w:val="en-GB"/>
              </w:rPr>
              <w:t>Foreløbig</w:t>
            </w:r>
            <w:proofErr w:type="spellEnd"/>
          </w:p>
          <w:p w14:paraId="4FFD5813" w14:textId="77777777" w:rsidR="00145905" w:rsidRPr="00A23422" w:rsidRDefault="00145905" w:rsidP="00592D3F">
            <w:pPr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2"/>
                <w:lang w:val="en-GB"/>
              </w:rPr>
              <w:t>mængde</w:t>
            </w:r>
            <w:proofErr w:type="spellEnd"/>
            <w:r>
              <w:rPr>
                <w:b/>
                <w:bCs/>
                <w:sz w:val="20"/>
                <w:szCs w:val="22"/>
                <w:lang w:val="en-GB"/>
              </w:rPr>
              <w:t xml:space="preserve"> </w:t>
            </w:r>
            <w:r w:rsidRPr="00A23422">
              <w:rPr>
                <w:b/>
                <w:bCs/>
                <w:sz w:val="20"/>
                <w:szCs w:val="22"/>
                <w:lang w:val="en-GB"/>
              </w:rPr>
              <w:t>m</w:t>
            </w:r>
            <w:r>
              <w:rPr>
                <w:b/>
                <w:bCs/>
                <w:sz w:val="20"/>
                <w:szCs w:val="22"/>
                <w:lang w:val="en-GB"/>
              </w:rPr>
              <w:t>io</w:t>
            </w:r>
            <w:r w:rsidRPr="00A23422">
              <w:rPr>
                <w:b/>
                <w:bCs/>
                <w:sz w:val="20"/>
                <w:szCs w:val="22"/>
                <w:lang w:val="en-GB"/>
              </w:rPr>
              <w:t>.</w:t>
            </w:r>
            <w:r>
              <w:rPr>
                <w:b/>
                <w:bCs/>
                <w:sz w:val="20"/>
                <w:szCs w:val="22"/>
                <w:vertAlign w:val="superscript"/>
                <w:lang w:val="en-GB"/>
              </w:rPr>
              <w:t>1</w:t>
            </w:r>
          </w:p>
        </w:tc>
      </w:tr>
      <w:tr w:rsidR="00D5559C" w:rsidRPr="006701F8" w14:paraId="7189107A" w14:textId="77777777" w:rsidTr="00D5559C">
        <w:trPr>
          <w:trHeight w:val="488"/>
        </w:trPr>
        <w:tc>
          <w:tcPr>
            <w:tcW w:w="1384" w:type="dxa"/>
            <w:vAlign w:val="center"/>
          </w:tcPr>
          <w:p w14:paraId="4530A0ED" w14:textId="1D31F0C2" w:rsidR="00D5559C" w:rsidRPr="001B58A3" w:rsidRDefault="00D5559C" w:rsidP="00D5559C">
            <w:pPr>
              <w:tabs>
                <w:tab w:val="clear" w:pos="5143"/>
              </w:tabs>
              <w:jc w:val="center"/>
              <w:rPr>
                <w:sz w:val="20"/>
              </w:rPr>
            </w:pPr>
            <w:r w:rsidRPr="001B58A3">
              <w:rPr>
                <w:sz w:val="20"/>
              </w:rPr>
              <w:t>2</w:t>
            </w:r>
            <w:r w:rsidR="001B58A3" w:rsidRPr="001B58A3">
              <w:rPr>
                <w:sz w:val="20"/>
              </w:rPr>
              <w:t>6</w:t>
            </w:r>
            <w:r w:rsidRPr="001B58A3">
              <w:rPr>
                <w:sz w:val="20"/>
              </w:rPr>
              <w:t>. maj 202</w:t>
            </w:r>
            <w:r w:rsidR="00C94B26" w:rsidRPr="001B58A3">
              <w:rPr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759A861A" w14:textId="77777777" w:rsidR="00D5559C" w:rsidRPr="003B3FB0" w:rsidRDefault="00D5559C" w:rsidP="00D5559C">
            <w:pPr>
              <w:jc w:val="center"/>
              <w:rPr>
                <w:b/>
                <w:sz w:val="20"/>
              </w:rPr>
            </w:pPr>
            <w:r w:rsidRPr="003B3FB0">
              <w:rPr>
                <w:sz w:val="20"/>
              </w:rPr>
              <w:t>11:00</w:t>
            </w:r>
          </w:p>
        </w:tc>
        <w:tc>
          <w:tcPr>
            <w:tcW w:w="1368" w:type="dxa"/>
            <w:vAlign w:val="center"/>
          </w:tcPr>
          <w:p w14:paraId="441783C3" w14:textId="2B2EE650" w:rsidR="00D5559C" w:rsidRPr="003B3FB0" w:rsidRDefault="00D5559C" w:rsidP="00D5559C">
            <w:pPr>
              <w:spacing w:line="240" w:lineRule="auto"/>
              <w:rPr>
                <w:b/>
                <w:sz w:val="20"/>
              </w:rPr>
            </w:pPr>
            <w:r w:rsidRPr="003B3FB0">
              <w:rPr>
                <w:sz w:val="20"/>
              </w:rPr>
              <w:t xml:space="preserve">RD Cibor6® </w:t>
            </w:r>
          </w:p>
        </w:tc>
        <w:tc>
          <w:tcPr>
            <w:tcW w:w="680" w:type="dxa"/>
            <w:vAlign w:val="center"/>
          </w:tcPr>
          <w:p w14:paraId="5526B478" w14:textId="449403D9" w:rsidR="00D5559C" w:rsidRPr="003B3FB0" w:rsidRDefault="00D5559C" w:rsidP="00D5559C">
            <w:pPr>
              <w:jc w:val="center"/>
              <w:rPr>
                <w:b/>
                <w:sz w:val="20"/>
              </w:rPr>
            </w:pPr>
            <w:r w:rsidRPr="003B3FB0">
              <w:rPr>
                <w:sz w:val="20"/>
              </w:rPr>
              <w:t>12</w:t>
            </w:r>
            <w:r w:rsidR="00C94B26">
              <w:rPr>
                <w:sz w:val="20"/>
              </w:rPr>
              <w:t>F</w:t>
            </w:r>
          </w:p>
        </w:tc>
        <w:tc>
          <w:tcPr>
            <w:tcW w:w="1191" w:type="dxa"/>
            <w:vAlign w:val="center"/>
          </w:tcPr>
          <w:p w14:paraId="48E63742" w14:textId="77777777" w:rsidR="00D5559C" w:rsidRPr="003B3FB0" w:rsidRDefault="00D5559C" w:rsidP="00D5559C">
            <w:pPr>
              <w:rPr>
                <w:b/>
                <w:sz w:val="20"/>
              </w:rPr>
            </w:pPr>
            <w:proofErr w:type="spellStart"/>
            <w:r w:rsidRPr="003B3FB0">
              <w:rPr>
                <w:sz w:val="20"/>
              </w:rPr>
              <w:t>Cibor</w:t>
            </w:r>
            <w:proofErr w:type="spellEnd"/>
            <w:r w:rsidRPr="003B3FB0">
              <w:rPr>
                <w:sz w:val="20"/>
              </w:rPr>
              <w:t xml:space="preserve"> 6M</w:t>
            </w:r>
          </w:p>
        </w:tc>
        <w:tc>
          <w:tcPr>
            <w:tcW w:w="964" w:type="dxa"/>
            <w:vAlign w:val="center"/>
          </w:tcPr>
          <w:p w14:paraId="42E2CCBF" w14:textId="7CFDC79A" w:rsidR="00D5559C" w:rsidRPr="00C94B26" w:rsidRDefault="00D5559C" w:rsidP="00D5559C">
            <w:pPr>
              <w:jc w:val="center"/>
              <w:rPr>
                <w:b/>
                <w:sz w:val="20"/>
                <w:highlight w:val="yellow"/>
                <w:lang w:val="en-GB"/>
              </w:rPr>
            </w:pPr>
            <w:r w:rsidRPr="001B58A3">
              <w:rPr>
                <w:sz w:val="20"/>
              </w:rPr>
              <w:t>1-7-202</w:t>
            </w:r>
            <w:r w:rsidR="003210DE" w:rsidRPr="001B58A3">
              <w:rPr>
                <w:sz w:val="20"/>
              </w:rPr>
              <w:t>9</w:t>
            </w:r>
          </w:p>
        </w:tc>
        <w:tc>
          <w:tcPr>
            <w:tcW w:w="794" w:type="dxa"/>
            <w:vAlign w:val="center"/>
          </w:tcPr>
          <w:p w14:paraId="11D59933" w14:textId="77777777" w:rsidR="00D5559C" w:rsidRPr="003B3FB0" w:rsidRDefault="00D5559C" w:rsidP="00D5559C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 w:rsidRPr="003B3FB0">
              <w:rPr>
                <w:sz w:val="20"/>
              </w:rPr>
              <w:t>Nej</w:t>
            </w:r>
          </w:p>
        </w:tc>
        <w:tc>
          <w:tcPr>
            <w:tcW w:w="794" w:type="dxa"/>
            <w:vAlign w:val="center"/>
          </w:tcPr>
          <w:p w14:paraId="4A62FCE3" w14:textId="77777777" w:rsidR="00D5559C" w:rsidRPr="003B3FB0" w:rsidRDefault="00D5559C" w:rsidP="00D5559C">
            <w:pPr>
              <w:jc w:val="center"/>
              <w:rPr>
                <w:b/>
                <w:bCs/>
                <w:sz w:val="20"/>
                <w:szCs w:val="22"/>
                <w:lang w:val="en-GB"/>
              </w:rPr>
            </w:pPr>
            <w:r w:rsidRPr="003B3FB0">
              <w:rPr>
                <w:sz w:val="20"/>
              </w:rPr>
              <w:t>DKK</w:t>
            </w:r>
          </w:p>
        </w:tc>
        <w:tc>
          <w:tcPr>
            <w:tcW w:w="1077" w:type="dxa"/>
            <w:vAlign w:val="center"/>
          </w:tcPr>
          <w:p w14:paraId="528C759E" w14:textId="2A618B86" w:rsidR="00D5559C" w:rsidRPr="001B58A3" w:rsidRDefault="003210DE" w:rsidP="00D5559C">
            <w:pPr>
              <w:tabs>
                <w:tab w:val="clear" w:pos="5143"/>
              </w:tabs>
              <w:ind w:right="76"/>
              <w:jc w:val="right"/>
              <w:rPr>
                <w:b/>
                <w:bCs/>
                <w:sz w:val="20"/>
                <w:szCs w:val="22"/>
                <w:lang w:val="en-GB"/>
              </w:rPr>
            </w:pPr>
            <w:r w:rsidRPr="001B58A3">
              <w:rPr>
                <w:sz w:val="20"/>
              </w:rPr>
              <w:t>16</w:t>
            </w:r>
            <w:r w:rsidR="00D5559C" w:rsidRPr="001B58A3">
              <w:rPr>
                <w:sz w:val="20"/>
              </w:rPr>
              <w:t>.</w:t>
            </w:r>
            <w:r w:rsidRPr="001B58A3">
              <w:rPr>
                <w:sz w:val="20"/>
              </w:rPr>
              <w:t>8</w:t>
            </w:r>
            <w:r w:rsidR="00D5559C" w:rsidRPr="001B58A3">
              <w:rPr>
                <w:sz w:val="20"/>
              </w:rPr>
              <w:t>00</w:t>
            </w:r>
          </w:p>
        </w:tc>
      </w:tr>
      <w:tr w:rsidR="00C94B26" w:rsidRPr="009F299D" w14:paraId="57F1D188" w14:textId="77777777" w:rsidTr="00D5559C">
        <w:trPr>
          <w:trHeight w:val="488"/>
        </w:trPr>
        <w:tc>
          <w:tcPr>
            <w:tcW w:w="1384" w:type="dxa"/>
            <w:tcMar>
              <w:left w:w="85" w:type="dxa"/>
              <w:right w:w="85" w:type="dxa"/>
            </w:tcMar>
            <w:vAlign w:val="center"/>
          </w:tcPr>
          <w:p w14:paraId="324A0F9B" w14:textId="0699E7F9" w:rsidR="00C94B26" w:rsidRPr="001B58A3" w:rsidRDefault="00C94B26" w:rsidP="00C94B26">
            <w:pPr>
              <w:tabs>
                <w:tab w:val="clear" w:pos="5143"/>
              </w:tabs>
              <w:jc w:val="center"/>
              <w:rPr>
                <w:sz w:val="20"/>
              </w:rPr>
            </w:pPr>
            <w:r w:rsidRPr="001B58A3">
              <w:rPr>
                <w:sz w:val="20"/>
              </w:rPr>
              <w:t>2</w:t>
            </w:r>
            <w:r w:rsidR="001B58A3" w:rsidRPr="001B58A3">
              <w:rPr>
                <w:sz w:val="20"/>
              </w:rPr>
              <w:t>6</w:t>
            </w:r>
            <w:r w:rsidRPr="001B58A3">
              <w:rPr>
                <w:sz w:val="20"/>
              </w:rPr>
              <w:t>. maj 2025</w:t>
            </w:r>
          </w:p>
        </w:tc>
        <w:tc>
          <w:tcPr>
            <w:tcW w:w="1134" w:type="dxa"/>
            <w:vAlign w:val="center"/>
          </w:tcPr>
          <w:p w14:paraId="5E458DBD" w14:textId="1EBE6F44" w:rsidR="00C94B26" w:rsidRPr="003B3FB0" w:rsidRDefault="00C94B26" w:rsidP="00C94B26">
            <w:pPr>
              <w:jc w:val="center"/>
              <w:rPr>
                <w:sz w:val="20"/>
              </w:rPr>
            </w:pPr>
            <w:r w:rsidRPr="003B3FB0">
              <w:rPr>
                <w:sz w:val="20"/>
              </w:rPr>
              <w:t>1</w:t>
            </w:r>
            <w:r w:rsidR="001B58A3">
              <w:rPr>
                <w:sz w:val="20"/>
              </w:rPr>
              <w:t>2</w:t>
            </w:r>
            <w:r w:rsidRPr="003B3FB0">
              <w:rPr>
                <w:sz w:val="20"/>
              </w:rPr>
              <w:t>:</w:t>
            </w:r>
            <w:r w:rsidR="001B58A3">
              <w:rPr>
                <w:sz w:val="20"/>
              </w:rPr>
              <w:t>3</w:t>
            </w:r>
            <w:r w:rsidRPr="003B3FB0">
              <w:rPr>
                <w:sz w:val="20"/>
              </w:rPr>
              <w:t>0</w:t>
            </w:r>
          </w:p>
        </w:tc>
        <w:tc>
          <w:tcPr>
            <w:tcW w:w="1368" w:type="dxa"/>
            <w:vAlign w:val="center"/>
          </w:tcPr>
          <w:p w14:paraId="2D5B8319" w14:textId="7B325949" w:rsidR="00C94B26" w:rsidRPr="003B3FB0" w:rsidRDefault="00C94B26" w:rsidP="00C94B26">
            <w:pPr>
              <w:rPr>
                <w:sz w:val="20"/>
              </w:rPr>
            </w:pPr>
            <w:r w:rsidRPr="003B3FB0">
              <w:rPr>
                <w:sz w:val="20"/>
              </w:rPr>
              <w:t>RD Cibor6® Green</w:t>
            </w:r>
            <w:r w:rsidR="003210DE" w:rsidRPr="003210DE">
              <w:rPr>
                <w:sz w:val="20"/>
                <w:vertAlign w:val="superscript"/>
              </w:rPr>
              <w:t>2</w:t>
            </w:r>
          </w:p>
        </w:tc>
        <w:tc>
          <w:tcPr>
            <w:tcW w:w="680" w:type="dxa"/>
            <w:vAlign w:val="center"/>
          </w:tcPr>
          <w:p w14:paraId="2AC11E17" w14:textId="756629AE" w:rsidR="00C94B26" w:rsidRPr="003B3FB0" w:rsidRDefault="00C94B26" w:rsidP="00C94B26">
            <w:pPr>
              <w:jc w:val="center"/>
              <w:rPr>
                <w:sz w:val="20"/>
              </w:rPr>
            </w:pPr>
            <w:r w:rsidRPr="003B3FB0">
              <w:rPr>
                <w:sz w:val="20"/>
              </w:rPr>
              <w:t>12E</w:t>
            </w:r>
          </w:p>
        </w:tc>
        <w:tc>
          <w:tcPr>
            <w:tcW w:w="1191" w:type="dxa"/>
            <w:vAlign w:val="center"/>
          </w:tcPr>
          <w:p w14:paraId="4DAC212F" w14:textId="6883F1B3" w:rsidR="00C94B26" w:rsidRPr="003B3FB0" w:rsidRDefault="00C94B26" w:rsidP="00C94B26">
            <w:pPr>
              <w:rPr>
                <w:sz w:val="20"/>
              </w:rPr>
            </w:pPr>
            <w:proofErr w:type="spellStart"/>
            <w:r w:rsidRPr="003B3FB0">
              <w:rPr>
                <w:sz w:val="20"/>
              </w:rPr>
              <w:t>Cibor</w:t>
            </w:r>
            <w:proofErr w:type="spellEnd"/>
            <w:r w:rsidRPr="003B3FB0">
              <w:rPr>
                <w:sz w:val="20"/>
              </w:rPr>
              <w:t xml:space="preserve"> 6M</w:t>
            </w:r>
          </w:p>
        </w:tc>
        <w:tc>
          <w:tcPr>
            <w:tcW w:w="964" w:type="dxa"/>
            <w:shd w:val="clear" w:color="A6A6A6" w:fill="auto"/>
            <w:vAlign w:val="center"/>
          </w:tcPr>
          <w:p w14:paraId="5F81F731" w14:textId="77777777" w:rsidR="00C94B26" w:rsidRPr="001B58A3" w:rsidRDefault="00C94B26" w:rsidP="00C94B26">
            <w:pPr>
              <w:tabs>
                <w:tab w:val="clear" w:pos="5143"/>
              </w:tabs>
              <w:jc w:val="center"/>
              <w:rPr>
                <w:sz w:val="20"/>
              </w:rPr>
            </w:pPr>
            <w:r w:rsidRPr="001B58A3">
              <w:rPr>
                <w:sz w:val="20"/>
              </w:rPr>
              <w:t>1-7-2028</w:t>
            </w:r>
          </w:p>
        </w:tc>
        <w:tc>
          <w:tcPr>
            <w:tcW w:w="794" w:type="dxa"/>
            <w:shd w:val="clear" w:color="A6A6A6" w:fill="auto"/>
            <w:vAlign w:val="center"/>
          </w:tcPr>
          <w:p w14:paraId="17F4FAF4" w14:textId="77777777" w:rsidR="00C94B26" w:rsidRPr="003B3FB0" w:rsidRDefault="00C94B26" w:rsidP="00C94B26">
            <w:pPr>
              <w:jc w:val="center"/>
              <w:rPr>
                <w:sz w:val="20"/>
              </w:rPr>
            </w:pPr>
            <w:r w:rsidRPr="003B3FB0">
              <w:rPr>
                <w:sz w:val="20"/>
              </w:rPr>
              <w:t>Nej</w:t>
            </w:r>
          </w:p>
        </w:tc>
        <w:tc>
          <w:tcPr>
            <w:tcW w:w="794" w:type="dxa"/>
            <w:shd w:val="clear" w:color="A6A6A6" w:fill="auto"/>
            <w:vAlign w:val="center"/>
          </w:tcPr>
          <w:p w14:paraId="2C4C288D" w14:textId="77777777" w:rsidR="00C94B26" w:rsidRPr="003B3FB0" w:rsidRDefault="00C94B26" w:rsidP="00C94B26">
            <w:pPr>
              <w:jc w:val="center"/>
            </w:pPr>
            <w:r w:rsidRPr="003B3FB0">
              <w:rPr>
                <w:sz w:val="20"/>
              </w:rPr>
              <w:t>DKK</w:t>
            </w:r>
          </w:p>
        </w:tc>
        <w:tc>
          <w:tcPr>
            <w:tcW w:w="1077" w:type="dxa"/>
            <w:shd w:val="clear" w:color="A6A6A6" w:fill="auto"/>
            <w:vAlign w:val="center"/>
          </w:tcPr>
          <w:p w14:paraId="00BC6EC3" w14:textId="1FD95C4D" w:rsidR="00C94B26" w:rsidRPr="001B58A3" w:rsidRDefault="003210DE" w:rsidP="00C94B26">
            <w:pPr>
              <w:tabs>
                <w:tab w:val="clear" w:pos="5143"/>
              </w:tabs>
              <w:ind w:right="76"/>
              <w:jc w:val="right"/>
              <w:rPr>
                <w:sz w:val="20"/>
              </w:rPr>
            </w:pPr>
            <w:r w:rsidRPr="001B58A3">
              <w:rPr>
                <w:sz w:val="20"/>
              </w:rPr>
              <w:t>1</w:t>
            </w:r>
            <w:r w:rsidR="00C94B26" w:rsidRPr="001B58A3">
              <w:rPr>
                <w:sz w:val="20"/>
              </w:rPr>
              <w:t>.</w:t>
            </w:r>
            <w:r w:rsidRPr="001B58A3">
              <w:rPr>
                <w:sz w:val="20"/>
              </w:rPr>
              <w:t>0</w:t>
            </w:r>
            <w:r w:rsidR="00C94B26" w:rsidRPr="001B58A3">
              <w:rPr>
                <w:sz w:val="20"/>
              </w:rPr>
              <w:t>00</w:t>
            </w:r>
          </w:p>
        </w:tc>
      </w:tr>
    </w:tbl>
    <w:p w14:paraId="00CAD5A3" w14:textId="77777777" w:rsidR="005727D4" w:rsidRPr="003210DE" w:rsidRDefault="005727D4" w:rsidP="0088513D">
      <w:pPr>
        <w:pStyle w:val="BodyText"/>
        <w:numPr>
          <w:ilvl w:val="0"/>
          <w:numId w:val="4"/>
        </w:numPr>
        <w:tabs>
          <w:tab w:val="clear" w:pos="5143"/>
          <w:tab w:val="right" w:pos="-3119"/>
          <w:tab w:val="left" w:pos="0"/>
        </w:tabs>
        <w:spacing w:line="200" w:lineRule="exact"/>
        <w:ind w:left="284" w:right="198" w:hanging="284"/>
        <w:rPr>
          <w:rFonts w:ascii="Times New Roman" w:hAnsi="Times New Roman"/>
          <w:sz w:val="16"/>
          <w:szCs w:val="16"/>
        </w:rPr>
      </w:pPr>
      <w:r w:rsidRPr="009F299D">
        <w:rPr>
          <w:rFonts w:ascii="Times New Roman" w:hAnsi="Times New Roman"/>
          <w:sz w:val="16"/>
          <w:szCs w:val="16"/>
        </w:rPr>
        <w:t>Beløbe</w:t>
      </w:r>
      <w:r w:rsidR="00704F59" w:rsidRPr="009F299D">
        <w:rPr>
          <w:rFonts w:ascii="Times New Roman" w:hAnsi="Times New Roman"/>
          <w:sz w:val="16"/>
          <w:szCs w:val="16"/>
        </w:rPr>
        <w:t>ne</w:t>
      </w:r>
      <w:r w:rsidRPr="009F299D">
        <w:rPr>
          <w:rFonts w:ascii="Times New Roman" w:hAnsi="Times New Roman"/>
          <w:sz w:val="16"/>
          <w:szCs w:val="16"/>
        </w:rPr>
        <w:t xml:space="preserve"> er de</w:t>
      </w:r>
      <w:r w:rsidR="00704F59" w:rsidRPr="009F299D">
        <w:rPr>
          <w:rFonts w:ascii="Times New Roman" w:hAnsi="Times New Roman"/>
          <w:sz w:val="16"/>
          <w:szCs w:val="16"/>
        </w:rPr>
        <w:t>n</w:t>
      </w:r>
      <w:r w:rsidRPr="009F299D">
        <w:rPr>
          <w:rFonts w:ascii="Times New Roman" w:hAnsi="Times New Roman"/>
          <w:sz w:val="16"/>
          <w:szCs w:val="16"/>
        </w:rPr>
        <w:t xml:space="preserve"> samlede </w:t>
      </w:r>
      <w:r w:rsidR="00E54A98" w:rsidRPr="009F299D">
        <w:rPr>
          <w:rFonts w:ascii="Times New Roman" w:hAnsi="Times New Roman"/>
          <w:sz w:val="16"/>
          <w:szCs w:val="16"/>
        </w:rPr>
        <w:t xml:space="preserve">forventede </w:t>
      </w:r>
      <w:r w:rsidRPr="009F299D">
        <w:rPr>
          <w:rFonts w:ascii="Times New Roman" w:hAnsi="Times New Roman"/>
          <w:sz w:val="16"/>
          <w:szCs w:val="16"/>
        </w:rPr>
        <w:t>mængde obligationer der i alt skal refinansieres</w:t>
      </w:r>
      <w:r w:rsidR="00C33C3F" w:rsidRPr="009F299D">
        <w:rPr>
          <w:rFonts w:ascii="Times New Roman" w:hAnsi="Times New Roman"/>
          <w:sz w:val="16"/>
          <w:szCs w:val="16"/>
        </w:rPr>
        <w:t>.</w:t>
      </w:r>
      <w:r w:rsidR="00704F59" w:rsidRPr="009F299D">
        <w:rPr>
          <w:rFonts w:ascii="Times New Roman" w:hAnsi="Times New Roman"/>
          <w:sz w:val="16"/>
          <w:szCs w:val="16"/>
        </w:rPr>
        <w:t xml:space="preserve"> Beløbene</w:t>
      </w:r>
      <w:r w:rsidRPr="009F299D">
        <w:rPr>
          <w:rFonts w:ascii="Times New Roman" w:hAnsi="Times New Roman"/>
          <w:sz w:val="16"/>
          <w:szCs w:val="16"/>
        </w:rPr>
        <w:t xml:space="preserve"> er ikke endelig</w:t>
      </w:r>
      <w:r w:rsidR="00704F59" w:rsidRPr="009F299D">
        <w:rPr>
          <w:rFonts w:ascii="Times New Roman" w:hAnsi="Times New Roman"/>
          <w:sz w:val="16"/>
          <w:szCs w:val="16"/>
        </w:rPr>
        <w:t>e</w:t>
      </w:r>
      <w:r w:rsidRPr="009F299D">
        <w:rPr>
          <w:rFonts w:ascii="Times New Roman" w:hAnsi="Times New Roman"/>
          <w:sz w:val="16"/>
          <w:szCs w:val="16"/>
        </w:rPr>
        <w:t>, som følge af låntagernes mulighed for at indgå fastkursaftaler</w:t>
      </w:r>
      <w:r w:rsidR="00C33C3F" w:rsidRPr="009F299D">
        <w:rPr>
          <w:rFonts w:ascii="Times New Roman" w:hAnsi="Times New Roman"/>
          <w:sz w:val="16"/>
          <w:szCs w:val="16"/>
        </w:rPr>
        <w:t xml:space="preserve"> eller</w:t>
      </w:r>
      <w:r w:rsidRPr="009F299D">
        <w:rPr>
          <w:rFonts w:ascii="Times New Roman" w:hAnsi="Times New Roman"/>
          <w:sz w:val="16"/>
          <w:szCs w:val="16"/>
        </w:rPr>
        <w:t xml:space="preserve"> indfri lån</w:t>
      </w:r>
      <w:r w:rsidR="00866A6E" w:rsidRPr="009F299D">
        <w:rPr>
          <w:rFonts w:ascii="Times New Roman" w:hAnsi="Times New Roman"/>
          <w:sz w:val="16"/>
          <w:szCs w:val="16"/>
        </w:rPr>
        <w:t>ene</w:t>
      </w:r>
      <w:r w:rsidRPr="009F299D">
        <w:rPr>
          <w:rFonts w:ascii="Times New Roman" w:hAnsi="Times New Roman"/>
          <w:sz w:val="16"/>
          <w:szCs w:val="16"/>
        </w:rPr>
        <w:t>.</w:t>
      </w:r>
      <w:r w:rsidRPr="009F299D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B93BA9F" w14:textId="67BA157D" w:rsidR="003210DE" w:rsidRPr="003210DE" w:rsidRDefault="003210DE" w:rsidP="003210DE">
      <w:pPr>
        <w:pStyle w:val="BodyText"/>
        <w:numPr>
          <w:ilvl w:val="0"/>
          <w:numId w:val="4"/>
        </w:numPr>
        <w:tabs>
          <w:tab w:val="clear" w:pos="5143"/>
          <w:tab w:val="right" w:pos="-3119"/>
          <w:tab w:val="left" w:pos="0"/>
        </w:tabs>
        <w:spacing w:line="200" w:lineRule="exact"/>
        <w:ind w:left="284" w:right="198" w:hanging="284"/>
        <w:rPr>
          <w:rFonts w:ascii="Times New Roman" w:hAnsi="Times New Roman"/>
          <w:sz w:val="16"/>
          <w:szCs w:val="16"/>
        </w:rPr>
      </w:pPr>
      <w:r w:rsidRPr="003210DE">
        <w:rPr>
          <w:rFonts w:ascii="Times New Roman" w:hAnsi="Times New Roman"/>
          <w:color w:val="000000"/>
          <w:sz w:val="16"/>
          <w:szCs w:val="16"/>
        </w:rPr>
        <w:t>DK0004629508</w:t>
      </w:r>
      <w:r>
        <w:rPr>
          <w:rFonts w:ascii="Times New Roman" w:hAnsi="Times New Roman"/>
          <w:color w:val="000000"/>
          <w:sz w:val="16"/>
          <w:szCs w:val="16"/>
        </w:rPr>
        <w:t>.</w:t>
      </w:r>
    </w:p>
    <w:p w14:paraId="00727961" w14:textId="77777777" w:rsidR="005727D4" w:rsidRPr="009F299D" w:rsidRDefault="005727D4" w:rsidP="00377288">
      <w:pPr>
        <w:pStyle w:val="BodyText"/>
        <w:tabs>
          <w:tab w:val="left" w:pos="0"/>
        </w:tabs>
        <w:spacing w:line="200" w:lineRule="exact"/>
        <w:rPr>
          <w:rFonts w:ascii="Times New Roman" w:hAnsi="Times New Roman"/>
          <w:b/>
          <w:bCs/>
          <w:color w:val="000000"/>
          <w:szCs w:val="22"/>
          <w:u w:val="single"/>
        </w:rPr>
      </w:pPr>
    </w:p>
    <w:p w14:paraId="42A72354" w14:textId="77777777" w:rsidR="00377288" w:rsidRPr="009F299D" w:rsidRDefault="00BD70CC" w:rsidP="00377288">
      <w:pPr>
        <w:pStyle w:val="BodyText"/>
        <w:ind w:left="2608" w:hanging="2608"/>
        <w:rPr>
          <w:rFonts w:ascii="Times New Roman" w:hAnsi="Times New Roman"/>
          <w:bCs/>
          <w:sz w:val="22"/>
          <w:szCs w:val="22"/>
        </w:rPr>
      </w:pPr>
      <w:r w:rsidRPr="009F299D">
        <w:rPr>
          <w:rFonts w:ascii="Times New Roman" w:hAnsi="Times New Roman"/>
          <w:bCs/>
          <w:sz w:val="22"/>
          <w:szCs w:val="22"/>
        </w:rPr>
        <w:t>De endelige mængde</w:t>
      </w:r>
      <w:r w:rsidR="00573409" w:rsidRPr="009F299D">
        <w:rPr>
          <w:rFonts w:ascii="Times New Roman" w:hAnsi="Times New Roman"/>
          <w:bCs/>
          <w:sz w:val="22"/>
          <w:szCs w:val="22"/>
        </w:rPr>
        <w:t>r</w:t>
      </w:r>
      <w:r w:rsidRPr="009F299D">
        <w:rPr>
          <w:rFonts w:ascii="Times New Roman" w:hAnsi="Times New Roman"/>
          <w:bCs/>
          <w:sz w:val="22"/>
          <w:szCs w:val="22"/>
        </w:rPr>
        <w:t xml:space="preserve"> forventes offentliggjort primo</w:t>
      </w:r>
      <w:r w:rsidR="001B64B7" w:rsidRPr="009F299D">
        <w:rPr>
          <w:rFonts w:ascii="Times New Roman" w:hAnsi="Times New Roman"/>
          <w:bCs/>
          <w:sz w:val="22"/>
          <w:szCs w:val="22"/>
        </w:rPr>
        <w:t xml:space="preserve"> maj</w:t>
      </w:r>
      <w:r w:rsidRPr="009F299D">
        <w:rPr>
          <w:rFonts w:ascii="Times New Roman" w:hAnsi="Times New Roman"/>
          <w:bCs/>
          <w:sz w:val="22"/>
          <w:szCs w:val="22"/>
        </w:rPr>
        <w:t>.</w:t>
      </w:r>
    </w:p>
    <w:p w14:paraId="21032F7C" w14:textId="77777777" w:rsidR="002B43A0" w:rsidRPr="009F299D" w:rsidRDefault="002B43A0" w:rsidP="00377288">
      <w:pPr>
        <w:pStyle w:val="BodyText"/>
        <w:ind w:left="2608" w:hanging="2608"/>
        <w:rPr>
          <w:rFonts w:ascii="Times New Roman" w:hAnsi="Times New Roman"/>
          <w:bCs/>
          <w:sz w:val="22"/>
          <w:szCs w:val="22"/>
        </w:rPr>
      </w:pPr>
    </w:p>
    <w:p w14:paraId="12416ABC" w14:textId="77777777" w:rsidR="00641D18" w:rsidRPr="00516BE7" w:rsidRDefault="00641D18" w:rsidP="00641D18">
      <w:pPr>
        <w:widowControl w:val="0"/>
        <w:tabs>
          <w:tab w:val="left" w:pos="0"/>
          <w:tab w:val="left" w:pos="1317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60" w:lineRule="exact"/>
        <w:rPr>
          <w:b/>
          <w:color w:val="000000"/>
          <w:szCs w:val="22"/>
          <w:u w:val="single"/>
        </w:rPr>
      </w:pPr>
      <w:r w:rsidRPr="00516BE7">
        <w:rPr>
          <w:b/>
          <w:color w:val="000000"/>
          <w:szCs w:val="22"/>
          <w:u w:val="single"/>
        </w:rPr>
        <w:t>Blokemission</w:t>
      </w:r>
    </w:p>
    <w:p w14:paraId="72A87B18" w14:textId="13FFCEB6" w:rsidR="00641D18" w:rsidRDefault="00641D18" w:rsidP="00641D18">
      <w:pPr>
        <w:pStyle w:val="BodyText"/>
        <w:rPr>
          <w:rFonts w:ascii="Times New Roman" w:hAnsi="Times New Roman"/>
          <w:bCs/>
          <w:sz w:val="22"/>
          <w:szCs w:val="22"/>
        </w:rPr>
      </w:pPr>
      <w:r w:rsidRPr="00EA475A">
        <w:rPr>
          <w:rFonts w:ascii="Times New Roman" w:hAnsi="Times New Roman"/>
          <w:bCs/>
          <w:sz w:val="22"/>
          <w:szCs w:val="22"/>
        </w:rPr>
        <w:t>Realkredit Danmark vil forud for auktionerne foretage blokemission</w:t>
      </w:r>
      <w:r w:rsidR="00884233" w:rsidRPr="00EA475A">
        <w:rPr>
          <w:rFonts w:ascii="Times New Roman" w:hAnsi="Times New Roman"/>
          <w:bCs/>
          <w:sz w:val="22"/>
          <w:szCs w:val="22"/>
        </w:rPr>
        <w:t xml:space="preserve"> </w:t>
      </w:r>
      <w:r w:rsidRPr="00EA475A">
        <w:rPr>
          <w:rFonts w:ascii="Times New Roman" w:hAnsi="Times New Roman"/>
          <w:bCs/>
          <w:sz w:val="22"/>
          <w:szCs w:val="22"/>
        </w:rPr>
        <w:t>svarende til de</w:t>
      </w:r>
      <w:r w:rsidR="00045809" w:rsidRPr="00EA475A">
        <w:rPr>
          <w:rFonts w:ascii="Times New Roman" w:hAnsi="Times New Roman"/>
          <w:bCs/>
          <w:sz w:val="22"/>
          <w:szCs w:val="22"/>
        </w:rPr>
        <w:t>t</w:t>
      </w:r>
      <w:r w:rsidR="004D3699" w:rsidRPr="00EA475A">
        <w:rPr>
          <w:rFonts w:ascii="Times New Roman" w:hAnsi="Times New Roman"/>
          <w:bCs/>
          <w:sz w:val="22"/>
          <w:szCs w:val="22"/>
        </w:rPr>
        <w:t xml:space="preserve"> fulde refinansieringsbeløb</w:t>
      </w:r>
      <w:r w:rsidR="00045809" w:rsidRPr="00EA475A">
        <w:rPr>
          <w:rFonts w:ascii="Times New Roman" w:hAnsi="Times New Roman"/>
          <w:bCs/>
          <w:sz w:val="22"/>
          <w:szCs w:val="22"/>
        </w:rPr>
        <w:t xml:space="preserve"> i</w:t>
      </w:r>
      <w:r w:rsidR="00EA475A" w:rsidRPr="00EA475A">
        <w:rPr>
          <w:rFonts w:ascii="Times New Roman" w:hAnsi="Times New Roman"/>
          <w:bCs/>
          <w:sz w:val="22"/>
          <w:szCs w:val="22"/>
        </w:rPr>
        <w:t xml:space="preserve"> </w:t>
      </w:r>
      <w:r w:rsidR="00EA475A">
        <w:rPr>
          <w:rFonts w:ascii="Times New Roman" w:hAnsi="Times New Roman"/>
          <w:bCs/>
          <w:sz w:val="22"/>
          <w:szCs w:val="22"/>
        </w:rPr>
        <w:t xml:space="preserve">den nye </w:t>
      </w:r>
      <w:r w:rsidR="00EA475A" w:rsidRPr="00EA475A">
        <w:rPr>
          <w:rFonts w:ascii="Times New Roman" w:hAnsi="Times New Roman"/>
          <w:bCs/>
          <w:sz w:val="22"/>
          <w:szCs w:val="22"/>
        </w:rPr>
        <w:t>RD Cibor6®-obligation</w:t>
      </w:r>
      <w:r w:rsidRPr="00EA475A">
        <w:rPr>
          <w:rFonts w:ascii="Times New Roman" w:hAnsi="Times New Roman"/>
          <w:bCs/>
          <w:sz w:val="22"/>
          <w:szCs w:val="22"/>
        </w:rPr>
        <w:t>.</w:t>
      </w:r>
    </w:p>
    <w:p w14:paraId="44874EE4" w14:textId="77777777" w:rsidR="00641D18" w:rsidRPr="00A942FD" w:rsidRDefault="00641D18" w:rsidP="00641D18">
      <w:pPr>
        <w:pStyle w:val="BodyText"/>
        <w:rPr>
          <w:rFonts w:ascii="Times New Roman" w:hAnsi="Times New Roman"/>
          <w:bCs/>
          <w:sz w:val="22"/>
          <w:szCs w:val="22"/>
        </w:rPr>
      </w:pPr>
    </w:p>
    <w:p w14:paraId="15EA4E62" w14:textId="77777777" w:rsidR="00641D18" w:rsidRPr="006701F8" w:rsidRDefault="00641D18" w:rsidP="00641D18">
      <w:pPr>
        <w:pStyle w:val="BodyText"/>
        <w:ind w:left="2610" w:hanging="261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Øvrige</w:t>
      </w:r>
      <w:r w:rsidRPr="006701F8">
        <w:rPr>
          <w:rFonts w:ascii="Times New Roman" w:hAnsi="Times New Roman"/>
          <w:b/>
          <w:bCs/>
          <w:sz w:val="22"/>
          <w:szCs w:val="22"/>
          <w:u w:val="single"/>
        </w:rPr>
        <w:t xml:space="preserve"> vilkår</w:t>
      </w:r>
      <w:r w:rsidRPr="006701F8">
        <w:rPr>
          <w:rFonts w:ascii="Times New Roman" w:hAnsi="Times New Roman"/>
          <w:b/>
          <w:bCs/>
          <w:sz w:val="22"/>
          <w:szCs w:val="22"/>
        </w:rPr>
        <w:tab/>
      </w:r>
    </w:p>
    <w:p w14:paraId="58CDB900" w14:textId="77777777" w:rsidR="00641D18" w:rsidRPr="006701F8" w:rsidRDefault="00641D18" w:rsidP="00641D18">
      <w:pPr>
        <w:pStyle w:val="Body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701F8">
        <w:rPr>
          <w:rFonts w:ascii="Times New Roman" w:hAnsi="Times New Roman"/>
          <w:sz w:val="22"/>
          <w:szCs w:val="22"/>
        </w:rPr>
        <w:t>Realkredit Danmark er ikke forpligtet til at afhænde hele det annoncerede beløb på auktione</w:t>
      </w:r>
      <w:r w:rsidR="004A5E27">
        <w:rPr>
          <w:rFonts w:ascii="Times New Roman" w:hAnsi="Times New Roman"/>
          <w:sz w:val="22"/>
          <w:szCs w:val="22"/>
        </w:rPr>
        <w:t>n</w:t>
      </w:r>
      <w:r w:rsidRPr="006701F8">
        <w:rPr>
          <w:rFonts w:ascii="Times New Roman" w:hAnsi="Times New Roman"/>
          <w:sz w:val="22"/>
          <w:szCs w:val="22"/>
        </w:rPr>
        <w:t>.</w:t>
      </w:r>
    </w:p>
    <w:p w14:paraId="673F2611" w14:textId="77777777" w:rsidR="00641D18" w:rsidRPr="00A53B59" w:rsidRDefault="00641D18" w:rsidP="00641D18">
      <w:pPr>
        <w:pStyle w:val="BodyText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6701F8">
        <w:rPr>
          <w:rFonts w:ascii="Times New Roman" w:hAnsi="Times New Roman"/>
          <w:sz w:val="22"/>
          <w:szCs w:val="22"/>
        </w:rPr>
        <w:t xml:space="preserve">Realkredit Danmark vil ikke foretage handler før afregningstidspunktet i den eller de </w:t>
      </w:r>
      <w:proofErr w:type="gramStart"/>
      <w:r w:rsidRPr="006701F8">
        <w:rPr>
          <w:rFonts w:ascii="Times New Roman" w:hAnsi="Times New Roman"/>
          <w:sz w:val="22"/>
          <w:szCs w:val="22"/>
        </w:rPr>
        <w:t>ISIN koder</w:t>
      </w:r>
      <w:proofErr w:type="gramEnd"/>
      <w:r w:rsidRPr="006701F8">
        <w:rPr>
          <w:rFonts w:ascii="Times New Roman" w:hAnsi="Times New Roman"/>
          <w:sz w:val="22"/>
          <w:szCs w:val="22"/>
        </w:rPr>
        <w:t>, som udbydes på auktionen på den enkelte auktionsdag.</w:t>
      </w:r>
    </w:p>
    <w:p w14:paraId="7CA437AF" w14:textId="77777777" w:rsidR="00641D18" w:rsidRPr="00A53B59" w:rsidRDefault="00641D18" w:rsidP="00641D18">
      <w:pPr>
        <w:pStyle w:val="BodyText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Realkredit Danmark kan vælge at udskyde et planlagt salg.</w:t>
      </w:r>
    </w:p>
    <w:p w14:paraId="42F928CA" w14:textId="77777777" w:rsidR="00641D18" w:rsidRPr="000B1890" w:rsidRDefault="00641D18" w:rsidP="00641D18">
      <w:pPr>
        <w:pStyle w:val="BodyText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Realkredit Danmark kan vælge at ændre den planlagte salgsperiode.</w:t>
      </w:r>
    </w:p>
    <w:p w14:paraId="6B9E9CBB" w14:textId="77777777" w:rsidR="00641D18" w:rsidRPr="00A53B59" w:rsidRDefault="00641D18" w:rsidP="00641D18">
      <w:pPr>
        <w:pStyle w:val="BodyText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Realkredit Danmark kan vælge at aflyse et planlagt salg frem til IPMO-periodens udløb.</w:t>
      </w:r>
    </w:p>
    <w:p w14:paraId="3EEF997C" w14:textId="77777777" w:rsidR="00641D18" w:rsidRDefault="00641D18" w:rsidP="00641D18">
      <w:pPr>
        <w:pStyle w:val="BodyText"/>
        <w:rPr>
          <w:rFonts w:ascii="Times New Roman" w:hAnsi="Times New Roman"/>
          <w:sz w:val="22"/>
          <w:szCs w:val="22"/>
        </w:rPr>
      </w:pPr>
    </w:p>
    <w:p w14:paraId="08E00517" w14:textId="77777777" w:rsidR="00641D18" w:rsidRPr="00A53B59" w:rsidRDefault="00641D18" w:rsidP="00641D18">
      <w:pPr>
        <w:pStyle w:val="BodyText"/>
        <w:rPr>
          <w:rFonts w:ascii="Times New Roman" w:hAnsi="Times New Roman"/>
          <w:bCs/>
          <w:sz w:val="22"/>
          <w:szCs w:val="22"/>
        </w:rPr>
      </w:pPr>
      <w:proofErr w:type="gramStart"/>
      <w:r>
        <w:rPr>
          <w:rFonts w:ascii="Times New Roman" w:hAnsi="Times New Roman"/>
          <w:bCs/>
          <w:sz w:val="22"/>
          <w:szCs w:val="22"/>
        </w:rPr>
        <w:t>Såfremt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punkterne 3-5 bliver aktuelle, vil dette blive meddelt markedet via en selskabsmeddelelse.</w:t>
      </w:r>
    </w:p>
    <w:p w14:paraId="152FEB12" w14:textId="77777777" w:rsidR="00641D18" w:rsidRDefault="00641D18" w:rsidP="00641D18">
      <w:pPr>
        <w:keepNext/>
        <w:keepLines/>
        <w:tabs>
          <w:tab w:val="clear" w:pos="5143"/>
          <w:tab w:val="left" w:pos="284"/>
        </w:tabs>
        <w:spacing w:line="240" w:lineRule="auto"/>
        <w:rPr>
          <w:szCs w:val="22"/>
        </w:rPr>
      </w:pPr>
    </w:p>
    <w:sectPr w:rsidR="00641D18" w:rsidSect="00C3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5" w:right="1247" w:bottom="2041" w:left="1247" w:header="708" w:footer="16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1AF3" w14:textId="77777777" w:rsidR="00C35447" w:rsidRDefault="00C35447" w:rsidP="00377288">
      <w:pPr>
        <w:spacing w:line="240" w:lineRule="auto"/>
      </w:pPr>
      <w:r>
        <w:separator/>
      </w:r>
    </w:p>
  </w:endnote>
  <w:endnote w:type="continuationSeparator" w:id="0">
    <w:p w14:paraId="2B32EC0B" w14:textId="77777777" w:rsidR="00C35447" w:rsidRDefault="00C35447" w:rsidP="0037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0F65" w14:textId="77777777" w:rsidR="00B550F6" w:rsidRDefault="00B550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77CE" w14:textId="77777777" w:rsidR="00315D55" w:rsidRDefault="00315D55" w:rsidP="00377288">
    <w:pPr>
      <w:spacing w:line="240" w:lineRule="auto"/>
      <w:ind w:right="360"/>
      <w:rPr>
        <w:sz w:val="18"/>
      </w:rPr>
    </w:pPr>
  </w:p>
  <w:p w14:paraId="73B0C524" w14:textId="77777777" w:rsidR="00315D55" w:rsidRDefault="00315D55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550F6">
      <w:rPr>
        <w:noProof/>
      </w:rPr>
      <w:t>2</w:t>
    </w:r>
    <w:r>
      <w:fldChar w:fldCharType="end"/>
    </w:r>
    <w:r>
      <w:t xml:space="preserve"> af </w:t>
    </w:r>
    <w:r w:rsidR="00B550F6">
      <w:fldChar w:fldCharType="begin"/>
    </w:r>
    <w:r w:rsidR="00B550F6">
      <w:instrText xml:space="preserve"> NUMPAGES </w:instrText>
    </w:r>
    <w:r w:rsidR="00B550F6">
      <w:fldChar w:fldCharType="separate"/>
    </w:r>
    <w:r w:rsidR="00B550F6">
      <w:rPr>
        <w:noProof/>
      </w:rPr>
      <w:t>2</w:t>
    </w:r>
    <w:r w:rsidR="00B550F6">
      <w:rPr>
        <w:noProof/>
      </w:rPr>
      <w:fldChar w:fldCharType="end"/>
    </w:r>
  </w:p>
  <w:p w14:paraId="5F87F5D4" w14:textId="77777777" w:rsidR="00315D55" w:rsidRDefault="00315D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9B77" w14:textId="4FE829CB" w:rsidR="00315D55" w:rsidRDefault="00315D55" w:rsidP="00377288">
    <w:pPr>
      <w:spacing w:line="240" w:lineRule="auto"/>
      <w:ind w:right="357"/>
      <w:rPr>
        <w:noProof/>
        <w:sz w:val="18"/>
      </w:rPr>
    </w:pPr>
    <w:r>
      <w:rPr>
        <w:sz w:val="18"/>
      </w:rPr>
      <w:t xml:space="preserve">Bilag til Selskabsmeddelelse nr. 79/2013 – den </w:t>
    </w:r>
    <w:r>
      <w:rPr>
        <w:sz w:val="18"/>
      </w:rPr>
      <w:fldChar w:fldCharType="begin"/>
    </w:r>
    <w:r>
      <w:rPr>
        <w:sz w:val="18"/>
      </w:rPr>
      <w:instrText xml:space="preserve"> DATE \@ "d. MMMM yyyy" </w:instrText>
    </w:r>
    <w:r>
      <w:rPr>
        <w:sz w:val="18"/>
      </w:rPr>
      <w:fldChar w:fldCharType="separate"/>
    </w:r>
    <w:r w:rsidR="00DC27CA">
      <w:rPr>
        <w:noProof/>
        <w:sz w:val="18"/>
      </w:rPr>
      <w:t>14. april 2025</w:t>
    </w:r>
    <w:r>
      <w:rPr>
        <w:sz w:val="18"/>
      </w:rPr>
      <w:fldChar w:fldCharType="end"/>
    </w:r>
  </w:p>
  <w:p w14:paraId="28431B98" w14:textId="77777777" w:rsidR="00315D55" w:rsidRPr="00DD5126" w:rsidRDefault="00315D55" w:rsidP="00C45204">
    <w:pPr>
      <w:pStyle w:val="Heading1"/>
      <w:spacing w:before="0"/>
      <w:rPr>
        <w:rFonts w:ascii="Times New Roman" w:hAnsi="Times New Roman"/>
        <w:b w:val="0"/>
        <w:sz w:val="18"/>
        <w:szCs w:val="18"/>
      </w:rPr>
    </w:pPr>
    <w:r w:rsidRPr="00DD5126">
      <w:rPr>
        <w:rFonts w:ascii="Times New Roman" w:hAnsi="Times New Roman"/>
        <w:b w:val="0"/>
        <w:sz w:val="18"/>
        <w:szCs w:val="18"/>
      </w:rPr>
      <w:t>Endelig</w:t>
    </w:r>
    <w:r>
      <w:rPr>
        <w:rFonts w:ascii="Times New Roman" w:hAnsi="Times New Roman"/>
        <w:b w:val="0"/>
        <w:sz w:val="18"/>
        <w:szCs w:val="18"/>
      </w:rPr>
      <w:t>e</w:t>
    </w:r>
    <w:r w:rsidRPr="00DD5126">
      <w:rPr>
        <w:rFonts w:ascii="Times New Roman" w:hAnsi="Times New Roman"/>
        <w:b w:val="0"/>
        <w:sz w:val="18"/>
        <w:szCs w:val="18"/>
      </w:rPr>
      <w:t xml:space="preserve"> udbudt</w:t>
    </w:r>
    <w:r>
      <w:rPr>
        <w:rFonts w:ascii="Times New Roman" w:hAnsi="Times New Roman"/>
        <w:b w:val="0"/>
        <w:sz w:val="18"/>
        <w:szCs w:val="18"/>
      </w:rPr>
      <w:t>e</w:t>
    </w:r>
    <w:r w:rsidRPr="00DD5126">
      <w:rPr>
        <w:rFonts w:ascii="Times New Roman" w:hAnsi="Times New Roman"/>
        <w:b w:val="0"/>
        <w:sz w:val="18"/>
        <w:szCs w:val="18"/>
      </w:rPr>
      <w:t xml:space="preserve"> mængde</w:t>
    </w:r>
    <w:r>
      <w:rPr>
        <w:rFonts w:ascii="Times New Roman" w:hAnsi="Times New Roman"/>
        <w:b w:val="0"/>
        <w:sz w:val="18"/>
        <w:szCs w:val="18"/>
      </w:rPr>
      <w:t>r</w:t>
    </w:r>
    <w:r w:rsidRPr="00DD5126">
      <w:rPr>
        <w:rFonts w:ascii="Times New Roman" w:hAnsi="Times New Roman"/>
        <w:b w:val="0"/>
        <w:sz w:val="18"/>
        <w:szCs w:val="18"/>
      </w:rPr>
      <w:t xml:space="preserve"> for auktioner over obligationer i serie 10T og 10U</w:t>
    </w:r>
    <w:r w:rsidRPr="00DD5126">
      <w:rPr>
        <w:b w:val="0"/>
        <w:sz w:val="18"/>
        <w:szCs w:val="18"/>
      </w:rPr>
      <w:t xml:space="preserve"> </w:t>
    </w:r>
  </w:p>
  <w:p w14:paraId="31865742" w14:textId="77777777" w:rsidR="00315D55" w:rsidRDefault="00315D55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r w:rsidR="00CE0B12">
      <w:fldChar w:fldCharType="begin"/>
    </w:r>
    <w:r w:rsidR="00CE0B12">
      <w:instrText xml:space="preserve"> NUMPAGES </w:instrText>
    </w:r>
    <w:r w:rsidR="00CE0B12">
      <w:fldChar w:fldCharType="separate"/>
    </w:r>
    <w:r w:rsidR="00CE0B12">
      <w:rPr>
        <w:noProof/>
      </w:rPr>
      <w:t>2</w:t>
    </w:r>
    <w:r w:rsidR="00CE0B12">
      <w:rPr>
        <w:noProof/>
      </w:rPr>
      <w:fldChar w:fldCharType="end"/>
    </w:r>
  </w:p>
  <w:p w14:paraId="09CE4BEE" w14:textId="77777777" w:rsidR="00315D55" w:rsidRDefault="00315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45EE" w14:textId="77777777" w:rsidR="00C35447" w:rsidRDefault="00C35447" w:rsidP="00377288">
      <w:pPr>
        <w:spacing w:line="240" w:lineRule="auto"/>
      </w:pPr>
      <w:r>
        <w:separator/>
      </w:r>
    </w:p>
  </w:footnote>
  <w:footnote w:type="continuationSeparator" w:id="0">
    <w:p w14:paraId="2716DBE3" w14:textId="77777777" w:rsidR="00C35447" w:rsidRDefault="00C35447" w:rsidP="0037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E054" w14:textId="77777777" w:rsidR="00B550F6" w:rsidRDefault="00B55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5ECC" w14:textId="77777777" w:rsidR="00315D55" w:rsidRDefault="00DC27CA">
    <w:pPr>
      <w:pStyle w:val="Header"/>
      <w:tabs>
        <w:tab w:val="left" w:pos="8335"/>
      </w:tabs>
    </w:pPr>
    <w:r>
      <w:rPr>
        <w:noProof/>
      </w:rPr>
      <w:pict w14:anchorId="05955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5" type="#_x0000_t75" alt="RD_Brev_Logo" style="position:absolute;margin-left:437.7pt;margin-top:24.1pt;width:127.25pt;height:42.7pt;z-index:251657216;visibility:visible;mso-position-horizontal-relative:page;mso-position-vertical-relative:page" o:allowincell="f">
          <v:imagedata r:id="rId1" o:title="RD_Brev_Logo"/>
          <w10:wrap type="topAndBottom" anchorx="page" anchory="page"/>
        </v:shape>
      </w:pict>
    </w:r>
  </w:p>
  <w:p w14:paraId="1CC39A6B" w14:textId="77777777" w:rsidR="00315D55" w:rsidRDefault="00315D55">
    <w:pPr>
      <w:pStyle w:val="Header"/>
      <w:tabs>
        <w:tab w:val="left" w:pos="8363"/>
      </w:tabs>
    </w:pPr>
  </w:p>
  <w:p w14:paraId="1707BA57" w14:textId="77777777" w:rsidR="00315D55" w:rsidRDefault="00315D55">
    <w:pPr>
      <w:pStyle w:val="Header"/>
      <w:tabs>
        <w:tab w:val="left" w:pos="8363"/>
      </w:tabs>
    </w:pPr>
  </w:p>
  <w:p w14:paraId="1E844950" w14:textId="77777777" w:rsidR="00315D55" w:rsidRDefault="00315D55">
    <w:pPr>
      <w:pStyle w:val="Header"/>
      <w:tabs>
        <w:tab w:val="left" w:pos="8363"/>
      </w:tabs>
    </w:pPr>
  </w:p>
  <w:p w14:paraId="53FD5442" w14:textId="77777777" w:rsidR="00315D55" w:rsidRDefault="00315D55">
    <w:pPr>
      <w:pStyle w:val="Header"/>
      <w:tabs>
        <w:tab w:val="left" w:pos="83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77EE" w14:textId="77777777" w:rsidR="00315D55" w:rsidRDefault="00DC27CA">
    <w:pPr>
      <w:pStyle w:val="Header"/>
    </w:pPr>
    <w:r>
      <w:rPr>
        <w:noProof/>
        <w:lang w:eastAsia="da-DK"/>
      </w:rPr>
      <w:pict w14:anchorId="4E163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6" type="#_x0000_t75" alt="RD_Brev_Logo" style="position:absolute;margin-left:379.75pt;margin-top:-11.35pt;width:127.25pt;height:42.7pt;z-index:251658240;visibility:visible" o:allowincell="f">
          <v:imagedata r:id="rId1" o:title="RD_Brev_Logo"/>
          <w10:wrap type="topAndBottom"/>
        </v:shape>
      </w:pict>
    </w:r>
    <w:r w:rsidR="00315D55">
      <w:tab/>
    </w:r>
    <w:r w:rsidR="00315D55">
      <w:tab/>
    </w:r>
    <w:r w:rsidR="00315D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F89"/>
    <w:multiLevelType w:val="hybridMultilevel"/>
    <w:tmpl w:val="762E3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BF0704"/>
    <w:multiLevelType w:val="hybridMultilevel"/>
    <w:tmpl w:val="BAFAB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23D2"/>
    <w:multiLevelType w:val="hybridMultilevel"/>
    <w:tmpl w:val="7BC46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62575"/>
    <w:multiLevelType w:val="hybridMultilevel"/>
    <w:tmpl w:val="6042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F2F26"/>
    <w:multiLevelType w:val="hybridMultilevel"/>
    <w:tmpl w:val="E4F646B0"/>
    <w:lvl w:ilvl="0" w:tplc="1DB2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980A28"/>
    <w:multiLevelType w:val="hybridMultilevel"/>
    <w:tmpl w:val="C7C43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4312">
    <w:abstractNumId w:val="4"/>
  </w:num>
  <w:num w:numId="2" w16cid:durableId="570383782">
    <w:abstractNumId w:val="5"/>
  </w:num>
  <w:num w:numId="3" w16cid:durableId="2022969060">
    <w:abstractNumId w:val="2"/>
  </w:num>
  <w:num w:numId="4" w16cid:durableId="2077819170">
    <w:abstractNumId w:val="0"/>
  </w:num>
  <w:num w:numId="5" w16cid:durableId="633218222">
    <w:abstractNumId w:val="1"/>
  </w:num>
  <w:num w:numId="6" w16cid:durableId="1483959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288"/>
    <w:rsid w:val="00045809"/>
    <w:rsid w:val="0005245B"/>
    <w:rsid w:val="00055E50"/>
    <w:rsid w:val="00067F1B"/>
    <w:rsid w:val="00071940"/>
    <w:rsid w:val="00091BAF"/>
    <w:rsid w:val="000A0287"/>
    <w:rsid w:val="000A08C2"/>
    <w:rsid w:val="000A55C6"/>
    <w:rsid w:val="000C0CFA"/>
    <w:rsid w:val="000C6CBE"/>
    <w:rsid w:val="000D5BD6"/>
    <w:rsid w:val="000E5B2A"/>
    <w:rsid w:val="000E7788"/>
    <w:rsid w:val="00145905"/>
    <w:rsid w:val="001473D6"/>
    <w:rsid w:val="00157407"/>
    <w:rsid w:val="001640AF"/>
    <w:rsid w:val="00165C49"/>
    <w:rsid w:val="001730D3"/>
    <w:rsid w:val="001774C1"/>
    <w:rsid w:val="00180ADC"/>
    <w:rsid w:val="00187F07"/>
    <w:rsid w:val="001A313C"/>
    <w:rsid w:val="001B0F35"/>
    <w:rsid w:val="001B58A3"/>
    <w:rsid w:val="001B64B7"/>
    <w:rsid w:val="001D0EBE"/>
    <w:rsid w:val="001E27A8"/>
    <w:rsid w:val="001E2FA6"/>
    <w:rsid w:val="001E3C18"/>
    <w:rsid w:val="00222107"/>
    <w:rsid w:val="00235B52"/>
    <w:rsid w:val="0025688B"/>
    <w:rsid w:val="002724FA"/>
    <w:rsid w:val="002814BB"/>
    <w:rsid w:val="002B43A0"/>
    <w:rsid w:val="002C0243"/>
    <w:rsid w:val="002C4CAD"/>
    <w:rsid w:val="002D5A56"/>
    <w:rsid w:val="002E4B51"/>
    <w:rsid w:val="002E77DC"/>
    <w:rsid w:val="002F34D1"/>
    <w:rsid w:val="0030342E"/>
    <w:rsid w:val="0030367A"/>
    <w:rsid w:val="00303B47"/>
    <w:rsid w:val="00315D55"/>
    <w:rsid w:val="00316529"/>
    <w:rsid w:val="003210DE"/>
    <w:rsid w:val="0033213C"/>
    <w:rsid w:val="003564EE"/>
    <w:rsid w:val="00364BD1"/>
    <w:rsid w:val="003659D0"/>
    <w:rsid w:val="00367B55"/>
    <w:rsid w:val="00377288"/>
    <w:rsid w:val="003809C7"/>
    <w:rsid w:val="00384A6A"/>
    <w:rsid w:val="003860F6"/>
    <w:rsid w:val="003872AA"/>
    <w:rsid w:val="00387A6F"/>
    <w:rsid w:val="003B3FB0"/>
    <w:rsid w:val="003C4284"/>
    <w:rsid w:val="003D7958"/>
    <w:rsid w:val="00406B84"/>
    <w:rsid w:val="0042117F"/>
    <w:rsid w:val="004302A6"/>
    <w:rsid w:val="004372E3"/>
    <w:rsid w:val="00443031"/>
    <w:rsid w:val="0044368E"/>
    <w:rsid w:val="004562D7"/>
    <w:rsid w:val="0047318B"/>
    <w:rsid w:val="004A5E27"/>
    <w:rsid w:val="004B174C"/>
    <w:rsid w:val="004B3B55"/>
    <w:rsid w:val="004B49BE"/>
    <w:rsid w:val="004B5521"/>
    <w:rsid w:val="004D3699"/>
    <w:rsid w:val="004E57CF"/>
    <w:rsid w:val="00512C01"/>
    <w:rsid w:val="00516BE7"/>
    <w:rsid w:val="005210F9"/>
    <w:rsid w:val="00521C07"/>
    <w:rsid w:val="00526325"/>
    <w:rsid w:val="005357CE"/>
    <w:rsid w:val="005374FD"/>
    <w:rsid w:val="00553D75"/>
    <w:rsid w:val="00557FFD"/>
    <w:rsid w:val="005727D4"/>
    <w:rsid w:val="00573409"/>
    <w:rsid w:val="00580B9C"/>
    <w:rsid w:val="00584245"/>
    <w:rsid w:val="00592D3F"/>
    <w:rsid w:val="005A6F8E"/>
    <w:rsid w:val="005D2785"/>
    <w:rsid w:val="005E087C"/>
    <w:rsid w:val="005E6841"/>
    <w:rsid w:val="005F2A6F"/>
    <w:rsid w:val="0061016F"/>
    <w:rsid w:val="0062194C"/>
    <w:rsid w:val="0063286F"/>
    <w:rsid w:val="00641D18"/>
    <w:rsid w:val="006625CD"/>
    <w:rsid w:val="00665745"/>
    <w:rsid w:val="0066603D"/>
    <w:rsid w:val="0068420F"/>
    <w:rsid w:val="00686E21"/>
    <w:rsid w:val="006B1040"/>
    <w:rsid w:val="006B7DF7"/>
    <w:rsid w:val="006C6FA2"/>
    <w:rsid w:val="006D188E"/>
    <w:rsid w:val="00704F59"/>
    <w:rsid w:val="00711618"/>
    <w:rsid w:val="00735A93"/>
    <w:rsid w:val="007407C6"/>
    <w:rsid w:val="00747A16"/>
    <w:rsid w:val="00750137"/>
    <w:rsid w:val="00765E06"/>
    <w:rsid w:val="00767C81"/>
    <w:rsid w:val="00773617"/>
    <w:rsid w:val="00790522"/>
    <w:rsid w:val="007B020C"/>
    <w:rsid w:val="007C4F7F"/>
    <w:rsid w:val="007C5202"/>
    <w:rsid w:val="007D680E"/>
    <w:rsid w:val="007E2BA6"/>
    <w:rsid w:val="007F59ED"/>
    <w:rsid w:val="00811FA9"/>
    <w:rsid w:val="008123E4"/>
    <w:rsid w:val="0082086B"/>
    <w:rsid w:val="008245ED"/>
    <w:rsid w:val="00844762"/>
    <w:rsid w:val="00862278"/>
    <w:rsid w:val="00866A6E"/>
    <w:rsid w:val="0088090F"/>
    <w:rsid w:val="008818B6"/>
    <w:rsid w:val="00884233"/>
    <w:rsid w:val="0088513D"/>
    <w:rsid w:val="008952A6"/>
    <w:rsid w:val="008A4AAF"/>
    <w:rsid w:val="008A6220"/>
    <w:rsid w:val="008C333A"/>
    <w:rsid w:val="008C351D"/>
    <w:rsid w:val="008E6BAF"/>
    <w:rsid w:val="009056B0"/>
    <w:rsid w:val="00906747"/>
    <w:rsid w:val="00925789"/>
    <w:rsid w:val="00937A1E"/>
    <w:rsid w:val="00945D6E"/>
    <w:rsid w:val="00956A2E"/>
    <w:rsid w:val="00967C15"/>
    <w:rsid w:val="009758DD"/>
    <w:rsid w:val="00976AED"/>
    <w:rsid w:val="0099426C"/>
    <w:rsid w:val="00995572"/>
    <w:rsid w:val="00997BF6"/>
    <w:rsid w:val="009B7B7B"/>
    <w:rsid w:val="009C4E7F"/>
    <w:rsid w:val="009D3D6A"/>
    <w:rsid w:val="009F0CC8"/>
    <w:rsid w:val="009F299D"/>
    <w:rsid w:val="009F3E0B"/>
    <w:rsid w:val="00A01709"/>
    <w:rsid w:val="00A06166"/>
    <w:rsid w:val="00A24D4F"/>
    <w:rsid w:val="00A51ACE"/>
    <w:rsid w:val="00A729BC"/>
    <w:rsid w:val="00A76F2E"/>
    <w:rsid w:val="00A80EEB"/>
    <w:rsid w:val="00A91450"/>
    <w:rsid w:val="00AA1A39"/>
    <w:rsid w:val="00AB09A2"/>
    <w:rsid w:val="00AB60E0"/>
    <w:rsid w:val="00AC4883"/>
    <w:rsid w:val="00AC7014"/>
    <w:rsid w:val="00AD34A9"/>
    <w:rsid w:val="00AD605B"/>
    <w:rsid w:val="00AE4209"/>
    <w:rsid w:val="00B07D9F"/>
    <w:rsid w:val="00B21675"/>
    <w:rsid w:val="00B377BB"/>
    <w:rsid w:val="00B50E80"/>
    <w:rsid w:val="00B550F6"/>
    <w:rsid w:val="00B715CE"/>
    <w:rsid w:val="00B74949"/>
    <w:rsid w:val="00B95DA3"/>
    <w:rsid w:val="00BA62A5"/>
    <w:rsid w:val="00BB7500"/>
    <w:rsid w:val="00BB78B4"/>
    <w:rsid w:val="00BD42B5"/>
    <w:rsid w:val="00BD70CC"/>
    <w:rsid w:val="00C04C55"/>
    <w:rsid w:val="00C12A17"/>
    <w:rsid w:val="00C1780C"/>
    <w:rsid w:val="00C33C3F"/>
    <w:rsid w:val="00C35447"/>
    <w:rsid w:val="00C45204"/>
    <w:rsid w:val="00C618A3"/>
    <w:rsid w:val="00C86309"/>
    <w:rsid w:val="00C94B26"/>
    <w:rsid w:val="00CD6233"/>
    <w:rsid w:val="00CE0B12"/>
    <w:rsid w:val="00CE630C"/>
    <w:rsid w:val="00D02C09"/>
    <w:rsid w:val="00D05E9B"/>
    <w:rsid w:val="00D52D2F"/>
    <w:rsid w:val="00D5559C"/>
    <w:rsid w:val="00D61747"/>
    <w:rsid w:val="00D721B5"/>
    <w:rsid w:val="00D86149"/>
    <w:rsid w:val="00D95E04"/>
    <w:rsid w:val="00DA2A54"/>
    <w:rsid w:val="00DA4C18"/>
    <w:rsid w:val="00DB3549"/>
    <w:rsid w:val="00DC27CA"/>
    <w:rsid w:val="00DC4D20"/>
    <w:rsid w:val="00DD1D05"/>
    <w:rsid w:val="00DF6021"/>
    <w:rsid w:val="00E27350"/>
    <w:rsid w:val="00E35F74"/>
    <w:rsid w:val="00E456AC"/>
    <w:rsid w:val="00E51BF1"/>
    <w:rsid w:val="00E54A98"/>
    <w:rsid w:val="00E579CB"/>
    <w:rsid w:val="00E81CC0"/>
    <w:rsid w:val="00EA3674"/>
    <w:rsid w:val="00EA475A"/>
    <w:rsid w:val="00EC1A6F"/>
    <w:rsid w:val="00F126BF"/>
    <w:rsid w:val="00F55858"/>
    <w:rsid w:val="00F72525"/>
    <w:rsid w:val="00F735CF"/>
    <w:rsid w:val="00F8443B"/>
    <w:rsid w:val="00FB5AC0"/>
    <w:rsid w:val="00FC04BB"/>
    <w:rsid w:val="00FD2A2A"/>
    <w:rsid w:val="00FE4C07"/>
    <w:rsid w:val="00FE4E5A"/>
    <w:rsid w:val="00FF0EC1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DC6C7"/>
  <w15:chartTrackingRefBased/>
  <w15:docId w15:val="{2A2BD9E6-58A4-408F-ADE1-EFE9BA30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8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204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37728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HeaderChar">
    <w:name w:val="Header Char"/>
    <w:link w:val="Header"/>
    <w:rsid w:val="00377288"/>
    <w:rPr>
      <w:rFonts w:ascii="Times New Roman" w:eastAsia="Times New Roman" w:hAnsi="Times New Roman" w:cs="Times New Roman"/>
      <w:sz w:val="24"/>
      <w:szCs w:val="20"/>
    </w:rPr>
  </w:style>
  <w:style w:type="paragraph" w:customStyle="1" w:styleId="Brevoverskrift">
    <w:name w:val="Brevoverskrift"/>
    <w:basedOn w:val="Normal"/>
    <w:next w:val="Normal"/>
    <w:rsid w:val="00377288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377288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377288"/>
    <w:rPr>
      <w:rFonts w:ascii="Garamond" w:eastAsia="Times New Roman" w:hAnsi="Garamond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3772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7728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288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77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28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C45204"/>
    <w:rPr>
      <w:rFonts w:ascii="Arial" w:eastAsia="Times New Roman" w:hAnsi="Arial"/>
      <w:b/>
      <w:kern w:val="32"/>
      <w:sz w:val="32"/>
      <w:lang w:eastAsia="en-US"/>
    </w:rPr>
  </w:style>
  <w:style w:type="paragraph" w:customStyle="1" w:styleId="Default">
    <w:name w:val="Default"/>
    <w:rsid w:val="005E68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420F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BCA3-1135-48EF-BA9B-C7A4F2DC2E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ce35e3-5d0e-4ab1-a1e6-26e72505b102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2483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2021-04-16T11:20:00Z</cp:lastPrinted>
  <dcterms:created xsi:type="dcterms:W3CDTF">2025-04-14T09:06:00Z</dcterms:created>
  <dcterms:modified xsi:type="dcterms:W3CDTF">2025-04-14T09:06:00Z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2022-04-06T13:27:05Z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d12ec671-db0e-4f87-af9d-9f0f6d62ae77</vt:lpwstr>
  </property>
  <property fmtid="{D5CDD505-2E9C-101B-9397-08002B2CF9AE}" pid="8" name="MSIP_Label_2a761c37-f19c-4dfb-8dd2-47be415f8fae_ContentBits">
    <vt:lpwstr>0</vt:lpwstr>
  </property>
</Properties>
</file>