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BFF86" w14:textId="77777777" w:rsidR="00632E1C" w:rsidRDefault="00632E1C" w:rsidP="00632E1C">
      <w:pPr>
        <w:ind w:left="-360"/>
        <w:jc w:val="both"/>
        <w:rPr>
          <w:rFonts w:asciiTheme="minorHAnsi" w:hAnsiTheme="minorHAnsi"/>
          <w:lang w:val="lt-LT"/>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329F3BA3" w:rsidR="00632E1C" w:rsidRPr="00DC46B1" w:rsidRDefault="00632E1C" w:rsidP="00D32688">
      <w:pPr>
        <w:jc w:val="center"/>
        <w:rPr>
          <w:rFonts w:asciiTheme="minorHAnsi" w:hAnsiTheme="minorHAnsi"/>
          <w:b/>
        </w:rPr>
      </w:pPr>
      <w:r w:rsidRPr="00DC46B1">
        <w:rPr>
          <w:rFonts w:asciiTheme="minorHAnsi" w:hAnsiTheme="minorHAnsi"/>
          <w:b/>
        </w:rPr>
        <w:t>TO REPRESENT AT THE AB AMBER GRID</w:t>
      </w:r>
      <w:r w:rsidR="00D32688">
        <w:rPr>
          <w:rFonts w:asciiTheme="minorHAnsi" w:hAnsiTheme="minorHAnsi"/>
          <w:b/>
        </w:rPr>
        <w:t xml:space="preserve"> </w:t>
      </w:r>
      <w:r w:rsidR="00D32688" w:rsidRPr="00D32688">
        <w:rPr>
          <w:rFonts w:asciiTheme="minorHAnsi" w:hAnsiTheme="minorHAnsi"/>
          <w:b/>
        </w:rPr>
        <w:t>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1A01AB73"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8C00A6">
        <w:rPr>
          <w:rFonts w:asciiTheme="minorHAnsi" w:hAnsiTheme="minorHAnsi"/>
          <w:lang w:val="en-US"/>
        </w:rPr>
        <w:t>23</w:t>
      </w:r>
      <w:r w:rsidRPr="00073F69">
        <w:rPr>
          <w:rFonts w:asciiTheme="minorHAnsi" w:hAnsiTheme="minorHAnsi"/>
        </w:rPr>
        <w:t xml:space="preserve"> </w:t>
      </w:r>
      <w:r w:rsidR="008C00A6">
        <w:rPr>
          <w:rFonts w:asciiTheme="minorHAnsi" w:hAnsiTheme="minorHAnsi"/>
        </w:rPr>
        <w:t>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8C00A6">
        <w:rPr>
          <w:rFonts w:asciiTheme="minorHAnsi" w:hAnsiTheme="minorHAnsi"/>
        </w:rPr>
        <w:t>1</w:t>
      </w:r>
      <w:r w:rsidRPr="00DC46B1">
        <w:rPr>
          <w:rFonts w:asciiTheme="minorHAnsi" w:hAnsiTheme="minorHAnsi"/>
        </w:rPr>
        <w:t xml:space="preserve">   </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6521B01F"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w:t>
      </w:r>
      <w:r w:rsidR="008C00A6">
        <w:rPr>
          <w:rFonts w:asciiTheme="minorHAnsi" w:hAnsiTheme="minorHAnsi"/>
        </w:rPr>
        <w:t>O</w:t>
      </w:r>
      <w:r w:rsidR="00D32688">
        <w:rPr>
          <w:rFonts w:asciiTheme="minorHAnsi" w:hAnsiTheme="minorHAnsi"/>
        </w:rPr>
        <w:t xml:space="preserve">rdinary </w:t>
      </w:r>
      <w:r w:rsidRPr="00DC46B1">
        <w:rPr>
          <w:rFonts w:asciiTheme="minorHAnsi" w:hAnsiTheme="minorHAnsi"/>
        </w:rPr>
        <w:t xml:space="preserve">General Meeting of Shareholders of AB Amber Grid (hereinafter: “the Company”) to be held on </w:t>
      </w:r>
      <w:r w:rsidR="008C00A6">
        <w:rPr>
          <w:rFonts w:asciiTheme="minorHAnsi" w:hAnsiTheme="minorHAnsi"/>
        </w:rPr>
        <w:t>23 April</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w:t>
      </w:r>
      <w:r w:rsidR="008C00A6">
        <w:rPr>
          <w:rFonts w:asciiTheme="minorHAnsi" w:hAnsiTheme="minorHAnsi"/>
        </w:rPr>
        <w:t>1</w:t>
      </w:r>
      <w:r w:rsidRPr="00073F69">
        <w:rPr>
          <w:rFonts w:asciiTheme="minorHAnsi" w:hAnsiTheme="minorHAnsi"/>
        </w:rPr>
        <w:t xml:space="preserve"> 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7CD1DAC9"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8C00A6">
        <w:rPr>
          <w:rFonts w:asciiTheme="minorHAnsi" w:hAnsiTheme="minorHAnsi"/>
          <w:b/>
        </w:rPr>
        <w:t>23</w:t>
      </w:r>
      <w:r w:rsidR="00DE7CCF">
        <w:rPr>
          <w:rFonts w:asciiTheme="minorHAnsi" w:hAnsiTheme="minorHAnsi"/>
          <w:b/>
        </w:rPr>
        <w:t xml:space="preserve"> </w:t>
      </w:r>
      <w:r w:rsidR="008C00A6">
        <w:rPr>
          <w:rFonts w:asciiTheme="minorHAnsi" w:hAnsiTheme="minorHAnsi"/>
          <w:b/>
        </w:rPr>
        <w:t>April</w:t>
      </w:r>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w:t>
      </w:r>
      <w:r w:rsidR="008C00A6">
        <w:rPr>
          <w:rFonts w:asciiTheme="minorHAnsi" w:hAnsiTheme="minorHAnsi"/>
          <w:b/>
        </w:rPr>
        <w:t>1</w:t>
      </w:r>
      <w:r w:rsidRPr="00073F69">
        <w:rPr>
          <w:rFonts w:asciiTheme="minorHAnsi" w:hAnsiTheme="minorHAnsi"/>
          <w:b/>
        </w:rPr>
        <w:t xml:space="preserve"> at the</w:t>
      </w:r>
      <w:r w:rsidR="00D32688">
        <w:rPr>
          <w:rFonts w:asciiTheme="minorHAnsi" w:hAnsiTheme="minorHAnsi"/>
          <w:b/>
        </w:rPr>
        <w:t xml:space="preserve"> </w:t>
      </w:r>
      <w:r w:rsidR="008C00A6">
        <w:rPr>
          <w:rFonts w:asciiTheme="minorHAnsi" w:hAnsiTheme="minorHAnsi"/>
          <w:b/>
        </w:rPr>
        <w:t>O</w:t>
      </w:r>
      <w:r w:rsidR="00D32688">
        <w:rPr>
          <w:rFonts w:asciiTheme="minorHAnsi" w:hAnsiTheme="minorHAnsi"/>
          <w:b/>
        </w:rPr>
        <w:t>rdinary</w:t>
      </w:r>
      <w:r w:rsidRPr="00073F69">
        <w:rPr>
          <w:rFonts w:asciiTheme="minorHAnsi" w:hAnsiTheme="minorHAnsi"/>
          <w:b/>
        </w:rPr>
        <w:t xml:space="preserv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450CD" w14:textId="77777777" w:rsidR="001C3647" w:rsidRDefault="001C3647" w:rsidP="000E1FA2">
      <w:r>
        <w:separator/>
      </w:r>
    </w:p>
  </w:endnote>
  <w:endnote w:type="continuationSeparator" w:id="0">
    <w:p w14:paraId="2AA17908" w14:textId="77777777" w:rsidR="001C3647" w:rsidRDefault="001C3647"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9046F" w14:textId="77777777" w:rsidR="001C3647" w:rsidRDefault="001C3647" w:rsidP="000E1FA2">
      <w:r>
        <w:separator/>
      </w:r>
    </w:p>
  </w:footnote>
  <w:footnote w:type="continuationSeparator" w:id="0">
    <w:p w14:paraId="358B1D6A" w14:textId="77777777" w:rsidR="001C3647" w:rsidRDefault="001C3647"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73F69"/>
    <w:rsid w:val="000A7F7E"/>
    <w:rsid w:val="000C67C5"/>
    <w:rsid w:val="000D301A"/>
    <w:rsid w:val="000E1FA2"/>
    <w:rsid w:val="001C3647"/>
    <w:rsid w:val="004476F5"/>
    <w:rsid w:val="004501CB"/>
    <w:rsid w:val="00525F40"/>
    <w:rsid w:val="005758D6"/>
    <w:rsid w:val="00622AB2"/>
    <w:rsid w:val="00632E1C"/>
    <w:rsid w:val="006B44F3"/>
    <w:rsid w:val="008A0A62"/>
    <w:rsid w:val="008C00A6"/>
    <w:rsid w:val="008E6BEE"/>
    <w:rsid w:val="00A21539"/>
    <w:rsid w:val="00B606AE"/>
    <w:rsid w:val="00C342C8"/>
    <w:rsid w:val="00C35EE0"/>
    <w:rsid w:val="00CE72B5"/>
    <w:rsid w:val="00D272A7"/>
    <w:rsid w:val="00D32688"/>
    <w:rsid w:val="00DC46B1"/>
    <w:rsid w:val="00DD2CAA"/>
    <w:rsid w:val="00DE3F1E"/>
    <w:rsid w:val="00DE7CCF"/>
    <w:rsid w:val="00F2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2108</Words>
  <Characters>1202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Donatas</cp:lastModifiedBy>
  <cp:revision>5</cp:revision>
  <dcterms:created xsi:type="dcterms:W3CDTF">2020-06-05T11:47:00Z</dcterms:created>
  <dcterms:modified xsi:type="dcterms:W3CDTF">2021-03-31T13:06:00Z</dcterms:modified>
</cp:coreProperties>
</file>