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left="142"/>
        <w:jc w:val="both"/>
      </w:pPr>
      <w:r>
        <w:rPr/>
        <w:t>4</w:t>
      </w:r>
      <w:r>
        <w:rPr>
          <w:spacing w:val="-2"/>
        </w:rPr>
        <w:t> </w:t>
      </w:r>
      <w:r>
        <w:rPr/>
        <w:t>February</w:t>
      </w:r>
      <w:r>
        <w:rPr>
          <w:spacing w:val="-3"/>
        </w:rPr>
        <w:t> </w:t>
      </w:r>
      <w:r>
        <w:rPr>
          <w:spacing w:val="-4"/>
        </w:rPr>
        <w:t>2026</w:t>
      </w:r>
    </w:p>
    <w:p>
      <w:pPr>
        <w:pStyle w:val="BodyText"/>
        <w:spacing w:before="60"/>
      </w:pPr>
    </w:p>
    <w:p>
      <w:pPr>
        <w:pStyle w:val="BodyText"/>
        <w:ind w:left="142"/>
        <w:jc w:val="both"/>
      </w:pPr>
      <w:r>
        <w:rPr/>
        <w:t>LEI:</w:t>
      </w:r>
      <w:r>
        <w:rPr>
          <w:spacing w:val="-2"/>
        </w:rPr>
        <w:t> 2138003QW2ZAYZODBU23</w:t>
      </w:r>
    </w:p>
    <w:p>
      <w:pPr>
        <w:pStyle w:val="BodyText"/>
        <w:spacing w:before="30"/>
      </w:pPr>
    </w:p>
    <w:p>
      <w:pPr>
        <w:pStyle w:val="Heading1"/>
        <w:spacing w:before="1"/>
      </w:pPr>
      <w:r>
        <w:rPr/>
        <w:t>WISDOMTREE</w:t>
      </w:r>
      <w:r>
        <w:rPr>
          <w:spacing w:val="-6"/>
        </w:rPr>
        <w:t> </w:t>
      </w:r>
      <w:r>
        <w:rPr/>
        <w:t>MULTI</w:t>
      </w:r>
      <w:r>
        <w:rPr>
          <w:spacing w:val="-5"/>
        </w:rPr>
        <w:t> </w:t>
      </w:r>
      <w:r>
        <w:rPr/>
        <w:t>ASSET</w:t>
      </w:r>
      <w:r>
        <w:rPr>
          <w:spacing w:val="-5"/>
        </w:rPr>
        <w:t> </w:t>
      </w:r>
      <w:r>
        <w:rPr/>
        <w:t>ISSUER</w:t>
      </w:r>
      <w:r>
        <w:rPr>
          <w:spacing w:val="-4"/>
        </w:rPr>
        <w:t> </w:t>
      </w:r>
      <w:r>
        <w:rPr/>
        <w:t>PUBLIC</w:t>
      </w:r>
      <w:r>
        <w:rPr>
          <w:spacing w:val="-5"/>
        </w:rPr>
        <w:t> </w:t>
      </w:r>
      <w:r>
        <w:rPr/>
        <w:t>LIMITED</w:t>
      </w:r>
      <w:r>
        <w:rPr>
          <w:spacing w:val="-4"/>
        </w:rPr>
        <w:t> </w:t>
      </w:r>
      <w:r>
        <w:rPr>
          <w:spacing w:val="-2"/>
        </w:rPr>
        <w:t>COMPANY</w:t>
      </w:r>
    </w:p>
    <w:p>
      <w:pPr>
        <w:spacing w:before="46"/>
        <w:ind w:left="49" w:right="50" w:firstLine="0"/>
        <w:jc w:val="center"/>
        <w:rPr>
          <w:sz w:val="20"/>
        </w:rPr>
      </w:pPr>
      <w:r>
        <w:rPr>
          <w:sz w:val="20"/>
        </w:rPr>
        <w:t>(the</w:t>
      </w:r>
      <w:r>
        <w:rPr>
          <w:spacing w:val="-1"/>
          <w:sz w:val="20"/>
        </w:rPr>
        <w:t> </w:t>
      </w:r>
      <w:r>
        <w:rPr>
          <w:spacing w:val="-2"/>
          <w:sz w:val="20"/>
        </w:rPr>
        <w:t>“</w:t>
      </w:r>
      <w:r>
        <w:rPr>
          <w:b/>
          <w:spacing w:val="-2"/>
          <w:sz w:val="20"/>
        </w:rPr>
        <w:t>ISSUER</w:t>
      </w:r>
      <w:r>
        <w:rPr>
          <w:spacing w:val="-2"/>
          <w:sz w:val="20"/>
        </w:rPr>
        <w:t>”)</w:t>
      </w:r>
    </w:p>
    <w:p>
      <w:pPr>
        <w:spacing w:before="46"/>
        <w:ind w:left="0" w:right="50" w:firstLine="0"/>
        <w:jc w:val="center"/>
        <w:rPr>
          <w:i/>
          <w:sz w:val="20"/>
        </w:rPr>
      </w:pPr>
      <w:r>
        <w:rPr>
          <w:i/>
          <w:sz w:val="20"/>
        </w:rPr>
        <w:t>(a</w:t>
      </w:r>
      <w:r>
        <w:rPr>
          <w:i/>
          <w:spacing w:val="-5"/>
          <w:sz w:val="20"/>
        </w:rPr>
        <w:t> </w:t>
      </w:r>
      <w:r>
        <w:rPr>
          <w:i/>
          <w:sz w:val="20"/>
        </w:rPr>
        <w:t>public</w:t>
      </w:r>
      <w:r>
        <w:rPr>
          <w:i/>
          <w:spacing w:val="-4"/>
          <w:sz w:val="20"/>
        </w:rPr>
        <w:t> </w:t>
      </w:r>
      <w:r>
        <w:rPr>
          <w:i/>
          <w:sz w:val="20"/>
        </w:rPr>
        <w:t>company</w:t>
      </w:r>
      <w:r>
        <w:rPr>
          <w:i/>
          <w:spacing w:val="-5"/>
          <w:sz w:val="20"/>
        </w:rPr>
        <w:t> </w:t>
      </w:r>
      <w:r>
        <w:rPr>
          <w:i/>
          <w:sz w:val="20"/>
        </w:rPr>
        <w:t>incorporated</w:t>
      </w:r>
      <w:r>
        <w:rPr>
          <w:i/>
          <w:spacing w:val="-3"/>
          <w:sz w:val="20"/>
        </w:rPr>
        <w:t> </w:t>
      </w:r>
      <w:r>
        <w:rPr>
          <w:i/>
          <w:sz w:val="20"/>
        </w:rPr>
        <w:t>with</w:t>
      </w:r>
      <w:r>
        <w:rPr>
          <w:i/>
          <w:spacing w:val="-3"/>
          <w:sz w:val="20"/>
        </w:rPr>
        <w:t> </w:t>
      </w:r>
      <w:r>
        <w:rPr>
          <w:i/>
          <w:sz w:val="20"/>
        </w:rPr>
        <w:t>limited</w:t>
      </w:r>
      <w:r>
        <w:rPr>
          <w:i/>
          <w:spacing w:val="-5"/>
          <w:sz w:val="20"/>
        </w:rPr>
        <w:t> </w:t>
      </w:r>
      <w:r>
        <w:rPr>
          <w:i/>
          <w:sz w:val="20"/>
        </w:rPr>
        <w:t>liability</w:t>
      </w:r>
      <w:r>
        <w:rPr>
          <w:i/>
          <w:spacing w:val="-4"/>
          <w:sz w:val="20"/>
        </w:rPr>
        <w:t> </w:t>
      </w:r>
      <w:r>
        <w:rPr>
          <w:i/>
          <w:sz w:val="20"/>
        </w:rPr>
        <w:t>in</w:t>
      </w:r>
      <w:r>
        <w:rPr>
          <w:i/>
          <w:spacing w:val="-3"/>
          <w:sz w:val="20"/>
        </w:rPr>
        <w:t> </w:t>
      </w:r>
      <w:r>
        <w:rPr>
          <w:i/>
          <w:spacing w:val="-2"/>
          <w:sz w:val="20"/>
        </w:rPr>
        <w:t>Ireland)</w:t>
      </w:r>
    </w:p>
    <w:p>
      <w:pPr>
        <w:pStyle w:val="BodyText"/>
        <w:spacing w:before="64"/>
        <w:rPr>
          <w:i/>
        </w:rPr>
      </w:pPr>
    </w:p>
    <w:p>
      <w:pPr>
        <w:pStyle w:val="Heading1"/>
        <w:spacing w:line="288" w:lineRule="auto"/>
        <w:ind w:left="109" w:right="109"/>
      </w:pPr>
      <w:r>
        <w:rPr/>
        <w:t>NOTICE</w:t>
      </w:r>
      <w:r>
        <w:rPr>
          <w:spacing w:val="-2"/>
        </w:rPr>
        <w:t> </w:t>
      </w:r>
      <w:r>
        <w:rPr/>
        <w:t>IN</w:t>
      </w:r>
      <w:r>
        <w:rPr>
          <w:spacing w:val="-3"/>
        </w:rPr>
        <w:t> </w:t>
      </w:r>
      <w:r>
        <w:rPr/>
        <w:t>RESPECT</w:t>
      </w:r>
      <w:r>
        <w:rPr>
          <w:spacing w:val="-4"/>
        </w:rPr>
        <w:t> </w:t>
      </w:r>
      <w:r>
        <w:rPr/>
        <w:t>OF</w:t>
      </w:r>
      <w:r>
        <w:rPr>
          <w:spacing w:val="-2"/>
        </w:rPr>
        <w:t> </w:t>
      </w:r>
      <w:r>
        <w:rPr/>
        <w:t>A</w:t>
      </w:r>
      <w:r>
        <w:rPr>
          <w:spacing w:val="-3"/>
        </w:rPr>
        <w:t> </w:t>
      </w:r>
      <w:r>
        <w:rPr/>
        <w:t>DAILY</w:t>
      </w:r>
      <w:r>
        <w:rPr>
          <w:spacing w:val="-3"/>
        </w:rPr>
        <w:t> </w:t>
      </w:r>
      <w:r>
        <w:rPr/>
        <w:t>SWAP</w:t>
      </w:r>
      <w:r>
        <w:rPr>
          <w:spacing w:val="-3"/>
        </w:rPr>
        <w:t> </w:t>
      </w:r>
      <w:r>
        <w:rPr/>
        <w:t>RATE</w:t>
      </w:r>
      <w:r>
        <w:rPr>
          <w:spacing w:val="-4"/>
        </w:rPr>
        <w:t> </w:t>
      </w:r>
      <w:r>
        <w:rPr/>
        <w:t>AMENDEMENT</w:t>
      </w:r>
      <w:r>
        <w:rPr>
          <w:spacing w:val="-2"/>
        </w:rPr>
        <w:t> </w:t>
      </w:r>
      <w:r>
        <w:rPr/>
        <w:t>IN</w:t>
      </w:r>
      <w:r>
        <w:rPr>
          <w:spacing w:val="-3"/>
        </w:rPr>
        <w:t> </w:t>
      </w:r>
      <w:r>
        <w:rPr/>
        <w:t>RESPECT</w:t>
      </w:r>
      <w:r>
        <w:rPr>
          <w:spacing w:val="-3"/>
        </w:rPr>
        <w:t> </w:t>
      </w:r>
      <w:r>
        <w:rPr/>
        <w:t>OF</w:t>
      </w:r>
      <w:r>
        <w:rPr>
          <w:spacing w:val="-3"/>
        </w:rPr>
        <w:t> </w:t>
      </w:r>
      <w:r>
        <w:rPr/>
        <w:t>CERTAIN</w:t>
      </w:r>
      <w:r>
        <w:rPr>
          <w:spacing w:val="-3"/>
        </w:rPr>
        <w:t> </w:t>
      </w:r>
      <w:r>
        <w:rPr/>
        <w:t>CLASSES OF ETP SECURITIES</w:t>
      </w:r>
    </w:p>
    <w:p>
      <w:pPr>
        <w:pStyle w:val="BodyText"/>
        <w:spacing w:before="46"/>
        <w:rPr>
          <w:b/>
        </w:rPr>
      </w:pPr>
    </w:p>
    <w:p>
      <w:pPr>
        <w:pStyle w:val="BodyText"/>
        <w:spacing w:line="288" w:lineRule="auto"/>
        <w:ind w:left="141" w:right="140"/>
        <w:jc w:val="both"/>
      </w:pPr>
      <w:r>
        <w:rPr/>
        <w:t>This notice relates to the ETP Securities listed in the below (the “</w:t>
      </w:r>
      <w:r>
        <w:rPr>
          <w:b/>
        </w:rPr>
        <w:t>Affected Security</w:t>
      </w:r>
      <w:r>
        <w:rPr/>
        <w:t>”) issued pursuant to the Issuer’s Collateralised ETP Securities Programme (the “</w:t>
      </w:r>
      <w:r>
        <w:rPr>
          <w:b/>
        </w:rPr>
        <w:t>Programme</w:t>
      </w:r>
      <w:r>
        <w:rPr/>
        <w:t>”) and its base prospectus dated 25 September 2025 (the “</w:t>
      </w:r>
      <w:r>
        <w:rPr>
          <w:b/>
        </w:rPr>
        <w:t>Base Prospectus</w:t>
      </w:r>
      <w:r>
        <w:rPr/>
        <w:t>”). Terms used in this notice but not otherwise defined shall have the same meaning ascribed to them in the Base Prospectus.</w:t>
      </w:r>
    </w:p>
    <w:p>
      <w:pPr>
        <w:pStyle w:val="BodyText"/>
        <w:spacing w:before="45"/>
      </w:pPr>
    </w:p>
    <w:p>
      <w:pPr>
        <w:pStyle w:val="BodyText"/>
        <w:spacing w:line="288" w:lineRule="auto"/>
        <w:ind w:left="141" w:right="139"/>
        <w:jc w:val="both"/>
      </w:pPr>
      <w:r>
        <w:rPr/>
        <w:t>BNP Paribas acts as Swap Provider for the Affected Security and has notified the Issuer of its intention to amend the Daily Swap Rate of the Affected Security as set out in the table below. Changes to the Daily Swap Rate are permitted pursuant to the terms of the Swap Provider Agreement and such change is made in accordance with the Conditions of the Affected Security.</w:t>
      </w:r>
    </w:p>
    <w:p>
      <w:pPr>
        <w:pStyle w:val="BodyText"/>
        <w:spacing w:before="44"/>
      </w:pPr>
    </w:p>
    <w:p>
      <w:pPr>
        <w:pStyle w:val="BodyText"/>
        <w:spacing w:line="288" w:lineRule="auto" w:before="1"/>
        <w:ind w:left="140" w:right="141"/>
        <w:jc w:val="both"/>
      </w:pPr>
      <w:r>
        <w:rPr/>
        <w:t>The Issuer announces that</w:t>
      </w:r>
      <w:r>
        <w:rPr>
          <w:spacing w:val="-2"/>
        </w:rPr>
        <w:t> </w:t>
      </w:r>
      <w:r>
        <w:rPr/>
        <w:t>on</w:t>
      </w:r>
      <w:r>
        <w:rPr>
          <w:spacing w:val="-1"/>
        </w:rPr>
        <w:t> </w:t>
      </w:r>
      <w:r>
        <w:rPr/>
        <w:t>and from the</w:t>
      </w:r>
      <w:r>
        <w:rPr>
          <w:spacing w:val="-1"/>
        </w:rPr>
        <w:t> </w:t>
      </w:r>
      <w:r>
        <w:rPr/>
        <w:t>dates set out below, the Daily Swap Rate for the following Affected Security will be amended as follows (the “</w:t>
      </w:r>
      <w:r>
        <w:rPr>
          <w:b/>
        </w:rPr>
        <w:t>Affected Security Fee Change</w:t>
      </w:r>
      <w:r>
        <w:rPr/>
        <w:t>”):</w:t>
      </w:r>
    </w:p>
    <w:tbl>
      <w:tblPr>
        <w:tblW w:w="0" w:type="auto"/>
        <w:jc w:val="lef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783"/>
        <w:gridCol w:w="1559"/>
        <w:gridCol w:w="1057"/>
        <w:gridCol w:w="1274"/>
        <w:gridCol w:w="1195"/>
      </w:tblGrid>
      <w:tr>
        <w:trPr>
          <w:trHeight w:val="1200" w:hRule="atLeast"/>
        </w:trPr>
        <w:tc>
          <w:tcPr>
            <w:tcW w:w="2660" w:type="dxa"/>
            <w:shd w:val="clear" w:color="auto" w:fill="BEBEBE"/>
          </w:tcPr>
          <w:p>
            <w:pPr>
              <w:pStyle w:val="TableParagraph"/>
              <w:rPr>
                <w:sz w:val="20"/>
              </w:rPr>
            </w:pPr>
          </w:p>
          <w:p>
            <w:pPr>
              <w:pStyle w:val="TableParagraph"/>
              <w:spacing w:before="25"/>
              <w:rPr>
                <w:sz w:val="20"/>
              </w:rPr>
            </w:pPr>
          </w:p>
          <w:p>
            <w:pPr>
              <w:pStyle w:val="TableParagraph"/>
              <w:ind w:left="205"/>
              <w:rPr>
                <w:b/>
                <w:sz w:val="20"/>
              </w:rPr>
            </w:pPr>
            <w:r>
              <w:rPr>
                <w:b/>
                <w:sz w:val="20"/>
              </w:rPr>
              <w:t>Name</w:t>
            </w:r>
            <w:r>
              <w:rPr>
                <w:b/>
                <w:spacing w:val="-6"/>
                <w:sz w:val="20"/>
              </w:rPr>
              <w:t> </w:t>
            </w:r>
            <w:r>
              <w:rPr>
                <w:b/>
                <w:sz w:val="20"/>
              </w:rPr>
              <w:t>of</w:t>
            </w:r>
            <w:r>
              <w:rPr>
                <w:b/>
                <w:spacing w:val="-3"/>
                <w:sz w:val="20"/>
              </w:rPr>
              <w:t> </w:t>
            </w:r>
            <w:r>
              <w:rPr>
                <w:b/>
                <w:sz w:val="20"/>
              </w:rPr>
              <w:t>Affected</w:t>
            </w:r>
            <w:r>
              <w:rPr>
                <w:b/>
                <w:spacing w:val="-2"/>
                <w:sz w:val="20"/>
              </w:rPr>
              <w:t> Security</w:t>
            </w:r>
          </w:p>
        </w:tc>
        <w:tc>
          <w:tcPr>
            <w:tcW w:w="783" w:type="dxa"/>
            <w:shd w:val="clear" w:color="auto" w:fill="BEBEBE"/>
          </w:tcPr>
          <w:p>
            <w:pPr>
              <w:pStyle w:val="TableParagraph"/>
              <w:rPr>
                <w:sz w:val="20"/>
              </w:rPr>
            </w:pPr>
          </w:p>
          <w:p>
            <w:pPr>
              <w:pStyle w:val="TableParagraph"/>
              <w:spacing w:before="25"/>
              <w:rPr>
                <w:sz w:val="20"/>
              </w:rPr>
            </w:pPr>
          </w:p>
          <w:p>
            <w:pPr>
              <w:pStyle w:val="TableParagraph"/>
              <w:ind w:left="11" w:right="1"/>
              <w:jc w:val="center"/>
              <w:rPr>
                <w:b/>
                <w:sz w:val="20"/>
              </w:rPr>
            </w:pPr>
            <w:r>
              <w:rPr>
                <w:b/>
                <w:spacing w:val="-2"/>
                <w:sz w:val="20"/>
              </w:rPr>
              <w:t>Ticker</w:t>
            </w:r>
          </w:p>
        </w:tc>
        <w:tc>
          <w:tcPr>
            <w:tcW w:w="1559" w:type="dxa"/>
            <w:shd w:val="clear" w:color="auto" w:fill="BEBEBE"/>
          </w:tcPr>
          <w:p>
            <w:pPr>
              <w:pStyle w:val="TableParagraph"/>
              <w:rPr>
                <w:sz w:val="20"/>
              </w:rPr>
            </w:pPr>
          </w:p>
          <w:p>
            <w:pPr>
              <w:pStyle w:val="TableParagraph"/>
              <w:spacing w:before="25"/>
              <w:rPr>
                <w:sz w:val="20"/>
              </w:rPr>
            </w:pPr>
          </w:p>
          <w:p>
            <w:pPr>
              <w:pStyle w:val="TableParagraph"/>
              <w:ind w:left="12"/>
              <w:jc w:val="center"/>
              <w:rPr>
                <w:b/>
                <w:sz w:val="20"/>
              </w:rPr>
            </w:pPr>
            <w:r>
              <w:rPr>
                <w:b/>
                <w:spacing w:val="-4"/>
                <w:sz w:val="20"/>
              </w:rPr>
              <w:t>ISIN</w:t>
            </w:r>
          </w:p>
        </w:tc>
        <w:tc>
          <w:tcPr>
            <w:tcW w:w="1057" w:type="dxa"/>
            <w:shd w:val="clear" w:color="auto" w:fill="BEBEBE"/>
          </w:tcPr>
          <w:p>
            <w:pPr>
              <w:pStyle w:val="TableParagraph"/>
              <w:spacing w:before="140"/>
              <w:ind w:left="134" w:right="118"/>
              <w:jc w:val="center"/>
              <w:rPr>
                <w:b/>
                <w:sz w:val="20"/>
              </w:rPr>
            </w:pPr>
            <w:r>
              <w:rPr>
                <w:b/>
                <w:spacing w:val="-2"/>
                <w:sz w:val="20"/>
              </w:rPr>
              <w:t>Current Daily </w:t>
            </w:r>
            <w:r>
              <w:rPr>
                <w:b/>
                <w:spacing w:val="-4"/>
                <w:sz w:val="20"/>
              </w:rPr>
              <w:t>Swap Rate</w:t>
            </w:r>
          </w:p>
        </w:tc>
        <w:tc>
          <w:tcPr>
            <w:tcW w:w="1274" w:type="dxa"/>
            <w:shd w:val="clear" w:color="auto" w:fill="BEBEBE"/>
          </w:tcPr>
          <w:p>
            <w:pPr>
              <w:pStyle w:val="TableParagraph"/>
              <w:spacing w:before="25"/>
              <w:ind w:left="72" w:right="53"/>
              <w:jc w:val="center"/>
              <w:rPr>
                <w:b/>
                <w:sz w:val="20"/>
              </w:rPr>
            </w:pPr>
            <w:r>
              <w:rPr>
                <w:b/>
                <w:sz w:val="20"/>
              </w:rPr>
              <w:t>Daily Swap Rate</w:t>
            </w:r>
            <w:r>
              <w:rPr>
                <w:b/>
                <w:spacing w:val="-13"/>
                <w:sz w:val="20"/>
              </w:rPr>
              <w:t> </w:t>
            </w:r>
            <w:r>
              <w:rPr>
                <w:b/>
                <w:sz w:val="20"/>
              </w:rPr>
              <w:t>on</w:t>
            </w:r>
            <w:r>
              <w:rPr>
                <w:b/>
                <w:spacing w:val="-12"/>
                <w:sz w:val="20"/>
              </w:rPr>
              <w:t> </w:t>
            </w:r>
            <w:r>
              <w:rPr>
                <w:b/>
                <w:sz w:val="20"/>
              </w:rPr>
              <w:t>and from 5 </w:t>
            </w:r>
            <w:r>
              <w:rPr>
                <w:b/>
                <w:spacing w:val="-2"/>
                <w:sz w:val="20"/>
              </w:rPr>
              <w:t>February </w:t>
            </w:r>
            <w:r>
              <w:rPr>
                <w:b/>
                <w:spacing w:val="-4"/>
                <w:sz w:val="20"/>
              </w:rPr>
              <w:t>2026</w:t>
            </w:r>
          </w:p>
        </w:tc>
        <w:tc>
          <w:tcPr>
            <w:tcW w:w="1195" w:type="dxa"/>
            <w:shd w:val="clear" w:color="auto" w:fill="BEBEBE"/>
          </w:tcPr>
          <w:p>
            <w:pPr>
              <w:pStyle w:val="TableParagraph"/>
              <w:ind w:left="116" w:right="94"/>
              <w:jc w:val="center"/>
              <w:rPr>
                <w:b/>
                <w:sz w:val="20"/>
              </w:rPr>
            </w:pPr>
            <w:r>
              <w:rPr>
                <w:b/>
                <w:sz w:val="20"/>
              </w:rPr>
              <w:t>Daily</w:t>
            </w:r>
            <w:r>
              <w:rPr>
                <w:b/>
                <w:spacing w:val="-13"/>
                <w:sz w:val="20"/>
              </w:rPr>
              <w:t> </w:t>
            </w:r>
            <w:r>
              <w:rPr>
                <w:b/>
                <w:sz w:val="20"/>
              </w:rPr>
              <w:t>Swap Rate on and</w:t>
            </w:r>
            <w:r>
              <w:rPr>
                <w:b/>
                <w:spacing w:val="-5"/>
                <w:sz w:val="20"/>
              </w:rPr>
              <w:t> </w:t>
            </w:r>
            <w:r>
              <w:rPr>
                <w:b/>
                <w:sz w:val="20"/>
              </w:rPr>
              <w:t>from</w:t>
            </w:r>
            <w:r>
              <w:rPr>
                <w:b/>
                <w:spacing w:val="-5"/>
                <w:sz w:val="20"/>
              </w:rPr>
              <w:t> </w:t>
            </w:r>
            <w:r>
              <w:rPr>
                <w:b/>
                <w:sz w:val="20"/>
              </w:rPr>
              <w:t>1</w:t>
            </w:r>
          </w:p>
          <w:p>
            <w:pPr>
              <w:pStyle w:val="TableParagraph"/>
              <w:ind w:left="20"/>
              <w:jc w:val="center"/>
              <w:rPr>
                <w:b/>
                <w:sz w:val="20"/>
              </w:rPr>
            </w:pPr>
            <w:r>
              <w:rPr>
                <w:b/>
                <w:sz w:val="20"/>
              </w:rPr>
              <w:t>May</w:t>
            </w:r>
            <w:r>
              <w:rPr>
                <w:b/>
                <w:spacing w:val="-2"/>
                <w:sz w:val="20"/>
              </w:rPr>
              <w:t> </w:t>
            </w:r>
            <w:r>
              <w:rPr>
                <w:b/>
                <w:spacing w:val="-4"/>
                <w:sz w:val="20"/>
              </w:rPr>
              <w:t>2026</w:t>
            </w:r>
          </w:p>
        </w:tc>
      </w:tr>
      <w:tr>
        <w:trPr>
          <w:trHeight w:val="460" w:hRule="atLeast"/>
        </w:trPr>
        <w:tc>
          <w:tcPr>
            <w:tcW w:w="2660" w:type="dxa"/>
          </w:tcPr>
          <w:p>
            <w:pPr>
              <w:pStyle w:val="TableParagraph"/>
              <w:spacing w:line="230" w:lineRule="exact"/>
              <w:ind w:left="488" w:hanging="317"/>
              <w:rPr>
                <w:sz w:val="20"/>
              </w:rPr>
            </w:pPr>
            <w:r>
              <w:rPr>
                <w:sz w:val="20"/>
              </w:rPr>
              <w:t>WisdomTree</w:t>
            </w:r>
            <w:r>
              <w:rPr>
                <w:spacing w:val="-13"/>
                <w:sz w:val="20"/>
              </w:rPr>
              <w:t> </w:t>
            </w:r>
            <w:r>
              <w:rPr>
                <w:sz w:val="20"/>
              </w:rPr>
              <w:t>Silver</w:t>
            </w:r>
            <w:r>
              <w:rPr>
                <w:spacing w:val="-12"/>
                <w:sz w:val="20"/>
              </w:rPr>
              <w:t> </w:t>
            </w:r>
            <w:r>
              <w:rPr>
                <w:sz w:val="20"/>
              </w:rPr>
              <w:t>3x</w:t>
            </w:r>
            <w:r>
              <w:rPr>
                <w:spacing w:val="-13"/>
                <w:sz w:val="20"/>
              </w:rPr>
              <w:t> </w:t>
            </w:r>
            <w:r>
              <w:rPr>
                <w:sz w:val="20"/>
              </w:rPr>
              <w:t>Daily Leveraged Securities</w:t>
            </w:r>
          </w:p>
        </w:tc>
        <w:tc>
          <w:tcPr>
            <w:tcW w:w="783" w:type="dxa"/>
          </w:tcPr>
          <w:p>
            <w:pPr>
              <w:pStyle w:val="TableParagraph"/>
              <w:spacing w:line="211" w:lineRule="exact" w:before="229"/>
              <w:ind w:left="11"/>
              <w:jc w:val="center"/>
              <w:rPr>
                <w:sz w:val="20"/>
              </w:rPr>
            </w:pPr>
            <w:r>
              <w:rPr>
                <w:spacing w:val="-4"/>
                <w:sz w:val="20"/>
              </w:rPr>
              <w:t>3SIL</w:t>
            </w:r>
          </w:p>
        </w:tc>
        <w:tc>
          <w:tcPr>
            <w:tcW w:w="1559" w:type="dxa"/>
          </w:tcPr>
          <w:p>
            <w:pPr>
              <w:pStyle w:val="TableParagraph"/>
              <w:spacing w:line="211" w:lineRule="exact" w:before="229"/>
              <w:ind w:left="12" w:right="2"/>
              <w:jc w:val="center"/>
              <w:rPr>
                <w:sz w:val="20"/>
              </w:rPr>
            </w:pPr>
            <w:r>
              <w:rPr>
                <w:spacing w:val="-2"/>
                <w:sz w:val="20"/>
              </w:rPr>
              <w:t>IE00B7XD2195</w:t>
            </w:r>
          </w:p>
        </w:tc>
        <w:tc>
          <w:tcPr>
            <w:tcW w:w="1057" w:type="dxa"/>
          </w:tcPr>
          <w:p>
            <w:pPr>
              <w:pStyle w:val="TableParagraph"/>
              <w:spacing w:line="211" w:lineRule="exact" w:before="229"/>
              <w:ind w:left="122"/>
              <w:rPr>
                <w:sz w:val="20"/>
              </w:rPr>
            </w:pPr>
            <w:r>
              <w:rPr>
                <w:spacing w:val="-2"/>
                <w:sz w:val="20"/>
              </w:rPr>
              <w:t>0.00692%</w:t>
            </w:r>
          </w:p>
        </w:tc>
        <w:tc>
          <w:tcPr>
            <w:tcW w:w="1274" w:type="dxa"/>
          </w:tcPr>
          <w:p>
            <w:pPr>
              <w:pStyle w:val="TableParagraph"/>
              <w:spacing w:line="211" w:lineRule="exact" w:before="229"/>
              <w:ind w:left="232"/>
              <w:rPr>
                <w:sz w:val="20"/>
              </w:rPr>
            </w:pPr>
            <w:r>
              <w:rPr>
                <w:spacing w:val="-2"/>
                <w:sz w:val="20"/>
              </w:rPr>
              <w:t>0.01248%</w:t>
            </w:r>
          </w:p>
        </w:tc>
        <w:tc>
          <w:tcPr>
            <w:tcW w:w="1195" w:type="dxa"/>
          </w:tcPr>
          <w:p>
            <w:pPr>
              <w:pStyle w:val="TableParagraph"/>
              <w:spacing w:line="211" w:lineRule="exact" w:before="229"/>
              <w:ind w:left="194"/>
              <w:rPr>
                <w:sz w:val="20"/>
              </w:rPr>
            </w:pPr>
            <w:r>
              <w:rPr>
                <w:spacing w:val="-2"/>
                <w:sz w:val="20"/>
              </w:rPr>
              <w:t>0.00692%</w:t>
            </w:r>
          </w:p>
        </w:tc>
      </w:tr>
    </w:tbl>
    <w:p>
      <w:pPr>
        <w:pStyle w:val="BodyText"/>
        <w:spacing w:before="44"/>
      </w:pPr>
    </w:p>
    <w:p>
      <w:pPr>
        <w:pStyle w:val="BodyText"/>
        <w:spacing w:line="276" w:lineRule="auto" w:before="1"/>
        <w:ind w:left="141" w:right="140"/>
        <w:jc w:val="both"/>
      </w:pPr>
      <w:r>
        <w:rPr/>
        <w:t>The</w:t>
      </w:r>
      <w:r>
        <w:rPr>
          <w:spacing w:val="-1"/>
        </w:rPr>
        <w:t> </w:t>
      </w:r>
      <w:r>
        <w:rPr/>
        <w:t>Trustee,</w:t>
      </w:r>
      <w:r>
        <w:rPr>
          <w:spacing w:val="-1"/>
        </w:rPr>
        <w:t> </w:t>
      </w:r>
      <w:r>
        <w:rPr/>
        <w:t>the Manager and the</w:t>
      </w:r>
      <w:r>
        <w:rPr>
          <w:spacing w:val="-1"/>
        </w:rPr>
        <w:t> </w:t>
      </w:r>
      <w:r>
        <w:rPr/>
        <w:t>Issuer have entered into amendment</w:t>
      </w:r>
      <w:r>
        <w:rPr>
          <w:spacing w:val="-1"/>
        </w:rPr>
        <w:t> </w:t>
      </w:r>
      <w:r>
        <w:rPr/>
        <w:t>documents</w:t>
      </w:r>
      <w:r>
        <w:rPr>
          <w:spacing w:val="-1"/>
        </w:rPr>
        <w:t> </w:t>
      </w:r>
      <w:r>
        <w:rPr/>
        <w:t>for the Affected Security to effect the Affected Security Fee Change (the “</w:t>
      </w:r>
      <w:r>
        <w:rPr>
          <w:b/>
        </w:rPr>
        <w:t>Affected Security Amendments</w:t>
      </w:r>
      <w:r>
        <w:rPr/>
        <w:t>”).</w:t>
      </w:r>
      <w:r>
        <w:rPr>
          <w:spacing w:val="40"/>
        </w:rPr>
        <w:t> </w:t>
      </w:r>
      <w:r>
        <w:rPr/>
        <w:t>The effective date of the Affected Security Amendments shall be 5 February 2026.</w:t>
      </w:r>
    </w:p>
    <w:p>
      <w:pPr>
        <w:pStyle w:val="BodyText"/>
        <w:spacing w:before="230"/>
        <w:ind w:left="141"/>
        <w:jc w:val="both"/>
      </w:pPr>
      <w:r>
        <w:rPr/>
        <w:t>For</w:t>
      </w:r>
      <w:r>
        <w:rPr>
          <w:spacing w:val="-6"/>
        </w:rPr>
        <w:t> </w:t>
      </w:r>
      <w:r>
        <w:rPr/>
        <w:t>further</w:t>
      </w:r>
      <w:r>
        <w:rPr>
          <w:spacing w:val="-5"/>
        </w:rPr>
        <w:t> </w:t>
      </w:r>
      <w:r>
        <w:rPr/>
        <w:t>information,</w:t>
      </w:r>
      <w:r>
        <w:rPr>
          <w:spacing w:val="-5"/>
        </w:rPr>
        <w:t> </w:t>
      </w:r>
      <w:r>
        <w:rPr/>
        <w:t>please</w:t>
      </w:r>
      <w:r>
        <w:rPr>
          <w:spacing w:val="-4"/>
        </w:rPr>
        <w:t> </w:t>
      </w:r>
      <w:r>
        <w:rPr/>
        <w:t>contact:</w:t>
      </w:r>
      <w:r>
        <w:rPr>
          <w:spacing w:val="-5"/>
        </w:rPr>
        <w:t> </w:t>
      </w:r>
      <w:hyperlink r:id="rId5">
        <w:r>
          <w:rPr>
            <w:color w:val="0562C1"/>
            <w:spacing w:val="-2"/>
            <w:u w:val="single" w:color="0562C1"/>
          </w:rPr>
          <w:t>europesupport@wisdomtree.com</w:t>
        </w:r>
      </w:hyperlink>
    </w:p>
    <w:sectPr>
      <w:type w:val="continuous"/>
      <w:pgSz w:w="11910" w:h="16840"/>
      <w:pgMar w:top="152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49" w:right="50"/>
      <w:jc w:val="center"/>
      <w:outlineLvl w:val="1"/>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uropesupport@wisdomtr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Company>
  <Manager> </Manager>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Tulloch</dc:creator>
  <cp:category> </cp:category>
  <dc:description> </dc:description>
  <dcterms:created xsi:type="dcterms:W3CDTF">2026-02-04T16:17:11Z</dcterms:created>
  <dcterms:modified xsi:type="dcterms:W3CDTF">2026-02-04T16:17:11Z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Acrobat PDFMaker 25 for Word</vt:lpwstr>
  </property>
  <property fmtid="{D5CDD505-2E9C-101B-9397-08002B2CF9AE}" pid="4" name="DocType">
    <vt:lpwstr>NORMAL</vt:lpwstr>
  </property>
  <property fmtid="{D5CDD505-2E9C-101B-9397-08002B2CF9AE}" pid="5" name="Language">
    <vt:lpwstr>UK</vt:lpwstr>
  </property>
  <property fmtid="{D5CDD505-2E9C-101B-9397-08002B2CF9AE}" pid="6" name="LastSaved">
    <vt:filetime>2026-02-04T00:00:00Z</vt:filetime>
  </property>
  <property fmtid="{D5CDD505-2E9C-101B-9397-08002B2CF9AE}" pid="7" name="Livelink">
    <vt:lpwstr>1</vt:lpwstr>
  </property>
  <property fmtid="{D5CDD505-2E9C-101B-9397-08002B2CF9AE}" pid="8" name="National">
    <vt:lpwstr>0</vt:lpwstr>
  </property>
  <property fmtid="{D5CDD505-2E9C-101B-9397-08002B2CF9AE}" pid="9" name="Order">
    <vt:lpwstr>5217600.00000000</vt:lpwstr>
  </property>
  <property fmtid="{D5CDD505-2E9C-101B-9397-08002B2CF9AE}" pid="10" name="Producer">
    <vt:lpwstr>Adobe PDF Library 25.1.119</vt:lpwstr>
  </property>
  <property fmtid="{D5CDD505-2E9C-101B-9397-08002B2CF9AE}" pid="11" name="SSCompany">
    <vt:lpwstr>SIMMONS &amp; SIMMONS</vt:lpwstr>
  </property>
  <property fmtid="{D5CDD505-2E9C-101B-9397-08002B2CF9AE}" pid="12" name="SourceModified">
    <vt:lpwstr/>
  </property>
  <property fmtid="{D5CDD505-2E9C-101B-9397-08002B2CF9AE}" pid="13" name="TaxCatchAll">
    <vt:lpwstr/>
  </property>
  <property fmtid="{D5CDD505-2E9C-101B-9397-08002B2CF9AE}" pid="14" name="cpClientMatter">
    <vt:lpwstr>11693-01049</vt:lpwstr>
  </property>
  <property fmtid="{D5CDD505-2E9C-101B-9397-08002B2CF9AE}" pid="15" name="cpCombinedRef">
    <vt:lpwstr>11693-01049 ICM:3296396.1</vt:lpwstr>
  </property>
  <property fmtid="{D5CDD505-2E9C-101B-9397-08002B2CF9AE}" pid="16" name="cpDate">
    <vt:lpwstr>29 August 2006</vt:lpwstr>
  </property>
  <property fmtid="{D5CDD505-2E9C-101B-9397-08002B2CF9AE}" pid="17" name="cpDocRef">
    <vt:lpwstr>ICM:3296396.1</vt:lpwstr>
  </property>
  <property fmtid="{D5CDD505-2E9C-101B-9397-08002B2CF9AE}" pid="18" name="cpFooterText">
    <vt:lpwstr/>
  </property>
  <property fmtid="{D5CDD505-2E9C-101B-9397-08002B2CF9AE}" pid="19" name="cpHeaderText">
    <vt:lpwstr/>
  </property>
  <property fmtid="{D5CDD505-2E9C-101B-9397-08002B2CF9AE}" pid="20" name="display_urn:schemas-microsoft-com:office:office#Author">
    <vt:lpwstr>Iain Tulloch</vt:lpwstr>
  </property>
  <property fmtid="{D5CDD505-2E9C-101B-9397-08002B2CF9AE}" pid="21" name="display_urn:schemas-microsoft-com:office:office#Editor">
    <vt:lpwstr>Iain Tulloch</vt:lpwstr>
  </property>
  <property fmtid="{D5CDD505-2E9C-101B-9397-08002B2CF9AE}" pid="22" name="lcf76f155ced4ddcb4097134ff3c332f">
    <vt:lpwstr/>
  </property>
  <property fmtid="{D5CDD505-2E9C-101B-9397-08002B2CF9AE}" pid="23" name="ssAsset">
    <vt:lpwstr>(D010920)</vt:lpwstr>
  </property>
  <property fmtid="{D5CDD505-2E9C-101B-9397-08002B2CF9AE}" pid="24" name="ssDocId">
    <vt:lpwstr>LN:235FA11_2(1)</vt:lpwstr>
  </property>
  <property fmtid="{D5CDD505-2E9C-101B-9397-08002B2CF9AE}" pid="25" name="ssDocRef">
    <vt:lpwstr>FMDBK/5892-360/JHB/JUS</vt:lpwstr>
  </property>
  <property fmtid="{D5CDD505-2E9C-101B-9397-08002B2CF9AE}" pid="26" name="ssLockedVersion">
    <vt:lpwstr>1</vt:lpwstr>
  </property>
  <property fmtid="{D5CDD505-2E9C-101B-9397-08002B2CF9AE}" pid="27" name="ssNumberFormal">
    <vt:lpwstr>1</vt:lpwstr>
  </property>
  <property fmtid="{D5CDD505-2E9C-101B-9397-08002B2CF9AE}" pid="28" name="ssPrintDate">
    <vt:lpwstr>0</vt:lpwstr>
  </property>
  <property fmtid="{D5CDD505-2E9C-101B-9397-08002B2CF9AE}" pid="29" name="ssReleaseVer">
    <vt:lpwstr>Version 8.82</vt:lpwstr>
  </property>
</Properties>
</file>