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FA4" w14:textId="10D6A486" w:rsidR="007270F9" w:rsidRPr="00D4675D" w:rsidRDefault="008A04E4" w:rsidP="00A357A0">
      <w:pPr>
        <w:pStyle w:val="Rubrik1"/>
        <w:rPr>
          <w:lang w:val="en-GB"/>
        </w:rPr>
      </w:pPr>
      <w:r w:rsidRPr="00D4675D">
        <w:rPr>
          <w:lang w:val="en-GB" w:bidi="da-DK"/>
        </w:rPr>
        <w:t>Tra</w:t>
      </w:r>
      <w:r w:rsidR="00D4675D" w:rsidRPr="00D4675D">
        <w:rPr>
          <w:lang w:val="en-GB" w:bidi="da-DK"/>
        </w:rPr>
        <w:t>f</w:t>
      </w:r>
      <w:r w:rsidRPr="00D4675D">
        <w:rPr>
          <w:lang w:val="en-GB" w:bidi="da-DK"/>
        </w:rPr>
        <w:t>fi</w:t>
      </w:r>
      <w:r w:rsidR="00D4675D" w:rsidRPr="00D4675D">
        <w:rPr>
          <w:lang w:val="en-GB" w:bidi="da-DK"/>
        </w:rPr>
        <w:t xml:space="preserve">c on the </w:t>
      </w:r>
      <w:proofErr w:type="spellStart"/>
      <w:r w:rsidR="00D4675D" w:rsidRPr="00D4675D">
        <w:rPr>
          <w:lang w:val="en-GB" w:bidi="da-DK"/>
        </w:rPr>
        <w:t>Øresund</w:t>
      </w:r>
      <w:proofErr w:type="spellEnd"/>
      <w:r w:rsidR="00D4675D" w:rsidRPr="00D4675D">
        <w:rPr>
          <w:lang w:val="en-GB" w:bidi="da-DK"/>
        </w:rPr>
        <w:t xml:space="preserve"> Bridge </w:t>
      </w:r>
      <w:r w:rsidR="005D5F55">
        <w:rPr>
          <w:lang w:val="en-GB" w:bidi="da-DK"/>
        </w:rPr>
        <w:t>set to</w:t>
      </w:r>
      <w:r w:rsidR="00D4675D" w:rsidRPr="00D4675D">
        <w:rPr>
          <w:lang w:val="en-GB" w:bidi="da-DK"/>
        </w:rPr>
        <w:t xml:space="preserve"> recover</w:t>
      </w:r>
      <w:r w:rsidR="005D5F55">
        <w:rPr>
          <w:lang w:val="en-GB" w:bidi="da-DK"/>
        </w:rPr>
        <w:t xml:space="preserve"> - rise</w:t>
      </w:r>
      <w:r w:rsidR="00A22993">
        <w:rPr>
          <w:lang w:val="en-GB" w:bidi="da-DK"/>
        </w:rPr>
        <w:t xml:space="preserve"> in </w:t>
      </w:r>
      <w:r w:rsidR="00D4675D" w:rsidRPr="00D4675D">
        <w:rPr>
          <w:lang w:val="en-GB" w:bidi="da-DK"/>
        </w:rPr>
        <w:t>Danish leisure and freight traffic</w:t>
      </w:r>
    </w:p>
    <w:p w14:paraId="6FA1A43B" w14:textId="7BDE77A1" w:rsidR="00D17DE9" w:rsidRPr="00D17DE9" w:rsidRDefault="009B6EDA" w:rsidP="00D17DE9">
      <w:pPr>
        <w:rPr>
          <w:b/>
          <w:bCs/>
          <w:lang w:val="en-GB" w:bidi="da-DK"/>
        </w:rPr>
      </w:pPr>
      <w:r w:rsidRPr="0053245B">
        <w:rPr>
          <w:b/>
          <w:lang w:val="en-GB" w:bidi="da-DK"/>
        </w:rPr>
        <w:br/>
      </w:r>
      <w:r w:rsidR="00D17DE9" w:rsidRPr="00000E9F">
        <w:rPr>
          <w:b/>
          <w:bCs/>
          <w:lang w:val="en-GB" w:bidi="da-DK"/>
        </w:rPr>
        <w:t xml:space="preserve">In the first half year, </w:t>
      </w:r>
      <w:proofErr w:type="gramStart"/>
      <w:r w:rsidR="00D17DE9" w:rsidRPr="00000E9F">
        <w:rPr>
          <w:b/>
          <w:bCs/>
          <w:lang w:val="en-GB" w:bidi="da-DK"/>
        </w:rPr>
        <w:t>traffic</w:t>
      </w:r>
      <w:proofErr w:type="gramEnd"/>
      <w:r w:rsidR="00D17DE9" w:rsidRPr="00000E9F">
        <w:rPr>
          <w:b/>
          <w:bCs/>
          <w:lang w:val="en-GB" w:bidi="da-DK"/>
        </w:rPr>
        <w:t xml:space="preserve"> and revenue for the </w:t>
      </w:r>
      <w:proofErr w:type="spellStart"/>
      <w:r w:rsidR="00D17DE9" w:rsidRPr="00000E9F">
        <w:rPr>
          <w:b/>
          <w:bCs/>
          <w:lang w:val="en-GB" w:bidi="da-DK"/>
        </w:rPr>
        <w:t>Øresund</w:t>
      </w:r>
      <w:proofErr w:type="spellEnd"/>
      <w:r w:rsidR="00D17DE9" w:rsidRPr="00000E9F">
        <w:rPr>
          <w:b/>
          <w:bCs/>
          <w:lang w:val="en-GB" w:bidi="da-DK"/>
        </w:rPr>
        <w:t xml:space="preserve"> Bridge approached 2019 levels</w:t>
      </w:r>
      <w:r w:rsidR="00661800" w:rsidRPr="00000E9F">
        <w:rPr>
          <w:b/>
          <w:bCs/>
          <w:lang w:val="en-GB" w:bidi="da-DK"/>
        </w:rPr>
        <w:t>.</w:t>
      </w:r>
      <w:r w:rsidR="00D17DE9" w:rsidRPr="00000E9F">
        <w:rPr>
          <w:b/>
          <w:bCs/>
          <w:lang w:val="en-GB" w:bidi="da-DK"/>
        </w:rPr>
        <w:t xml:space="preserve"> </w:t>
      </w:r>
      <w:r w:rsidR="00661800" w:rsidRPr="00000E9F">
        <w:rPr>
          <w:b/>
          <w:bCs/>
          <w:lang w:val="en-GB" w:bidi="da-DK"/>
        </w:rPr>
        <w:t>W</w:t>
      </w:r>
      <w:r w:rsidR="00D17DE9" w:rsidRPr="00000E9F">
        <w:rPr>
          <w:b/>
          <w:bCs/>
          <w:lang w:val="en-GB" w:bidi="da-DK"/>
        </w:rPr>
        <w:t xml:space="preserve">ith an average of 16,631 </w:t>
      </w:r>
      <w:r w:rsidR="00661800" w:rsidRPr="00000E9F">
        <w:rPr>
          <w:b/>
          <w:bCs/>
          <w:lang w:val="en-GB" w:bidi="da-DK"/>
        </w:rPr>
        <w:t>crossings</w:t>
      </w:r>
      <w:r w:rsidR="00D17DE9" w:rsidRPr="00000E9F">
        <w:rPr>
          <w:b/>
          <w:bCs/>
          <w:lang w:val="en-GB" w:bidi="da-DK"/>
        </w:rPr>
        <w:t xml:space="preserve"> per day</w:t>
      </w:r>
      <w:r w:rsidR="00661800" w:rsidRPr="00000E9F">
        <w:rPr>
          <w:b/>
          <w:bCs/>
          <w:lang w:val="en-GB" w:bidi="da-DK"/>
        </w:rPr>
        <w:t>,</w:t>
      </w:r>
      <w:r w:rsidR="00D17DE9" w:rsidRPr="00000E9F">
        <w:rPr>
          <w:b/>
          <w:bCs/>
          <w:lang w:val="en-GB" w:bidi="da-DK"/>
        </w:rPr>
        <w:t xml:space="preserve"> 85 per cent of traffic had returned to the bridge. </w:t>
      </w:r>
    </w:p>
    <w:p w14:paraId="7B6553D6" w14:textId="1390235E" w:rsidR="006C1841" w:rsidRPr="0053245B" w:rsidRDefault="07FB5DBE" w:rsidP="005B75EF">
      <w:pPr>
        <w:rPr>
          <w:b/>
          <w:bCs/>
          <w:lang w:val="en-GB"/>
        </w:rPr>
      </w:pPr>
      <w:proofErr w:type="spellStart"/>
      <w:r w:rsidRPr="0053245B">
        <w:rPr>
          <w:b/>
          <w:lang w:val="en-GB" w:bidi="da-DK"/>
        </w:rPr>
        <w:t>Øresundsbro</w:t>
      </w:r>
      <w:proofErr w:type="spellEnd"/>
      <w:r w:rsidRPr="0053245B">
        <w:rPr>
          <w:b/>
          <w:lang w:val="en-GB" w:bidi="da-DK"/>
        </w:rPr>
        <w:t xml:space="preserve"> </w:t>
      </w:r>
      <w:proofErr w:type="spellStart"/>
      <w:r w:rsidRPr="0053245B">
        <w:rPr>
          <w:b/>
          <w:lang w:val="en-GB" w:bidi="da-DK"/>
        </w:rPr>
        <w:t>Konsortiet</w:t>
      </w:r>
      <w:r w:rsidR="00A22993" w:rsidRPr="0053245B">
        <w:rPr>
          <w:b/>
          <w:lang w:val="en-GB" w:bidi="da-DK"/>
        </w:rPr>
        <w:t>’</w:t>
      </w:r>
      <w:r w:rsidRPr="0053245B">
        <w:rPr>
          <w:b/>
          <w:lang w:val="en-GB" w:bidi="da-DK"/>
        </w:rPr>
        <w:t>s</w:t>
      </w:r>
      <w:proofErr w:type="spellEnd"/>
      <w:r w:rsidRPr="0053245B">
        <w:rPr>
          <w:b/>
          <w:lang w:val="en-GB" w:bidi="da-DK"/>
        </w:rPr>
        <w:t xml:space="preserve"> </w:t>
      </w:r>
      <w:r w:rsidR="00A22993" w:rsidRPr="0053245B">
        <w:rPr>
          <w:b/>
          <w:lang w:val="en-GB" w:bidi="da-DK"/>
        </w:rPr>
        <w:t xml:space="preserve">profit before value adjustment totalled DKK 471 million, a fall of DKK 152 million compared to the previous year. Compared to 2019, this is a fall of DKK 93 million. </w:t>
      </w:r>
    </w:p>
    <w:p w14:paraId="500275F0" w14:textId="489277A4" w:rsidR="006C1841" w:rsidRPr="00B64C27" w:rsidRDefault="0053245B" w:rsidP="00A22993">
      <w:pPr>
        <w:rPr>
          <w:lang w:val="en-GB"/>
        </w:rPr>
      </w:pPr>
      <w:r>
        <w:rPr>
          <w:rFonts w:cstheme="minorHAnsi"/>
          <w:lang w:val="en-GB" w:bidi="da-DK"/>
        </w:rPr>
        <w:t>"</w:t>
      </w:r>
      <w:r w:rsidR="00A22993" w:rsidRPr="00B64C27">
        <w:rPr>
          <w:lang w:val="en-GB" w:bidi="da-DK"/>
        </w:rPr>
        <w:t>We’re continuing to</w:t>
      </w:r>
      <w:r w:rsidR="005D5F55">
        <w:rPr>
          <w:lang w:val="en-GB" w:bidi="da-DK"/>
        </w:rPr>
        <w:t xml:space="preserve"> </w:t>
      </w:r>
      <w:r w:rsidR="006B4542">
        <w:rPr>
          <w:lang w:val="en-GB" w:bidi="da-DK"/>
        </w:rPr>
        <w:t xml:space="preserve">make </w:t>
      </w:r>
      <w:r w:rsidR="00B64C27" w:rsidRPr="00B64C27">
        <w:rPr>
          <w:lang w:val="en-GB" w:bidi="da-DK"/>
        </w:rPr>
        <w:t>progress in the right direction.</w:t>
      </w:r>
      <w:r w:rsidR="00B64C27">
        <w:rPr>
          <w:lang w:val="en-GB" w:bidi="da-DK"/>
        </w:rPr>
        <w:t xml:space="preserve"> </w:t>
      </w:r>
      <w:r w:rsidR="00B64C27" w:rsidRPr="00B64C27">
        <w:rPr>
          <w:lang w:val="en-GB" w:bidi="da-DK"/>
        </w:rPr>
        <w:t>More than nine out of ten crossings from 2019 had returned by the end of th</w:t>
      </w:r>
      <w:r w:rsidR="00B64C27">
        <w:rPr>
          <w:lang w:val="en-GB" w:bidi="da-DK"/>
        </w:rPr>
        <w:t xml:space="preserve">e half year. </w:t>
      </w:r>
      <w:r w:rsidR="5F1C4B33" w:rsidRPr="00B64C27">
        <w:rPr>
          <w:lang w:val="en-GB" w:bidi="da-DK"/>
        </w:rPr>
        <w:t>I</w:t>
      </w:r>
      <w:r w:rsidR="00B64C27" w:rsidRPr="00B64C27">
        <w:rPr>
          <w:lang w:val="en-GB" w:bidi="da-DK"/>
        </w:rPr>
        <w:t>n January, however, road traffic was 34 per cent lo</w:t>
      </w:r>
      <w:r w:rsidR="00B64C27">
        <w:rPr>
          <w:lang w:val="en-GB" w:bidi="da-DK"/>
        </w:rPr>
        <w:t xml:space="preserve">wer compared to the same period in 2019. </w:t>
      </w:r>
      <w:r w:rsidR="00B64C27" w:rsidRPr="00B64C27">
        <w:rPr>
          <w:lang w:val="en-GB" w:bidi="da-DK"/>
        </w:rPr>
        <w:t>The year began with renewed restrictions and entry controls, but there has been a positive development with increase</w:t>
      </w:r>
      <w:r w:rsidR="00B64C27">
        <w:rPr>
          <w:lang w:val="en-GB" w:bidi="da-DK"/>
        </w:rPr>
        <w:t>d bridge traffic on a monthly basis,” says Linus Eri</w:t>
      </w:r>
      <w:r w:rsidR="00061D55">
        <w:rPr>
          <w:lang w:val="en-GB" w:bidi="da-DK"/>
        </w:rPr>
        <w:t>k</w:t>
      </w:r>
      <w:r w:rsidR="00B64C27">
        <w:rPr>
          <w:lang w:val="en-GB" w:bidi="da-DK"/>
        </w:rPr>
        <w:t xml:space="preserve">sson, CEO, </w:t>
      </w:r>
      <w:proofErr w:type="spellStart"/>
      <w:r w:rsidR="00B64C27">
        <w:rPr>
          <w:lang w:val="en-GB" w:bidi="da-DK"/>
        </w:rPr>
        <w:t>Øresund</w:t>
      </w:r>
      <w:proofErr w:type="spellEnd"/>
      <w:r w:rsidR="00B64C27">
        <w:rPr>
          <w:lang w:val="en-GB" w:bidi="da-DK"/>
        </w:rPr>
        <w:t xml:space="preserve"> Bridge.</w:t>
      </w:r>
    </w:p>
    <w:p w14:paraId="510C3D05" w14:textId="738945B6" w:rsidR="006C1841" w:rsidRPr="00551120" w:rsidRDefault="00551120" w:rsidP="000879E3">
      <w:pPr>
        <w:rPr>
          <w:rStyle w:val="Stark"/>
          <w:b w:val="0"/>
          <w:bCs w:val="0"/>
          <w:lang w:val="en-GB"/>
        </w:rPr>
      </w:pPr>
      <w:r w:rsidRPr="00551120">
        <w:rPr>
          <w:lang w:val="en-GB" w:bidi="da-DK"/>
        </w:rPr>
        <w:t xml:space="preserve">Road revenue on the </w:t>
      </w:r>
      <w:proofErr w:type="spellStart"/>
      <w:r w:rsidRPr="00551120">
        <w:rPr>
          <w:lang w:val="en-GB" w:bidi="da-DK"/>
        </w:rPr>
        <w:t>Øresund</w:t>
      </w:r>
      <w:proofErr w:type="spellEnd"/>
      <w:r w:rsidRPr="00551120">
        <w:rPr>
          <w:lang w:val="en-GB" w:bidi="da-DK"/>
        </w:rPr>
        <w:t xml:space="preserve"> Bridge increased by DKK 272 million to DKK 664 million in</w:t>
      </w:r>
      <w:r>
        <w:rPr>
          <w:lang w:val="en-GB" w:bidi="da-DK"/>
        </w:rPr>
        <w:t xml:space="preserve"> the first half year compared to the same period last year. </w:t>
      </w:r>
      <w:r w:rsidR="000879E3" w:rsidRPr="00551120">
        <w:rPr>
          <w:lang w:val="en-GB" w:bidi="da-DK"/>
        </w:rPr>
        <w:t xml:space="preserve"> </w:t>
      </w:r>
    </w:p>
    <w:p w14:paraId="7FEEA645" w14:textId="678A0DDA" w:rsidR="00CC29FB" w:rsidRPr="00551120" w:rsidRDefault="0053245B" w:rsidP="00551120">
      <w:pPr>
        <w:rPr>
          <w:rStyle w:val="Stark"/>
          <w:b w:val="0"/>
          <w:bCs w:val="0"/>
          <w:lang w:val="en-GB"/>
        </w:rPr>
      </w:pPr>
      <w:r>
        <w:rPr>
          <w:rStyle w:val="Stark"/>
          <w:rFonts w:cstheme="minorHAnsi"/>
          <w:b w:val="0"/>
          <w:lang w:val="en-GB" w:bidi="da-DK"/>
        </w:rPr>
        <w:t>"</w:t>
      </w:r>
      <w:r w:rsidR="00551120" w:rsidRPr="00551120">
        <w:rPr>
          <w:rStyle w:val="Stark"/>
          <w:b w:val="0"/>
          <w:lang w:val="en-GB" w:bidi="da-DK"/>
        </w:rPr>
        <w:t xml:space="preserve">Freight traffic is breaking record after record and Danish leisure traffic has finally returned to pre-pandemic levels. Our 31,000 new </w:t>
      </w:r>
      <w:proofErr w:type="spellStart"/>
      <w:r w:rsidR="0017376E">
        <w:rPr>
          <w:rStyle w:val="Stark"/>
          <w:b w:val="0"/>
          <w:lang w:val="en-GB" w:bidi="da-DK"/>
        </w:rPr>
        <w:t>BroPas</w:t>
      </w:r>
      <w:proofErr w:type="spellEnd"/>
      <w:r w:rsidR="0017376E">
        <w:rPr>
          <w:rStyle w:val="Stark"/>
          <w:b w:val="0"/>
          <w:lang w:val="en-GB" w:bidi="da-DK"/>
        </w:rPr>
        <w:t xml:space="preserve"> contract </w:t>
      </w:r>
      <w:r w:rsidR="00551120" w:rsidRPr="00551120">
        <w:rPr>
          <w:rStyle w:val="Stark"/>
          <w:b w:val="0"/>
          <w:lang w:val="en-GB" w:bidi="da-DK"/>
        </w:rPr>
        <w:t xml:space="preserve">customers </w:t>
      </w:r>
      <w:r w:rsidR="0017376E">
        <w:rPr>
          <w:rStyle w:val="Stark"/>
          <w:b w:val="0"/>
          <w:lang w:val="en-GB" w:bidi="da-DK"/>
        </w:rPr>
        <w:t>in</w:t>
      </w:r>
      <w:r w:rsidR="00551120" w:rsidRPr="00551120">
        <w:rPr>
          <w:rStyle w:val="Stark"/>
          <w:b w:val="0"/>
          <w:lang w:val="en-GB" w:bidi="da-DK"/>
        </w:rPr>
        <w:t xml:space="preserve"> the first half of the year reflect a greater desire to travel to the other side of the bridge,” sa</w:t>
      </w:r>
      <w:r w:rsidR="00551120">
        <w:rPr>
          <w:rStyle w:val="Stark"/>
          <w:b w:val="0"/>
          <w:lang w:val="en-GB" w:bidi="da-DK"/>
        </w:rPr>
        <w:t xml:space="preserve">ys </w:t>
      </w:r>
      <w:r w:rsidR="15A972BF" w:rsidRPr="00551120">
        <w:rPr>
          <w:rStyle w:val="Stark"/>
          <w:b w:val="0"/>
          <w:lang w:val="en-GB" w:bidi="da-DK"/>
        </w:rPr>
        <w:t>Linus Eriksson.</w:t>
      </w:r>
    </w:p>
    <w:p w14:paraId="1DC414E4" w14:textId="1E3A8154" w:rsidR="00BC15BC" w:rsidRPr="00FF40C1" w:rsidRDefault="00551120" w:rsidP="00A63390">
      <w:pPr>
        <w:rPr>
          <w:lang w:val="en-GB"/>
        </w:rPr>
      </w:pPr>
      <w:r w:rsidRPr="00551120">
        <w:rPr>
          <w:rStyle w:val="Stark"/>
          <w:b w:val="0"/>
          <w:bCs w:val="0"/>
          <w:lang w:val="en-GB"/>
        </w:rPr>
        <w:t>Freight traf</w:t>
      </w:r>
      <w:r w:rsidR="00FF40C1">
        <w:rPr>
          <w:rStyle w:val="Stark"/>
          <w:b w:val="0"/>
          <w:bCs w:val="0"/>
          <w:lang w:val="en-GB"/>
        </w:rPr>
        <w:t>f</w:t>
      </w:r>
      <w:r w:rsidRPr="00551120">
        <w:rPr>
          <w:rStyle w:val="Stark"/>
          <w:b w:val="0"/>
          <w:bCs w:val="0"/>
          <w:lang w:val="en-GB"/>
        </w:rPr>
        <w:t xml:space="preserve">ic broke traffic records during the pandemic and this continued in </w:t>
      </w:r>
      <w:r>
        <w:rPr>
          <w:rStyle w:val="Stark"/>
          <w:b w:val="0"/>
          <w:bCs w:val="0"/>
          <w:lang w:val="en-GB"/>
        </w:rPr>
        <w:t xml:space="preserve">both 2021 and this year. </w:t>
      </w:r>
      <w:r w:rsidR="4DF5FAA6" w:rsidRPr="00551120">
        <w:rPr>
          <w:lang w:val="en-GB" w:bidi="da-DK"/>
        </w:rPr>
        <w:t xml:space="preserve"> </w:t>
      </w:r>
      <w:r w:rsidRPr="00FF40C1">
        <w:rPr>
          <w:lang w:val="en-GB" w:bidi="da-DK"/>
        </w:rPr>
        <w:t xml:space="preserve">Never before have so many </w:t>
      </w:r>
      <w:r w:rsidR="00FF40C1" w:rsidRPr="00FF40C1">
        <w:rPr>
          <w:lang w:val="en-GB" w:bidi="da-DK"/>
        </w:rPr>
        <w:t>lorries crossed the bridge during the first six months</w:t>
      </w:r>
      <w:r w:rsidR="00FF40C1">
        <w:rPr>
          <w:lang w:val="en-GB" w:bidi="da-DK"/>
        </w:rPr>
        <w:t xml:space="preserve"> of the year. </w:t>
      </w:r>
      <w:r w:rsidR="00FF40C1" w:rsidRPr="00FF40C1">
        <w:rPr>
          <w:lang w:val="en-GB" w:bidi="da-DK"/>
        </w:rPr>
        <w:t xml:space="preserve">With a total of 298,000 crossings, </w:t>
      </w:r>
      <w:r w:rsidR="0053245B">
        <w:rPr>
          <w:lang w:val="en-GB" w:bidi="da-DK"/>
        </w:rPr>
        <w:t>HGV</w:t>
      </w:r>
      <w:r w:rsidR="00FF40C1" w:rsidRPr="00FF40C1">
        <w:rPr>
          <w:lang w:val="en-GB" w:bidi="da-DK"/>
        </w:rPr>
        <w:t xml:space="preserve"> traffic rose by 15 per cent co</w:t>
      </w:r>
      <w:r w:rsidR="00FF40C1">
        <w:rPr>
          <w:lang w:val="en-GB" w:bidi="da-DK"/>
        </w:rPr>
        <w:t xml:space="preserve">mpared to the first six months of 2019. </w:t>
      </w:r>
      <w:r w:rsidR="4DF5FAA6" w:rsidRPr="00FF40C1">
        <w:rPr>
          <w:lang w:val="en-GB" w:bidi="da-DK"/>
        </w:rPr>
        <w:t xml:space="preserve"> </w:t>
      </w:r>
    </w:p>
    <w:p w14:paraId="0D73A7DC" w14:textId="619DB50D" w:rsidR="00D17DE9" w:rsidRPr="00F4271E" w:rsidRDefault="00FF40C1" w:rsidP="00A63390">
      <w:pPr>
        <w:rPr>
          <w:lang w:val="en-GB"/>
        </w:rPr>
      </w:pPr>
      <w:r w:rsidRPr="000C1070">
        <w:rPr>
          <w:lang w:val="en-GB" w:bidi="da-DK"/>
        </w:rPr>
        <w:t xml:space="preserve">Commuter and business customers continue to reflect new </w:t>
      </w:r>
      <w:r w:rsidR="000C1070" w:rsidRPr="000C1070">
        <w:rPr>
          <w:lang w:val="en-GB" w:bidi="da-DK"/>
        </w:rPr>
        <w:t>post-pandemic traffi</w:t>
      </w:r>
      <w:r w:rsidR="000C1070">
        <w:rPr>
          <w:lang w:val="en-GB" w:bidi="da-DK"/>
        </w:rPr>
        <w:t xml:space="preserve">c patterns. </w:t>
      </w:r>
      <w:r w:rsidR="6EA3880D" w:rsidRPr="0053245B">
        <w:rPr>
          <w:lang w:val="en-GB" w:bidi="da-DK"/>
        </w:rPr>
        <w:t>Man</w:t>
      </w:r>
      <w:r w:rsidR="000C1070" w:rsidRPr="0053245B">
        <w:rPr>
          <w:lang w:val="en-GB" w:bidi="da-DK"/>
        </w:rPr>
        <w:t>y</w:t>
      </w:r>
      <w:r w:rsidR="6EA3880D" w:rsidRPr="0053245B">
        <w:rPr>
          <w:lang w:val="en-GB" w:bidi="da-DK"/>
        </w:rPr>
        <w:t xml:space="preserve"> </w:t>
      </w:r>
      <w:r w:rsidR="000C1070" w:rsidRPr="0053245B">
        <w:rPr>
          <w:lang w:val="en-GB" w:bidi="da-DK"/>
        </w:rPr>
        <w:t xml:space="preserve">employers enable their employees to work from home, reducing physical meetings and travel. </w:t>
      </w:r>
      <w:r w:rsidR="000C1070" w:rsidRPr="000C1070">
        <w:rPr>
          <w:lang w:val="en-GB" w:bidi="da-DK"/>
        </w:rPr>
        <w:t xml:space="preserve">This has changed the travel frequency for some commuters and business travellers.  </w:t>
      </w:r>
      <w:r w:rsidR="6EA3880D" w:rsidRPr="000C1070">
        <w:rPr>
          <w:lang w:val="en-GB" w:bidi="da-DK"/>
        </w:rPr>
        <w:t xml:space="preserve"> </w:t>
      </w:r>
    </w:p>
    <w:p w14:paraId="0ABC17C2" w14:textId="2F24C480" w:rsidR="00497AD1" w:rsidRPr="00543A67" w:rsidRDefault="000C1070" w:rsidP="00A63390">
      <w:pPr>
        <w:rPr>
          <w:lang w:val="en-GB" w:bidi="da-DK"/>
        </w:rPr>
      </w:pPr>
      <w:r w:rsidRPr="000C1070">
        <w:rPr>
          <w:lang w:val="en-GB" w:bidi="da-DK"/>
        </w:rPr>
        <w:t xml:space="preserve">At the start of the year, commuter traffic was around 35-40 per cent </w:t>
      </w:r>
      <w:r w:rsidR="00061D55">
        <w:rPr>
          <w:lang w:val="en-GB" w:bidi="da-DK"/>
        </w:rPr>
        <w:t xml:space="preserve">lower </w:t>
      </w:r>
      <w:r w:rsidRPr="000C1070">
        <w:rPr>
          <w:lang w:val="en-GB" w:bidi="da-DK"/>
        </w:rPr>
        <w:t>compared to the same period in 2019</w:t>
      </w:r>
      <w:r w:rsidR="00D17DE9">
        <w:rPr>
          <w:lang w:val="en-GB" w:bidi="da-DK"/>
        </w:rPr>
        <w:t xml:space="preserve">. Following the lifting of restrictions in mid-February, however, </w:t>
      </w:r>
      <w:r w:rsidRPr="000C1070">
        <w:rPr>
          <w:lang w:val="en-GB" w:bidi="da-DK"/>
        </w:rPr>
        <w:t>c</w:t>
      </w:r>
      <w:r>
        <w:rPr>
          <w:lang w:val="en-GB" w:bidi="da-DK"/>
        </w:rPr>
        <w:t xml:space="preserve">ommuter traffic </w:t>
      </w:r>
      <w:r w:rsidR="00D17DE9">
        <w:rPr>
          <w:lang w:val="en-GB" w:bidi="da-DK"/>
        </w:rPr>
        <w:t xml:space="preserve">saw a more stable decline of </w:t>
      </w:r>
      <w:r w:rsidR="00543A67">
        <w:rPr>
          <w:lang w:val="en-GB" w:bidi="da-DK"/>
        </w:rPr>
        <w:t xml:space="preserve">15 per cent </w:t>
      </w:r>
      <w:r w:rsidR="00D17DE9" w:rsidRPr="009E3E79">
        <w:rPr>
          <w:lang w:val="en-GB" w:bidi="da-DK"/>
        </w:rPr>
        <w:t xml:space="preserve">by </w:t>
      </w:r>
      <w:r w:rsidR="00543A67" w:rsidRPr="009E3E79">
        <w:rPr>
          <w:lang w:val="en-GB" w:bidi="da-DK"/>
        </w:rPr>
        <w:t>the end of the quarter.</w:t>
      </w:r>
      <w:r w:rsidR="00543A67">
        <w:rPr>
          <w:lang w:val="en-GB" w:bidi="da-DK"/>
        </w:rPr>
        <w:t xml:space="preserve"> </w:t>
      </w:r>
    </w:p>
    <w:p w14:paraId="47CF21CC" w14:textId="755C5FA8" w:rsidR="00484051" w:rsidRPr="003254FE" w:rsidRDefault="00543A67" w:rsidP="2E3EAE01">
      <w:pPr>
        <w:rPr>
          <w:highlight w:val="yellow"/>
          <w:lang w:val="en-GB"/>
        </w:rPr>
      </w:pPr>
      <w:r w:rsidRPr="003C1BAC">
        <w:rPr>
          <w:lang w:val="en-GB" w:bidi="da-DK"/>
        </w:rPr>
        <w:t xml:space="preserve">In the first six months </w:t>
      </w:r>
      <w:r w:rsidR="003C1BAC" w:rsidRPr="003C1BAC">
        <w:rPr>
          <w:lang w:val="en-GB" w:bidi="da-DK"/>
        </w:rPr>
        <w:t xml:space="preserve">of </w:t>
      </w:r>
      <w:r w:rsidR="003C1BAC">
        <w:rPr>
          <w:lang w:val="en-GB" w:bidi="da-DK"/>
        </w:rPr>
        <w:t xml:space="preserve">the year, </w:t>
      </w:r>
      <w:r w:rsidRPr="003C1BAC">
        <w:rPr>
          <w:lang w:val="en-GB" w:bidi="da-DK"/>
        </w:rPr>
        <w:t>Danish leisure traffic ended at the same level as in 2019</w:t>
      </w:r>
      <w:r w:rsidR="4D71C884" w:rsidRPr="003C1BAC">
        <w:rPr>
          <w:lang w:val="en-GB" w:bidi="da-DK"/>
        </w:rPr>
        <w:t xml:space="preserve">. </w:t>
      </w:r>
      <w:r w:rsidR="002A7017" w:rsidRPr="0053245B">
        <w:rPr>
          <w:lang w:val="en-GB" w:bidi="da-DK"/>
        </w:rPr>
        <w:t xml:space="preserve">In the final weeks of the period under review, traffic was marginally higher compared to the same period before the pandemic. </w:t>
      </w:r>
      <w:r w:rsidR="000704E7">
        <w:rPr>
          <w:lang w:val="en-GB" w:bidi="da-DK"/>
        </w:rPr>
        <w:t>E</w:t>
      </w:r>
      <w:r w:rsidR="006B4542">
        <w:rPr>
          <w:lang w:val="en-GB" w:bidi="da-DK"/>
        </w:rPr>
        <w:t>xchange</w:t>
      </w:r>
      <w:r w:rsidR="002A7017" w:rsidRPr="003254FE">
        <w:rPr>
          <w:lang w:val="en-GB" w:bidi="da-DK"/>
        </w:rPr>
        <w:t xml:space="preserve"> difference</w:t>
      </w:r>
      <w:r w:rsidR="000704E7">
        <w:rPr>
          <w:lang w:val="en-GB" w:bidi="da-DK"/>
        </w:rPr>
        <w:t>s</w:t>
      </w:r>
      <w:r w:rsidR="002A7017" w:rsidRPr="003254FE">
        <w:rPr>
          <w:lang w:val="en-GB" w:bidi="da-DK"/>
        </w:rPr>
        <w:t xml:space="preserve"> and </w:t>
      </w:r>
      <w:r w:rsidR="006B4542">
        <w:rPr>
          <w:lang w:val="en-GB" w:bidi="da-DK"/>
        </w:rPr>
        <w:t xml:space="preserve">the </w:t>
      </w:r>
      <w:r w:rsidR="002A7017" w:rsidRPr="003254FE">
        <w:rPr>
          <w:lang w:val="en-GB" w:bidi="da-DK"/>
        </w:rPr>
        <w:t>yet</w:t>
      </w:r>
      <w:r w:rsidR="006B4542">
        <w:rPr>
          <w:lang w:val="en-GB" w:bidi="da-DK"/>
        </w:rPr>
        <w:t>-to-be</w:t>
      </w:r>
      <w:r w:rsidR="002A7017" w:rsidRPr="003254FE">
        <w:rPr>
          <w:lang w:val="en-GB" w:bidi="da-DK"/>
        </w:rPr>
        <w:t xml:space="preserve"> fully</w:t>
      </w:r>
      <w:r w:rsidR="003254FE" w:rsidRPr="003254FE">
        <w:rPr>
          <w:lang w:val="en-GB" w:bidi="da-DK"/>
        </w:rPr>
        <w:t xml:space="preserve"> </w:t>
      </w:r>
      <w:r w:rsidR="002A7017" w:rsidRPr="003254FE">
        <w:rPr>
          <w:lang w:val="en-GB" w:bidi="da-DK"/>
        </w:rPr>
        <w:t>restored</w:t>
      </w:r>
      <w:r w:rsidR="003254FE" w:rsidRPr="003254FE">
        <w:rPr>
          <w:lang w:val="en-GB" w:bidi="da-DK"/>
        </w:rPr>
        <w:t xml:space="preserve"> air traffic </w:t>
      </w:r>
      <w:r w:rsidR="0053245B">
        <w:rPr>
          <w:lang w:val="en-GB" w:bidi="da-DK"/>
        </w:rPr>
        <w:t>at</w:t>
      </w:r>
      <w:r w:rsidR="003254FE" w:rsidRPr="003254FE">
        <w:rPr>
          <w:lang w:val="en-GB" w:bidi="da-DK"/>
        </w:rPr>
        <w:t xml:space="preserve"> Copenhagen Airport are contributory factors behind </w:t>
      </w:r>
      <w:r w:rsidR="003254FE">
        <w:rPr>
          <w:lang w:val="en-GB" w:bidi="da-DK"/>
        </w:rPr>
        <w:t>the</w:t>
      </w:r>
      <w:r w:rsidR="003254FE" w:rsidRPr="003254FE">
        <w:rPr>
          <w:lang w:val="en-GB" w:bidi="da-DK"/>
        </w:rPr>
        <w:t xml:space="preserve"> slower recovery of Swedish leisure traffic.</w:t>
      </w:r>
      <w:r w:rsidR="003254FE">
        <w:rPr>
          <w:lang w:val="en-GB" w:bidi="da-DK"/>
        </w:rPr>
        <w:t xml:space="preserve"> </w:t>
      </w:r>
      <w:r w:rsidR="002A7017" w:rsidRPr="003254FE">
        <w:rPr>
          <w:lang w:val="en-GB" w:bidi="da-DK"/>
        </w:rPr>
        <w:t xml:space="preserve"> </w:t>
      </w:r>
      <w:r w:rsidR="4D71C884" w:rsidRPr="0053245B">
        <w:rPr>
          <w:lang w:val="en-GB" w:bidi="da-DK"/>
        </w:rPr>
        <w:br/>
      </w:r>
      <w:r w:rsidR="4D71C884" w:rsidRPr="0053245B">
        <w:rPr>
          <w:lang w:val="en-GB" w:bidi="da-DK"/>
        </w:rPr>
        <w:br/>
      </w:r>
      <w:proofErr w:type="spellStart"/>
      <w:r w:rsidR="4D71C884" w:rsidRPr="0053245B">
        <w:rPr>
          <w:lang w:val="en-GB" w:bidi="da-DK"/>
        </w:rPr>
        <w:t>Øresundsbro</w:t>
      </w:r>
      <w:proofErr w:type="spellEnd"/>
      <w:r w:rsidR="4D71C884" w:rsidRPr="0053245B">
        <w:rPr>
          <w:lang w:val="en-GB" w:bidi="da-DK"/>
        </w:rPr>
        <w:t xml:space="preserve"> </w:t>
      </w:r>
      <w:proofErr w:type="spellStart"/>
      <w:r w:rsidR="4D71C884" w:rsidRPr="0053245B">
        <w:rPr>
          <w:lang w:val="en-GB" w:bidi="da-DK"/>
        </w:rPr>
        <w:t>Konsortiet</w:t>
      </w:r>
      <w:r w:rsidR="003254FE" w:rsidRPr="0053245B">
        <w:rPr>
          <w:lang w:val="en-GB" w:bidi="da-DK"/>
        </w:rPr>
        <w:t>’</w:t>
      </w:r>
      <w:r w:rsidR="4D71C884" w:rsidRPr="0053245B">
        <w:rPr>
          <w:lang w:val="en-GB" w:bidi="da-DK"/>
        </w:rPr>
        <w:t>s</w:t>
      </w:r>
      <w:proofErr w:type="spellEnd"/>
      <w:r w:rsidR="4D71C884" w:rsidRPr="0053245B">
        <w:rPr>
          <w:lang w:val="en-GB" w:bidi="da-DK"/>
        </w:rPr>
        <w:t xml:space="preserve"> </w:t>
      </w:r>
      <w:r w:rsidR="003254FE" w:rsidRPr="0053245B">
        <w:rPr>
          <w:lang w:val="en-GB" w:bidi="da-DK"/>
        </w:rPr>
        <w:t xml:space="preserve">interest expenses increased by DKK 121 million due to higher inflation, which directly affects the Consortium’s real </w:t>
      </w:r>
      <w:r w:rsidR="0053245B">
        <w:rPr>
          <w:lang w:val="en-GB" w:bidi="da-DK"/>
        </w:rPr>
        <w:t xml:space="preserve">interest </w:t>
      </w:r>
      <w:r w:rsidR="003254FE" w:rsidRPr="0053245B">
        <w:rPr>
          <w:lang w:val="en-GB" w:bidi="da-DK"/>
        </w:rPr>
        <w:t xml:space="preserve">rate debt. </w:t>
      </w:r>
      <w:r w:rsidR="003254FE" w:rsidRPr="003254FE">
        <w:rPr>
          <w:lang w:val="en-GB" w:bidi="da-DK"/>
        </w:rPr>
        <w:t xml:space="preserve">Operating expenses fell by DKK 3 million compared to the corresponding period last year. </w:t>
      </w:r>
      <w:r w:rsidR="4D71C884" w:rsidRPr="003254FE">
        <w:rPr>
          <w:lang w:val="en-GB" w:bidi="da-DK"/>
        </w:rPr>
        <w:t> </w:t>
      </w:r>
    </w:p>
    <w:p w14:paraId="2B3A363E" w14:textId="364264D9" w:rsidR="001B27F0" w:rsidRPr="0053245B" w:rsidRDefault="003254FE" w:rsidP="003254FE">
      <w:pPr>
        <w:rPr>
          <w:rStyle w:val="y2iqfc"/>
          <w:lang w:val="en-GB"/>
        </w:rPr>
      </w:pPr>
      <w:r w:rsidRPr="003254FE">
        <w:rPr>
          <w:lang w:val="en-GB" w:bidi="da-DK"/>
        </w:rPr>
        <w:t>Profit for the year before value adjustment is expected to be</w:t>
      </w:r>
      <w:r>
        <w:rPr>
          <w:lang w:val="en-GB" w:bidi="da-DK"/>
        </w:rPr>
        <w:t xml:space="preserve"> slightly higher than that for 2021. </w:t>
      </w:r>
      <w:r w:rsidRPr="003254FE">
        <w:rPr>
          <w:lang w:val="en-GB" w:bidi="da-DK"/>
        </w:rPr>
        <w:t>The Consortium estimates that profit</w:t>
      </w:r>
      <w:r w:rsidR="00853FB0">
        <w:rPr>
          <w:lang w:val="en-GB" w:bidi="da-DK"/>
        </w:rPr>
        <w:t>s</w:t>
      </w:r>
      <w:r w:rsidRPr="003254FE">
        <w:rPr>
          <w:lang w:val="en-GB" w:bidi="da-DK"/>
        </w:rPr>
        <w:t xml:space="preserve"> will lie </w:t>
      </w:r>
      <w:r w:rsidR="00B01A00">
        <w:rPr>
          <w:lang w:val="en-GB" w:bidi="da-DK"/>
        </w:rPr>
        <w:t>in the mid</w:t>
      </w:r>
      <w:r w:rsidR="00853FB0">
        <w:rPr>
          <w:lang w:val="en-GB" w:bidi="da-DK"/>
        </w:rPr>
        <w:t xml:space="preserve"> DKK 1,000-DKK 1,250 million range. </w:t>
      </w:r>
    </w:p>
    <w:p w14:paraId="6D7F8C09" w14:textId="40C44A8A" w:rsidR="005A51AA" w:rsidRPr="0053245B" w:rsidRDefault="006B4542" w:rsidP="00C0125B">
      <w:pPr>
        <w:rPr>
          <w:lang w:val="en-GB"/>
        </w:rPr>
      </w:pPr>
      <w:r>
        <w:rPr>
          <w:rStyle w:val="Stark"/>
          <w:b w:val="0"/>
          <w:lang w:val="en-GB" w:bidi="da-DK"/>
        </w:rPr>
        <w:t>Almost</w:t>
      </w:r>
      <w:r w:rsidR="00853FB0" w:rsidRPr="00853FB0">
        <w:rPr>
          <w:rStyle w:val="Stark"/>
          <w:b w:val="0"/>
          <w:lang w:val="en-GB" w:bidi="da-DK"/>
        </w:rPr>
        <w:t xml:space="preserve"> two months of the first half year were dominated by Covid-related restrictions and this has im</w:t>
      </w:r>
      <w:r w:rsidR="00853FB0">
        <w:rPr>
          <w:rStyle w:val="Stark"/>
          <w:b w:val="0"/>
          <w:lang w:val="en-GB" w:bidi="da-DK"/>
        </w:rPr>
        <w:t xml:space="preserve">pacted the half year results. </w:t>
      </w:r>
    </w:p>
    <w:p w14:paraId="6492511B" w14:textId="7E811EAA" w:rsidR="001B27F0" w:rsidRPr="001B27F0" w:rsidRDefault="0053245B" w:rsidP="001B27F0">
      <w:pPr>
        <w:rPr>
          <w:lang w:val="en-GB"/>
        </w:rPr>
      </w:pPr>
      <w:r w:rsidRPr="009E3E79">
        <w:rPr>
          <w:rStyle w:val="Stark"/>
          <w:rFonts w:cstheme="minorHAnsi"/>
          <w:b w:val="0"/>
          <w:lang w:val="en-GB" w:bidi="da-DK"/>
        </w:rPr>
        <w:lastRenderedPageBreak/>
        <w:t>"</w:t>
      </w:r>
      <w:r w:rsidR="00853FB0" w:rsidRPr="009E3E79">
        <w:rPr>
          <w:rStyle w:val="Stark"/>
          <w:b w:val="0"/>
          <w:lang w:val="en-GB" w:bidi="da-DK"/>
        </w:rPr>
        <w:t>We’</w:t>
      </w:r>
      <w:r w:rsidR="001B5DF4" w:rsidRPr="009E3E79">
        <w:rPr>
          <w:rStyle w:val="Stark"/>
          <w:b w:val="0"/>
          <w:lang w:val="en-GB" w:bidi="da-DK"/>
        </w:rPr>
        <w:t xml:space="preserve">re entering the third quarter </w:t>
      </w:r>
      <w:r w:rsidR="00853FB0" w:rsidRPr="009E3E79">
        <w:rPr>
          <w:rStyle w:val="Stark"/>
          <w:b w:val="0"/>
          <w:lang w:val="en-GB" w:bidi="da-DK"/>
        </w:rPr>
        <w:t xml:space="preserve">with traffic </w:t>
      </w:r>
      <w:r w:rsidR="00A0152D" w:rsidRPr="009E3E79">
        <w:rPr>
          <w:rStyle w:val="Stark"/>
          <w:b w:val="0"/>
          <w:lang w:val="en-GB" w:bidi="da-DK"/>
        </w:rPr>
        <w:t xml:space="preserve">that is </w:t>
      </w:r>
      <w:r w:rsidR="00970DB3" w:rsidRPr="009E3E79">
        <w:rPr>
          <w:rStyle w:val="Stark"/>
          <w:b w:val="0"/>
          <w:lang w:val="en-GB" w:bidi="da-DK"/>
        </w:rPr>
        <w:t xml:space="preserve">expected to exceed </w:t>
      </w:r>
      <w:r w:rsidR="0020096A" w:rsidRPr="009E3E79">
        <w:rPr>
          <w:rStyle w:val="Stark"/>
          <w:b w:val="0"/>
          <w:lang w:val="en-GB" w:bidi="da-DK"/>
        </w:rPr>
        <w:t xml:space="preserve">the level from </w:t>
      </w:r>
      <w:r w:rsidR="00A0152D" w:rsidRPr="009E3E79">
        <w:rPr>
          <w:rStyle w:val="Stark"/>
          <w:b w:val="0"/>
          <w:lang w:val="en-GB" w:bidi="da-DK"/>
        </w:rPr>
        <w:t>2019</w:t>
      </w:r>
      <w:r w:rsidR="00CB7BE1" w:rsidRPr="009E3E79">
        <w:rPr>
          <w:rStyle w:val="Stark"/>
          <w:b w:val="0"/>
          <w:lang w:val="en-GB" w:bidi="da-DK"/>
        </w:rPr>
        <w:t xml:space="preserve"> </w:t>
      </w:r>
      <w:r w:rsidR="00970DB3" w:rsidRPr="009E3E79">
        <w:rPr>
          <w:rStyle w:val="Stark"/>
          <w:b w:val="0"/>
          <w:lang w:val="en-GB" w:bidi="da-DK"/>
        </w:rPr>
        <w:t>in several segments.</w:t>
      </w:r>
      <w:r w:rsidR="00A0152D" w:rsidRPr="009E3E79">
        <w:rPr>
          <w:rStyle w:val="Stark"/>
          <w:b w:val="0"/>
          <w:lang w:val="en-GB" w:bidi="da-DK"/>
        </w:rPr>
        <w:t xml:space="preserve"> </w:t>
      </w:r>
      <w:r w:rsidR="00970DB3" w:rsidRPr="009E3E79">
        <w:rPr>
          <w:rStyle w:val="Stark"/>
          <w:b w:val="0"/>
          <w:lang w:val="en-GB" w:bidi="da-DK"/>
        </w:rPr>
        <w:t xml:space="preserve">Together with continued cost management and despite increased interest expenses and restrictions at the beginning of the year, we will be able to achieve the year’s financial targets,” </w:t>
      </w:r>
      <w:r w:rsidR="00CB7BE1" w:rsidRPr="009E3E79">
        <w:rPr>
          <w:rStyle w:val="Stark"/>
          <w:b w:val="0"/>
          <w:lang w:val="en-GB" w:bidi="da-DK"/>
        </w:rPr>
        <w:t xml:space="preserve">says </w:t>
      </w:r>
      <w:r w:rsidR="00742924" w:rsidRPr="009E3E79">
        <w:rPr>
          <w:lang w:val="en-GB" w:bidi="da-DK"/>
        </w:rPr>
        <w:t>Linus Eriksson.</w:t>
      </w:r>
    </w:p>
    <w:p w14:paraId="3B8CBBF8" w14:textId="42B1D413" w:rsidR="00EA30B5" w:rsidRDefault="00EA30B5" w:rsidP="00CE0C49">
      <w:pPr>
        <w:pStyle w:val="Liststycke"/>
        <w:rPr>
          <w:lang w:val="en-GB"/>
        </w:rPr>
      </w:pPr>
    </w:p>
    <w:p w14:paraId="4EA8E0A2" w14:textId="77777777" w:rsidR="00B01A00" w:rsidRPr="006B3004" w:rsidRDefault="00B01A00" w:rsidP="00CE0C49">
      <w:pPr>
        <w:pStyle w:val="Liststycke"/>
        <w:rPr>
          <w:lang w:val="en-US"/>
        </w:rPr>
      </w:pPr>
    </w:p>
    <w:p w14:paraId="4A174556" w14:textId="04157316" w:rsidR="00D82CFA" w:rsidRPr="001F0E13" w:rsidRDefault="00EC6C37" w:rsidP="006B3004">
      <w:pPr>
        <w:pStyle w:val="Rubrik2"/>
        <w:rPr>
          <w:rFonts w:ascii="Segoe UI" w:eastAsia="Times New Roman" w:hAnsi="Segoe UI" w:cs="Segoe UI"/>
          <w:sz w:val="18"/>
          <w:szCs w:val="18"/>
          <w:lang w:val="en-GB" w:eastAsia="sv-SE"/>
        </w:rPr>
      </w:pPr>
      <w:r w:rsidRPr="001F0E13">
        <w:rPr>
          <w:rFonts w:eastAsia="Times New Roman"/>
          <w:lang w:val="en-GB" w:eastAsia="sv-SE" w:bidi="da-DK"/>
        </w:rPr>
        <w:t xml:space="preserve">Main items for the period </w:t>
      </w:r>
      <w:r w:rsidR="00D82CFA" w:rsidRPr="001F0E13">
        <w:rPr>
          <w:rFonts w:eastAsia="Times New Roman"/>
          <w:lang w:val="en-GB" w:eastAsia="sv-SE" w:bidi="da-DK"/>
        </w:rPr>
        <w:t>(</w:t>
      </w:r>
      <w:r w:rsidRPr="001F0E13">
        <w:rPr>
          <w:rFonts w:eastAsia="Times New Roman"/>
          <w:lang w:val="en-GB" w:eastAsia="sv-SE" w:bidi="da-DK"/>
        </w:rPr>
        <w:t xml:space="preserve">DKK </w:t>
      </w:r>
      <w:r w:rsidR="00D82CFA" w:rsidRPr="001F0E13">
        <w:rPr>
          <w:rFonts w:eastAsia="Times New Roman"/>
          <w:lang w:val="en-GB" w:eastAsia="sv-SE" w:bidi="da-DK"/>
        </w:rPr>
        <w:t>million) </w:t>
      </w:r>
    </w:p>
    <w:p w14:paraId="79CBBF18" w14:textId="77777777" w:rsidR="00D82CFA" w:rsidRPr="001F0E13" w:rsidRDefault="00D82CFA" w:rsidP="00D82C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sv-SE"/>
        </w:rPr>
      </w:pPr>
      <w:r w:rsidRPr="001F0E13">
        <w:rPr>
          <w:rFonts w:ascii="Calibri" w:eastAsia="Times New Roman" w:hAnsi="Calibri" w:cs="Calibri"/>
          <w:lang w:val="en-GB" w:eastAsia="sv-SE" w:bidi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800"/>
        <w:gridCol w:w="1725"/>
        <w:gridCol w:w="1406"/>
      </w:tblGrid>
      <w:tr w:rsidR="00D82CFA" w:rsidRPr="001F0E13" w14:paraId="2861454E" w14:textId="77777777" w:rsidTr="00E101B8"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86EE72B" w14:textId="77777777" w:rsidR="00D82CFA" w:rsidRPr="001F0E13" w:rsidRDefault="00D82CFA" w:rsidP="00E10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val="en-GB" w:eastAsia="sv-SE" w:bidi="da-D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1A72260" w14:textId="11577A85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 xml:space="preserve">Jan – </w:t>
            </w:r>
            <w:r w:rsidR="00EC6C37"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Ju</w:t>
            </w: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n 2022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DEC133" w14:textId="2274C09E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 xml:space="preserve">Jan – </w:t>
            </w:r>
            <w:r w:rsidR="00EC6C37"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J</w:t>
            </w: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un 2021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3A692FA" w14:textId="38D13B94" w:rsidR="00D82CFA" w:rsidRPr="001F0E13" w:rsidRDefault="00EC6C37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Development</w:t>
            </w:r>
            <w:r w:rsidR="00D82CFA"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 </w:t>
            </w:r>
          </w:p>
        </w:tc>
      </w:tr>
      <w:tr w:rsidR="00D82CFA" w:rsidRPr="001F0E13" w14:paraId="2C168321" w14:textId="77777777" w:rsidTr="00E101B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6AC9BED" w14:textId="0A21FEB5" w:rsidR="00D82CFA" w:rsidRPr="001F0E13" w:rsidRDefault="004C6411" w:rsidP="00E10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Revenue, road</w:t>
            </w:r>
            <w:r w:rsidR="00D82CFA"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E69DBB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664 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83DBF1D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392 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3D98D81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272 </w:t>
            </w:r>
          </w:p>
        </w:tc>
      </w:tr>
      <w:tr w:rsidR="00D82CFA" w:rsidRPr="001F0E13" w14:paraId="4314384B" w14:textId="77777777" w:rsidTr="00E101B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B146BA" w14:textId="23BEDC1F" w:rsidR="00D82CFA" w:rsidRPr="001F0E13" w:rsidRDefault="004C6411" w:rsidP="00E10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Revenue, railway</w:t>
            </w:r>
            <w:r w:rsidR="00D82CFA"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9F34130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270 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188C67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259 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CCF2D93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11 </w:t>
            </w:r>
          </w:p>
        </w:tc>
      </w:tr>
      <w:tr w:rsidR="00D82CFA" w:rsidRPr="001F0E13" w14:paraId="39E306BA" w14:textId="77777777" w:rsidTr="00E101B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C0718E" w14:textId="745E5C43" w:rsidR="00D82CFA" w:rsidRPr="001F0E13" w:rsidRDefault="004C6411" w:rsidP="00E10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Other income</w:t>
            </w:r>
            <w:r w:rsidR="00D82CFA"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D14C65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8 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66CA99E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12 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1B3CD98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-4 </w:t>
            </w:r>
          </w:p>
        </w:tc>
      </w:tr>
      <w:tr w:rsidR="00D82CFA" w:rsidRPr="001F0E13" w14:paraId="49E0AB08" w14:textId="77777777" w:rsidTr="00E101B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85E47C" w14:textId="76420AD9" w:rsidR="00D82CFA" w:rsidRPr="001F0E13" w:rsidRDefault="004C6411" w:rsidP="00E10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Total income</w:t>
            </w:r>
            <w:r w:rsidR="00D82CFA"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C9B5DDD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942 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F6CA194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663 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7F90BE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279 </w:t>
            </w:r>
          </w:p>
        </w:tc>
      </w:tr>
      <w:tr w:rsidR="00D82CFA" w:rsidRPr="001F0E13" w14:paraId="5CB06446" w14:textId="77777777" w:rsidTr="00E101B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B0E1BDC" w14:textId="57C43569" w:rsidR="00D82CFA" w:rsidRPr="001F0E13" w:rsidRDefault="004C6411" w:rsidP="00E10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Operating expenses</w:t>
            </w:r>
            <w:r w:rsidR="00D82CFA"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74FAB79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-122 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6723805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-125 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6DBE36C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3 </w:t>
            </w:r>
          </w:p>
        </w:tc>
      </w:tr>
      <w:tr w:rsidR="00D82CFA" w:rsidRPr="001F0E13" w14:paraId="1B145817" w14:textId="77777777" w:rsidTr="00E101B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03BA8D" w14:textId="7302C0E6" w:rsidR="00D82CFA" w:rsidRPr="001F0E13" w:rsidRDefault="004C6411" w:rsidP="00E10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Other operating expenses</w:t>
            </w:r>
            <w:r w:rsidR="00D82CFA"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18AD5C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-6 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5BF58E5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-1 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C2250F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-5 </w:t>
            </w:r>
          </w:p>
        </w:tc>
      </w:tr>
      <w:tr w:rsidR="00D82CFA" w:rsidRPr="001F0E13" w14:paraId="3FDDA217" w14:textId="77777777" w:rsidTr="00E101B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842133" w14:textId="5BC32563" w:rsidR="00D82CFA" w:rsidRPr="001F0E13" w:rsidRDefault="004C6411" w:rsidP="00E10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Depreciation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FAA03B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-139 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AE1D744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-135 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0C31C2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-4 </w:t>
            </w:r>
          </w:p>
        </w:tc>
      </w:tr>
      <w:tr w:rsidR="00D82CFA" w:rsidRPr="001F0E13" w14:paraId="2BF6BBBD" w14:textId="77777777" w:rsidTr="00E101B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4A01231" w14:textId="55A06DB0" w:rsidR="00D82CFA" w:rsidRPr="001F0E13" w:rsidRDefault="004C6411" w:rsidP="00E10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Operating profit</w:t>
            </w:r>
            <w:r w:rsidR="00D82CFA"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E6A05D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675 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9A30353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402 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C36496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273 </w:t>
            </w:r>
          </w:p>
        </w:tc>
      </w:tr>
      <w:tr w:rsidR="00D82CFA" w:rsidRPr="001F0E13" w14:paraId="728FE89C" w14:textId="77777777" w:rsidTr="00E101B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8D150E" w14:textId="4F73C3D6" w:rsidR="00D82CFA" w:rsidRPr="001F0E13" w:rsidRDefault="00D82CFA" w:rsidP="00E10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Finan</w:t>
            </w:r>
            <w:r w:rsidR="004C6411"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cial items</w:t>
            </w: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66D9A4B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-204 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5C511C6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-83 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47D3AA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-121 </w:t>
            </w:r>
          </w:p>
        </w:tc>
      </w:tr>
      <w:tr w:rsidR="00D82CFA" w:rsidRPr="001F0E13" w14:paraId="7C673781" w14:textId="77777777" w:rsidTr="00E101B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DBB04C" w14:textId="0DAFB310" w:rsidR="00D82CFA" w:rsidRPr="001F0E13" w:rsidRDefault="004C6411" w:rsidP="00E10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Profit before value adjustments</w:t>
            </w:r>
            <w:r w:rsidR="00D82CFA"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806FE65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471 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5A37AB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319 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165FD5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152 </w:t>
            </w:r>
          </w:p>
        </w:tc>
      </w:tr>
      <w:tr w:rsidR="00D82CFA" w:rsidRPr="001F0E13" w14:paraId="224AF8EB" w14:textId="77777777" w:rsidTr="00E101B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EC95ADC" w14:textId="4D5CD5DA" w:rsidR="00D82CFA" w:rsidRPr="001F0E13" w:rsidRDefault="00D82CFA" w:rsidP="00E10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val="en-GB" w:eastAsia="sv-SE" w:bidi="sv-SE"/>
              </w:rPr>
              <w:t>V</w:t>
            </w:r>
            <w:r w:rsidR="004C6411" w:rsidRPr="001F0E13">
              <w:rPr>
                <w:rFonts w:ascii="Calibri" w:eastAsia="Times New Roman" w:hAnsi="Calibri" w:cs="Calibri"/>
                <w:sz w:val="24"/>
                <w:szCs w:val="24"/>
                <w:lang w:val="en-GB" w:eastAsia="sv-SE" w:bidi="sv-SE"/>
              </w:rPr>
              <w:t>alue adjustment, fair value effect, net</w:t>
            </w:r>
            <w:r w:rsidRPr="001F0E13">
              <w:rPr>
                <w:rFonts w:ascii="Calibri" w:eastAsia="Times New Roman" w:hAnsi="Calibri" w:cs="Calibri"/>
                <w:sz w:val="24"/>
                <w:szCs w:val="24"/>
                <w:lang w:val="en-GB" w:eastAsia="sv-SE" w:bidi="sv-SE"/>
              </w:rPr>
              <w:t>*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AF5B4D" w14:textId="3AFFFD3F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1</w:t>
            </w:r>
            <w:r w:rsidR="00695036"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,</w:t>
            </w: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309 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B4E6759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358 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9DF9B05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 </w:t>
            </w:r>
          </w:p>
        </w:tc>
      </w:tr>
      <w:tr w:rsidR="00D82CFA" w:rsidRPr="001F0E13" w14:paraId="486F6F3C" w14:textId="77777777" w:rsidTr="00E101B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3C0AA4" w14:textId="0E087B57" w:rsidR="00D82CFA" w:rsidRPr="001F0E13" w:rsidRDefault="00D82CFA" w:rsidP="00E10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val="en-GB" w:eastAsia="sv-SE" w:bidi="sv-SE"/>
              </w:rPr>
              <w:t>V</w:t>
            </w:r>
            <w:r w:rsidR="004C6411" w:rsidRPr="001F0E13">
              <w:rPr>
                <w:rFonts w:ascii="Calibri" w:eastAsia="Times New Roman" w:hAnsi="Calibri" w:cs="Calibri"/>
                <w:sz w:val="24"/>
                <w:szCs w:val="24"/>
                <w:lang w:val="en-GB" w:eastAsia="sv-SE" w:bidi="sv-SE"/>
              </w:rPr>
              <w:t>alue adjustment, foreign exchange effect, net</w:t>
            </w:r>
            <w:r w:rsidRPr="001F0E13">
              <w:rPr>
                <w:rFonts w:ascii="Calibri" w:eastAsia="Times New Roman" w:hAnsi="Calibri" w:cs="Calibri"/>
                <w:sz w:val="24"/>
                <w:szCs w:val="24"/>
                <w:lang w:val="en-GB" w:eastAsia="sv-SE" w:bidi="sv-SE"/>
              </w:rPr>
              <w:t>*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771030D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47 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58F02E1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9 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A6E66EE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 </w:t>
            </w:r>
          </w:p>
        </w:tc>
      </w:tr>
      <w:tr w:rsidR="00D82CFA" w:rsidRPr="001F0E13" w14:paraId="6CC10BF7" w14:textId="77777777" w:rsidTr="00E101B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B222B" w14:textId="3D4451B4" w:rsidR="00D82CFA" w:rsidRPr="001F0E13" w:rsidRDefault="004C6411" w:rsidP="00E101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Profit for the year</w:t>
            </w:r>
            <w:r w:rsidR="00D82CFA"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AAF81" w14:textId="52D69155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1</w:t>
            </w:r>
            <w:r w:rsidR="00695036"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,</w:t>
            </w: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827 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BA04A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 w:bidi="sv-SE"/>
              </w:rPr>
              <w:t>686 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0E1BE" w14:textId="77777777" w:rsidR="00D82CFA" w:rsidRPr="001F0E13" w:rsidRDefault="00D82CFA" w:rsidP="00E101B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E13">
              <w:rPr>
                <w:rFonts w:ascii="Calibri" w:eastAsia="Times New Roman" w:hAnsi="Calibri" w:cs="Calibri"/>
                <w:sz w:val="24"/>
                <w:szCs w:val="24"/>
                <w:lang w:eastAsia="sv-SE" w:bidi="sv-SE"/>
              </w:rPr>
              <w:t> </w:t>
            </w:r>
          </w:p>
        </w:tc>
      </w:tr>
    </w:tbl>
    <w:p w14:paraId="44F4E9AF" w14:textId="77777777" w:rsidR="00D82CFA" w:rsidRPr="001F0E13" w:rsidRDefault="00D82CFA" w:rsidP="00D82C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1F0E13">
        <w:rPr>
          <w:rFonts w:ascii="Calibri" w:eastAsia="Times New Roman" w:hAnsi="Calibri" w:cs="Calibri"/>
          <w:lang w:eastAsia="sv-SE" w:bidi="sv-SE"/>
        </w:rPr>
        <w:t> </w:t>
      </w:r>
    </w:p>
    <w:p w14:paraId="37AC0DBE" w14:textId="2BE3B100" w:rsidR="004C6411" w:rsidRPr="004C6411" w:rsidRDefault="00D82CFA" w:rsidP="004C6411">
      <w:pPr>
        <w:tabs>
          <w:tab w:val="left" w:pos="142"/>
        </w:tabs>
        <w:rPr>
          <w:i/>
          <w:iCs/>
          <w:lang w:val="en-GB"/>
        </w:rPr>
      </w:pPr>
      <w:r w:rsidRPr="001F0E13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sv-SE" w:bidi="da-DK"/>
        </w:rPr>
        <w:t>* </w:t>
      </w:r>
      <w:r w:rsidR="004C6411" w:rsidRPr="001F0E13">
        <w:rPr>
          <w:i/>
          <w:iCs/>
          <w:lang w:val="en-GB"/>
        </w:rPr>
        <w:t xml:space="preserve">Value adjustment is an accounting </w:t>
      </w:r>
      <w:r w:rsidR="00695036" w:rsidRPr="001F0E13">
        <w:rPr>
          <w:i/>
          <w:iCs/>
          <w:lang w:val="en-GB"/>
        </w:rPr>
        <w:t>pr</w:t>
      </w:r>
      <w:r w:rsidR="004959EE" w:rsidRPr="001F0E13">
        <w:rPr>
          <w:i/>
          <w:iCs/>
          <w:lang w:val="en-GB"/>
        </w:rPr>
        <w:t>ocess</w:t>
      </w:r>
      <w:r w:rsidR="004C6411" w:rsidRPr="001F0E13">
        <w:rPr>
          <w:i/>
          <w:iCs/>
          <w:lang w:val="en-GB"/>
        </w:rPr>
        <w:t xml:space="preserve"> whereby financial assets and liabilities are stated at </w:t>
      </w:r>
      <w:r w:rsidR="00695036" w:rsidRPr="001F0E13">
        <w:rPr>
          <w:i/>
          <w:iCs/>
          <w:lang w:val="en-GB"/>
        </w:rPr>
        <w:t xml:space="preserve">market </w:t>
      </w:r>
      <w:r w:rsidR="004C6411" w:rsidRPr="001F0E13">
        <w:rPr>
          <w:i/>
          <w:iCs/>
          <w:lang w:val="en-GB"/>
        </w:rPr>
        <w:t>value</w:t>
      </w:r>
      <w:r w:rsidR="00695036" w:rsidRPr="001F0E13">
        <w:rPr>
          <w:i/>
          <w:iCs/>
          <w:lang w:val="en-GB"/>
        </w:rPr>
        <w:t xml:space="preserve">. The value adjustment appears in the accounts under financial items. </w:t>
      </w:r>
      <w:r w:rsidR="004C6411" w:rsidRPr="001F0E13">
        <w:rPr>
          <w:i/>
          <w:iCs/>
          <w:lang w:val="en-GB"/>
        </w:rPr>
        <w:t>The fair value adjustment has no effect</w:t>
      </w:r>
      <w:r w:rsidR="00695036" w:rsidRPr="001F0E13">
        <w:rPr>
          <w:i/>
          <w:iCs/>
          <w:lang w:val="en-GB"/>
        </w:rPr>
        <w:t xml:space="preserve"> </w:t>
      </w:r>
      <w:r w:rsidR="004C6411" w:rsidRPr="001F0E13">
        <w:rPr>
          <w:i/>
          <w:iCs/>
          <w:lang w:val="en-GB"/>
        </w:rPr>
        <w:t>on the company’s repayment capacity.</w:t>
      </w:r>
      <w:r w:rsidR="004C6411" w:rsidRPr="00405D37">
        <w:rPr>
          <w:i/>
          <w:iCs/>
          <w:lang w:val="en-GB"/>
        </w:rPr>
        <w:t xml:space="preserve"> </w:t>
      </w:r>
    </w:p>
    <w:p w14:paraId="634DF125" w14:textId="40291319" w:rsidR="002A46ED" w:rsidRPr="00695036" w:rsidRDefault="002A46ED" w:rsidP="007E5F44">
      <w:pPr>
        <w:shd w:val="clear" w:color="auto" w:fill="FFFFFF"/>
        <w:spacing w:after="165"/>
        <w:rPr>
          <w:rFonts w:ascii="Calibri" w:eastAsia="Times New Roman" w:hAnsi="Calibri" w:cs="Calibri"/>
          <w:i/>
          <w:color w:val="000000" w:themeColor="text1"/>
          <w:highlight w:val="green"/>
          <w:lang w:val="en-GB" w:eastAsia="sv-SE"/>
        </w:rPr>
      </w:pPr>
    </w:p>
    <w:p w14:paraId="2E9F8BF1" w14:textId="5F1A8441" w:rsidR="00D82CFA" w:rsidRPr="001F0E13" w:rsidRDefault="004C6411" w:rsidP="006B3004">
      <w:pPr>
        <w:pStyle w:val="Rubrik2"/>
      </w:pPr>
      <w:r w:rsidRPr="001F0E13">
        <w:t>Road traffic development in 2022</w:t>
      </w:r>
    </w:p>
    <w:p w14:paraId="39C85E90" w14:textId="77777777" w:rsidR="00D82CFA" w:rsidRPr="001F0E13" w:rsidRDefault="00D82CFA" w:rsidP="00D82CFA">
      <w:pPr>
        <w:pStyle w:val="Normalfed"/>
      </w:pPr>
    </w:p>
    <w:tbl>
      <w:tblPr>
        <w:tblStyle w:val="Tabellrutnt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7"/>
        <w:gridCol w:w="917"/>
        <w:gridCol w:w="917"/>
        <w:gridCol w:w="1074"/>
        <w:gridCol w:w="1074"/>
        <w:gridCol w:w="905"/>
        <w:gridCol w:w="1074"/>
        <w:gridCol w:w="1074"/>
      </w:tblGrid>
      <w:tr w:rsidR="00D82CFA" w:rsidRPr="001F0E13" w14:paraId="01978834" w14:textId="77777777" w:rsidTr="00E101B8">
        <w:trPr>
          <w:cantSplit/>
        </w:trPr>
        <w:tc>
          <w:tcPr>
            <w:tcW w:w="2037" w:type="dxa"/>
            <w:tcBorders>
              <w:top w:val="nil"/>
              <w:bottom w:val="single" w:sz="8" w:space="0" w:color="auto"/>
            </w:tcBorders>
            <w:vAlign w:val="center"/>
          </w:tcPr>
          <w:p w14:paraId="56E09520" w14:textId="77777777" w:rsidR="00D82CFA" w:rsidRPr="001F0E13" w:rsidRDefault="00D82CFA" w:rsidP="00E101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7" w:type="dxa"/>
            <w:tcBorders>
              <w:top w:val="nil"/>
              <w:bottom w:val="single" w:sz="8" w:space="0" w:color="auto"/>
            </w:tcBorders>
          </w:tcPr>
          <w:p w14:paraId="00C5CC2A" w14:textId="4A1A4C61" w:rsidR="00D82CFA" w:rsidRPr="001F0E13" w:rsidRDefault="00D82CFA" w:rsidP="00E101B8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1F0E13">
              <w:rPr>
                <w:rFonts w:cstheme="minorHAnsi"/>
                <w:b/>
                <w:bCs/>
                <w:lang w:val="en-GB" w:eastAsia="sv-SE" w:bidi="sv-SE"/>
              </w:rPr>
              <w:t>Tra</w:t>
            </w:r>
            <w:r w:rsidR="0054297C" w:rsidRPr="001F0E13">
              <w:rPr>
                <w:rFonts w:cstheme="minorHAnsi"/>
                <w:b/>
                <w:bCs/>
                <w:lang w:val="en-GB" w:eastAsia="sv-SE" w:bidi="sv-SE"/>
              </w:rPr>
              <w:t>f</w:t>
            </w:r>
            <w:r w:rsidRPr="001F0E13">
              <w:rPr>
                <w:rFonts w:cstheme="minorHAnsi"/>
                <w:b/>
                <w:bCs/>
                <w:lang w:val="en-GB" w:eastAsia="sv-SE" w:bidi="sv-SE"/>
              </w:rPr>
              <w:t>fi</w:t>
            </w:r>
            <w:r w:rsidR="0054297C" w:rsidRPr="001F0E13">
              <w:rPr>
                <w:rFonts w:cstheme="minorHAnsi"/>
                <w:b/>
                <w:bCs/>
                <w:lang w:val="en-GB" w:eastAsia="sv-SE" w:bidi="sv-SE"/>
              </w:rPr>
              <w:t>c</w:t>
            </w:r>
            <w:r w:rsidRPr="001F0E13">
              <w:rPr>
                <w:rFonts w:cstheme="minorHAnsi"/>
                <w:b/>
                <w:bCs/>
                <w:lang w:val="en-GB" w:eastAsia="sv-SE" w:bidi="sv-SE"/>
              </w:rPr>
              <w:t xml:space="preserve"> </w:t>
            </w:r>
          </w:p>
          <w:p w14:paraId="3F360B13" w14:textId="50DE1ACB" w:rsidR="00D82CFA" w:rsidRPr="001F0E13" w:rsidRDefault="00D82CFA" w:rsidP="00E101B8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1F0E13">
              <w:rPr>
                <w:rFonts w:cstheme="minorHAnsi"/>
                <w:b/>
                <w:bCs/>
                <w:lang w:val="en-GB" w:eastAsia="sv-SE" w:bidi="sv-SE"/>
              </w:rPr>
              <w:t>per da</w:t>
            </w:r>
            <w:r w:rsidR="0054297C" w:rsidRPr="001F0E13">
              <w:rPr>
                <w:rFonts w:cstheme="minorHAnsi"/>
                <w:b/>
                <w:bCs/>
                <w:lang w:val="en-GB" w:eastAsia="sv-SE" w:bidi="sv-SE"/>
              </w:rPr>
              <w:t>y</w:t>
            </w:r>
          </w:p>
          <w:p w14:paraId="1753AB00" w14:textId="77F1D3D8" w:rsidR="00D82CFA" w:rsidRPr="001F0E13" w:rsidRDefault="00D82CFA" w:rsidP="00E101B8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1F0E13">
              <w:rPr>
                <w:rFonts w:cstheme="minorHAnsi"/>
                <w:b/>
                <w:bCs/>
                <w:lang w:val="en-GB" w:eastAsia="sv-SE" w:bidi="sv-SE"/>
              </w:rPr>
              <w:t xml:space="preserve">2022, </w:t>
            </w:r>
            <w:r w:rsidR="004959EE" w:rsidRPr="001F0E13">
              <w:rPr>
                <w:rFonts w:cstheme="minorHAnsi"/>
                <w:b/>
                <w:bCs/>
                <w:lang w:val="en-GB" w:eastAsia="sv-SE" w:bidi="sv-SE"/>
              </w:rPr>
              <w:t>J</w:t>
            </w:r>
            <w:r w:rsidRPr="001F0E13">
              <w:rPr>
                <w:rFonts w:cstheme="minorHAnsi"/>
                <w:b/>
                <w:bCs/>
                <w:lang w:val="en-GB" w:eastAsia="sv-SE" w:bidi="sv-SE"/>
              </w:rPr>
              <w:t>an-</w:t>
            </w:r>
            <w:r w:rsidR="004959EE" w:rsidRPr="001F0E13">
              <w:rPr>
                <w:rFonts w:cstheme="minorHAnsi"/>
                <w:b/>
                <w:bCs/>
                <w:lang w:val="en-GB" w:eastAsia="sv-SE" w:bidi="sv-SE"/>
              </w:rPr>
              <w:t>J</w:t>
            </w:r>
            <w:r w:rsidRPr="001F0E13">
              <w:rPr>
                <w:rFonts w:cstheme="minorHAnsi"/>
                <w:b/>
                <w:bCs/>
                <w:lang w:val="en-GB" w:eastAsia="sv-SE" w:bidi="sv-SE"/>
              </w:rPr>
              <w:t>un</w:t>
            </w:r>
          </w:p>
        </w:tc>
        <w:tc>
          <w:tcPr>
            <w:tcW w:w="917" w:type="dxa"/>
            <w:tcBorders>
              <w:top w:val="nil"/>
              <w:bottom w:val="single" w:sz="8" w:space="0" w:color="auto"/>
            </w:tcBorders>
          </w:tcPr>
          <w:p w14:paraId="7FD3EECC" w14:textId="342F6D5C" w:rsidR="00D82CFA" w:rsidRPr="001F0E13" w:rsidRDefault="00D82CFA" w:rsidP="00E101B8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1F0E13">
              <w:rPr>
                <w:rFonts w:cstheme="minorHAnsi"/>
                <w:b/>
                <w:bCs/>
                <w:lang w:val="en-GB" w:eastAsia="sv-SE" w:bidi="sv-SE"/>
              </w:rPr>
              <w:t>Traf</w:t>
            </w:r>
            <w:r w:rsidR="0054297C" w:rsidRPr="001F0E13">
              <w:rPr>
                <w:rFonts w:cstheme="minorHAnsi"/>
                <w:b/>
                <w:bCs/>
                <w:lang w:val="en-GB" w:eastAsia="sv-SE" w:bidi="sv-SE"/>
              </w:rPr>
              <w:t>f</w:t>
            </w:r>
            <w:r w:rsidRPr="001F0E13">
              <w:rPr>
                <w:rFonts w:cstheme="minorHAnsi"/>
                <w:b/>
                <w:bCs/>
                <w:lang w:val="en-GB" w:eastAsia="sv-SE" w:bidi="sv-SE"/>
              </w:rPr>
              <w:t>i</w:t>
            </w:r>
            <w:r w:rsidR="0054297C" w:rsidRPr="001F0E13">
              <w:rPr>
                <w:rFonts w:cstheme="minorHAnsi"/>
                <w:b/>
                <w:bCs/>
                <w:lang w:val="en-GB" w:eastAsia="sv-SE" w:bidi="sv-SE"/>
              </w:rPr>
              <w:t>c</w:t>
            </w:r>
          </w:p>
          <w:p w14:paraId="007CF31C" w14:textId="38554062" w:rsidR="00D82CFA" w:rsidRPr="001F0E13" w:rsidRDefault="00D82CFA" w:rsidP="00E101B8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1F0E13">
              <w:rPr>
                <w:rFonts w:cstheme="minorHAnsi"/>
                <w:b/>
                <w:bCs/>
                <w:lang w:val="en-GB" w:eastAsia="sv-SE" w:bidi="sv-SE"/>
              </w:rPr>
              <w:t>per da</w:t>
            </w:r>
            <w:r w:rsidR="0054297C" w:rsidRPr="001F0E13">
              <w:rPr>
                <w:rFonts w:cstheme="minorHAnsi"/>
                <w:b/>
                <w:bCs/>
                <w:lang w:val="en-GB" w:eastAsia="sv-SE" w:bidi="sv-SE"/>
              </w:rPr>
              <w:t>y</w:t>
            </w:r>
          </w:p>
          <w:p w14:paraId="54873B55" w14:textId="18D29FF7" w:rsidR="00D82CFA" w:rsidRPr="001F0E13" w:rsidRDefault="00D82CFA" w:rsidP="00E101B8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1F0E13">
              <w:rPr>
                <w:rFonts w:cstheme="minorHAnsi"/>
                <w:b/>
                <w:bCs/>
                <w:lang w:val="en-GB" w:eastAsia="sv-SE" w:bidi="sv-SE"/>
              </w:rPr>
              <w:t xml:space="preserve">2021, </w:t>
            </w:r>
            <w:r w:rsidR="004959EE" w:rsidRPr="001F0E13">
              <w:rPr>
                <w:rFonts w:cstheme="minorHAnsi"/>
                <w:b/>
                <w:bCs/>
                <w:lang w:val="en-GB" w:eastAsia="sv-SE" w:bidi="sv-SE"/>
              </w:rPr>
              <w:t>J</w:t>
            </w:r>
            <w:r w:rsidRPr="001F0E13">
              <w:rPr>
                <w:rFonts w:cstheme="minorHAnsi"/>
                <w:b/>
                <w:bCs/>
                <w:lang w:val="en-GB" w:eastAsia="sv-SE" w:bidi="sv-SE"/>
              </w:rPr>
              <w:t>an-</w:t>
            </w:r>
            <w:r w:rsidR="004959EE" w:rsidRPr="001F0E13">
              <w:rPr>
                <w:rFonts w:cstheme="minorHAnsi"/>
                <w:b/>
                <w:bCs/>
                <w:lang w:val="en-GB" w:eastAsia="sv-SE" w:bidi="sv-SE"/>
              </w:rPr>
              <w:t>J</w:t>
            </w:r>
            <w:r w:rsidRPr="001F0E13">
              <w:rPr>
                <w:rFonts w:cstheme="minorHAnsi"/>
                <w:b/>
                <w:bCs/>
                <w:lang w:val="en-GB" w:eastAsia="sv-SE" w:bidi="sv-SE"/>
              </w:rPr>
              <w:t>un</w:t>
            </w:r>
          </w:p>
        </w:tc>
        <w:tc>
          <w:tcPr>
            <w:tcW w:w="1074" w:type="dxa"/>
            <w:tcBorders>
              <w:top w:val="nil"/>
              <w:bottom w:val="single" w:sz="8" w:space="0" w:color="auto"/>
            </w:tcBorders>
          </w:tcPr>
          <w:p w14:paraId="7BB0473E" w14:textId="11DD5D72" w:rsidR="00D82CFA" w:rsidRPr="001F0E13" w:rsidRDefault="0054297C" w:rsidP="00E101B8">
            <w:pPr>
              <w:jc w:val="right"/>
              <w:rPr>
                <w:rFonts w:cstheme="minorHAnsi"/>
                <w:b/>
                <w:bCs/>
              </w:rPr>
            </w:pPr>
            <w:r w:rsidRPr="001F0E13">
              <w:rPr>
                <w:rFonts w:cstheme="minorHAnsi"/>
                <w:b/>
                <w:bCs/>
                <w:lang w:eastAsia="en-US"/>
              </w:rPr>
              <w:t>Traffic develop-ment</w:t>
            </w:r>
          </w:p>
          <w:p w14:paraId="34A9FECC" w14:textId="77777777" w:rsidR="00D82CFA" w:rsidRPr="001F0E13" w:rsidRDefault="00D82CFA" w:rsidP="00E101B8">
            <w:pPr>
              <w:jc w:val="right"/>
              <w:rPr>
                <w:rFonts w:cstheme="minorHAnsi"/>
                <w:b/>
                <w:bCs/>
              </w:rPr>
            </w:pPr>
            <w:r w:rsidRPr="001F0E13">
              <w:rPr>
                <w:rFonts w:cstheme="minorHAnsi"/>
                <w:b/>
                <w:bCs/>
                <w:lang w:eastAsia="en-US"/>
              </w:rPr>
              <w:t>(%)</w:t>
            </w:r>
          </w:p>
        </w:tc>
        <w:tc>
          <w:tcPr>
            <w:tcW w:w="1074" w:type="dxa"/>
            <w:tcBorders>
              <w:top w:val="nil"/>
              <w:bottom w:val="single" w:sz="8" w:space="0" w:color="auto"/>
            </w:tcBorders>
          </w:tcPr>
          <w:p w14:paraId="78A0B9E3" w14:textId="0F8B103C" w:rsidR="00D82CFA" w:rsidRPr="001F0E13" w:rsidRDefault="0054297C" w:rsidP="00E101B8">
            <w:pPr>
              <w:jc w:val="right"/>
              <w:rPr>
                <w:rFonts w:cstheme="minorHAnsi"/>
                <w:b/>
                <w:bCs/>
              </w:rPr>
            </w:pPr>
            <w:r w:rsidRPr="001F0E13">
              <w:rPr>
                <w:rFonts w:eastAsia="Calibri" w:cstheme="minorHAnsi"/>
                <w:b/>
                <w:bCs/>
                <w:lang w:eastAsia="en-US"/>
              </w:rPr>
              <w:t xml:space="preserve">Traffic </w:t>
            </w:r>
            <w:r w:rsidR="00D82CFA" w:rsidRPr="001F0E13">
              <w:rPr>
                <w:rFonts w:eastAsia="Calibri" w:cstheme="minorHAnsi"/>
                <w:b/>
                <w:bCs/>
                <w:lang w:eastAsia="en-US"/>
              </w:rPr>
              <w:t xml:space="preserve"> </w:t>
            </w:r>
            <w:r w:rsidRPr="001F0E13">
              <w:rPr>
                <w:rFonts w:eastAsia="Calibri" w:cstheme="minorHAnsi"/>
                <w:b/>
                <w:bCs/>
                <w:lang w:eastAsia="en-US"/>
              </w:rPr>
              <w:t>develop-ment</w:t>
            </w:r>
            <w:r w:rsidR="00D82CFA" w:rsidRPr="001F0E13">
              <w:rPr>
                <w:rFonts w:eastAsia="Calibri" w:cstheme="minorHAnsi"/>
                <w:b/>
                <w:bCs/>
                <w:lang w:eastAsia="en-US"/>
              </w:rPr>
              <w:t xml:space="preserve"> (</w:t>
            </w:r>
            <w:r w:rsidRPr="001F0E13">
              <w:rPr>
                <w:rFonts w:eastAsia="Calibri" w:cstheme="minorHAnsi"/>
                <w:b/>
                <w:bCs/>
                <w:lang w:eastAsia="en-US"/>
              </w:rPr>
              <w:t>number</w:t>
            </w:r>
            <w:r w:rsidR="00D82CFA" w:rsidRPr="001F0E13">
              <w:rPr>
                <w:rFonts w:eastAsia="Calibri" w:cstheme="minorHAnsi"/>
                <w:b/>
                <w:bCs/>
                <w:lang w:eastAsia="en-US"/>
              </w:rPr>
              <w:t>)</w:t>
            </w:r>
          </w:p>
        </w:tc>
        <w:tc>
          <w:tcPr>
            <w:tcW w:w="905" w:type="dxa"/>
            <w:tcBorders>
              <w:top w:val="nil"/>
              <w:bottom w:val="single" w:sz="8" w:space="0" w:color="auto"/>
            </w:tcBorders>
          </w:tcPr>
          <w:p w14:paraId="49083B3E" w14:textId="23E9C9DF" w:rsidR="00D82CFA" w:rsidRPr="001F0E13" w:rsidRDefault="00D82CFA" w:rsidP="00E101B8">
            <w:pPr>
              <w:jc w:val="right"/>
              <w:rPr>
                <w:rFonts w:cstheme="minorHAnsi"/>
                <w:b/>
                <w:bCs/>
              </w:rPr>
            </w:pPr>
            <w:r w:rsidRPr="001F0E13">
              <w:rPr>
                <w:rFonts w:eastAsia="Calibri" w:cstheme="minorHAnsi"/>
                <w:b/>
                <w:bCs/>
                <w:lang w:eastAsia="en-US"/>
              </w:rPr>
              <w:t>Tra</w:t>
            </w:r>
            <w:r w:rsidR="0054297C" w:rsidRPr="001F0E13">
              <w:rPr>
                <w:rFonts w:eastAsia="Calibri" w:cstheme="minorHAnsi"/>
                <w:b/>
                <w:bCs/>
                <w:lang w:eastAsia="en-US"/>
              </w:rPr>
              <w:t>f</w:t>
            </w:r>
            <w:r w:rsidRPr="001F0E13">
              <w:rPr>
                <w:rFonts w:eastAsia="Calibri" w:cstheme="minorHAnsi"/>
                <w:b/>
                <w:bCs/>
                <w:lang w:eastAsia="en-US"/>
              </w:rPr>
              <w:t>fi</w:t>
            </w:r>
            <w:r w:rsidR="0054297C" w:rsidRPr="001F0E13">
              <w:rPr>
                <w:rFonts w:eastAsia="Calibri" w:cstheme="minorHAnsi"/>
                <w:b/>
                <w:bCs/>
                <w:lang w:eastAsia="en-US"/>
              </w:rPr>
              <w:t>c</w:t>
            </w:r>
            <w:r w:rsidRPr="001F0E13">
              <w:rPr>
                <w:rFonts w:eastAsia="Calibri" w:cstheme="minorHAnsi"/>
                <w:b/>
                <w:bCs/>
                <w:lang w:eastAsia="en-US"/>
              </w:rPr>
              <w:t xml:space="preserve"> </w:t>
            </w:r>
            <w:r w:rsidRPr="001F0E13">
              <w:rPr>
                <w:rFonts w:eastAsia="Calibri" w:cstheme="minorHAnsi"/>
                <w:b/>
                <w:bCs/>
                <w:lang w:eastAsia="en-US"/>
              </w:rPr>
              <w:br/>
              <w:t>per da</w:t>
            </w:r>
            <w:r w:rsidR="0054297C" w:rsidRPr="001F0E13">
              <w:rPr>
                <w:rFonts w:eastAsia="Calibri" w:cstheme="minorHAnsi"/>
                <w:b/>
                <w:bCs/>
                <w:lang w:eastAsia="en-US"/>
              </w:rPr>
              <w:t>y</w:t>
            </w:r>
            <w:r w:rsidRPr="001F0E13">
              <w:rPr>
                <w:rFonts w:eastAsia="Calibri" w:cstheme="minorHAnsi"/>
                <w:b/>
                <w:bCs/>
                <w:lang w:eastAsia="en-US"/>
              </w:rPr>
              <w:t xml:space="preserve"> </w:t>
            </w:r>
            <w:r w:rsidRPr="001F0E13">
              <w:rPr>
                <w:rFonts w:eastAsia="Calibri" w:cstheme="minorHAnsi"/>
                <w:b/>
                <w:bCs/>
                <w:lang w:eastAsia="en-US"/>
              </w:rPr>
              <w:br/>
              <w:t xml:space="preserve">2019 </w:t>
            </w:r>
          </w:p>
        </w:tc>
        <w:tc>
          <w:tcPr>
            <w:tcW w:w="1074" w:type="dxa"/>
            <w:tcBorders>
              <w:top w:val="nil"/>
              <w:bottom w:val="single" w:sz="8" w:space="0" w:color="auto"/>
            </w:tcBorders>
          </w:tcPr>
          <w:p w14:paraId="5BD58413" w14:textId="1F997608" w:rsidR="00D82CFA" w:rsidRPr="001F0E13" w:rsidRDefault="0054297C" w:rsidP="00E101B8">
            <w:pPr>
              <w:jc w:val="right"/>
              <w:rPr>
                <w:rFonts w:cstheme="minorHAnsi"/>
                <w:b/>
                <w:bCs/>
              </w:rPr>
            </w:pPr>
            <w:r w:rsidRPr="001F0E13">
              <w:rPr>
                <w:rFonts w:eastAsia="Calibri" w:cstheme="minorHAnsi"/>
                <w:b/>
                <w:bCs/>
                <w:lang w:eastAsia="en-US"/>
              </w:rPr>
              <w:t>Traffic develop-ment</w:t>
            </w:r>
            <w:r w:rsidR="00D82CFA" w:rsidRPr="001F0E13">
              <w:rPr>
                <w:rFonts w:eastAsia="Calibri" w:cstheme="minorHAnsi"/>
                <w:b/>
                <w:bCs/>
                <w:lang w:eastAsia="en-US"/>
              </w:rPr>
              <w:t xml:space="preserve"> </w:t>
            </w:r>
            <w:r w:rsidR="00D82CFA" w:rsidRPr="001F0E13">
              <w:rPr>
                <w:rFonts w:eastAsia="Calibri" w:cstheme="minorHAnsi"/>
                <w:b/>
                <w:bCs/>
                <w:lang w:eastAsia="en-US"/>
              </w:rPr>
              <w:br/>
              <w:t>(%)</w:t>
            </w:r>
          </w:p>
        </w:tc>
        <w:tc>
          <w:tcPr>
            <w:tcW w:w="1074" w:type="dxa"/>
            <w:tcBorders>
              <w:top w:val="nil"/>
              <w:bottom w:val="single" w:sz="8" w:space="0" w:color="auto"/>
            </w:tcBorders>
          </w:tcPr>
          <w:p w14:paraId="2938C2D7" w14:textId="750B344C" w:rsidR="00D82CFA" w:rsidRPr="001F0E13" w:rsidRDefault="0054297C" w:rsidP="00E101B8">
            <w:pPr>
              <w:jc w:val="right"/>
              <w:rPr>
                <w:rFonts w:cstheme="minorHAnsi"/>
                <w:b/>
                <w:bCs/>
              </w:rPr>
            </w:pPr>
            <w:r w:rsidRPr="001F0E13">
              <w:rPr>
                <w:rFonts w:eastAsia="Calibri" w:cstheme="minorHAnsi"/>
                <w:b/>
                <w:bCs/>
                <w:lang w:eastAsia="en-US"/>
              </w:rPr>
              <w:t>Traffic develop-ment</w:t>
            </w:r>
            <w:r w:rsidR="00D82CFA" w:rsidRPr="001F0E13">
              <w:rPr>
                <w:rFonts w:eastAsia="Calibri" w:cstheme="minorHAnsi"/>
                <w:b/>
                <w:bCs/>
                <w:lang w:eastAsia="en-US"/>
              </w:rPr>
              <w:t xml:space="preserve"> (</w:t>
            </w:r>
            <w:r w:rsidRPr="001F0E13">
              <w:rPr>
                <w:rFonts w:eastAsia="Calibri" w:cstheme="minorHAnsi"/>
                <w:b/>
                <w:bCs/>
                <w:lang w:eastAsia="en-US"/>
              </w:rPr>
              <w:t>number</w:t>
            </w:r>
            <w:r w:rsidR="00D82CFA" w:rsidRPr="001F0E13">
              <w:rPr>
                <w:rFonts w:eastAsia="Calibri" w:cstheme="minorHAnsi"/>
                <w:b/>
                <w:bCs/>
                <w:lang w:eastAsia="en-US"/>
              </w:rPr>
              <w:t>)</w:t>
            </w:r>
          </w:p>
        </w:tc>
      </w:tr>
      <w:tr w:rsidR="00D82CFA" w:rsidRPr="001F0E13" w14:paraId="1A6F0D78" w14:textId="77777777" w:rsidTr="00E101B8">
        <w:trPr>
          <w:cantSplit/>
          <w:trHeight w:val="283"/>
        </w:trPr>
        <w:tc>
          <w:tcPr>
            <w:tcW w:w="20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50DB0E" w14:textId="5B76936A" w:rsidR="00D82CFA" w:rsidRPr="001F0E13" w:rsidRDefault="00D82CFA" w:rsidP="00E101B8">
            <w:pPr>
              <w:rPr>
                <w:rFonts w:cstheme="minorHAnsi"/>
                <w:b/>
                <w:bCs/>
              </w:rPr>
            </w:pPr>
            <w:r w:rsidRPr="001F0E13">
              <w:rPr>
                <w:rFonts w:cstheme="minorHAnsi"/>
                <w:b/>
                <w:bCs/>
                <w:lang w:eastAsia="en-US"/>
              </w:rPr>
              <w:t>P</w:t>
            </w:r>
            <w:r w:rsidR="004C6411" w:rsidRPr="001F0E13">
              <w:rPr>
                <w:rFonts w:cstheme="minorHAnsi"/>
                <w:b/>
                <w:bCs/>
                <w:lang w:eastAsia="en-US"/>
              </w:rPr>
              <w:t>assenger cars</w:t>
            </w:r>
            <w:r w:rsidRPr="001F0E13">
              <w:rPr>
                <w:rFonts w:cstheme="minorHAnsi"/>
                <w:b/>
                <w:bCs/>
                <w:lang w:eastAsia="en-US"/>
              </w:rPr>
              <w:t>*</w:t>
            </w:r>
          </w:p>
        </w:tc>
        <w:tc>
          <w:tcPr>
            <w:tcW w:w="9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F0695A" w14:textId="059F8E48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14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617</w:t>
            </w:r>
          </w:p>
        </w:tc>
        <w:tc>
          <w:tcPr>
            <w:tcW w:w="9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0668B0" w14:textId="16582B09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7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257</w:t>
            </w:r>
          </w:p>
        </w:tc>
        <w:tc>
          <w:tcPr>
            <w:tcW w:w="107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3EB18F8" w14:textId="33D14E86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101</w:t>
            </w:r>
            <w:r w:rsidR="001F0E13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4 %</w:t>
            </w:r>
          </w:p>
        </w:tc>
        <w:tc>
          <w:tcPr>
            <w:tcW w:w="107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29A8FA" w14:textId="402C4BB8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7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360</w:t>
            </w:r>
          </w:p>
        </w:tc>
        <w:tc>
          <w:tcPr>
            <w:tcW w:w="9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445237" w14:textId="02E1D750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17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674</w:t>
            </w:r>
          </w:p>
        </w:tc>
        <w:tc>
          <w:tcPr>
            <w:tcW w:w="107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2E831" w14:textId="055E1A90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-17</w:t>
            </w:r>
            <w:r w:rsidR="0054297C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3 %</w:t>
            </w:r>
          </w:p>
        </w:tc>
        <w:tc>
          <w:tcPr>
            <w:tcW w:w="107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625BF8" w14:textId="43E0640B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-3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057</w:t>
            </w:r>
          </w:p>
        </w:tc>
      </w:tr>
      <w:tr w:rsidR="00D82CFA" w:rsidRPr="001F0E13" w14:paraId="52A4466A" w14:textId="77777777" w:rsidTr="00E101B8">
        <w:trPr>
          <w:cantSplit/>
          <w:trHeight w:val="283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46CF1" w14:textId="37F5E28A" w:rsidR="00D82CFA" w:rsidRPr="001F0E13" w:rsidRDefault="00D82CFA" w:rsidP="00E101B8">
            <w:pPr>
              <w:ind w:left="226" w:hanging="113"/>
              <w:rPr>
                <w:rFonts w:cstheme="minorHAnsi"/>
              </w:rPr>
            </w:pPr>
            <w:r w:rsidRPr="001F0E13">
              <w:rPr>
                <w:rFonts w:cstheme="minorHAnsi"/>
                <w:lang w:eastAsia="en-US"/>
              </w:rPr>
              <w:t xml:space="preserve">BroPas </w:t>
            </w:r>
            <w:r w:rsidR="004C6411" w:rsidRPr="001F0E13">
              <w:rPr>
                <w:rFonts w:cstheme="minorHAnsi"/>
                <w:lang w:eastAsia="en-US"/>
              </w:rPr>
              <w:t>Leisure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423CD" w14:textId="045A896A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5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179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E6FE6" w14:textId="2E34CCF8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2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034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B148" w14:textId="40B67B3B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154</w:t>
            </w:r>
            <w:r w:rsidR="001F0E13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6 %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8F21F" w14:textId="5A297BAF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3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145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D565E" w14:textId="747E4E4E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6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250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73C73" w14:textId="23F823A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-17</w:t>
            </w:r>
            <w:r w:rsidR="0054297C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1 %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6DB9F" w14:textId="25733FC1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-1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071</w:t>
            </w:r>
          </w:p>
        </w:tc>
      </w:tr>
      <w:tr w:rsidR="00D82CFA" w:rsidRPr="001F0E13" w14:paraId="10853A6E" w14:textId="77777777" w:rsidTr="00E101B8">
        <w:trPr>
          <w:cantSplit/>
          <w:trHeight w:val="283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E40AE" w14:textId="77777777" w:rsidR="00D82CFA" w:rsidRPr="001F0E13" w:rsidRDefault="00D82CFA" w:rsidP="00E101B8">
            <w:pPr>
              <w:ind w:left="226" w:hanging="113"/>
              <w:rPr>
                <w:rFonts w:cstheme="minorHAnsi"/>
              </w:rPr>
            </w:pPr>
            <w:r w:rsidRPr="001F0E13">
              <w:rPr>
                <w:rFonts w:cstheme="minorHAnsi"/>
                <w:lang w:eastAsia="en-US"/>
              </w:rPr>
              <w:t>BroPas Business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40378" w14:textId="06878779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2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023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5C52D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949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A0AC4" w14:textId="775FAE95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113</w:t>
            </w:r>
            <w:r w:rsidR="001F0E13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2 %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BDC9D" w14:textId="6F6D863A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074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B63F4" w14:textId="7DF1292D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2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998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65737" w14:textId="1E1609BA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-32</w:t>
            </w:r>
            <w:r w:rsidR="0054297C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5 %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CAF13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-975</w:t>
            </w:r>
          </w:p>
        </w:tc>
      </w:tr>
      <w:tr w:rsidR="00D82CFA" w:rsidRPr="001F0E13" w14:paraId="322B6A72" w14:textId="77777777" w:rsidTr="00E101B8">
        <w:trPr>
          <w:cantSplit/>
          <w:trHeight w:val="283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F4F39" w14:textId="27F4C534" w:rsidR="00D82CFA" w:rsidRPr="001F0E13" w:rsidRDefault="00D82CFA" w:rsidP="00E101B8">
            <w:pPr>
              <w:ind w:left="226" w:hanging="113"/>
              <w:rPr>
                <w:rFonts w:cstheme="minorHAnsi"/>
              </w:rPr>
            </w:pPr>
            <w:r w:rsidRPr="001F0E13">
              <w:rPr>
                <w:rFonts w:cstheme="minorHAnsi"/>
                <w:lang w:eastAsia="en-US"/>
              </w:rPr>
              <w:t xml:space="preserve">BroPas </w:t>
            </w:r>
            <w:r w:rsidR="004C6411" w:rsidRPr="001F0E13">
              <w:rPr>
                <w:rFonts w:cstheme="minorHAnsi"/>
                <w:lang w:eastAsia="en-US"/>
              </w:rPr>
              <w:t>Commuter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F1F90" w14:textId="61B0661B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4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652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AB9B2" w14:textId="7EE36D22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3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391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2A819" w14:textId="62730DDA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37</w:t>
            </w:r>
            <w:r w:rsidR="001F0E13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2 %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79707" w14:textId="78D8E294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261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9E07B" w14:textId="4C01E6EA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5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622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588C0" w14:textId="1D64556F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-17</w:t>
            </w:r>
            <w:r w:rsidR="0054297C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3 %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C2530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-970</w:t>
            </w:r>
          </w:p>
        </w:tc>
      </w:tr>
      <w:tr w:rsidR="00D82CFA" w:rsidRPr="001F0E13" w14:paraId="78162307" w14:textId="77777777" w:rsidTr="00E101B8">
        <w:trPr>
          <w:cantSplit/>
          <w:trHeight w:val="283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F603F" w14:textId="3B99C827" w:rsidR="00D82CFA" w:rsidRPr="001F0E13" w:rsidRDefault="004C6411" w:rsidP="00E101B8">
            <w:pPr>
              <w:ind w:left="226" w:hanging="113"/>
              <w:rPr>
                <w:rFonts w:cstheme="minorHAnsi"/>
              </w:rPr>
            </w:pPr>
            <w:r w:rsidRPr="001F0E13">
              <w:rPr>
                <w:rFonts w:cstheme="minorHAnsi"/>
                <w:lang w:eastAsia="en-US"/>
              </w:rPr>
              <w:t>Cash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C19A4" w14:textId="45861B0C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2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763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090BA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883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D1BFE" w14:textId="2ED5F354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212</w:t>
            </w:r>
            <w:r w:rsidR="001F0E13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9 %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7B2D1" w14:textId="5B9DCA08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880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3EA11" w14:textId="28E05DC0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2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804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78EFB" w14:textId="653A9721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-1</w:t>
            </w:r>
            <w:r w:rsidR="0054297C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5 %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4EFF3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-41</w:t>
            </w:r>
          </w:p>
        </w:tc>
      </w:tr>
      <w:tr w:rsidR="00D82CFA" w:rsidRPr="001F0E13" w14:paraId="089FF236" w14:textId="77777777" w:rsidTr="00E101B8">
        <w:trPr>
          <w:cantSplit/>
          <w:trHeight w:val="283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AB703" w14:textId="51F6EF09" w:rsidR="00D82CFA" w:rsidRPr="001F0E13" w:rsidRDefault="004C6411" w:rsidP="00E101B8">
            <w:pPr>
              <w:rPr>
                <w:rFonts w:cstheme="minorHAnsi"/>
              </w:rPr>
            </w:pPr>
            <w:r w:rsidRPr="001F0E13">
              <w:rPr>
                <w:rFonts w:eastAsia="Calibri" w:cstheme="minorHAnsi"/>
                <w:b/>
                <w:bCs/>
                <w:lang w:eastAsia="en-US"/>
              </w:rPr>
              <w:t xml:space="preserve">Freight traffic </w:t>
            </w:r>
            <w:r w:rsidR="00D82CFA" w:rsidRPr="001F0E13">
              <w:rPr>
                <w:rFonts w:eastAsia="Calibri" w:cstheme="minorHAnsi"/>
                <w:b/>
                <w:bCs/>
                <w:lang w:eastAsia="en-US"/>
              </w:rPr>
              <w:t>**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B9E1E" w14:textId="42642BEE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917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DCF4B" w14:textId="58D7911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697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66DC0" w14:textId="3DDA1815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13</w:t>
            </w:r>
            <w:r w:rsidR="001F0E13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0 %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D422F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220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0B9F9" w14:textId="759AD689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666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B6870" w14:textId="7BD63273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15</w:t>
            </w:r>
            <w:r w:rsidR="0054297C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1 %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26880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251</w:t>
            </w:r>
          </w:p>
        </w:tc>
      </w:tr>
      <w:tr w:rsidR="00D82CFA" w:rsidRPr="001F0E13" w14:paraId="7608989E" w14:textId="77777777" w:rsidTr="00E101B8">
        <w:trPr>
          <w:cantSplit/>
          <w:trHeight w:val="283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BB0D2" w14:textId="6DDEA210" w:rsidR="00D82CFA" w:rsidRPr="001F0E13" w:rsidRDefault="0054297C" w:rsidP="00E101B8">
            <w:pPr>
              <w:ind w:left="226" w:hanging="113"/>
              <w:rPr>
                <w:rFonts w:cstheme="minorHAnsi"/>
              </w:rPr>
            </w:pPr>
            <w:r w:rsidRPr="001F0E13">
              <w:rPr>
                <w:rFonts w:eastAsia="Calibri" w:cstheme="minorHAnsi"/>
                <w:lang w:eastAsia="en-US"/>
              </w:rPr>
              <w:lastRenderedPageBreak/>
              <w:t>HGVs</w:t>
            </w:r>
            <w:r w:rsidR="00D82CFA" w:rsidRPr="001F0E13">
              <w:rPr>
                <w:rFonts w:eastAsia="Calibri" w:cstheme="minorHAnsi"/>
                <w:lang w:eastAsia="en-US"/>
              </w:rPr>
              <w:t xml:space="preserve"> &gt; 9 m.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B52C2" w14:textId="3E48523E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648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2E105" w14:textId="34885AB1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504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F8976" w14:textId="48E3291D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9</w:t>
            </w:r>
            <w:r w:rsidR="001F0E13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6 %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92519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144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F086" w14:textId="5E43963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419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8003F" w14:textId="1D1E4A7C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16</w:t>
            </w:r>
            <w:r w:rsidR="0054297C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1 %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E5A3B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229</w:t>
            </w:r>
          </w:p>
        </w:tc>
      </w:tr>
      <w:tr w:rsidR="00D82CFA" w:rsidRPr="001F0E13" w14:paraId="26B0ECE8" w14:textId="77777777" w:rsidTr="00E101B8">
        <w:trPr>
          <w:cantSplit/>
          <w:trHeight w:val="283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3EA19" w14:textId="6142D263" w:rsidR="00D82CFA" w:rsidRPr="001F0E13" w:rsidRDefault="00D82CFA" w:rsidP="00E101B8">
            <w:pPr>
              <w:ind w:left="226" w:hanging="113"/>
              <w:rPr>
                <w:rFonts w:cstheme="minorHAnsi"/>
              </w:rPr>
            </w:pPr>
            <w:r w:rsidRPr="001F0E13">
              <w:rPr>
                <w:rFonts w:eastAsia="Calibri" w:cstheme="minorHAnsi"/>
                <w:lang w:eastAsia="en-US"/>
              </w:rPr>
              <w:t>Va</w:t>
            </w:r>
            <w:r w:rsidR="0054297C" w:rsidRPr="001F0E13">
              <w:rPr>
                <w:rFonts w:eastAsia="Calibri" w:cstheme="minorHAnsi"/>
                <w:lang w:eastAsia="en-US"/>
              </w:rPr>
              <w:t>ns</w:t>
            </w:r>
            <w:r w:rsidRPr="001F0E13">
              <w:rPr>
                <w:rFonts w:eastAsia="Calibri" w:cstheme="minorHAnsi"/>
                <w:lang w:eastAsia="en-US"/>
              </w:rPr>
              <w:t xml:space="preserve"> 6-9 m.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88EEE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269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03619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193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83DAA" w14:textId="05F8FD72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39</w:t>
            </w:r>
            <w:r w:rsidR="001F0E13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4 %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281C4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76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92254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247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6E088" w14:textId="09E5C4DD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8</w:t>
            </w:r>
            <w:r w:rsidR="0054297C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9 %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0B086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22</w:t>
            </w:r>
          </w:p>
        </w:tc>
      </w:tr>
      <w:tr w:rsidR="00D82CFA" w:rsidRPr="001F0E13" w14:paraId="06FF0F0E" w14:textId="77777777" w:rsidTr="00E101B8">
        <w:trPr>
          <w:cantSplit/>
          <w:trHeight w:val="283"/>
        </w:trPr>
        <w:tc>
          <w:tcPr>
            <w:tcW w:w="203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C7D4D28" w14:textId="075AD9D0" w:rsidR="00D82CFA" w:rsidRPr="001F0E13" w:rsidRDefault="0054297C" w:rsidP="00E101B8">
            <w:pPr>
              <w:rPr>
                <w:rFonts w:cstheme="minorHAnsi"/>
              </w:rPr>
            </w:pPr>
            <w:r w:rsidRPr="001F0E13">
              <w:rPr>
                <w:rFonts w:eastAsia="Calibri" w:cstheme="minorHAnsi"/>
                <w:b/>
                <w:bCs/>
                <w:lang w:eastAsia="en-US"/>
              </w:rPr>
              <w:t>Coaches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E05DF4F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97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54A334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29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05E2FF" w14:textId="26AD8CDD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234</w:t>
            </w:r>
            <w:r w:rsidR="001F0E13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5 %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E23A0F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68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DA4118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157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D0001EB" w14:textId="6B7135B1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-38</w:t>
            </w:r>
            <w:r w:rsidR="0054297C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2 %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4568A2A" w14:textId="77777777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-60</w:t>
            </w:r>
          </w:p>
        </w:tc>
      </w:tr>
      <w:tr w:rsidR="00D82CFA" w:rsidRPr="001F0E13" w14:paraId="1AC966A6" w14:textId="77777777" w:rsidTr="00E101B8">
        <w:trPr>
          <w:cantSplit/>
          <w:trHeight w:val="283"/>
        </w:trPr>
        <w:tc>
          <w:tcPr>
            <w:tcW w:w="2037" w:type="dxa"/>
            <w:tcBorders>
              <w:top w:val="single" w:sz="8" w:space="0" w:color="auto"/>
              <w:bottom w:val="nil"/>
            </w:tcBorders>
            <w:vAlign w:val="center"/>
          </w:tcPr>
          <w:p w14:paraId="01F13C7E" w14:textId="4362B996" w:rsidR="00D82CFA" w:rsidRPr="001F0E13" w:rsidRDefault="00D82CFA" w:rsidP="00E101B8">
            <w:pPr>
              <w:rPr>
                <w:rFonts w:cstheme="minorHAnsi"/>
              </w:rPr>
            </w:pPr>
            <w:r w:rsidRPr="001F0E13">
              <w:rPr>
                <w:rFonts w:eastAsia="Calibri" w:cstheme="minorHAnsi"/>
                <w:b/>
                <w:bCs/>
                <w:lang w:eastAsia="en-US"/>
              </w:rPr>
              <w:t>Total</w:t>
            </w:r>
          </w:p>
        </w:tc>
        <w:tc>
          <w:tcPr>
            <w:tcW w:w="917" w:type="dxa"/>
            <w:tcBorders>
              <w:top w:val="single" w:sz="8" w:space="0" w:color="auto"/>
              <w:bottom w:val="nil"/>
            </w:tcBorders>
            <w:vAlign w:val="center"/>
          </w:tcPr>
          <w:p w14:paraId="1EAA6E4A" w14:textId="6AC5B4A4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16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631</w:t>
            </w:r>
          </w:p>
        </w:tc>
        <w:tc>
          <w:tcPr>
            <w:tcW w:w="917" w:type="dxa"/>
            <w:tcBorders>
              <w:top w:val="single" w:sz="8" w:space="0" w:color="auto"/>
              <w:bottom w:val="nil"/>
            </w:tcBorders>
            <w:vAlign w:val="center"/>
          </w:tcPr>
          <w:p w14:paraId="0B55CF6D" w14:textId="2203CDF1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8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983</w:t>
            </w:r>
          </w:p>
        </w:tc>
        <w:tc>
          <w:tcPr>
            <w:tcW w:w="1074" w:type="dxa"/>
            <w:tcBorders>
              <w:top w:val="single" w:sz="8" w:space="0" w:color="auto"/>
              <w:bottom w:val="nil"/>
            </w:tcBorders>
            <w:vAlign w:val="center"/>
          </w:tcPr>
          <w:p w14:paraId="76033819" w14:textId="3EF1AFC8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85</w:t>
            </w:r>
            <w:r w:rsidR="001F0E13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1 %</w:t>
            </w:r>
          </w:p>
        </w:tc>
        <w:tc>
          <w:tcPr>
            <w:tcW w:w="1074" w:type="dxa"/>
            <w:tcBorders>
              <w:top w:val="single" w:sz="8" w:space="0" w:color="auto"/>
              <w:bottom w:val="nil"/>
            </w:tcBorders>
            <w:vAlign w:val="center"/>
          </w:tcPr>
          <w:p w14:paraId="748C1D6D" w14:textId="32A30F04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7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648</w:t>
            </w:r>
          </w:p>
        </w:tc>
        <w:tc>
          <w:tcPr>
            <w:tcW w:w="905" w:type="dxa"/>
            <w:tcBorders>
              <w:top w:val="single" w:sz="8" w:space="0" w:color="auto"/>
              <w:bottom w:val="nil"/>
            </w:tcBorders>
            <w:vAlign w:val="center"/>
          </w:tcPr>
          <w:p w14:paraId="3E51D2A9" w14:textId="416ED0B4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19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497</w:t>
            </w:r>
          </w:p>
        </w:tc>
        <w:tc>
          <w:tcPr>
            <w:tcW w:w="1074" w:type="dxa"/>
            <w:tcBorders>
              <w:top w:val="single" w:sz="8" w:space="0" w:color="auto"/>
              <w:bottom w:val="nil"/>
            </w:tcBorders>
            <w:vAlign w:val="center"/>
          </w:tcPr>
          <w:p w14:paraId="640B852B" w14:textId="4C86C9AF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-14</w:t>
            </w:r>
            <w:r w:rsidR="0054297C" w:rsidRPr="001F0E13">
              <w:rPr>
                <w:rFonts w:ascii="Calibri" w:hAnsi="Calibri" w:cs="Calibri"/>
                <w:lang w:eastAsia="en-US"/>
              </w:rPr>
              <w:t>.</w:t>
            </w:r>
            <w:r w:rsidRPr="001F0E13">
              <w:rPr>
                <w:rFonts w:ascii="Calibri" w:hAnsi="Calibri" w:cs="Calibri"/>
                <w:lang w:eastAsia="en-US"/>
              </w:rPr>
              <w:t>7 %</w:t>
            </w:r>
          </w:p>
        </w:tc>
        <w:tc>
          <w:tcPr>
            <w:tcW w:w="1074" w:type="dxa"/>
            <w:tcBorders>
              <w:top w:val="single" w:sz="8" w:space="0" w:color="auto"/>
              <w:bottom w:val="nil"/>
            </w:tcBorders>
            <w:vAlign w:val="center"/>
          </w:tcPr>
          <w:p w14:paraId="2900B26A" w14:textId="28F4DD53" w:rsidR="00D82CFA" w:rsidRPr="001F0E13" w:rsidRDefault="00D82CFA" w:rsidP="00E101B8">
            <w:pPr>
              <w:jc w:val="right"/>
              <w:rPr>
                <w:rFonts w:cstheme="minorHAnsi"/>
              </w:rPr>
            </w:pPr>
            <w:r w:rsidRPr="001F0E13">
              <w:rPr>
                <w:rFonts w:ascii="Calibri" w:hAnsi="Calibri" w:cs="Calibri"/>
                <w:lang w:eastAsia="en-US"/>
              </w:rPr>
              <w:t>-2</w:t>
            </w:r>
            <w:r w:rsidR="0054297C" w:rsidRPr="001F0E13">
              <w:rPr>
                <w:rFonts w:ascii="Calibri" w:hAnsi="Calibri" w:cs="Calibri"/>
                <w:lang w:eastAsia="en-US"/>
              </w:rPr>
              <w:t>,</w:t>
            </w:r>
            <w:r w:rsidRPr="001F0E13">
              <w:rPr>
                <w:rFonts w:ascii="Calibri" w:hAnsi="Calibri" w:cs="Calibri"/>
                <w:lang w:eastAsia="en-US"/>
              </w:rPr>
              <w:t>866</w:t>
            </w:r>
          </w:p>
        </w:tc>
      </w:tr>
    </w:tbl>
    <w:p w14:paraId="3B73B57D" w14:textId="77777777" w:rsidR="00D82CFA" w:rsidRPr="001F0E13" w:rsidRDefault="00D82CFA" w:rsidP="00D82CFA">
      <w:pPr>
        <w:pStyle w:val="Normalfed"/>
      </w:pPr>
    </w:p>
    <w:p w14:paraId="521D37E2" w14:textId="6656AF63" w:rsidR="0054297C" w:rsidRPr="001F0E13" w:rsidRDefault="00D82CFA" w:rsidP="0054297C">
      <w:pPr>
        <w:ind w:left="135" w:hanging="135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1F0E13">
        <w:rPr>
          <w:rFonts w:cs="Calibri"/>
          <w:i/>
          <w:iCs/>
          <w:color w:val="333333"/>
          <w:lang w:val="en-GB" w:eastAsia="da-DK" w:bidi="da-DK"/>
        </w:rPr>
        <w:t> * </w:t>
      </w:r>
      <w:r w:rsidR="0054297C" w:rsidRPr="001F0E13">
        <w:rPr>
          <w:rFonts w:cs="Calibri"/>
          <w:i/>
          <w:iCs/>
          <w:color w:val="333333"/>
          <w:lang w:val="en-GB"/>
        </w:rPr>
        <w:t>Passenger cars include cars with trailers and motorbikes.</w:t>
      </w:r>
      <w:r w:rsidR="0054297C" w:rsidRPr="001F0E13">
        <w:rPr>
          <w:rFonts w:cs="Calibri"/>
          <w:color w:val="333333"/>
          <w:lang w:val="en-GB"/>
        </w:rPr>
        <w:t> </w:t>
      </w:r>
    </w:p>
    <w:p w14:paraId="45F5AE25" w14:textId="0D7D6449" w:rsidR="0054297C" w:rsidRPr="0054297C" w:rsidRDefault="0054297C" w:rsidP="0054297C">
      <w:pPr>
        <w:ind w:left="270" w:hanging="270"/>
        <w:textAlignment w:val="baseline"/>
        <w:rPr>
          <w:rFonts w:cs="Calibri"/>
          <w:i/>
          <w:iCs/>
          <w:lang w:val="en-GB"/>
        </w:rPr>
      </w:pPr>
      <w:r w:rsidRPr="001F0E13">
        <w:rPr>
          <w:rFonts w:cs="Calibri"/>
          <w:i/>
          <w:iCs/>
          <w:lang w:val="en-GB"/>
        </w:rPr>
        <w:t xml:space="preserve">** Freight traffic includes all freight transport </w:t>
      </w:r>
      <w:r w:rsidR="004959EE" w:rsidRPr="001F0E13">
        <w:rPr>
          <w:rFonts w:cs="Calibri"/>
          <w:i/>
          <w:iCs/>
          <w:lang w:val="en-GB"/>
        </w:rPr>
        <w:t>from</w:t>
      </w:r>
      <w:r w:rsidRPr="001F0E13">
        <w:rPr>
          <w:rFonts w:cs="Calibri"/>
          <w:i/>
          <w:iCs/>
          <w:lang w:val="en-GB"/>
        </w:rPr>
        <w:t xml:space="preserve"> 6m</w:t>
      </w:r>
      <w:r w:rsidR="004959EE" w:rsidRPr="001F0E13">
        <w:rPr>
          <w:rFonts w:cs="Calibri"/>
          <w:i/>
          <w:iCs/>
          <w:lang w:val="en-GB"/>
        </w:rPr>
        <w:t xml:space="preserve"> and above</w:t>
      </w:r>
      <w:r w:rsidRPr="001F0E13">
        <w:rPr>
          <w:rFonts w:cs="Calibri"/>
          <w:i/>
          <w:iCs/>
          <w:lang w:val="en-GB"/>
        </w:rPr>
        <w:t xml:space="preserve"> because since 2019, the toll station has enabled more comprehensive vehicle categorisation.</w:t>
      </w:r>
      <w:r w:rsidRPr="007F1ABD">
        <w:rPr>
          <w:rFonts w:cs="Calibri"/>
          <w:i/>
          <w:iCs/>
          <w:lang w:val="en-GB"/>
        </w:rPr>
        <w:t xml:space="preserve"> </w:t>
      </w:r>
    </w:p>
    <w:p w14:paraId="7D26A17F" w14:textId="77777777" w:rsidR="0054297C" w:rsidRPr="0054297C" w:rsidRDefault="0054297C" w:rsidP="0054297C">
      <w:pPr>
        <w:rPr>
          <w:lang w:val="en-GB"/>
        </w:rPr>
      </w:pPr>
    </w:p>
    <w:p w14:paraId="390F908A" w14:textId="202E3065" w:rsidR="002510D9" w:rsidRPr="001F0E13" w:rsidRDefault="002510D9" w:rsidP="006B3004">
      <w:pPr>
        <w:pStyle w:val="Rubrik2"/>
        <w:rPr>
          <w:lang w:val="en-GB"/>
        </w:rPr>
      </w:pPr>
      <w:r w:rsidRPr="001F0E13">
        <w:rPr>
          <w:lang w:val="en-GB"/>
        </w:rPr>
        <w:t xml:space="preserve">Market share of </w:t>
      </w:r>
      <w:proofErr w:type="spellStart"/>
      <w:r w:rsidRPr="001F0E13">
        <w:rPr>
          <w:lang w:val="en-GB"/>
        </w:rPr>
        <w:t>Øresund</w:t>
      </w:r>
      <w:proofErr w:type="spellEnd"/>
      <w:r w:rsidRPr="001F0E13">
        <w:rPr>
          <w:lang w:val="en-GB"/>
        </w:rPr>
        <w:t xml:space="preserve"> traffic between April 2021 and March 2022</w:t>
      </w:r>
    </w:p>
    <w:p w14:paraId="2528BFA0" w14:textId="77777777" w:rsidR="002510D9" w:rsidRPr="001F0E13" w:rsidRDefault="002510D9" w:rsidP="002510D9">
      <w:pPr>
        <w:rPr>
          <w:b/>
          <w:bCs/>
          <w:lang w:val="en-GB"/>
        </w:rPr>
      </w:pP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31"/>
        <w:gridCol w:w="3139"/>
      </w:tblGrid>
      <w:tr w:rsidR="002510D9" w:rsidRPr="006B3004" w14:paraId="5F2272D6" w14:textId="77777777" w:rsidTr="0001417B">
        <w:trPr>
          <w:trHeight w:val="359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4C12A0" w14:textId="77777777" w:rsidR="002510D9" w:rsidRPr="001F0E13" w:rsidRDefault="002510D9" w:rsidP="0001417B">
            <w:pPr>
              <w:jc w:val="right"/>
              <w:textAlignment w:val="baseline"/>
              <w:rPr>
                <w:rFonts w:ascii="Times New Roman" w:hAnsi="Times New Roman"/>
                <w:sz w:val="24"/>
              </w:rPr>
            </w:pPr>
            <w:r w:rsidRPr="001F0E13">
              <w:rPr>
                <w:rFonts w:cs="Calibri"/>
                <w:color w:val="000000"/>
              </w:rPr>
              <w:t> 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735220" w14:textId="7977C8D7" w:rsidR="002510D9" w:rsidRPr="001F0E13" w:rsidRDefault="002510D9" w:rsidP="0001417B">
            <w:pPr>
              <w:jc w:val="right"/>
              <w:textAlignment w:val="baseline"/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r w:rsidRPr="001F0E13">
              <w:rPr>
                <w:rFonts w:cs="Calibri"/>
                <w:b/>
                <w:bCs/>
                <w:color w:val="000000"/>
                <w:lang w:val="en-GB"/>
              </w:rPr>
              <w:t xml:space="preserve">Market </w:t>
            </w:r>
            <w:proofErr w:type="gramStart"/>
            <w:r w:rsidRPr="001F0E13">
              <w:rPr>
                <w:rFonts w:cs="Calibri"/>
                <w:b/>
                <w:bCs/>
                <w:color w:val="000000"/>
                <w:lang w:val="en-GB"/>
              </w:rPr>
              <w:t>share</w:t>
            </w:r>
            <w:proofErr w:type="gramEnd"/>
            <w:r w:rsidRPr="001F0E13">
              <w:rPr>
                <w:rFonts w:cs="Calibri"/>
                <w:b/>
                <w:bCs/>
                <w:color w:val="000000"/>
                <w:lang w:val="en-GB"/>
              </w:rPr>
              <w:t xml:space="preserve"> in per cent 2022*</w:t>
            </w:r>
          </w:p>
        </w:tc>
      </w:tr>
      <w:tr w:rsidR="002510D9" w:rsidRPr="001F0E13" w14:paraId="206D7A0D" w14:textId="77777777" w:rsidTr="0001417B">
        <w:trPr>
          <w:trHeight w:hRule="exact" w:val="342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479C5415" w14:textId="77777777" w:rsidR="002510D9" w:rsidRPr="001F0E13" w:rsidRDefault="002510D9" w:rsidP="0001417B">
            <w:pPr>
              <w:textAlignment w:val="baseline"/>
              <w:rPr>
                <w:rFonts w:ascii="Times New Roman" w:hAnsi="Times New Roman"/>
              </w:rPr>
            </w:pPr>
            <w:proofErr w:type="spellStart"/>
            <w:r w:rsidRPr="001F0E13">
              <w:rPr>
                <w:rFonts w:cs="Calibri"/>
                <w:color w:val="000000"/>
              </w:rPr>
              <w:t>Passenger</w:t>
            </w:r>
            <w:proofErr w:type="spellEnd"/>
            <w:r w:rsidRPr="001F0E13">
              <w:rPr>
                <w:rFonts w:cs="Calibri"/>
                <w:color w:val="000000"/>
              </w:rPr>
              <w:t xml:space="preserve"> </w:t>
            </w:r>
            <w:proofErr w:type="spellStart"/>
            <w:r w:rsidRPr="001F0E13">
              <w:rPr>
                <w:rFonts w:cs="Calibri"/>
                <w:color w:val="000000"/>
              </w:rPr>
              <w:t>cars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right w:w="85" w:type="dxa"/>
            </w:tcMar>
            <w:vAlign w:val="center"/>
          </w:tcPr>
          <w:p w14:paraId="53528963" w14:textId="359E530D" w:rsidR="002510D9" w:rsidRPr="001F0E13" w:rsidRDefault="002510D9" w:rsidP="0001417B">
            <w:pPr>
              <w:jc w:val="right"/>
              <w:textAlignment w:val="baseline"/>
              <w:rPr>
                <w:rFonts w:asciiTheme="majorHAnsi" w:hAnsiTheme="majorHAnsi" w:cstheme="majorHAnsi"/>
              </w:rPr>
            </w:pPr>
            <w:r w:rsidRPr="001F0E13">
              <w:rPr>
                <w:rFonts w:asciiTheme="majorHAnsi" w:hAnsiTheme="majorHAnsi" w:cstheme="majorHAnsi"/>
              </w:rPr>
              <w:t>85.1</w:t>
            </w:r>
          </w:p>
        </w:tc>
      </w:tr>
      <w:tr w:rsidR="002510D9" w:rsidRPr="001F0E13" w14:paraId="503961D1" w14:textId="77777777" w:rsidTr="0001417B">
        <w:trPr>
          <w:trHeight w:hRule="exact" w:val="342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F00B75" w14:textId="77777777" w:rsidR="002510D9" w:rsidRPr="001F0E13" w:rsidRDefault="002510D9" w:rsidP="0001417B">
            <w:pPr>
              <w:textAlignment w:val="baseline"/>
              <w:rPr>
                <w:rFonts w:ascii="Times New Roman" w:hAnsi="Times New Roman"/>
              </w:rPr>
            </w:pPr>
            <w:r w:rsidRPr="001F0E13">
              <w:rPr>
                <w:rFonts w:cs="Calibri"/>
                <w:color w:val="000000"/>
              </w:rPr>
              <w:t>Freight traffic &gt; 6 m.</w:t>
            </w:r>
          </w:p>
        </w:tc>
        <w:tc>
          <w:tcPr>
            <w:tcW w:w="35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right w:w="85" w:type="dxa"/>
            </w:tcMar>
            <w:vAlign w:val="center"/>
          </w:tcPr>
          <w:p w14:paraId="6DF44CF6" w14:textId="77777777" w:rsidR="002510D9" w:rsidRPr="001F0E13" w:rsidRDefault="002510D9" w:rsidP="0001417B">
            <w:pPr>
              <w:jc w:val="right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1F0E13">
              <w:rPr>
                <w:rFonts w:asciiTheme="majorHAnsi" w:hAnsiTheme="majorHAnsi" w:cstheme="majorHAnsi"/>
                <w:color w:val="000000"/>
              </w:rPr>
              <w:t>58.7</w:t>
            </w:r>
          </w:p>
        </w:tc>
      </w:tr>
      <w:tr w:rsidR="002510D9" w:rsidRPr="001F0E13" w14:paraId="20AA2EF5" w14:textId="77777777" w:rsidTr="0001417B">
        <w:trPr>
          <w:trHeight w:hRule="exact" w:val="342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6A70DB" w14:textId="77777777" w:rsidR="002510D9" w:rsidRPr="001F0E13" w:rsidRDefault="002510D9" w:rsidP="0001417B">
            <w:pPr>
              <w:textAlignment w:val="baseline"/>
              <w:rPr>
                <w:rFonts w:ascii="Times New Roman" w:hAnsi="Times New Roman"/>
              </w:rPr>
            </w:pPr>
            <w:r w:rsidRPr="001F0E13">
              <w:rPr>
                <w:rFonts w:cs="Calibri"/>
                <w:color w:val="000000"/>
              </w:rPr>
              <w:t>Coaches</w:t>
            </w:r>
          </w:p>
        </w:tc>
        <w:tc>
          <w:tcPr>
            <w:tcW w:w="35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right w:w="85" w:type="dxa"/>
            </w:tcMar>
            <w:vAlign w:val="center"/>
          </w:tcPr>
          <w:p w14:paraId="42786AE8" w14:textId="6B352A10" w:rsidR="002510D9" w:rsidRPr="001F0E13" w:rsidRDefault="002510D9" w:rsidP="0001417B">
            <w:pPr>
              <w:jc w:val="right"/>
              <w:textAlignment w:val="baseline"/>
              <w:rPr>
                <w:rFonts w:asciiTheme="majorHAnsi" w:hAnsiTheme="majorHAnsi" w:cstheme="majorHAnsi"/>
              </w:rPr>
            </w:pPr>
            <w:r w:rsidRPr="001F0E13">
              <w:rPr>
                <w:rFonts w:asciiTheme="majorHAnsi" w:hAnsiTheme="majorHAnsi" w:cstheme="majorHAnsi"/>
              </w:rPr>
              <w:t>88.2</w:t>
            </w:r>
          </w:p>
        </w:tc>
      </w:tr>
      <w:tr w:rsidR="002510D9" w:rsidRPr="001F0E13" w14:paraId="5D2B1C5A" w14:textId="77777777" w:rsidTr="0001417B">
        <w:trPr>
          <w:trHeight w:hRule="exact" w:val="342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D83D54" w14:textId="77777777" w:rsidR="002510D9" w:rsidRPr="001F0E13" w:rsidRDefault="002510D9" w:rsidP="0001417B">
            <w:pPr>
              <w:textAlignment w:val="baseline"/>
              <w:rPr>
                <w:rFonts w:ascii="Times New Roman" w:hAnsi="Times New Roman"/>
                <w:b/>
                <w:bCs/>
              </w:rPr>
            </w:pPr>
            <w:r w:rsidRPr="001F0E13">
              <w:rPr>
                <w:rFonts w:cs="Calibri"/>
                <w:b/>
                <w:bCs/>
                <w:color w:val="000000"/>
              </w:rPr>
              <w:t>Total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right w:w="85" w:type="dxa"/>
            </w:tcMar>
            <w:vAlign w:val="center"/>
          </w:tcPr>
          <w:p w14:paraId="71B58E90" w14:textId="56C3BB63" w:rsidR="002510D9" w:rsidRPr="001F0E13" w:rsidRDefault="002510D9" w:rsidP="0001417B">
            <w:pPr>
              <w:jc w:val="right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1F0E13">
              <w:rPr>
                <w:rFonts w:asciiTheme="majorHAnsi" w:hAnsiTheme="majorHAnsi" w:cstheme="majorHAnsi"/>
                <w:b/>
                <w:bCs/>
              </w:rPr>
              <w:t>80.7</w:t>
            </w:r>
          </w:p>
        </w:tc>
      </w:tr>
    </w:tbl>
    <w:p w14:paraId="59EB9437" w14:textId="77777777" w:rsidR="002510D9" w:rsidRPr="001F0E13" w:rsidRDefault="002510D9" w:rsidP="002510D9">
      <w:pPr>
        <w:pStyle w:val="Normalfed"/>
      </w:pPr>
    </w:p>
    <w:p w14:paraId="3DA1F4EC" w14:textId="63612574" w:rsidR="002510D9" w:rsidRPr="001F0E13" w:rsidRDefault="002510D9" w:rsidP="002510D9">
      <w:pPr>
        <w:tabs>
          <w:tab w:val="left" w:pos="142"/>
        </w:tabs>
        <w:rPr>
          <w:lang w:val="en-GB"/>
        </w:rPr>
      </w:pPr>
      <w:r w:rsidRPr="001F0E13">
        <w:rPr>
          <w:rFonts w:eastAsia="Calibri" w:cs="Calibri"/>
          <w:i/>
          <w:iCs/>
          <w:color w:val="000000" w:themeColor="text1"/>
          <w:lang w:val="en-GB"/>
        </w:rPr>
        <w:t>*</w:t>
      </w:r>
      <w:r w:rsidRPr="001F0E13">
        <w:rPr>
          <w:rFonts w:eastAsia="Calibri" w:cs="Calibri"/>
          <w:i/>
          <w:iCs/>
          <w:color w:val="000000" w:themeColor="text1"/>
          <w:lang w:val="en-GB"/>
        </w:rPr>
        <w:tab/>
        <w:t>Applies from 1 April 2021 to 31 March 2022, which is the most recent period for which data is available.   </w:t>
      </w:r>
    </w:p>
    <w:p w14:paraId="711209D5" w14:textId="77777777" w:rsidR="00D82CFA" w:rsidRPr="001F0E13" w:rsidRDefault="00D82CFA" w:rsidP="00D82CFA">
      <w:pPr>
        <w:rPr>
          <w:rFonts w:ascii="Calibri" w:eastAsia="Calibri" w:hAnsi="Calibri" w:cs="Times New Roman"/>
          <w:b/>
          <w:lang w:val="en-GB" w:eastAsia="sv-SE"/>
        </w:rPr>
      </w:pPr>
    </w:p>
    <w:p w14:paraId="7A6783E3" w14:textId="77777777" w:rsidR="00D82CFA" w:rsidRPr="00D17DE9" w:rsidRDefault="00D82CFA" w:rsidP="00D82CFA">
      <w:pPr>
        <w:rPr>
          <w:lang w:val="en-GB"/>
        </w:rPr>
      </w:pPr>
    </w:p>
    <w:p w14:paraId="45D96ED9" w14:textId="6743F44D" w:rsidR="007E5F44" w:rsidRPr="00D17DE9" w:rsidRDefault="007E5F44">
      <w:pPr>
        <w:rPr>
          <w:lang w:val="en-GB"/>
        </w:rPr>
      </w:pPr>
    </w:p>
    <w:p w14:paraId="35000950" w14:textId="77777777" w:rsidR="007E5F44" w:rsidRPr="00D17DE9" w:rsidRDefault="007E5F44">
      <w:pPr>
        <w:rPr>
          <w:lang w:val="en-GB"/>
        </w:rPr>
      </w:pPr>
    </w:p>
    <w:sectPr w:rsidR="007E5F44" w:rsidRPr="00D17DE9" w:rsidSect="00511B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F5A"/>
    <w:multiLevelType w:val="hybridMultilevel"/>
    <w:tmpl w:val="09D81420"/>
    <w:lvl w:ilvl="0" w:tplc="DBE449C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348"/>
    <w:multiLevelType w:val="hybridMultilevel"/>
    <w:tmpl w:val="79A88302"/>
    <w:lvl w:ilvl="0" w:tplc="4EF0B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24356"/>
    <w:multiLevelType w:val="hybridMultilevel"/>
    <w:tmpl w:val="3E10662E"/>
    <w:lvl w:ilvl="0" w:tplc="535EB7A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36AC2"/>
    <w:multiLevelType w:val="hybridMultilevel"/>
    <w:tmpl w:val="EEF49D78"/>
    <w:lvl w:ilvl="0" w:tplc="66485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81237"/>
    <w:multiLevelType w:val="hybridMultilevel"/>
    <w:tmpl w:val="9C26085C"/>
    <w:lvl w:ilvl="0" w:tplc="2CBEC00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A"/>
    <w:rsid w:val="00000E9F"/>
    <w:rsid w:val="00016609"/>
    <w:rsid w:val="00033762"/>
    <w:rsid w:val="00034327"/>
    <w:rsid w:val="00047F47"/>
    <w:rsid w:val="00061D55"/>
    <w:rsid w:val="0006239E"/>
    <w:rsid w:val="00064B7A"/>
    <w:rsid w:val="00067BAA"/>
    <w:rsid w:val="000704E7"/>
    <w:rsid w:val="00075B3B"/>
    <w:rsid w:val="00084894"/>
    <w:rsid w:val="000879E3"/>
    <w:rsid w:val="000A0FFB"/>
    <w:rsid w:val="000A3779"/>
    <w:rsid w:val="000B27B2"/>
    <w:rsid w:val="000B3130"/>
    <w:rsid w:val="000B6F86"/>
    <w:rsid w:val="000C1070"/>
    <w:rsid w:val="000C1DB7"/>
    <w:rsid w:val="000D6DC5"/>
    <w:rsid w:val="000E59D5"/>
    <w:rsid w:val="000F3F75"/>
    <w:rsid w:val="0010136C"/>
    <w:rsid w:val="001066FC"/>
    <w:rsid w:val="00120173"/>
    <w:rsid w:val="00124266"/>
    <w:rsid w:val="0013434C"/>
    <w:rsid w:val="001368E0"/>
    <w:rsid w:val="00136EA5"/>
    <w:rsid w:val="00165A3B"/>
    <w:rsid w:val="001667A0"/>
    <w:rsid w:val="0017376E"/>
    <w:rsid w:val="001737E3"/>
    <w:rsid w:val="001A5A37"/>
    <w:rsid w:val="001B27F0"/>
    <w:rsid w:val="001B37A4"/>
    <w:rsid w:val="001B5DF4"/>
    <w:rsid w:val="001B72AC"/>
    <w:rsid w:val="001E6DD6"/>
    <w:rsid w:val="001F0E13"/>
    <w:rsid w:val="001F6090"/>
    <w:rsid w:val="0020096A"/>
    <w:rsid w:val="002110CE"/>
    <w:rsid w:val="00211284"/>
    <w:rsid w:val="002141DC"/>
    <w:rsid w:val="002466A9"/>
    <w:rsid w:val="002510D9"/>
    <w:rsid w:val="00262EF3"/>
    <w:rsid w:val="00265F02"/>
    <w:rsid w:val="0028572C"/>
    <w:rsid w:val="00294ED8"/>
    <w:rsid w:val="002A46ED"/>
    <w:rsid w:val="002A7017"/>
    <w:rsid w:val="002C118A"/>
    <w:rsid w:val="002C4BE7"/>
    <w:rsid w:val="002C6000"/>
    <w:rsid w:val="002C6691"/>
    <w:rsid w:val="002F4BD6"/>
    <w:rsid w:val="002F5F77"/>
    <w:rsid w:val="002F6437"/>
    <w:rsid w:val="00310341"/>
    <w:rsid w:val="003254FE"/>
    <w:rsid w:val="00343084"/>
    <w:rsid w:val="003A07D6"/>
    <w:rsid w:val="003A465B"/>
    <w:rsid w:val="003B60CD"/>
    <w:rsid w:val="003B7DB4"/>
    <w:rsid w:val="003C13C5"/>
    <w:rsid w:val="003C1BAC"/>
    <w:rsid w:val="003C4E36"/>
    <w:rsid w:val="003C5291"/>
    <w:rsid w:val="003D2946"/>
    <w:rsid w:val="003F3C9D"/>
    <w:rsid w:val="00400092"/>
    <w:rsid w:val="00426061"/>
    <w:rsid w:val="00430CC7"/>
    <w:rsid w:val="004451FB"/>
    <w:rsid w:val="00446C66"/>
    <w:rsid w:val="00451743"/>
    <w:rsid w:val="004744B7"/>
    <w:rsid w:val="00484051"/>
    <w:rsid w:val="004959EE"/>
    <w:rsid w:val="00497AD1"/>
    <w:rsid w:val="004A4D59"/>
    <w:rsid w:val="004A59F1"/>
    <w:rsid w:val="004A6AD9"/>
    <w:rsid w:val="004B5016"/>
    <w:rsid w:val="004C4C05"/>
    <w:rsid w:val="004C6411"/>
    <w:rsid w:val="004E452E"/>
    <w:rsid w:val="004F200D"/>
    <w:rsid w:val="00511A1F"/>
    <w:rsid w:val="00511B92"/>
    <w:rsid w:val="005174BB"/>
    <w:rsid w:val="005214FD"/>
    <w:rsid w:val="0053245B"/>
    <w:rsid w:val="00532997"/>
    <w:rsid w:val="00536040"/>
    <w:rsid w:val="00537EFA"/>
    <w:rsid w:val="0054297C"/>
    <w:rsid w:val="00543A67"/>
    <w:rsid w:val="00551120"/>
    <w:rsid w:val="00571080"/>
    <w:rsid w:val="00594E7B"/>
    <w:rsid w:val="00595E8F"/>
    <w:rsid w:val="00597A7C"/>
    <w:rsid w:val="005A51AA"/>
    <w:rsid w:val="005B40AC"/>
    <w:rsid w:val="005B70A3"/>
    <w:rsid w:val="005B75EF"/>
    <w:rsid w:val="005D101E"/>
    <w:rsid w:val="005D5F55"/>
    <w:rsid w:val="005E3D7B"/>
    <w:rsid w:val="005F401B"/>
    <w:rsid w:val="00602BA0"/>
    <w:rsid w:val="006357CC"/>
    <w:rsid w:val="00640593"/>
    <w:rsid w:val="00661800"/>
    <w:rsid w:val="006678D5"/>
    <w:rsid w:val="00673C32"/>
    <w:rsid w:val="00690DBE"/>
    <w:rsid w:val="006928CE"/>
    <w:rsid w:val="00695036"/>
    <w:rsid w:val="00695808"/>
    <w:rsid w:val="006B3004"/>
    <w:rsid w:val="006B4542"/>
    <w:rsid w:val="006C07E7"/>
    <w:rsid w:val="006C1841"/>
    <w:rsid w:val="006C24A4"/>
    <w:rsid w:val="006D6C29"/>
    <w:rsid w:val="006D799B"/>
    <w:rsid w:val="006F2320"/>
    <w:rsid w:val="00705BDD"/>
    <w:rsid w:val="00713B45"/>
    <w:rsid w:val="007270F9"/>
    <w:rsid w:val="00734559"/>
    <w:rsid w:val="00736B4B"/>
    <w:rsid w:val="00742924"/>
    <w:rsid w:val="00751061"/>
    <w:rsid w:val="0075446C"/>
    <w:rsid w:val="00762A56"/>
    <w:rsid w:val="00771ABE"/>
    <w:rsid w:val="00794839"/>
    <w:rsid w:val="007A4A6E"/>
    <w:rsid w:val="007C17C8"/>
    <w:rsid w:val="007C3768"/>
    <w:rsid w:val="007D1648"/>
    <w:rsid w:val="007E5F44"/>
    <w:rsid w:val="007E764C"/>
    <w:rsid w:val="00827372"/>
    <w:rsid w:val="008279B3"/>
    <w:rsid w:val="00846A20"/>
    <w:rsid w:val="00853FB0"/>
    <w:rsid w:val="00857901"/>
    <w:rsid w:val="008801E1"/>
    <w:rsid w:val="008905F8"/>
    <w:rsid w:val="008957C1"/>
    <w:rsid w:val="00897CF5"/>
    <w:rsid w:val="008A04E4"/>
    <w:rsid w:val="008A3784"/>
    <w:rsid w:val="008B50EB"/>
    <w:rsid w:val="008B5B74"/>
    <w:rsid w:val="008C513B"/>
    <w:rsid w:val="008D54F2"/>
    <w:rsid w:val="008F36CF"/>
    <w:rsid w:val="0092333B"/>
    <w:rsid w:val="0093011A"/>
    <w:rsid w:val="009553DB"/>
    <w:rsid w:val="009561C9"/>
    <w:rsid w:val="00964170"/>
    <w:rsid w:val="00970DB3"/>
    <w:rsid w:val="00980F9A"/>
    <w:rsid w:val="009943AD"/>
    <w:rsid w:val="009B638F"/>
    <w:rsid w:val="009B6EDA"/>
    <w:rsid w:val="009E3E79"/>
    <w:rsid w:val="00A0152D"/>
    <w:rsid w:val="00A22993"/>
    <w:rsid w:val="00A23457"/>
    <w:rsid w:val="00A26C5C"/>
    <w:rsid w:val="00A357A0"/>
    <w:rsid w:val="00A50085"/>
    <w:rsid w:val="00A56779"/>
    <w:rsid w:val="00A60C5F"/>
    <w:rsid w:val="00A63390"/>
    <w:rsid w:val="00A84683"/>
    <w:rsid w:val="00A84C87"/>
    <w:rsid w:val="00AA2230"/>
    <w:rsid w:val="00AA70B1"/>
    <w:rsid w:val="00AB4367"/>
    <w:rsid w:val="00AC1044"/>
    <w:rsid w:val="00AC407F"/>
    <w:rsid w:val="00AC7285"/>
    <w:rsid w:val="00AE4C19"/>
    <w:rsid w:val="00B01A00"/>
    <w:rsid w:val="00B04F59"/>
    <w:rsid w:val="00B12CE0"/>
    <w:rsid w:val="00B44195"/>
    <w:rsid w:val="00B46378"/>
    <w:rsid w:val="00B52C8E"/>
    <w:rsid w:val="00B60409"/>
    <w:rsid w:val="00B64C27"/>
    <w:rsid w:val="00B67661"/>
    <w:rsid w:val="00B72736"/>
    <w:rsid w:val="00B832BC"/>
    <w:rsid w:val="00BB264C"/>
    <w:rsid w:val="00BB2D9D"/>
    <w:rsid w:val="00BB34F9"/>
    <w:rsid w:val="00BC15BC"/>
    <w:rsid w:val="00BC1B5F"/>
    <w:rsid w:val="00BC4C1A"/>
    <w:rsid w:val="00BE03DC"/>
    <w:rsid w:val="00C0082B"/>
    <w:rsid w:val="00C0125B"/>
    <w:rsid w:val="00C0437C"/>
    <w:rsid w:val="00C308D9"/>
    <w:rsid w:val="00C511BA"/>
    <w:rsid w:val="00C57FBF"/>
    <w:rsid w:val="00C8341C"/>
    <w:rsid w:val="00C94A07"/>
    <w:rsid w:val="00C94F3F"/>
    <w:rsid w:val="00C96A10"/>
    <w:rsid w:val="00CA7500"/>
    <w:rsid w:val="00CB7BE1"/>
    <w:rsid w:val="00CC29FB"/>
    <w:rsid w:val="00CC5573"/>
    <w:rsid w:val="00CC6C84"/>
    <w:rsid w:val="00CC72E8"/>
    <w:rsid w:val="00CD1D72"/>
    <w:rsid w:val="00CD4B2E"/>
    <w:rsid w:val="00CE0C49"/>
    <w:rsid w:val="00CE437C"/>
    <w:rsid w:val="00CE6D63"/>
    <w:rsid w:val="00D1257A"/>
    <w:rsid w:val="00D17DE9"/>
    <w:rsid w:val="00D20834"/>
    <w:rsid w:val="00D21789"/>
    <w:rsid w:val="00D3282F"/>
    <w:rsid w:val="00D34994"/>
    <w:rsid w:val="00D36C7F"/>
    <w:rsid w:val="00D4675D"/>
    <w:rsid w:val="00D46E52"/>
    <w:rsid w:val="00D57A19"/>
    <w:rsid w:val="00D732D6"/>
    <w:rsid w:val="00D73BDA"/>
    <w:rsid w:val="00D81619"/>
    <w:rsid w:val="00D82CFA"/>
    <w:rsid w:val="00DB6BF0"/>
    <w:rsid w:val="00DC6AFC"/>
    <w:rsid w:val="00DD5286"/>
    <w:rsid w:val="00DE03BC"/>
    <w:rsid w:val="00DE2D8B"/>
    <w:rsid w:val="00DF5F79"/>
    <w:rsid w:val="00E07395"/>
    <w:rsid w:val="00E23366"/>
    <w:rsid w:val="00E31D0B"/>
    <w:rsid w:val="00E52FC9"/>
    <w:rsid w:val="00E7103B"/>
    <w:rsid w:val="00E8143B"/>
    <w:rsid w:val="00E86D3C"/>
    <w:rsid w:val="00E953EF"/>
    <w:rsid w:val="00EA101B"/>
    <w:rsid w:val="00EA2620"/>
    <w:rsid w:val="00EA30B5"/>
    <w:rsid w:val="00EC22CF"/>
    <w:rsid w:val="00EC27D3"/>
    <w:rsid w:val="00EC4488"/>
    <w:rsid w:val="00EC6C37"/>
    <w:rsid w:val="00F00277"/>
    <w:rsid w:val="00F256C9"/>
    <w:rsid w:val="00F4271E"/>
    <w:rsid w:val="00F54A22"/>
    <w:rsid w:val="00F54AA1"/>
    <w:rsid w:val="00F66642"/>
    <w:rsid w:val="00F75597"/>
    <w:rsid w:val="00F90A14"/>
    <w:rsid w:val="00FC0DDD"/>
    <w:rsid w:val="00FC52C2"/>
    <w:rsid w:val="00FF40C1"/>
    <w:rsid w:val="00FF6233"/>
    <w:rsid w:val="03C4096A"/>
    <w:rsid w:val="064A5627"/>
    <w:rsid w:val="07FB5DBE"/>
    <w:rsid w:val="09C64287"/>
    <w:rsid w:val="0AFEBE20"/>
    <w:rsid w:val="0C6D53A5"/>
    <w:rsid w:val="0E432295"/>
    <w:rsid w:val="0F02DBDB"/>
    <w:rsid w:val="115B4D24"/>
    <w:rsid w:val="120EFBDA"/>
    <w:rsid w:val="14971579"/>
    <w:rsid w:val="15546160"/>
    <w:rsid w:val="15A972BF"/>
    <w:rsid w:val="16FD2021"/>
    <w:rsid w:val="171F7E0E"/>
    <w:rsid w:val="18FAEB3F"/>
    <w:rsid w:val="1A08E202"/>
    <w:rsid w:val="1BC81F74"/>
    <w:rsid w:val="21520E2E"/>
    <w:rsid w:val="21F5915C"/>
    <w:rsid w:val="25CD23D0"/>
    <w:rsid w:val="25E04838"/>
    <w:rsid w:val="294E6F37"/>
    <w:rsid w:val="29B0C953"/>
    <w:rsid w:val="29E8FEC6"/>
    <w:rsid w:val="2A597E9A"/>
    <w:rsid w:val="2AAF3D4A"/>
    <w:rsid w:val="2BE630C4"/>
    <w:rsid w:val="2D0DC90A"/>
    <w:rsid w:val="2E3EAE01"/>
    <w:rsid w:val="305AEB23"/>
    <w:rsid w:val="31E8C8AD"/>
    <w:rsid w:val="323BBC59"/>
    <w:rsid w:val="35388CB9"/>
    <w:rsid w:val="35A93F83"/>
    <w:rsid w:val="360B1ABE"/>
    <w:rsid w:val="36E218AD"/>
    <w:rsid w:val="371C1D8D"/>
    <w:rsid w:val="38AB8B6F"/>
    <w:rsid w:val="3A475BD0"/>
    <w:rsid w:val="3A571ED4"/>
    <w:rsid w:val="3A8BAB38"/>
    <w:rsid w:val="3C23E2BF"/>
    <w:rsid w:val="3DF392B9"/>
    <w:rsid w:val="3E67AE21"/>
    <w:rsid w:val="3EAE7CCA"/>
    <w:rsid w:val="3F1ACCF3"/>
    <w:rsid w:val="41EABA4F"/>
    <w:rsid w:val="4281026A"/>
    <w:rsid w:val="437BEA32"/>
    <w:rsid w:val="45BE2F36"/>
    <w:rsid w:val="4A5E42B8"/>
    <w:rsid w:val="4C5134AB"/>
    <w:rsid w:val="4D71C884"/>
    <w:rsid w:val="4DF5FAA6"/>
    <w:rsid w:val="4E88E34F"/>
    <w:rsid w:val="4E89C508"/>
    <w:rsid w:val="50D1CF19"/>
    <w:rsid w:val="567ACCD7"/>
    <w:rsid w:val="5CBCB92B"/>
    <w:rsid w:val="5DA9B4E6"/>
    <w:rsid w:val="5EBDB11E"/>
    <w:rsid w:val="5F1C4B33"/>
    <w:rsid w:val="608B455D"/>
    <w:rsid w:val="625202DF"/>
    <w:rsid w:val="66F127DB"/>
    <w:rsid w:val="68B80968"/>
    <w:rsid w:val="6EA3880D"/>
    <w:rsid w:val="73F2DC9C"/>
    <w:rsid w:val="7792C756"/>
    <w:rsid w:val="7902D762"/>
    <w:rsid w:val="7964F9A4"/>
    <w:rsid w:val="7B261A30"/>
    <w:rsid w:val="7C12D8EE"/>
    <w:rsid w:val="7C6BF531"/>
    <w:rsid w:val="7E86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0546"/>
  <w15:chartTrackingRefBased/>
  <w15:docId w15:val="{2BFC8578-3382-474C-AF8E-0ED5FC8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5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B3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9B6ED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B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7559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357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59"/>
    <w:rsid w:val="007E5F44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A46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46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46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46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465B"/>
    <w:rPr>
      <w:b/>
      <w:bCs/>
      <w:sz w:val="20"/>
      <w:szCs w:val="20"/>
    </w:rPr>
  </w:style>
  <w:style w:type="character" w:styleId="Nmn">
    <w:name w:val="Mention"/>
    <w:basedOn w:val="Standardstycketeckensnitt"/>
    <w:uiPriority w:val="99"/>
    <w:unhideWhenUsed/>
    <w:rPr>
      <w:color w:val="2B579A"/>
      <w:shd w:val="clear" w:color="auto" w:fill="E6E6E6"/>
    </w:rPr>
  </w:style>
  <w:style w:type="paragraph" w:customStyle="1" w:styleId="Normalfed">
    <w:name w:val="Normal fed"/>
    <w:basedOn w:val="Normal"/>
    <w:link w:val="NormalfedChar"/>
    <w:qFormat/>
    <w:rsid w:val="00D82CFA"/>
    <w:pPr>
      <w:spacing w:after="80" w:line="240" w:lineRule="auto"/>
    </w:pPr>
    <w:rPr>
      <w:rFonts w:ascii="Calibri" w:eastAsia="Times New Roman" w:hAnsi="Calibri" w:cs="Times New Roman"/>
      <w:b/>
      <w:szCs w:val="24"/>
      <w:lang w:eastAsia="sv-SE"/>
    </w:rPr>
  </w:style>
  <w:style w:type="character" w:customStyle="1" w:styleId="NormalfedChar">
    <w:name w:val="Normal fed Char"/>
    <w:basedOn w:val="Standardstycketeckensnitt"/>
    <w:link w:val="Normalfed"/>
    <w:rsid w:val="00D82CFA"/>
    <w:rPr>
      <w:rFonts w:ascii="Calibri" w:eastAsia="Times New Roman" w:hAnsi="Calibri" w:cs="Times New Roman"/>
      <w:b/>
      <w:szCs w:val="24"/>
      <w:lang w:val="da-DK" w:eastAsia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1B2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1B27F0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Standardstycketeckensnitt"/>
    <w:rsid w:val="001B27F0"/>
  </w:style>
  <w:style w:type="character" w:customStyle="1" w:styleId="Rubrik2Char">
    <w:name w:val="Rubrik 2 Char"/>
    <w:basedOn w:val="Standardstycketeckensnitt"/>
    <w:link w:val="Rubrik2"/>
    <w:uiPriority w:val="9"/>
    <w:rsid w:val="006B30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982117-ea88-4e3b-8196-f5a3a2175798" xsi:nil="true"/>
    <lcf76f155ced4ddcb4097134ff3c332f xmlns="c2e0206f-88b3-47ca-93f6-da945e59e8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AC7A584ED2284E9E5D46E1CE886ABE" ma:contentTypeVersion="12" ma:contentTypeDescription="Skapa ett nytt dokument." ma:contentTypeScope="" ma:versionID="2e72d1d3a80e6425a742f8807e3e4713">
  <xsd:schema xmlns:xsd="http://www.w3.org/2001/XMLSchema" xmlns:xs="http://www.w3.org/2001/XMLSchema" xmlns:p="http://schemas.microsoft.com/office/2006/metadata/properties" xmlns:ns2="c2e0206f-88b3-47ca-93f6-da945e59e8ef" xmlns:ns3="26982117-ea88-4e3b-8196-f5a3a2175798" targetNamespace="http://schemas.microsoft.com/office/2006/metadata/properties" ma:root="true" ma:fieldsID="45c27d1e1c1042ecd39919a871c87f00" ns2:_="" ns3:_="">
    <xsd:import namespace="c2e0206f-88b3-47ca-93f6-da945e59e8ef"/>
    <xsd:import namespace="26982117-ea88-4e3b-8196-f5a3a217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206f-88b3-47ca-93f6-da945e59e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20fc8bcd-4db1-44f9-86f0-e4562c0b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82117-ea88-4e3b-8196-f5a3a2175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a16b45-8b85-4bf6-b2d9-85e57921b948}" ma:internalName="TaxCatchAll" ma:showField="CatchAllData" ma:web="26982117-ea88-4e3b-8196-f5a3a2175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023FB-99ED-4668-AEE3-40E35D56E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D16F1-FA28-4E91-BD99-92D79CB0E415}">
  <ds:schemaRefs>
    <ds:schemaRef ds:uri="http://schemas.microsoft.com/office/2006/metadata/properties"/>
    <ds:schemaRef ds:uri="http://schemas.microsoft.com/office/infopath/2007/PartnerControls"/>
    <ds:schemaRef ds:uri="26982117-ea88-4e3b-8196-f5a3a2175798"/>
    <ds:schemaRef ds:uri="c2e0206f-88b3-47ca-93f6-da945e59e8ef"/>
  </ds:schemaRefs>
</ds:datastoreItem>
</file>

<file path=customXml/itemProps3.xml><?xml version="1.0" encoding="utf-8"?>
<ds:datastoreItem xmlns:ds="http://schemas.openxmlformats.org/officeDocument/2006/customXml" ds:itemID="{5B1D33D9-FD7A-4EB1-91BB-C51E77C10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206f-88b3-47ca-93f6-da945e59e8ef"/>
    <ds:schemaRef ds:uri="26982117-ea88-4e3b-8196-f5a3a217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892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Traffic on the Øresund Bridge set to recover - rise in Danish leisure and freigh</vt:lpstr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Alexander Sahlin</dc:creator>
  <cp:keywords/>
  <dc:description/>
  <cp:lastModifiedBy>John Alexander Sahlin</cp:lastModifiedBy>
  <cp:revision>8</cp:revision>
  <cp:lastPrinted>2022-07-12T22:45:00Z</cp:lastPrinted>
  <dcterms:created xsi:type="dcterms:W3CDTF">2022-08-09T13:46:00Z</dcterms:created>
  <dcterms:modified xsi:type="dcterms:W3CDTF">2022-08-11T15:19:00Z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0x010100F0AC7A584ED2284E9E5D46E1CE886ABE</vt:lpwstr>
  </property>
  <property fmtid="{D5CDD505-2E9C-101B-9397-08002B2CF9AE}" pid="3" name="MediaServiceImageTags">
    <vt:lpwstr/>
  </property>
</Properties>
</file>