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EB" w:rsidRDefault="00E74DEF" w:rsidP="009D19EF">
      <w:pPr>
        <w:spacing w:line="280" w:lineRule="atLeast"/>
        <w:jc w:val="both"/>
        <w:rPr>
          <w:rFonts w:ascii="Arial"/>
          <w:b/>
          <w:color w:val="4A4345"/>
          <w:sz w:val="18"/>
        </w:rPr>
      </w:pPr>
      <w:bookmarkStart w:id="0" w:name="_GoBack"/>
      <w:bookmarkEnd w:id="0"/>
      <w:r>
        <w:rPr>
          <w:rFonts w:ascii="Arial"/>
          <w:b/>
          <w:color w:val="4A4345"/>
          <w:sz w:val="18"/>
        </w:rPr>
        <w:t>Almere, The Netherlands</w:t>
      </w:r>
      <w:r w:rsidR="00E478EB">
        <w:rPr>
          <w:rFonts w:ascii="Arial"/>
          <w:b/>
          <w:color w:val="4A4345"/>
          <w:sz w:val="18"/>
        </w:rPr>
        <w:t xml:space="preserve"> </w:t>
      </w:r>
    </w:p>
    <w:p w:rsidR="00404EAA" w:rsidRDefault="00316A71" w:rsidP="009D19EF">
      <w:pPr>
        <w:spacing w:line="280" w:lineRule="atLeast"/>
        <w:jc w:val="both"/>
        <w:rPr>
          <w:rFonts w:ascii="Arial"/>
          <w:color w:val="4A4345"/>
          <w:sz w:val="18"/>
        </w:rPr>
      </w:pPr>
      <w:r>
        <w:rPr>
          <w:rStyle w:val="Strong"/>
          <w:rFonts w:ascii="Arial" w:hAnsi="Arial" w:cs="Arial"/>
          <w:color w:val="4A4345"/>
          <w:sz w:val="18"/>
          <w:szCs w:val="18"/>
        </w:rPr>
        <w:t xml:space="preserve">November </w:t>
      </w:r>
      <w:r w:rsidR="00F618B5">
        <w:rPr>
          <w:rStyle w:val="Strong"/>
          <w:rFonts w:ascii="Arial" w:hAnsi="Arial" w:cs="Arial"/>
          <w:color w:val="4A4345"/>
          <w:sz w:val="18"/>
          <w:szCs w:val="18"/>
        </w:rPr>
        <w:t>2</w:t>
      </w:r>
      <w:r w:rsidR="00D50BF7">
        <w:rPr>
          <w:rStyle w:val="Strong"/>
          <w:rFonts w:ascii="Arial" w:hAnsi="Arial" w:cs="Arial"/>
          <w:color w:val="4A4345"/>
          <w:sz w:val="18"/>
          <w:szCs w:val="18"/>
        </w:rPr>
        <w:t>9</w:t>
      </w:r>
      <w:r w:rsidR="00E97766">
        <w:rPr>
          <w:rStyle w:val="Strong"/>
          <w:rFonts w:ascii="Arial" w:hAnsi="Arial" w:cs="Arial"/>
          <w:color w:val="4A4345"/>
          <w:sz w:val="18"/>
          <w:szCs w:val="18"/>
        </w:rPr>
        <w:t>, 20</w:t>
      </w:r>
      <w:r w:rsidR="00212F80">
        <w:rPr>
          <w:rStyle w:val="Strong"/>
          <w:rFonts w:ascii="Arial" w:hAnsi="Arial" w:cs="Arial"/>
          <w:color w:val="4A4345"/>
          <w:sz w:val="18"/>
          <w:szCs w:val="18"/>
        </w:rPr>
        <w:t>2</w:t>
      </w:r>
      <w:r w:rsidR="00A21B48">
        <w:rPr>
          <w:rStyle w:val="Strong"/>
          <w:rFonts w:ascii="Arial" w:hAnsi="Arial" w:cs="Arial"/>
          <w:color w:val="4A4345"/>
          <w:sz w:val="18"/>
          <w:szCs w:val="18"/>
        </w:rPr>
        <w:t>1</w:t>
      </w:r>
      <w:r w:rsidR="00E97766">
        <w:rPr>
          <w:rStyle w:val="Strong"/>
          <w:rFonts w:ascii="Arial" w:hAnsi="Arial" w:cs="Arial"/>
          <w:color w:val="4A4345"/>
          <w:sz w:val="18"/>
          <w:szCs w:val="18"/>
        </w:rPr>
        <w:t>, 5:45 p.m. CET</w:t>
      </w:r>
    </w:p>
    <w:p w:rsidR="00E478EB" w:rsidRDefault="00E478EB" w:rsidP="009D19EF">
      <w:pPr>
        <w:spacing w:line="280" w:lineRule="atLeast"/>
        <w:jc w:val="both"/>
        <w:rPr>
          <w:rFonts w:ascii="Arial"/>
          <w:color w:val="4A4345"/>
          <w:sz w:val="18"/>
        </w:rPr>
      </w:pPr>
    </w:p>
    <w:p w:rsidR="007C14B7" w:rsidRPr="00196E77" w:rsidRDefault="00A90E7F" w:rsidP="002D5C69">
      <w:pPr>
        <w:spacing w:line="480" w:lineRule="atLeast"/>
        <w:ind w:right="-314"/>
        <w:rPr>
          <w:rFonts w:ascii="Arial" w:hAnsi="Arial" w:cs="Arial"/>
          <w:color w:val="9B9195"/>
          <w:sz w:val="38"/>
          <w:szCs w:val="38"/>
        </w:rPr>
      </w:pPr>
      <w:r w:rsidRPr="00196E77">
        <w:rPr>
          <w:rFonts w:ascii="Arial" w:hAnsi="Arial" w:cs="Arial"/>
          <w:color w:val="9B9195"/>
          <w:sz w:val="38"/>
          <w:szCs w:val="38"/>
        </w:rPr>
        <w:t xml:space="preserve">ASMI Share Buyback </w:t>
      </w:r>
      <w:r w:rsidR="0054777B" w:rsidRPr="00196E77">
        <w:rPr>
          <w:rFonts w:ascii="Arial" w:hAnsi="Arial" w:cs="Arial"/>
          <w:color w:val="9B9195"/>
          <w:sz w:val="38"/>
          <w:szCs w:val="38"/>
        </w:rPr>
        <w:t>U</w:t>
      </w:r>
      <w:r w:rsidRPr="00196E77">
        <w:rPr>
          <w:rFonts w:ascii="Arial" w:hAnsi="Arial" w:cs="Arial"/>
          <w:color w:val="9B9195"/>
          <w:sz w:val="38"/>
          <w:szCs w:val="38"/>
        </w:rPr>
        <w:t xml:space="preserve">pdate </w:t>
      </w:r>
      <w:r w:rsidR="00B733BC">
        <w:rPr>
          <w:rFonts w:ascii="Arial" w:hAnsi="Arial" w:cs="Arial"/>
          <w:color w:val="9B9195"/>
          <w:sz w:val="38"/>
          <w:szCs w:val="38"/>
        </w:rPr>
        <w:t xml:space="preserve">November </w:t>
      </w:r>
      <w:r w:rsidR="00D50BF7">
        <w:rPr>
          <w:rFonts w:ascii="Arial" w:hAnsi="Arial" w:cs="Arial"/>
          <w:color w:val="9B9195"/>
          <w:sz w:val="38"/>
          <w:szCs w:val="38"/>
        </w:rPr>
        <w:t>22</w:t>
      </w:r>
      <w:r w:rsidR="005247C7">
        <w:rPr>
          <w:rFonts w:ascii="Arial" w:hAnsi="Arial" w:cs="Arial"/>
          <w:color w:val="9B9195"/>
          <w:sz w:val="38"/>
          <w:szCs w:val="38"/>
        </w:rPr>
        <w:t xml:space="preserve"> </w:t>
      </w:r>
      <w:r w:rsidR="00572DDF">
        <w:rPr>
          <w:rFonts w:ascii="Arial" w:hAnsi="Arial" w:cs="Arial"/>
          <w:color w:val="9B9195"/>
          <w:sz w:val="38"/>
          <w:szCs w:val="38"/>
        </w:rPr>
        <w:t xml:space="preserve">– </w:t>
      </w:r>
      <w:r w:rsidR="00D50BF7">
        <w:rPr>
          <w:rFonts w:ascii="Arial" w:hAnsi="Arial" w:cs="Arial"/>
          <w:color w:val="9B9195"/>
          <w:sz w:val="38"/>
          <w:szCs w:val="38"/>
        </w:rPr>
        <w:t>26</w:t>
      </w:r>
      <w:r w:rsidR="00D960B3">
        <w:rPr>
          <w:rFonts w:ascii="Arial" w:hAnsi="Arial" w:cs="Arial"/>
          <w:color w:val="9B9195"/>
          <w:sz w:val="38"/>
          <w:szCs w:val="38"/>
        </w:rPr>
        <w:t>,</w:t>
      </w:r>
      <w:r w:rsidR="00A21B48">
        <w:rPr>
          <w:rFonts w:ascii="Arial" w:hAnsi="Arial" w:cs="Arial"/>
          <w:color w:val="9B9195"/>
          <w:sz w:val="38"/>
          <w:szCs w:val="38"/>
        </w:rPr>
        <w:t xml:space="preserve"> 202</w:t>
      </w:r>
      <w:r w:rsidR="00E241C4">
        <w:rPr>
          <w:rFonts w:ascii="Arial" w:hAnsi="Arial" w:cs="Arial"/>
          <w:color w:val="9B9195"/>
          <w:sz w:val="38"/>
          <w:szCs w:val="38"/>
        </w:rPr>
        <w:t>1</w:t>
      </w:r>
    </w:p>
    <w:p w:rsidR="007C14B7" w:rsidRDefault="007C14B7" w:rsidP="009D19EF"/>
    <w:p w:rsidR="00481416" w:rsidRDefault="00262849" w:rsidP="009D19EF">
      <w:pPr>
        <w:spacing w:line="240" w:lineRule="atLeast"/>
        <w:jc w:val="both"/>
        <w:rPr>
          <w:rFonts w:ascii="Arial"/>
          <w:b/>
          <w:color w:val="909195"/>
          <w:sz w:val="22"/>
        </w:rPr>
      </w:pPr>
      <w:r w:rsidRPr="00570426">
        <w:rPr>
          <w:rFonts w:ascii="Arial"/>
          <w:b/>
          <w:color w:val="909195"/>
          <w:sz w:val="22"/>
        </w:rPr>
        <w:t>ASM International N.V. (Euronext Ams</w:t>
      </w:r>
      <w:r w:rsidR="00A90E7F" w:rsidRPr="00570426">
        <w:rPr>
          <w:rFonts w:ascii="Arial"/>
          <w:b/>
          <w:color w:val="909195"/>
          <w:sz w:val="22"/>
        </w:rPr>
        <w:t>terdam: ASM)</w:t>
      </w:r>
      <w:r w:rsidR="00803885">
        <w:rPr>
          <w:rFonts w:ascii="Arial"/>
          <w:b/>
          <w:color w:val="909195"/>
          <w:sz w:val="22"/>
        </w:rPr>
        <w:t xml:space="preserve"> </w:t>
      </w:r>
      <w:r w:rsidR="00A90E7F" w:rsidRPr="00570426">
        <w:rPr>
          <w:rFonts w:ascii="Arial"/>
          <w:b/>
          <w:color w:val="909195"/>
          <w:sz w:val="22"/>
        </w:rPr>
        <w:t>reports the following transactions, conducted under ASMI's current share buyback program.</w:t>
      </w:r>
    </w:p>
    <w:p w:rsidR="00481416" w:rsidRDefault="00481416" w:rsidP="00481416">
      <w:pPr>
        <w:spacing w:line="240" w:lineRule="atLeast"/>
        <w:jc w:val="both"/>
        <w:rPr>
          <w:rFonts w:ascii="Arial"/>
          <w:color w:val="4A4345"/>
        </w:rPr>
      </w:pPr>
    </w:p>
    <w:tbl>
      <w:tblPr>
        <w:tblStyle w:val="TableGrid"/>
        <w:tblW w:w="9327" w:type="dxa"/>
        <w:tblInd w:w="-5" w:type="dxa"/>
        <w:tblLook w:val="04A0" w:firstRow="1" w:lastRow="0" w:firstColumn="1" w:lastColumn="0" w:noHBand="0" w:noVBand="1"/>
      </w:tblPr>
      <w:tblGrid>
        <w:gridCol w:w="2463"/>
        <w:gridCol w:w="2350"/>
        <w:gridCol w:w="2350"/>
        <w:gridCol w:w="2164"/>
      </w:tblGrid>
      <w:tr w:rsidR="00481416" w:rsidRPr="003E5B8E" w:rsidTr="00D3006A">
        <w:trPr>
          <w:trHeight w:val="288"/>
        </w:trPr>
        <w:tc>
          <w:tcPr>
            <w:tcW w:w="2463" w:type="dxa"/>
            <w:noWrap/>
            <w:hideMark/>
          </w:tcPr>
          <w:p w:rsidR="00481416" w:rsidRPr="00BD7E60" w:rsidRDefault="00481416" w:rsidP="00C73D8F">
            <w:pPr>
              <w:spacing w:line="280" w:lineRule="exact"/>
              <w:rPr>
                <w:rFonts w:ascii="Arial" w:hAnsi="Arial" w:cs="Arial"/>
                <w:b/>
                <w:bCs/>
                <w:color w:val="4A4345"/>
              </w:rPr>
            </w:pPr>
            <w:r w:rsidRPr="00BD7E60">
              <w:rPr>
                <w:rFonts w:ascii="Arial" w:hAnsi="Arial" w:cs="Arial"/>
                <w:b/>
                <w:bCs/>
                <w:color w:val="4A4345"/>
              </w:rPr>
              <w:t>Date</w:t>
            </w:r>
          </w:p>
        </w:tc>
        <w:tc>
          <w:tcPr>
            <w:tcW w:w="2350" w:type="dxa"/>
            <w:noWrap/>
            <w:hideMark/>
          </w:tcPr>
          <w:p w:rsidR="00481416" w:rsidRPr="00BD7E60" w:rsidRDefault="00481416" w:rsidP="00C73D8F">
            <w:pPr>
              <w:spacing w:line="280" w:lineRule="exact"/>
              <w:jc w:val="right"/>
              <w:rPr>
                <w:rFonts w:ascii="Arial" w:hAnsi="Arial" w:cs="Arial"/>
                <w:b/>
                <w:bCs/>
                <w:color w:val="4A4345"/>
              </w:rPr>
            </w:pPr>
            <w:r w:rsidRPr="00BD7E60">
              <w:rPr>
                <w:rFonts w:ascii="Arial" w:hAnsi="Arial" w:cs="Arial"/>
                <w:b/>
                <w:bCs/>
                <w:color w:val="4A4345"/>
              </w:rPr>
              <w:t>Repurchased shares</w:t>
            </w:r>
          </w:p>
        </w:tc>
        <w:tc>
          <w:tcPr>
            <w:tcW w:w="2350" w:type="dxa"/>
            <w:noWrap/>
            <w:hideMark/>
          </w:tcPr>
          <w:p w:rsidR="00481416" w:rsidRPr="00BD7E60" w:rsidRDefault="00481416" w:rsidP="00C73D8F">
            <w:pPr>
              <w:spacing w:line="280" w:lineRule="exact"/>
              <w:jc w:val="right"/>
              <w:rPr>
                <w:rFonts w:ascii="Arial" w:hAnsi="Arial" w:cs="Arial"/>
                <w:b/>
                <w:bCs/>
                <w:color w:val="4A4345"/>
              </w:rPr>
            </w:pPr>
            <w:r w:rsidRPr="00BD7E60">
              <w:rPr>
                <w:rFonts w:ascii="Arial" w:hAnsi="Arial" w:cs="Arial"/>
                <w:b/>
                <w:bCs/>
                <w:color w:val="4A4345"/>
              </w:rPr>
              <w:t>Average price</w:t>
            </w:r>
          </w:p>
        </w:tc>
        <w:tc>
          <w:tcPr>
            <w:tcW w:w="2164" w:type="dxa"/>
            <w:noWrap/>
            <w:hideMark/>
          </w:tcPr>
          <w:p w:rsidR="00481416" w:rsidRPr="00BD7E60" w:rsidRDefault="00481416" w:rsidP="00C73D8F">
            <w:pPr>
              <w:spacing w:line="280" w:lineRule="exact"/>
              <w:jc w:val="right"/>
              <w:rPr>
                <w:rFonts w:ascii="Arial" w:hAnsi="Arial" w:cs="Arial"/>
                <w:b/>
                <w:bCs/>
                <w:color w:val="4A4345"/>
              </w:rPr>
            </w:pPr>
            <w:r w:rsidRPr="00BD7E60">
              <w:rPr>
                <w:rFonts w:ascii="Arial" w:hAnsi="Arial" w:cs="Arial"/>
                <w:b/>
                <w:bCs/>
                <w:color w:val="4A4345"/>
              </w:rPr>
              <w:t>Repurchased value</w:t>
            </w:r>
          </w:p>
        </w:tc>
      </w:tr>
      <w:tr w:rsidR="002B0EFD" w:rsidRPr="000E443A" w:rsidTr="00A72D97">
        <w:trPr>
          <w:trHeight w:val="288"/>
        </w:trPr>
        <w:tc>
          <w:tcPr>
            <w:tcW w:w="2463" w:type="dxa"/>
            <w:noWrap/>
            <w:vAlign w:val="center"/>
          </w:tcPr>
          <w:p w:rsidR="002B0EFD" w:rsidRDefault="00E45FD6" w:rsidP="00D50BF7">
            <w:pPr>
              <w:jc w:val="both"/>
              <w:rPr>
                <w:rFonts w:ascii="Arial" w:hAnsi="Arial" w:cs="Arial"/>
                <w:color w:val="000000"/>
              </w:rPr>
            </w:pPr>
            <w:r>
              <w:rPr>
                <w:rFonts w:ascii="Arial" w:hAnsi="Arial" w:cs="Arial"/>
                <w:color w:val="000000"/>
              </w:rPr>
              <w:t xml:space="preserve">November </w:t>
            </w:r>
            <w:r w:rsidR="00D50BF7">
              <w:rPr>
                <w:rFonts w:ascii="Arial" w:hAnsi="Arial" w:cs="Arial"/>
                <w:color w:val="000000"/>
              </w:rPr>
              <w:t>22</w:t>
            </w:r>
            <w:r w:rsidR="00B733BC">
              <w:rPr>
                <w:rFonts w:ascii="Arial" w:hAnsi="Arial" w:cs="Arial"/>
                <w:color w:val="000000"/>
              </w:rPr>
              <w:t>,</w:t>
            </w:r>
            <w:r w:rsidR="002B0EFD" w:rsidRPr="00AA22D4">
              <w:rPr>
                <w:rFonts w:ascii="Arial" w:hAnsi="Arial" w:cs="Arial"/>
                <w:color w:val="000000"/>
              </w:rPr>
              <w:t xml:space="preserve"> 202</w:t>
            </w:r>
            <w:r w:rsidR="002B0EFD">
              <w:rPr>
                <w:rFonts w:ascii="Arial" w:hAnsi="Arial" w:cs="Arial"/>
                <w:color w:val="000000"/>
              </w:rPr>
              <w:t>1</w:t>
            </w:r>
          </w:p>
        </w:tc>
        <w:tc>
          <w:tcPr>
            <w:tcW w:w="2350" w:type="dxa"/>
            <w:noWrap/>
            <w:vAlign w:val="center"/>
          </w:tcPr>
          <w:p w:rsidR="00B733BC" w:rsidRPr="00614BA1" w:rsidRDefault="00D50BF7" w:rsidP="00B733BC">
            <w:pPr>
              <w:jc w:val="right"/>
              <w:rPr>
                <w:rFonts w:ascii="Arial" w:hAnsi="Arial" w:cs="Arial"/>
                <w:color w:val="000000"/>
              </w:rPr>
            </w:pPr>
            <w:r>
              <w:rPr>
                <w:rFonts w:ascii="Arial" w:hAnsi="Arial" w:cs="Arial"/>
                <w:color w:val="000000"/>
              </w:rPr>
              <w:t>5,950</w:t>
            </w:r>
          </w:p>
        </w:tc>
        <w:tc>
          <w:tcPr>
            <w:tcW w:w="2350" w:type="dxa"/>
            <w:noWrap/>
            <w:vAlign w:val="center"/>
          </w:tcPr>
          <w:p w:rsidR="002B0EFD" w:rsidRPr="00C76FC7" w:rsidRDefault="002B0EFD" w:rsidP="00D50BF7">
            <w:pPr>
              <w:jc w:val="right"/>
              <w:rPr>
                <w:rFonts w:ascii="Arial" w:hAnsi="Arial" w:cs="Arial"/>
                <w:color w:val="000000"/>
              </w:rPr>
            </w:pPr>
            <w:r w:rsidRPr="00C76FC7">
              <w:rPr>
                <w:rFonts w:ascii="Arial" w:hAnsi="Arial" w:cs="Arial"/>
                <w:color w:val="000000"/>
              </w:rPr>
              <w:t xml:space="preserve">€ </w:t>
            </w:r>
            <w:r w:rsidR="00B733BC">
              <w:rPr>
                <w:rFonts w:ascii="Arial" w:hAnsi="Arial" w:cs="Arial"/>
                <w:color w:val="000000"/>
              </w:rPr>
              <w:t>4</w:t>
            </w:r>
            <w:r w:rsidR="00D50BF7">
              <w:rPr>
                <w:rFonts w:ascii="Arial" w:hAnsi="Arial" w:cs="Arial"/>
                <w:color w:val="000000"/>
              </w:rPr>
              <w:t>30</w:t>
            </w:r>
            <w:r w:rsidRPr="00C76FC7">
              <w:rPr>
                <w:rFonts w:ascii="Arial" w:hAnsi="Arial" w:cs="Arial"/>
                <w:color w:val="000000"/>
              </w:rPr>
              <w:t>.</w:t>
            </w:r>
            <w:r w:rsidR="00D50BF7">
              <w:rPr>
                <w:rFonts w:ascii="Arial" w:hAnsi="Arial" w:cs="Arial"/>
                <w:color w:val="000000"/>
              </w:rPr>
              <w:t>62</w:t>
            </w:r>
          </w:p>
        </w:tc>
        <w:tc>
          <w:tcPr>
            <w:tcW w:w="2164" w:type="dxa"/>
            <w:noWrap/>
            <w:vAlign w:val="center"/>
          </w:tcPr>
          <w:p w:rsidR="002B0EFD" w:rsidRPr="00C76FC7" w:rsidRDefault="002B0EFD" w:rsidP="00D50BF7">
            <w:pPr>
              <w:jc w:val="right"/>
              <w:rPr>
                <w:rFonts w:ascii="Arial" w:hAnsi="Arial" w:cs="Arial"/>
                <w:color w:val="000000"/>
              </w:rPr>
            </w:pPr>
            <w:r w:rsidRPr="00C76FC7">
              <w:rPr>
                <w:rFonts w:ascii="Arial" w:hAnsi="Arial" w:cs="Arial"/>
                <w:color w:val="000000"/>
              </w:rPr>
              <w:t>€</w:t>
            </w:r>
            <w:r>
              <w:rPr>
                <w:rFonts w:ascii="Arial" w:hAnsi="Arial" w:cs="Arial"/>
                <w:color w:val="000000"/>
              </w:rPr>
              <w:t xml:space="preserve"> </w:t>
            </w:r>
            <w:r w:rsidR="00D50BF7">
              <w:rPr>
                <w:rFonts w:ascii="Arial" w:hAnsi="Arial" w:cs="Arial"/>
                <w:color w:val="000000"/>
              </w:rPr>
              <w:t>2,562</w:t>
            </w:r>
            <w:r>
              <w:rPr>
                <w:rFonts w:ascii="Arial" w:hAnsi="Arial" w:cs="Arial"/>
                <w:color w:val="000000"/>
              </w:rPr>
              <w:t>,</w:t>
            </w:r>
            <w:r w:rsidR="00D50BF7">
              <w:rPr>
                <w:rFonts w:ascii="Arial" w:hAnsi="Arial" w:cs="Arial"/>
                <w:color w:val="000000"/>
              </w:rPr>
              <w:t>218</w:t>
            </w:r>
          </w:p>
        </w:tc>
      </w:tr>
      <w:tr w:rsidR="00074EA0" w:rsidRPr="000E443A" w:rsidTr="00A72D97">
        <w:trPr>
          <w:trHeight w:val="288"/>
        </w:trPr>
        <w:tc>
          <w:tcPr>
            <w:tcW w:w="2463" w:type="dxa"/>
            <w:noWrap/>
            <w:vAlign w:val="center"/>
          </w:tcPr>
          <w:p w:rsidR="00074EA0" w:rsidRDefault="00E45FD6" w:rsidP="00D50BF7">
            <w:pPr>
              <w:jc w:val="both"/>
              <w:rPr>
                <w:rFonts w:ascii="Arial" w:hAnsi="Arial" w:cs="Arial"/>
                <w:color w:val="000000"/>
              </w:rPr>
            </w:pPr>
            <w:r>
              <w:rPr>
                <w:rFonts w:ascii="Arial" w:hAnsi="Arial" w:cs="Arial"/>
                <w:color w:val="000000"/>
              </w:rPr>
              <w:t xml:space="preserve">November </w:t>
            </w:r>
            <w:r w:rsidR="00D50BF7">
              <w:rPr>
                <w:rFonts w:ascii="Arial" w:hAnsi="Arial" w:cs="Arial"/>
                <w:color w:val="000000"/>
              </w:rPr>
              <w:t>23</w:t>
            </w:r>
            <w:r w:rsidRPr="00AA22D4">
              <w:rPr>
                <w:rFonts w:ascii="Arial" w:hAnsi="Arial" w:cs="Arial"/>
                <w:color w:val="000000"/>
              </w:rPr>
              <w:t>, 202</w:t>
            </w:r>
            <w:r>
              <w:rPr>
                <w:rFonts w:ascii="Arial" w:hAnsi="Arial" w:cs="Arial"/>
                <w:color w:val="000000"/>
              </w:rPr>
              <w:t>1</w:t>
            </w:r>
          </w:p>
        </w:tc>
        <w:tc>
          <w:tcPr>
            <w:tcW w:w="2350" w:type="dxa"/>
            <w:noWrap/>
            <w:vAlign w:val="center"/>
          </w:tcPr>
          <w:p w:rsidR="00074EA0" w:rsidRPr="00614BA1" w:rsidRDefault="00D50BF7" w:rsidP="00D50BF7">
            <w:pPr>
              <w:jc w:val="right"/>
              <w:rPr>
                <w:rFonts w:ascii="Arial" w:hAnsi="Arial" w:cs="Arial"/>
                <w:color w:val="000000"/>
              </w:rPr>
            </w:pPr>
            <w:r>
              <w:rPr>
                <w:rFonts w:ascii="Arial" w:hAnsi="Arial" w:cs="Arial"/>
                <w:color w:val="000000"/>
              </w:rPr>
              <w:t>11,00</w:t>
            </w:r>
            <w:r w:rsidR="00B733BC">
              <w:rPr>
                <w:rFonts w:ascii="Arial" w:hAnsi="Arial" w:cs="Arial"/>
                <w:color w:val="000000"/>
              </w:rPr>
              <w:t>0</w:t>
            </w:r>
          </w:p>
        </w:tc>
        <w:tc>
          <w:tcPr>
            <w:tcW w:w="2350" w:type="dxa"/>
            <w:noWrap/>
            <w:vAlign w:val="center"/>
          </w:tcPr>
          <w:p w:rsidR="00074EA0" w:rsidRPr="00C76FC7" w:rsidRDefault="00074EA0" w:rsidP="00D50BF7">
            <w:pPr>
              <w:jc w:val="right"/>
              <w:rPr>
                <w:rFonts w:ascii="Arial" w:hAnsi="Arial" w:cs="Arial"/>
                <w:color w:val="000000"/>
              </w:rPr>
            </w:pPr>
            <w:r w:rsidRPr="00C76FC7">
              <w:rPr>
                <w:rFonts w:ascii="Arial" w:hAnsi="Arial" w:cs="Arial"/>
                <w:color w:val="000000"/>
              </w:rPr>
              <w:t xml:space="preserve">€ </w:t>
            </w:r>
            <w:r w:rsidR="00F618B5">
              <w:rPr>
                <w:rFonts w:ascii="Arial" w:hAnsi="Arial" w:cs="Arial"/>
                <w:color w:val="000000"/>
              </w:rPr>
              <w:t>4</w:t>
            </w:r>
            <w:r w:rsidR="00D50BF7">
              <w:rPr>
                <w:rFonts w:ascii="Arial" w:hAnsi="Arial" w:cs="Arial"/>
                <w:color w:val="000000"/>
              </w:rPr>
              <w:t>00</w:t>
            </w:r>
            <w:r w:rsidR="00F618B5">
              <w:rPr>
                <w:rFonts w:ascii="Arial" w:hAnsi="Arial" w:cs="Arial"/>
                <w:color w:val="000000"/>
              </w:rPr>
              <w:t>.</w:t>
            </w:r>
            <w:r w:rsidR="00D50BF7">
              <w:rPr>
                <w:rFonts w:ascii="Arial" w:hAnsi="Arial" w:cs="Arial"/>
                <w:color w:val="000000"/>
              </w:rPr>
              <w:t>85</w:t>
            </w:r>
          </w:p>
        </w:tc>
        <w:tc>
          <w:tcPr>
            <w:tcW w:w="2164" w:type="dxa"/>
            <w:noWrap/>
            <w:vAlign w:val="center"/>
          </w:tcPr>
          <w:p w:rsidR="00074EA0" w:rsidRPr="00C76FC7" w:rsidRDefault="00074EA0" w:rsidP="00D50BF7">
            <w:pPr>
              <w:jc w:val="right"/>
              <w:rPr>
                <w:rFonts w:ascii="Arial" w:hAnsi="Arial" w:cs="Arial"/>
                <w:color w:val="000000"/>
              </w:rPr>
            </w:pPr>
            <w:r w:rsidRPr="00C76FC7">
              <w:rPr>
                <w:rFonts w:ascii="Arial" w:hAnsi="Arial" w:cs="Arial"/>
                <w:color w:val="000000"/>
              </w:rPr>
              <w:t>€</w:t>
            </w:r>
            <w:r>
              <w:rPr>
                <w:rFonts w:ascii="Arial" w:hAnsi="Arial" w:cs="Arial"/>
                <w:color w:val="000000"/>
              </w:rPr>
              <w:t xml:space="preserve"> </w:t>
            </w:r>
            <w:r w:rsidR="00D50BF7">
              <w:rPr>
                <w:rFonts w:ascii="Arial" w:hAnsi="Arial" w:cs="Arial"/>
                <w:color w:val="000000"/>
              </w:rPr>
              <w:t>4,409</w:t>
            </w:r>
            <w:r w:rsidR="007C197F">
              <w:rPr>
                <w:rFonts w:ascii="Arial" w:hAnsi="Arial" w:cs="Arial"/>
                <w:color w:val="000000"/>
              </w:rPr>
              <w:t>,</w:t>
            </w:r>
            <w:r w:rsidR="00D50BF7">
              <w:rPr>
                <w:rFonts w:ascii="Arial" w:hAnsi="Arial" w:cs="Arial"/>
                <w:color w:val="000000"/>
              </w:rPr>
              <w:t>357</w:t>
            </w:r>
          </w:p>
        </w:tc>
      </w:tr>
      <w:tr w:rsidR="00E45FD6" w:rsidRPr="000E443A" w:rsidTr="00A72D97">
        <w:trPr>
          <w:trHeight w:val="288"/>
        </w:trPr>
        <w:tc>
          <w:tcPr>
            <w:tcW w:w="2463" w:type="dxa"/>
            <w:noWrap/>
            <w:vAlign w:val="center"/>
          </w:tcPr>
          <w:p w:rsidR="00E45FD6" w:rsidRDefault="00E45FD6" w:rsidP="00D50BF7">
            <w:pPr>
              <w:jc w:val="both"/>
              <w:rPr>
                <w:rFonts w:ascii="Arial" w:hAnsi="Arial" w:cs="Arial"/>
                <w:color w:val="000000"/>
              </w:rPr>
            </w:pPr>
            <w:r>
              <w:rPr>
                <w:rFonts w:ascii="Arial" w:hAnsi="Arial" w:cs="Arial"/>
                <w:color w:val="000000"/>
              </w:rPr>
              <w:t xml:space="preserve">November </w:t>
            </w:r>
            <w:r w:rsidR="00D50BF7">
              <w:rPr>
                <w:rFonts w:ascii="Arial" w:hAnsi="Arial" w:cs="Arial"/>
                <w:color w:val="000000"/>
              </w:rPr>
              <w:t>24</w:t>
            </w:r>
            <w:r w:rsidRPr="00AA22D4">
              <w:rPr>
                <w:rFonts w:ascii="Arial" w:hAnsi="Arial" w:cs="Arial"/>
                <w:color w:val="000000"/>
              </w:rPr>
              <w:t>, 202</w:t>
            </w:r>
            <w:r>
              <w:rPr>
                <w:rFonts w:ascii="Arial" w:hAnsi="Arial" w:cs="Arial"/>
                <w:color w:val="000000"/>
              </w:rPr>
              <w:t>1</w:t>
            </w:r>
          </w:p>
        </w:tc>
        <w:tc>
          <w:tcPr>
            <w:tcW w:w="2350" w:type="dxa"/>
            <w:noWrap/>
            <w:vAlign w:val="center"/>
          </w:tcPr>
          <w:p w:rsidR="00E45FD6" w:rsidRPr="00614BA1" w:rsidRDefault="00D50BF7" w:rsidP="00D50BF7">
            <w:pPr>
              <w:jc w:val="right"/>
              <w:rPr>
                <w:rFonts w:ascii="Arial" w:hAnsi="Arial" w:cs="Arial"/>
                <w:color w:val="000000"/>
              </w:rPr>
            </w:pPr>
            <w:r>
              <w:rPr>
                <w:rFonts w:ascii="Arial" w:hAnsi="Arial" w:cs="Arial"/>
                <w:color w:val="000000"/>
              </w:rPr>
              <w:t>4,443</w:t>
            </w:r>
          </w:p>
        </w:tc>
        <w:tc>
          <w:tcPr>
            <w:tcW w:w="2350" w:type="dxa"/>
            <w:noWrap/>
            <w:vAlign w:val="center"/>
          </w:tcPr>
          <w:p w:rsidR="00E45FD6" w:rsidRPr="00C76FC7" w:rsidRDefault="00E45FD6" w:rsidP="00D50BF7">
            <w:pPr>
              <w:jc w:val="right"/>
              <w:rPr>
                <w:rFonts w:ascii="Arial" w:hAnsi="Arial" w:cs="Arial"/>
                <w:color w:val="000000"/>
              </w:rPr>
            </w:pPr>
            <w:r w:rsidRPr="00C76FC7">
              <w:rPr>
                <w:rFonts w:ascii="Arial" w:hAnsi="Arial" w:cs="Arial"/>
                <w:color w:val="000000"/>
              </w:rPr>
              <w:t xml:space="preserve">€ </w:t>
            </w:r>
            <w:r w:rsidR="00D50BF7">
              <w:rPr>
                <w:rFonts w:ascii="Arial" w:hAnsi="Arial" w:cs="Arial"/>
                <w:color w:val="000000"/>
              </w:rPr>
              <w:t>389</w:t>
            </w:r>
            <w:r>
              <w:rPr>
                <w:rFonts w:ascii="Arial" w:hAnsi="Arial" w:cs="Arial"/>
                <w:color w:val="000000"/>
              </w:rPr>
              <w:t>.</w:t>
            </w:r>
            <w:r w:rsidR="00D50BF7">
              <w:rPr>
                <w:rFonts w:ascii="Arial" w:hAnsi="Arial" w:cs="Arial"/>
                <w:color w:val="000000"/>
              </w:rPr>
              <w:t>38</w:t>
            </w:r>
          </w:p>
        </w:tc>
        <w:tc>
          <w:tcPr>
            <w:tcW w:w="2164" w:type="dxa"/>
            <w:noWrap/>
            <w:vAlign w:val="center"/>
          </w:tcPr>
          <w:p w:rsidR="00E45FD6" w:rsidRPr="00C76FC7" w:rsidRDefault="00E45FD6" w:rsidP="00D50BF7">
            <w:pPr>
              <w:jc w:val="right"/>
              <w:rPr>
                <w:rFonts w:ascii="Arial" w:hAnsi="Arial" w:cs="Arial"/>
                <w:color w:val="000000"/>
              </w:rPr>
            </w:pPr>
            <w:r w:rsidRPr="00C76FC7">
              <w:rPr>
                <w:rFonts w:ascii="Arial" w:hAnsi="Arial" w:cs="Arial"/>
                <w:color w:val="000000"/>
              </w:rPr>
              <w:t>€</w:t>
            </w:r>
            <w:r>
              <w:rPr>
                <w:rFonts w:ascii="Arial" w:hAnsi="Arial" w:cs="Arial"/>
                <w:color w:val="000000"/>
              </w:rPr>
              <w:t xml:space="preserve"> </w:t>
            </w:r>
            <w:r w:rsidR="00D50BF7">
              <w:rPr>
                <w:rFonts w:ascii="Arial" w:hAnsi="Arial" w:cs="Arial"/>
                <w:color w:val="000000"/>
              </w:rPr>
              <w:t>1,729</w:t>
            </w:r>
            <w:r>
              <w:rPr>
                <w:rFonts w:ascii="Arial" w:hAnsi="Arial" w:cs="Arial"/>
                <w:color w:val="000000"/>
              </w:rPr>
              <w:t>,</w:t>
            </w:r>
            <w:r w:rsidR="00D50BF7">
              <w:rPr>
                <w:rFonts w:ascii="Arial" w:hAnsi="Arial" w:cs="Arial"/>
                <w:color w:val="000000"/>
              </w:rPr>
              <w:t>999</w:t>
            </w:r>
          </w:p>
        </w:tc>
      </w:tr>
      <w:tr w:rsidR="00E45FD6" w:rsidRPr="000E443A" w:rsidTr="00441861">
        <w:trPr>
          <w:trHeight w:val="288"/>
        </w:trPr>
        <w:tc>
          <w:tcPr>
            <w:tcW w:w="2463" w:type="dxa"/>
            <w:noWrap/>
            <w:vAlign w:val="center"/>
          </w:tcPr>
          <w:p w:rsidR="00E45FD6" w:rsidRDefault="00E45FD6" w:rsidP="00D50BF7">
            <w:pPr>
              <w:jc w:val="both"/>
              <w:rPr>
                <w:rFonts w:ascii="Arial" w:hAnsi="Arial" w:cs="Arial"/>
                <w:color w:val="000000"/>
              </w:rPr>
            </w:pPr>
            <w:r>
              <w:rPr>
                <w:rFonts w:ascii="Arial" w:hAnsi="Arial" w:cs="Arial"/>
                <w:color w:val="000000"/>
              </w:rPr>
              <w:t xml:space="preserve">November </w:t>
            </w:r>
            <w:r w:rsidR="00D50BF7">
              <w:rPr>
                <w:rFonts w:ascii="Arial" w:hAnsi="Arial" w:cs="Arial"/>
                <w:color w:val="000000"/>
              </w:rPr>
              <w:t>25</w:t>
            </w:r>
            <w:r w:rsidRPr="00AA22D4">
              <w:rPr>
                <w:rFonts w:ascii="Arial" w:hAnsi="Arial" w:cs="Arial"/>
                <w:color w:val="000000"/>
              </w:rPr>
              <w:t>, 202</w:t>
            </w:r>
            <w:r>
              <w:rPr>
                <w:rFonts w:ascii="Arial" w:hAnsi="Arial" w:cs="Arial"/>
                <w:color w:val="000000"/>
              </w:rPr>
              <w:t>1</w:t>
            </w:r>
          </w:p>
        </w:tc>
        <w:tc>
          <w:tcPr>
            <w:tcW w:w="2350" w:type="dxa"/>
            <w:noWrap/>
            <w:vAlign w:val="center"/>
          </w:tcPr>
          <w:p w:rsidR="00E45FD6" w:rsidRPr="00614BA1" w:rsidRDefault="00D50BF7" w:rsidP="00D50BF7">
            <w:pPr>
              <w:jc w:val="right"/>
              <w:rPr>
                <w:rFonts w:ascii="Arial" w:hAnsi="Arial" w:cs="Arial"/>
                <w:color w:val="000000"/>
              </w:rPr>
            </w:pPr>
            <w:r>
              <w:rPr>
                <w:rFonts w:ascii="Arial" w:hAnsi="Arial" w:cs="Arial"/>
                <w:color w:val="000000"/>
              </w:rPr>
              <w:t>1,018</w:t>
            </w:r>
          </w:p>
        </w:tc>
        <w:tc>
          <w:tcPr>
            <w:tcW w:w="2350" w:type="dxa"/>
            <w:noWrap/>
            <w:vAlign w:val="center"/>
          </w:tcPr>
          <w:p w:rsidR="00E45FD6" w:rsidRPr="00C76FC7" w:rsidRDefault="00E45FD6" w:rsidP="00D50BF7">
            <w:pPr>
              <w:jc w:val="right"/>
              <w:rPr>
                <w:rFonts w:ascii="Arial" w:hAnsi="Arial" w:cs="Arial"/>
                <w:color w:val="000000"/>
              </w:rPr>
            </w:pPr>
            <w:r w:rsidRPr="00C76FC7">
              <w:rPr>
                <w:rFonts w:ascii="Arial" w:hAnsi="Arial" w:cs="Arial"/>
                <w:color w:val="000000"/>
              </w:rPr>
              <w:t xml:space="preserve">€ </w:t>
            </w:r>
            <w:r w:rsidR="00D50BF7">
              <w:rPr>
                <w:rFonts w:ascii="Arial" w:hAnsi="Arial" w:cs="Arial"/>
                <w:color w:val="000000"/>
              </w:rPr>
              <w:t>399</w:t>
            </w:r>
            <w:r w:rsidRPr="00C76FC7">
              <w:rPr>
                <w:rFonts w:ascii="Arial" w:hAnsi="Arial" w:cs="Arial"/>
                <w:color w:val="000000"/>
              </w:rPr>
              <w:t>.</w:t>
            </w:r>
            <w:r w:rsidR="00D50BF7">
              <w:rPr>
                <w:rFonts w:ascii="Arial" w:hAnsi="Arial" w:cs="Arial"/>
                <w:color w:val="000000"/>
              </w:rPr>
              <w:t>24</w:t>
            </w:r>
          </w:p>
        </w:tc>
        <w:tc>
          <w:tcPr>
            <w:tcW w:w="2164" w:type="dxa"/>
            <w:noWrap/>
            <w:vAlign w:val="center"/>
          </w:tcPr>
          <w:p w:rsidR="00E45FD6" w:rsidRPr="00C76FC7" w:rsidRDefault="00E45FD6" w:rsidP="00D50BF7">
            <w:pPr>
              <w:jc w:val="right"/>
              <w:rPr>
                <w:rFonts w:ascii="Arial" w:hAnsi="Arial" w:cs="Arial"/>
                <w:color w:val="000000"/>
              </w:rPr>
            </w:pPr>
            <w:r w:rsidRPr="00C76FC7">
              <w:rPr>
                <w:rFonts w:ascii="Arial" w:hAnsi="Arial" w:cs="Arial"/>
                <w:color w:val="000000"/>
              </w:rPr>
              <w:t>€</w:t>
            </w:r>
            <w:r>
              <w:rPr>
                <w:rFonts w:ascii="Arial" w:hAnsi="Arial" w:cs="Arial"/>
                <w:color w:val="000000"/>
              </w:rPr>
              <w:t xml:space="preserve"> </w:t>
            </w:r>
            <w:r w:rsidR="00D50BF7">
              <w:rPr>
                <w:rFonts w:ascii="Arial" w:hAnsi="Arial" w:cs="Arial"/>
                <w:color w:val="000000"/>
              </w:rPr>
              <w:t>406</w:t>
            </w:r>
            <w:r>
              <w:rPr>
                <w:rFonts w:ascii="Arial" w:hAnsi="Arial" w:cs="Arial"/>
                <w:color w:val="000000"/>
              </w:rPr>
              <w:t>,</w:t>
            </w:r>
            <w:r w:rsidR="00D50BF7">
              <w:rPr>
                <w:rFonts w:ascii="Arial" w:hAnsi="Arial" w:cs="Arial"/>
                <w:color w:val="000000"/>
              </w:rPr>
              <w:t>425</w:t>
            </w:r>
          </w:p>
        </w:tc>
      </w:tr>
      <w:tr w:rsidR="00E45FD6" w:rsidRPr="000E443A" w:rsidTr="00BD41C3">
        <w:trPr>
          <w:trHeight w:val="288"/>
        </w:trPr>
        <w:tc>
          <w:tcPr>
            <w:tcW w:w="2463" w:type="dxa"/>
            <w:noWrap/>
          </w:tcPr>
          <w:p w:rsidR="00E45FD6" w:rsidRDefault="00E45FD6" w:rsidP="00D50BF7">
            <w:pPr>
              <w:jc w:val="both"/>
            </w:pPr>
            <w:r>
              <w:rPr>
                <w:rFonts w:ascii="Arial" w:hAnsi="Arial" w:cs="Arial"/>
                <w:color w:val="000000"/>
              </w:rPr>
              <w:t xml:space="preserve">November </w:t>
            </w:r>
            <w:r w:rsidR="00D50BF7">
              <w:rPr>
                <w:rFonts w:ascii="Arial" w:hAnsi="Arial" w:cs="Arial"/>
                <w:color w:val="000000"/>
              </w:rPr>
              <w:t>26</w:t>
            </w:r>
            <w:r w:rsidRPr="00AA22D4">
              <w:rPr>
                <w:rFonts w:ascii="Arial" w:hAnsi="Arial" w:cs="Arial"/>
                <w:color w:val="000000"/>
              </w:rPr>
              <w:t>, 202</w:t>
            </w:r>
            <w:r>
              <w:rPr>
                <w:rFonts w:ascii="Arial" w:hAnsi="Arial" w:cs="Arial"/>
                <w:color w:val="000000"/>
              </w:rPr>
              <w:t>1</w:t>
            </w:r>
          </w:p>
        </w:tc>
        <w:tc>
          <w:tcPr>
            <w:tcW w:w="2350" w:type="dxa"/>
            <w:noWrap/>
            <w:vAlign w:val="center"/>
          </w:tcPr>
          <w:p w:rsidR="00E45FD6" w:rsidRPr="00614BA1" w:rsidRDefault="00D50BF7" w:rsidP="00D50BF7">
            <w:pPr>
              <w:jc w:val="right"/>
              <w:rPr>
                <w:rFonts w:ascii="Arial" w:hAnsi="Arial" w:cs="Arial"/>
                <w:color w:val="000000"/>
              </w:rPr>
            </w:pPr>
            <w:r>
              <w:rPr>
                <w:rFonts w:ascii="Arial" w:hAnsi="Arial" w:cs="Arial"/>
                <w:color w:val="000000"/>
              </w:rPr>
              <w:t>4</w:t>
            </w:r>
            <w:r w:rsidR="00F618B5">
              <w:rPr>
                <w:rFonts w:ascii="Arial" w:hAnsi="Arial" w:cs="Arial"/>
                <w:color w:val="000000"/>
              </w:rPr>
              <w:t>,</w:t>
            </w:r>
            <w:r>
              <w:rPr>
                <w:rFonts w:ascii="Arial" w:hAnsi="Arial" w:cs="Arial"/>
                <w:color w:val="000000"/>
              </w:rPr>
              <w:t>0</w:t>
            </w:r>
            <w:r w:rsidR="00F618B5">
              <w:rPr>
                <w:rFonts w:ascii="Arial" w:hAnsi="Arial" w:cs="Arial"/>
                <w:color w:val="000000"/>
              </w:rPr>
              <w:t>00</w:t>
            </w:r>
          </w:p>
        </w:tc>
        <w:tc>
          <w:tcPr>
            <w:tcW w:w="2350" w:type="dxa"/>
            <w:noWrap/>
            <w:vAlign w:val="center"/>
          </w:tcPr>
          <w:p w:rsidR="00E45FD6" w:rsidRPr="00C76FC7" w:rsidRDefault="00E45FD6" w:rsidP="00D50BF7">
            <w:pPr>
              <w:jc w:val="right"/>
              <w:rPr>
                <w:rFonts w:ascii="Arial" w:hAnsi="Arial" w:cs="Arial"/>
                <w:color w:val="000000"/>
              </w:rPr>
            </w:pPr>
            <w:r w:rsidRPr="00C76FC7">
              <w:rPr>
                <w:rFonts w:ascii="Arial" w:hAnsi="Arial" w:cs="Arial"/>
                <w:color w:val="000000"/>
              </w:rPr>
              <w:t xml:space="preserve">€ </w:t>
            </w:r>
            <w:r w:rsidR="00D50BF7">
              <w:rPr>
                <w:rFonts w:ascii="Arial" w:hAnsi="Arial" w:cs="Arial"/>
                <w:color w:val="000000"/>
              </w:rPr>
              <w:t>391</w:t>
            </w:r>
            <w:r w:rsidRPr="00C76FC7">
              <w:rPr>
                <w:rFonts w:ascii="Arial" w:hAnsi="Arial" w:cs="Arial"/>
                <w:color w:val="000000"/>
              </w:rPr>
              <w:t>.</w:t>
            </w:r>
            <w:r w:rsidR="00D50BF7">
              <w:rPr>
                <w:rFonts w:ascii="Arial" w:hAnsi="Arial" w:cs="Arial"/>
                <w:color w:val="000000"/>
              </w:rPr>
              <w:t>21</w:t>
            </w:r>
          </w:p>
        </w:tc>
        <w:tc>
          <w:tcPr>
            <w:tcW w:w="2164" w:type="dxa"/>
            <w:noWrap/>
            <w:vAlign w:val="center"/>
          </w:tcPr>
          <w:p w:rsidR="00E45FD6" w:rsidRPr="00C76FC7" w:rsidRDefault="00E45FD6" w:rsidP="00D50BF7">
            <w:pPr>
              <w:jc w:val="right"/>
              <w:rPr>
                <w:rFonts w:ascii="Arial" w:hAnsi="Arial" w:cs="Arial"/>
                <w:color w:val="000000"/>
              </w:rPr>
            </w:pPr>
            <w:r w:rsidRPr="00C76FC7">
              <w:rPr>
                <w:rFonts w:ascii="Arial" w:hAnsi="Arial" w:cs="Arial"/>
                <w:color w:val="000000"/>
              </w:rPr>
              <w:t>€</w:t>
            </w:r>
            <w:r>
              <w:rPr>
                <w:rFonts w:ascii="Arial" w:hAnsi="Arial" w:cs="Arial"/>
                <w:color w:val="000000"/>
              </w:rPr>
              <w:t xml:space="preserve"> </w:t>
            </w:r>
            <w:r w:rsidR="00D50BF7">
              <w:rPr>
                <w:rFonts w:ascii="Arial" w:hAnsi="Arial" w:cs="Arial"/>
                <w:color w:val="000000"/>
              </w:rPr>
              <w:t>1,564</w:t>
            </w:r>
            <w:r>
              <w:rPr>
                <w:rFonts w:ascii="Arial" w:hAnsi="Arial" w:cs="Arial"/>
                <w:color w:val="000000"/>
              </w:rPr>
              <w:t>,</w:t>
            </w:r>
            <w:r w:rsidR="00D50BF7">
              <w:rPr>
                <w:rFonts w:ascii="Arial" w:hAnsi="Arial" w:cs="Arial"/>
                <w:color w:val="000000"/>
              </w:rPr>
              <w:t>848</w:t>
            </w:r>
          </w:p>
        </w:tc>
      </w:tr>
      <w:tr w:rsidR="00E45FD6" w:rsidRPr="000E443A" w:rsidTr="00D3006A">
        <w:trPr>
          <w:trHeight w:val="288"/>
        </w:trPr>
        <w:tc>
          <w:tcPr>
            <w:tcW w:w="2463" w:type="dxa"/>
            <w:noWrap/>
            <w:vAlign w:val="center"/>
          </w:tcPr>
          <w:p w:rsidR="00E45FD6" w:rsidRPr="00C76FC7" w:rsidRDefault="00E45FD6" w:rsidP="00E45FD6">
            <w:pPr>
              <w:rPr>
                <w:rFonts w:ascii="Arial" w:hAnsi="Arial" w:cs="Arial"/>
                <w:b/>
                <w:bCs/>
                <w:color w:val="000000"/>
              </w:rPr>
            </w:pPr>
            <w:r w:rsidRPr="00C76FC7">
              <w:rPr>
                <w:rFonts w:ascii="Arial" w:hAnsi="Arial" w:cs="Arial"/>
                <w:b/>
                <w:bCs/>
                <w:color w:val="000000"/>
              </w:rPr>
              <w:t>Total</w:t>
            </w:r>
          </w:p>
        </w:tc>
        <w:tc>
          <w:tcPr>
            <w:tcW w:w="2350" w:type="dxa"/>
            <w:noWrap/>
            <w:vAlign w:val="center"/>
          </w:tcPr>
          <w:p w:rsidR="00E45FD6" w:rsidRPr="00C76FC7" w:rsidRDefault="00F618B5" w:rsidP="00D50BF7">
            <w:pPr>
              <w:jc w:val="right"/>
              <w:rPr>
                <w:rFonts w:ascii="Arial" w:hAnsi="Arial" w:cs="Arial"/>
                <w:b/>
                <w:bCs/>
                <w:color w:val="000000"/>
              </w:rPr>
            </w:pPr>
            <w:r>
              <w:rPr>
                <w:rFonts w:ascii="Arial" w:hAnsi="Arial" w:cs="Arial"/>
                <w:b/>
                <w:bCs/>
                <w:color w:val="000000"/>
              </w:rPr>
              <w:t>2</w:t>
            </w:r>
            <w:r w:rsidR="00D50BF7">
              <w:rPr>
                <w:rFonts w:ascii="Arial" w:hAnsi="Arial" w:cs="Arial"/>
                <w:b/>
                <w:bCs/>
                <w:color w:val="000000"/>
              </w:rPr>
              <w:t>6</w:t>
            </w:r>
            <w:r>
              <w:rPr>
                <w:rFonts w:ascii="Arial" w:hAnsi="Arial" w:cs="Arial"/>
                <w:b/>
                <w:bCs/>
                <w:color w:val="000000"/>
              </w:rPr>
              <w:t>,</w:t>
            </w:r>
            <w:r w:rsidR="00D50BF7">
              <w:rPr>
                <w:rFonts w:ascii="Arial" w:hAnsi="Arial" w:cs="Arial"/>
                <w:b/>
                <w:bCs/>
                <w:color w:val="000000"/>
              </w:rPr>
              <w:t>411</w:t>
            </w:r>
          </w:p>
        </w:tc>
        <w:tc>
          <w:tcPr>
            <w:tcW w:w="2350" w:type="dxa"/>
            <w:noWrap/>
            <w:vAlign w:val="center"/>
          </w:tcPr>
          <w:p w:rsidR="00E45FD6" w:rsidRPr="002B0C09" w:rsidRDefault="00E45FD6" w:rsidP="00D50BF7">
            <w:pPr>
              <w:jc w:val="right"/>
              <w:rPr>
                <w:rFonts w:ascii="Arial" w:hAnsi="Arial" w:cs="Arial"/>
                <w:b/>
                <w:bCs/>
                <w:color w:val="000000"/>
              </w:rPr>
            </w:pPr>
            <w:r w:rsidRPr="002B0C09">
              <w:rPr>
                <w:rFonts w:ascii="Arial" w:hAnsi="Arial" w:cs="Arial"/>
                <w:b/>
                <w:color w:val="000000"/>
              </w:rPr>
              <w:t xml:space="preserve">€ </w:t>
            </w:r>
            <w:r>
              <w:rPr>
                <w:rFonts w:ascii="Arial" w:hAnsi="Arial" w:cs="Arial"/>
                <w:b/>
                <w:color w:val="000000"/>
              </w:rPr>
              <w:t>4</w:t>
            </w:r>
            <w:r w:rsidR="00D50BF7">
              <w:rPr>
                <w:rFonts w:ascii="Arial" w:hAnsi="Arial" w:cs="Arial"/>
                <w:b/>
                <w:color w:val="000000"/>
              </w:rPr>
              <w:t>04</w:t>
            </w:r>
            <w:r>
              <w:rPr>
                <w:rFonts w:ascii="Arial" w:hAnsi="Arial" w:cs="Arial"/>
                <w:b/>
                <w:color w:val="000000"/>
              </w:rPr>
              <w:t>.</w:t>
            </w:r>
            <w:r w:rsidR="00D50BF7">
              <w:rPr>
                <w:rFonts w:ascii="Arial" w:hAnsi="Arial" w:cs="Arial"/>
                <w:b/>
                <w:color w:val="000000"/>
              </w:rPr>
              <w:t>11</w:t>
            </w:r>
          </w:p>
        </w:tc>
        <w:tc>
          <w:tcPr>
            <w:tcW w:w="2164" w:type="dxa"/>
            <w:noWrap/>
            <w:vAlign w:val="center"/>
          </w:tcPr>
          <w:p w:rsidR="00E45FD6" w:rsidRPr="002B0C09" w:rsidRDefault="00E45FD6" w:rsidP="00D50BF7">
            <w:pPr>
              <w:jc w:val="right"/>
              <w:rPr>
                <w:rFonts w:ascii="Arial" w:hAnsi="Arial" w:cs="Arial"/>
                <w:b/>
                <w:bCs/>
                <w:color w:val="000000"/>
              </w:rPr>
            </w:pPr>
            <w:r w:rsidRPr="002B0C09">
              <w:rPr>
                <w:rFonts w:ascii="Arial" w:hAnsi="Arial" w:cs="Arial"/>
                <w:b/>
                <w:color w:val="000000"/>
              </w:rPr>
              <w:t>€</w:t>
            </w:r>
            <w:r>
              <w:rPr>
                <w:rFonts w:ascii="Arial" w:hAnsi="Arial" w:cs="Arial"/>
                <w:b/>
                <w:color w:val="000000"/>
              </w:rPr>
              <w:t xml:space="preserve"> </w:t>
            </w:r>
            <w:r w:rsidR="00D50BF7">
              <w:rPr>
                <w:rFonts w:ascii="Arial" w:hAnsi="Arial" w:cs="Arial"/>
                <w:b/>
                <w:color w:val="000000"/>
              </w:rPr>
              <w:t>10,672</w:t>
            </w:r>
            <w:r w:rsidRPr="002B0C09">
              <w:rPr>
                <w:rFonts w:ascii="Arial" w:hAnsi="Arial" w:cs="Arial"/>
                <w:b/>
                <w:color w:val="000000"/>
              </w:rPr>
              <w:t>,</w:t>
            </w:r>
            <w:r w:rsidR="00D50BF7">
              <w:rPr>
                <w:rFonts w:ascii="Arial" w:hAnsi="Arial" w:cs="Arial"/>
                <w:b/>
                <w:color w:val="000000"/>
              </w:rPr>
              <w:t>847</w:t>
            </w:r>
          </w:p>
        </w:tc>
      </w:tr>
    </w:tbl>
    <w:p w:rsidR="00481416" w:rsidRDefault="00481416" w:rsidP="009D19EF">
      <w:pPr>
        <w:spacing w:line="240" w:lineRule="atLeast"/>
        <w:jc w:val="both"/>
        <w:rPr>
          <w:rFonts w:ascii="Arial"/>
          <w:b/>
          <w:color w:val="909195"/>
          <w:sz w:val="22"/>
        </w:rPr>
      </w:pPr>
    </w:p>
    <w:p w:rsidR="008B2689" w:rsidRPr="000E1044" w:rsidRDefault="00A90E7F" w:rsidP="00A90E7F">
      <w:pPr>
        <w:spacing w:line="240" w:lineRule="atLeast"/>
        <w:jc w:val="both"/>
        <w:rPr>
          <w:rFonts w:ascii="Arial" w:hAnsi="Arial" w:cs="Arial"/>
          <w:szCs w:val="24"/>
        </w:rPr>
      </w:pPr>
      <w:r w:rsidRPr="000E1044">
        <w:rPr>
          <w:rFonts w:ascii="Arial" w:hAnsi="Arial" w:cs="Arial"/>
          <w:color w:val="71696D"/>
        </w:rPr>
        <w:t>T</w:t>
      </w:r>
      <w:r w:rsidRPr="000E1044">
        <w:rPr>
          <w:rFonts w:ascii="Arial" w:hAnsi="Arial" w:cs="Arial"/>
          <w:color w:val="4A4345"/>
        </w:rPr>
        <w:t>hese repurchases were made as part of the €</w:t>
      </w:r>
      <w:r w:rsidR="00750817">
        <w:rPr>
          <w:rFonts w:ascii="Arial" w:hAnsi="Arial" w:cs="Arial"/>
          <w:color w:val="4A4345"/>
        </w:rPr>
        <w:t>100</w:t>
      </w:r>
      <w:r w:rsidRPr="000E1044">
        <w:rPr>
          <w:rFonts w:ascii="Arial" w:hAnsi="Arial" w:cs="Arial"/>
          <w:color w:val="4A4345"/>
        </w:rPr>
        <w:t xml:space="preserve"> million share buyback program</w:t>
      </w:r>
      <w:r w:rsidR="00AE2578">
        <w:rPr>
          <w:rFonts w:ascii="Arial" w:hAnsi="Arial" w:cs="Arial"/>
          <w:color w:val="4A4345"/>
        </w:rPr>
        <w:t xml:space="preserve"> of which the details were </w:t>
      </w:r>
      <w:r w:rsidRPr="000E1044">
        <w:rPr>
          <w:rFonts w:ascii="Arial" w:hAnsi="Arial" w:cs="Arial"/>
          <w:color w:val="4A4345"/>
        </w:rPr>
        <w:t xml:space="preserve">announced on </w:t>
      </w:r>
      <w:r w:rsidR="00AE2578">
        <w:rPr>
          <w:rFonts w:ascii="Arial" w:hAnsi="Arial" w:cs="Arial"/>
          <w:color w:val="4A4345"/>
        </w:rPr>
        <w:t>July</w:t>
      </w:r>
      <w:r w:rsidR="00172634">
        <w:rPr>
          <w:rFonts w:ascii="Arial" w:hAnsi="Arial" w:cs="Arial"/>
          <w:color w:val="4A4345"/>
        </w:rPr>
        <w:t xml:space="preserve"> 2</w:t>
      </w:r>
      <w:r w:rsidR="00AE2578">
        <w:rPr>
          <w:rFonts w:ascii="Arial" w:hAnsi="Arial" w:cs="Arial"/>
          <w:color w:val="4A4345"/>
        </w:rPr>
        <w:t>7</w:t>
      </w:r>
      <w:r w:rsidR="00967D5F">
        <w:rPr>
          <w:rFonts w:ascii="Arial" w:hAnsi="Arial" w:cs="Arial"/>
          <w:color w:val="4A4345"/>
        </w:rPr>
        <w:t>, </w:t>
      </w:r>
      <w:r w:rsidRPr="000E1044">
        <w:rPr>
          <w:rFonts w:ascii="Arial" w:hAnsi="Arial" w:cs="Arial"/>
          <w:color w:val="4A4345"/>
        </w:rPr>
        <w:t>20</w:t>
      </w:r>
      <w:r w:rsidR="002C0AF6">
        <w:rPr>
          <w:rFonts w:ascii="Arial" w:hAnsi="Arial" w:cs="Arial"/>
          <w:color w:val="4A4345"/>
        </w:rPr>
        <w:t>2</w:t>
      </w:r>
      <w:r w:rsidR="00172634">
        <w:rPr>
          <w:rFonts w:ascii="Arial" w:hAnsi="Arial" w:cs="Arial"/>
          <w:color w:val="4A4345"/>
        </w:rPr>
        <w:t>1</w:t>
      </w:r>
      <w:r w:rsidRPr="000E1044">
        <w:rPr>
          <w:rFonts w:ascii="Arial" w:hAnsi="Arial" w:cs="Arial"/>
          <w:color w:val="4A4345"/>
        </w:rPr>
        <w:t>.</w:t>
      </w:r>
      <w:r w:rsidRPr="000E1044">
        <w:rPr>
          <w:color w:val="4A4345"/>
        </w:rPr>
        <w:t xml:space="preserve"> </w:t>
      </w:r>
      <w:r w:rsidRPr="000E1044">
        <w:rPr>
          <w:rFonts w:ascii="Arial" w:hAnsi="Arial" w:cs="Arial"/>
          <w:color w:val="4A4345"/>
        </w:rPr>
        <w:t>Of the total program</w:t>
      </w:r>
      <w:r w:rsidRPr="002B0C09">
        <w:rPr>
          <w:rFonts w:ascii="Arial" w:hAnsi="Arial" w:cs="Arial"/>
          <w:color w:val="4A4345"/>
        </w:rPr>
        <w:t xml:space="preserve">, </w:t>
      </w:r>
      <w:r w:rsidR="00D50BF7">
        <w:rPr>
          <w:rFonts w:ascii="Arial" w:hAnsi="Arial" w:cs="Arial"/>
          <w:color w:val="4A4345"/>
        </w:rPr>
        <w:t>8</w:t>
      </w:r>
      <w:r w:rsidR="00F618B5">
        <w:rPr>
          <w:rFonts w:ascii="Arial" w:hAnsi="Arial" w:cs="Arial"/>
          <w:color w:val="4A4345"/>
        </w:rPr>
        <w:t>1</w:t>
      </w:r>
      <w:r w:rsidR="002B0C09" w:rsidRPr="002B0C09">
        <w:rPr>
          <w:rFonts w:ascii="Arial" w:hAnsi="Arial" w:cs="Arial"/>
          <w:color w:val="4A4345"/>
        </w:rPr>
        <w:t>.</w:t>
      </w:r>
      <w:r w:rsidR="00D50BF7">
        <w:rPr>
          <w:rFonts w:ascii="Arial" w:hAnsi="Arial" w:cs="Arial"/>
          <w:color w:val="4A4345"/>
        </w:rPr>
        <w:t>9</w:t>
      </w:r>
      <w:r w:rsidRPr="000E1044">
        <w:rPr>
          <w:rFonts w:ascii="Arial" w:hAnsi="Arial" w:cs="Arial"/>
          <w:color w:val="4A4345"/>
        </w:rPr>
        <w:t>% has been repurchased. For further details including individual transaction information please visit:</w:t>
      </w:r>
      <w:r w:rsidR="008563DE" w:rsidRPr="000E1044">
        <w:rPr>
          <w:rFonts w:ascii="Arial" w:hAnsi="Arial" w:cs="Arial"/>
          <w:color w:val="4A4345"/>
        </w:rPr>
        <w:t xml:space="preserve"> </w:t>
      </w:r>
      <w:hyperlink r:id="rId8" w:history="1">
        <w:r w:rsidR="008563DE" w:rsidRPr="000E1044">
          <w:rPr>
            <w:rStyle w:val="Hyperlink"/>
            <w:rFonts w:ascii="Arial" w:hAnsi="Arial" w:cs="Arial"/>
          </w:rPr>
          <w:t>www.asm.com/investors/share-information/share-buyback</w:t>
        </w:r>
      </w:hyperlink>
      <w:r w:rsidR="008563DE" w:rsidRPr="000E1044">
        <w:rPr>
          <w:rStyle w:val="Hyperlink"/>
          <w:rFonts w:ascii="Arial" w:hAnsi="Arial" w:cs="Arial"/>
          <w:u w:val="none"/>
        </w:rPr>
        <w:t>.</w:t>
      </w:r>
    </w:p>
    <w:p w:rsidR="00404EAA" w:rsidRPr="000E443A" w:rsidRDefault="00404EAA" w:rsidP="009D19EF">
      <w:pPr>
        <w:spacing w:line="240" w:lineRule="atLeast"/>
        <w:jc w:val="both"/>
        <w:rPr>
          <w:rFonts w:ascii="Arial" w:hAnsi="Arial" w:cs="Arial"/>
          <w:i/>
          <w:color w:val="4A4345"/>
        </w:rPr>
      </w:pPr>
    </w:p>
    <w:p w:rsidR="00E97766" w:rsidRPr="00E97766" w:rsidRDefault="00E97766" w:rsidP="00E97766">
      <w:pPr>
        <w:pStyle w:val="NormalWeb"/>
        <w:spacing w:before="0" w:beforeAutospacing="0" w:after="200" w:afterAutospacing="0" w:line="288" w:lineRule="auto"/>
        <w:jc w:val="both"/>
        <w:rPr>
          <w:rFonts w:ascii="Arial" w:hAnsi="Arial" w:cs="Arial"/>
          <w:sz w:val="20"/>
          <w:szCs w:val="20"/>
        </w:rPr>
      </w:pPr>
      <w:r w:rsidRPr="00E97766">
        <w:rPr>
          <w:rStyle w:val="Strong"/>
          <w:rFonts w:ascii="Arial" w:hAnsi="Arial" w:cs="Arial"/>
          <w:sz w:val="18"/>
          <w:szCs w:val="18"/>
        </w:rPr>
        <w:t>About ASM International</w:t>
      </w:r>
    </w:p>
    <w:p w:rsidR="00E97766" w:rsidRDefault="00E97766" w:rsidP="00E97766">
      <w:pPr>
        <w:pStyle w:val="NormalWeb"/>
        <w:spacing w:before="0" w:beforeAutospacing="0" w:after="0" w:afterAutospacing="0" w:line="288" w:lineRule="auto"/>
        <w:jc w:val="both"/>
        <w:rPr>
          <w:sz w:val="20"/>
          <w:szCs w:val="20"/>
        </w:rPr>
      </w:pPr>
      <w:r>
        <w:rPr>
          <w:rFonts w:ascii="Arial" w:hAnsi="Arial" w:cs="Arial"/>
          <w:color w:val="4A4345"/>
          <w:sz w:val="18"/>
          <w:szCs w:val="18"/>
        </w:rPr>
        <w:t xml:space="preserve">ASM International NV, headquartered in Almere, the Netherlands, its subsidiaries and participations design and manufacture equipment and materials used to produce semiconductor devices. ASM International, its subsidiaries and participations provide production solutions for wafer processing (Front-end segment) as well as for assembly &amp; packaging and surface mount technology (Back-end segment) through facilities in the United States, Europe, Japan and Asia. ASM International's common stock trades on the Euronext Amsterdam Stock Exchange (symbol ASM). For more information, visit ASMI's website at </w:t>
      </w:r>
      <w:hyperlink r:id="rId9" w:history="1">
        <w:r>
          <w:rPr>
            <w:rStyle w:val="Hyperlink"/>
            <w:rFonts w:ascii="Arial" w:hAnsi="Arial" w:cs="Arial"/>
            <w:sz w:val="18"/>
            <w:szCs w:val="18"/>
          </w:rPr>
          <w:t>www.asm.com</w:t>
        </w:r>
      </w:hyperlink>
      <w:r>
        <w:rPr>
          <w:rFonts w:ascii="Arial" w:hAnsi="Arial" w:cs="Arial"/>
          <w:color w:val="4A4345"/>
          <w:sz w:val="18"/>
          <w:szCs w:val="18"/>
        </w:rPr>
        <w:t>.</w:t>
      </w:r>
    </w:p>
    <w:p w:rsidR="00E97766" w:rsidRDefault="00E97766" w:rsidP="00E97766">
      <w:pPr>
        <w:pStyle w:val="NormalWeb"/>
        <w:spacing w:before="0" w:beforeAutospacing="0" w:after="0" w:afterAutospacing="0" w:line="288" w:lineRule="auto"/>
        <w:rPr>
          <w:rFonts w:ascii="Arial" w:hAnsi="Arial" w:cs="Arial"/>
          <w:sz w:val="21"/>
          <w:szCs w:val="21"/>
        </w:rPr>
      </w:pPr>
      <w:r>
        <w:rPr>
          <w:rFonts w:ascii="Arial" w:hAnsi="Arial" w:cs="Arial"/>
          <w:sz w:val="21"/>
          <w:szCs w:val="21"/>
        </w:rPr>
        <w:t> </w:t>
      </w:r>
    </w:p>
    <w:p w:rsidR="006C3DEA" w:rsidRDefault="006C3DEA" w:rsidP="006C3DEA">
      <w:pPr>
        <w:spacing w:line="288" w:lineRule="auto"/>
        <w:jc w:val="both"/>
        <w:rPr>
          <w:rFonts w:ascii="Arial" w:hAnsi="Arial" w:cs="Arial"/>
          <w:i/>
          <w:iCs/>
          <w:color w:val="5F5F5F"/>
          <w:sz w:val="18"/>
          <w:szCs w:val="18"/>
        </w:rPr>
      </w:pPr>
      <w:r>
        <w:rPr>
          <w:rFonts w:ascii="Arial" w:hAnsi="Arial" w:cs="Arial"/>
          <w:i/>
          <w:iCs/>
          <w:color w:val="5F5F5F"/>
          <w:sz w:val="18"/>
          <w:szCs w:val="18"/>
        </w:rPr>
        <w:t>Cautionary Note Regarding Forward-Looking Statements: All matters discussed in this press release, except for any historical data, are forward-looking statements. Forward-looking statements involve risks and uncertainties that could cause actual results to differ materially from those in the forward-looking statements. These include, but are not limited to, economic conditions and trends in the semiconductor industry generally and the timing of the industry cycles specifically, currency fluctuations, corporate transactions, financing and liquidity matters, the success of restructurings, the timing of significant orders, market acceptance of new products, competitive factors, litigation involving intellectual property, shareholders or other issues, commercial and economic disruption due to natural disasters, terrorist activity, armed conflict or political instability,</w:t>
      </w:r>
      <w:r>
        <w:rPr>
          <w:rFonts w:ascii="Arial" w:hAnsi="Arial" w:cs="Arial"/>
          <w:color w:val="5F5F5F"/>
          <w:sz w:val="18"/>
          <w:szCs w:val="18"/>
        </w:rPr>
        <w:t xml:space="preserve"> </w:t>
      </w:r>
      <w:r w:rsidRPr="006C3DEA">
        <w:rPr>
          <w:rFonts w:ascii="Arial" w:hAnsi="Arial" w:cs="Arial"/>
          <w:i/>
          <w:iCs/>
          <w:color w:val="5F5F5F"/>
          <w:sz w:val="18"/>
          <w:szCs w:val="18"/>
        </w:rPr>
        <w:t>changes in import/export regulations</w:t>
      </w:r>
      <w:r>
        <w:rPr>
          <w:rFonts w:ascii="Arial" w:hAnsi="Arial" w:cs="Arial"/>
          <w:i/>
          <w:iCs/>
          <w:color w:val="5F5F5F"/>
          <w:sz w:val="18"/>
          <w:szCs w:val="18"/>
        </w:rPr>
        <w:t>, epidemics and other risks indicated in the Company's reports and financial statements. The Company assumes no obligation nor intends to update or revise any forward-looking statements to reflect future developments or circumstances.</w:t>
      </w:r>
    </w:p>
    <w:p w:rsidR="00AE1E7C" w:rsidRDefault="00AE1E7C" w:rsidP="00E97766">
      <w:pPr>
        <w:pStyle w:val="NormalWeb"/>
        <w:spacing w:before="0" w:beforeAutospacing="0" w:after="0" w:afterAutospacing="0" w:line="288" w:lineRule="auto"/>
        <w:jc w:val="both"/>
        <w:rPr>
          <w:rStyle w:val="Emphasis"/>
          <w:rFonts w:ascii="Arial" w:hAnsi="Arial" w:cs="Arial"/>
          <w:color w:val="5F5F5F"/>
          <w:sz w:val="18"/>
          <w:szCs w:val="18"/>
        </w:rPr>
      </w:pPr>
    </w:p>
    <w:p w:rsidR="00AE1E7C" w:rsidRPr="00507EBF" w:rsidRDefault="00AE1E7C" w:rsidP="00AE1E7C">
      <w:pPr>
        <w:jc w:val="both"/>
        <w:rPr>
          <w:rFonts w:ascii="Arial" w:hAnsi="Arial" w:cs="Arial"/>
          <w:bCs/>
          <w:i/>
          <w:iCs/>
          <w:color w:val="595959" w:themeColor="text1" w:themeTint="A6"/>
          <w:sz w:val="18"/>
          <w:szCs w:val="18"/>
        </w:rPr>
      </w:pPr>
      <w:r w:rsidRPr="00507EBF">
        <w:rPr>
          <w:rFonts w:ascii="Arial" w:hAnsi="Arial" w:cs="Arial"/>
          <w:bCs/>
          <w:i/>
          <w:iCs/>
          <w:color w:val="595959" w:themeColor="text1" w:themeTint="A6"/>
          <w:sz w:val="18"/>
          <w:szCs w:val="18"/>
        </w:rPr>
        <w:t>This press release contains inside information within the meaning of Article 7(1) of the EU Market Abuse Regulation.</w:t>
      </w:r>
    </w:p>
    <w:p w:rsidR="00AE1E7C" w:rsidRDefault="00AE1E7C" w:rsidP="00E97766">
      <w:pPr>
        <w:pStyle w:val="NormalWeb"/>
        <w:spacing w:before="0" w:beforeAutospacing="0" w:after="0" w:afterAutospacing="0" w:line="288" w:lineRule="auto"/>
        <w:jc w:val="both"/>
        <w:rPr>
          <w:sz w:val="20"/>
          <w:szCs w:val="20"/>
        </w:rPr>
      </w:pPr>
    </w:p>
    <w:p w:rsidR="000C4A81" w:rsidRPr="000C4A81" w:rsidRDefault="000C4A81" w:rsidP="009D19EF">
      <w:pPr>
        <w:jc w:val="both"/>
        <w:rPr>
          <w:rFonts w:ascii="Arial"/>
          <w:color w:val="4A4345"/>
          <w:sz w:val="18"/>
        </w:rPr>
      </w:pPr>
    </w:p>
    <w:p w:rsidR="00404EAA" w:rsidRDefault="00404EAA" w:rsidP="009D19EF">
      <w:pPr>
        <w:tabs>
          <w:tab w:val="right" w:pos="9060"/>
          <w:tab w:val="left" w:pos="9360"/>
        </w:tabs>
        <w:spacing w:after="200" w:line="280" w:lineRule="atLeast"/>
        <w:rPr>
          <w:rFonts w:ascii="Arial"/>
        </w:rPr>
      </w:pPr>
      <w:r>
        <w:rPr>
          <w:rFonts w:ascii="Arial"/>
          <w:b/>
          <w:color w:val="EE0024"/>
        </w:rPr>
        <w:t>CONTACT</w:t>
      </w:r>
    </w:p>
    <w:p w:rsidR="00404EAA" w:rsidRDefault="00404EAA" w:rsidP="009D19EF">
      <w:pPr>
        <w:tabs>
          <w:tab w:val="right" w:pos="9060"/>
          <w:tab w:val="left" w:pos="9360"/>
        </w:tabs>
        <w:spacing w:line="280" w:lineRule="atLeast"/>
        <w:rPr>
          <w:rFonts w:ascii="Arial"/>
          <w:b/>
          <w:color w:val="4A4345"/>
          <w:sz w:val="18"/>
        </w:rPr>
      </w:pPr>
      <w:r>
        <w:rPr>
          <w:rFonts w:ascii="Arial"/>
          <w:b/>
          <w:color w:val="4A4345"/>
          <w:sz w:val="18"/>
        </w:rPr>
        <w:t xml:space="preserve">Investor </w:t>
      </w:r>
      <w:r w:rsidR="00A213BA">
        <w:rPr>
          <w:rFonts w:ascii="Arial"/>
          <w:b/>
          <w:color w:val="4A4345"/>
          <w:sz w:val="18"/>
        </w:rPr>
        <w:t xml:space="preserve">and media </w:t>
      </w:r>
      <w:r>
        <w:rPr>
          <w:rFonts w:ascii="Arial"/>
          <w:b/>
          <w:color w:val="4A4345"/>
          <w:sz w:val="18"/>
        </w:rPr>
        <w:t>contact:</w:t>
      </w:r>
    </w:p>
    <w:p w:rsidR="00404EAA" w:rsidRPr="00962312" w:rsidRDefault="00404EAA" w:rsidP="007E26B8">
      <w:pPr>
        <w:spacing w:line="280" w:lineRule="atLeast"/>
        <w:rPr>
          <w:rFonts w:ascii="Arial"/>
          <w:color w:val="4A4345"/>
          <w:sz w:val="18"/>
        </w:rPr>
      </w:pPr>
      <w:r w:rsidRPr="00962312">
        <w:rPr>
          <w:rFonts w:ascii="Arial" w:eastAsia="Arial" w:hAnsi="Arial" w:cs="Arial"/>
          <w:color w:val="4A4345"/>
          <w:sz w:val="18"/>
        </w:rPr>
        <w:t>Victor Bareño</w:t>
      </w:r>
    </w:p>
    <w:p w:rsidR="00404EAA" w:rsidRPr="00962312" w:rsidRDefault="00962312" w:rsidP="007E26B8">
      <w:pPr>
        <w:spacing w:line="280" w:lineRule="atLeast"/>
        <w:rPr>
          <w:rFonts w:ascii="Arial"/>
          <w:color w:val="4A4345"/>
          <w:sz w:val="18"/>
        </w:rPr>
      </w:pPr>
      <w:r w:rsidRPr="00962312">
        <w:rPr>
          <w:rFonts w:ascii="Arial"/>
          <w:color w:val="4A4345"/>
          <w:sz w:val="18"/>
        </w:rPr>
        <w:t>T: +31 88 100 8500</w:t>
      </w:r>
    </w:p>
    <w:p w:rsidR="00466D35" w:rsidRPr="00962312" w:rsidRDefault="00404EAA" w:rsidP="00675200">
      <w:pPr>
        <w:spacing w:line="280" w:lineRule="atLeast"/>
        <w:rPr>
          <w:color w:val="4A4345"/>
        </w:rPr>
      </w:pPr>
      <w:r w:rsidRPr="00962312">
        <w:rPr>
          <w:rFonts w:ascii="Arial" w:hAnsi="Arial" w:cs="Arial"/>
          <w:color w:val="4A4345"/>
          <w:sz w:val="18"/>
          <w:szCs w:val="18"/>
        </w:rPr>
        <w:t xml:space="preserve">E: </w:t>
      </w:r>
      <w:hyperlink r:id="rId10" w:history="1">
        <w:r w:rsidR="00E478EB" w:rsidRPr="00962312">
          <w:rPr>
            <w:rStyle w:val="Hyperlink"/>
            <w:rFonts w:ascii="Arial" w:hAnsi="Arial" w:cs="Arial"/>
            <w:sz w:val="18"/>
            <w:szCs w:val="18"/>
          </w:rPr>
          <w:t>victor.bareno@asm.com</w:t>
        </w:r>
      </w:hyperlink>
    </w:p>
    <w:sectPr w:rsidR="00466D35" w:rsidRPr="00962312" w:rsidSect="00E635FD">
      <w:headerReference w:type="default" r:id="rId11"/>
      <w:footerReference w:type="default" r:id="rId12"/>
      <w:pgSz w:w="11906" w:h="16838" w:code="9"/>
      <w:pgMar w:top="1843" w:right="1361" w:bottom="1021" w:left="136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17C" w:rsidRDefault="00EA617C" w:rsidP="004044AE">
      <w:r>
        <w:separator/>
      </w:r>
    </w:p>
  </w:endnote>
  <w:endnote w:type="continuationSeparator" w:id="0">
    <w:p w:rsidR="00EA617C" w:rsidRDefault="00EA617C" w:rsidP="0040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E76" w:rsidRDefault="00735E76" w:rsidP="00735E76">
    <w:pPr>
      <w:spacing w:line="288" w:lineRule="auto"/>
      <w:jc w:val="right"/>
    </w:pPr>
    <w:r>
      <w:pgNum/>
    </w:r>
    <w:r w:rsidR="005D5CFC">
      <w:t xml:space="preserve"> of </w:t>
    </w:r>
    <w:r w:rsidR="00E635FD">
      <w:t>1</w:t>
    </w:r>
  </w:p>
  <w:p w:rsidR="00372CF8" w:rsidRPr="00735E76" w:rsidRDefault="00372CF8" w:rsidP="00735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17C" w:rsidRDefault="00EA617C" w:rsidP="004044AE">
      <w:r>
        <w:separator/>
      </w:r>
    </w:p>
  </w:footnote>
  <w:footnote w:type="continuationSeparator" w:id="0">
    <w:p w:rsidR="00EA617C" w:rsidRDefault="00EA617C" w:rsidP="0040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4AE" w:rsidRDefault="00B85098">
    <w:pPr>
      <w:pStyle w:val="Header"/>
    </w:pPr>
    <w:r>
      <w:rPr>
        <w:noProof/>
      </w:rPr>
      <w:drawing>
        <wp:anchor distT="0" distB="0" distL="114300" distR="114300" simplePos="0" relativeHeight="251658240" behindDoc="1" locked="1" layoutInCell="1" allowOverlap="1" wp14:anchorId="63BFE79E" wp14:editId="54258F62">
          <wp:simplePos x="0" y="0"/>
          <wp:positionH relativeFrom="page">
            <wp:posOffset>0</wp:posOffset>
          </wp:positionH>
          <wp:positionV relativeFrom="page">
            <wp:posOffset>0</wp:posOffset>
          </wp:positionV>
          <wp:extent cx="7560000" cy="1404000"/>
          <wp:effectExtent l="0" t="0" r="317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ing pressrelease ASM internatio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66AA0"/>
    <w:multiLevelType w:val="hybridMultilevel"/>
    <w:tmpl w:val="AE4635D8"/>
    <w:lvl w:ilvl="0" w:tplc="318ACFAA">
      <w:start w:val="1"/>
      <w:numFmt w:val="bullet"/>
      <w:lvlText w:val="•"/>
      <w:lvlJc w:val="left"/>
    </w:lvl>
    <w:lvl w:ilvl="1" w:tplc="30741AB2">
      <w:numFmt w:val="decimal"/>
      <w:lvlText w:val=""/>
      <w:lvlJc w:val="left"/>
    </w:lvl>
    <w:lvl w:ilvl="2" w:tplc="96E8D45C">
      <w:numFmt w:val="decimal"/>
      <w:lvlText w:val=""/>
      <w:lvlJc w:val="left"/>
    </w:lvl>
    <w:lvl w:ilvl="3" w:tplc="64C0957E">
      <w:numFmt w:val="decimal"/>
      <w:lvlText w:val=""/>
      <w:lvlJc w:val="left"/>
    </w:lvl>
    <w:lvl w:ilvl="4" w:tplc="750E257A">
      <w:numFmt w:val="decimal"/>
      <w:lvlText w:val=""/>
      <w:lvlJc w:val="left"/>
    </w:lvl>
    <w:lvl w:ilvl="5" w:tplc="30CEB122">
      <w:numFmt w:val="decimal"/>
      <w:lvlText w:val=""/>
      <w:lvlJc w:val="left"/>
    </w:lvl>
    <w:lvl w:ilvl="6" w:tplc="E938C838">
      <w:numFmt w:val="decimal"/>
      <w:lvlText w:val=""/>
      <w:lvlJc w:val="left"/>
    </w:lvl>
    <w:lvl w:ilvl="7" w:tplc="8D84ADEE">
      <w:numFmt w:val="decimal"/>
      <w:lvlText w:val=""/>
      <w:lvlJc w:val="left"/>
    </w:lvl>
    <w:lvl w:ilvl="8" w:tplc="211A4B7A">
      <w:numFmt w:val="decimal"/>
      <w:lvlText w:val=""/>
      <w:lvlJc w:val="left"/>
    </w:lvl>
  </w:abstractNum>
  <w:abstractNum w:abstractNumId="1" w15:restartNumberingAfterBreak="0">
    <w:nsid w:val="1B8E4E2F"/>
    <w:multiLevelType w:val="hybridMultilevel"/>
    <w:tmpl w:val="52D88E9A"/>
    <w:lvl w:ilvl="0" w:tplc="113204CA">
      <w:start w:val="1"/>
      <w:numFmt w:val="bullet"/>
      <w:lvlText w:val="•"/>
      <w:lvlJc w:val="left"/>
    </w:lvl>
    <w:lvl w:ilvl="1" w:tplc="F566F388">
      <w:numFmt w:val="decimal"/>
      <w:lvlText w:val=""/>
      <w:lvlJc w:val="left"/>
    </w:lvl>
    <w:lvl w:ilvl="2" w:tplc="601221FC">
      <w:numFmt w:val="decimal"/>
      <w:lvlText w:val=""/>
      <w:lvlJc w:val="left"/>
    </w:lvl>
    <w:lvl w:ilvl="3" w:tplc="05C25638">
      <w:numFmt w:val="decimal"/>
      <w:lvlText w:val=""/>
      <w:lvlJc w:val="left"/>
    </w:lvl>
    <w:lvl w:ilvl="4" w:tplc="15B8A7FE">
      <w:numFmt w:val="decimal"/>
      <w:lvlText w:val=""/>
      <w:lvlJc w:val="left"/>
    </w:lvl>
    <w:lvl w:ilvl="5" w:tplc="2720606C">
      <w:numFmt w:val="decimal"/>
      <w:lvlText w:val=""/>
      <w:lvlJc w:val="left"/>
    </w:lvl>
    <w:lvl w:ilvl="6" w:tplc="86B4325E">
      <w:numFmt w:val="decimal"/>
      <w:lvlText w:val=""/>
      <w:lvlJc w:val="left"/>
    </w:lvl>
    <w:lvl w:ilvl="7" w:tplc="8D50DFAE">
      <w:numFmt w:val="decimal"/>
      <w:lvlText w:val=""/>
      <w:lvlJc w:val="left"/>
    </w:lvl>
    <w:lvl w:ilvl="8" w:tplc="C90C835C">
      <w:numFmt w:val="decimal"/>
      <w:lvlText w:val=""/>
      <w:lvlJc w:val="left"/>
    </w:lvl>
  </w:abstractNum>
  <w:abstractNum w:abstractNumId="2" w15:restartNumberingAfterBreak="0">
    <w:nsid w:val="1CC91229"/>
    <w:multiLevelType w:val="hybridMultilevel"/>
    <w:tmpl w:val="CEAADABE"/>
    <w:lvl w:ilvl="0" w:tplc="44221B1E">
      <w:start w:val="1"/>
      <w:numFmt w:val="bullet"/>
      <w:lvlText w:val="•"/>
      <w:lvlJc w:val="left"/>
    </w:lvl>
    <w:lvl w:ilvl="1" w:tplc="ABDCACD4">
      <w:numFmt w:val="decimal"/>
      <w:lvlText w:val=""/>
      <w:lvlJc w:val="left"/>
    </w:lvl>
    <w:lvl w:ilvl="2" w:tplc="EE5E25F4">
      <w:numFmt w:val="decimal"/>
      <w:lvlText w:val=""/>
      <w:lvlJc w:val="left"/>
    </w:lvl>
    <w:lvl w:ilvl="3" w:tplc="69CA06E8">
      <w:numFmt w:val="decimal"/>
      <w:lvlText w:val=""/>
      <w:lvlJc w:val="left"/>
    </w:lvl>
    <w:lvl w:ilvl="4" w:tplc="2EBC557C">
      <w:numFmt w:val="decimal"/>
      <w:lvlText w:val=""/>
      <w:lvlJc w:val="left"/>
    </w:lvl>
    <w:lvl w:ilvl="5" w:tplc="0C627C6E">
      <w:numFmt w:val="decimal"/>
      <w:lvlText w:val=""/>
      <w:lvlJc w:val="left"/>
    </w:lvl>
    <w:lvl w:ilvl="6" w:tplc="2FB6ABF0">
      <w:numFmt w:val="decimal"/>
      <w:lvlText w:val=""/>
      <w:lvlJc w:val="left"/>
    </w:lvl>
    <w:lvl w:ilvl="7" w:tplc="CBDA0896">
      <w:numFmt w:val="decimal"/>
      <w:lvlText w:val=""/>
      <w:lvlJc w:val="left"/>
    </w:lvl>
    <w:lvl w:ilvl="8" w:tplc="CF76736A">
      <w:numFmt w:val="decimal"/>
      <w:lvlText w:val=""/>
      <w:lvlJc w:val="left"/>
    </w:lvl>
  </w:abstractNum>
  <w:abstractNum w:abstractNumId="3" w15:restartNumberingAfterBreak="0">
    <w:nsid w:val="29BE2000"/>
    <w:multiLevelType w:val="hybridMultilevel"/>
    <w:tmpl w:val="B2B665F8"/>
    <w:lvl w:ilvl="0" w:tplc="8A382024">
      <w:start w:val="1"/>
      <w:numFmt w:val="bullet"/>
      <w:pStyle w:val="BulletedTex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D06B73"/>
    <w:multiLevelType w:val="hybridMultilevel"/>
    <w:tmpl w:val="E1E0E720"/>
    <w:lvl w:ilvl="0" w:tplc="4D3EB6EC">
      <w:start w:val="1"/>
      <w:numFmt w:val="bullet"/>
      <w:lvlText w:val="•"/>
      <w:lvlJc w:val="left"/>
    </w:lvl>
    <w:lvl w:ilvl="1" w:tplc="14A69276">
      <w:numFmt w:val="decimal"/>
      <w:lvlText w:val=""/>
      <w:lvlJc w:val="left"/>
    </w:lvl>
    <w:lvl w:ilvl="2" w:tplc="4270431C">
      <w:numFmt w:val="decimal"/>
      <w:lvlText w:val=""/>
      <w:lvlJc w:val="left"/>
    </w:lvl>
    <w:lvl w:ilvl="3" w:tplc="D4E63698">
      <w:numFmt w:val="decimal"/>
      <w:lvlText w:val=""/>
      <w:lvlJc w:val="left"/>
    </w:lvl>
    <w:lvl w:ilvl="4" w:tplc="D06C7288">
      <w:numFmt w:val="decimal"/>
      <w:lvlText w:val=""/>
      <w:lvlJc w:val="left"/>
    </w:lvl>
    <w:lvl w:ilvl="5" w:tplc="2E1A20EC">
      <w:numFmt w:val="decimal"/>
      <w:lvlText w:val=""/>
      <w:lvlJc w:val="left"/>
    </w:lvl>
    <w:lvl w:ilvl="6" w:tplc="7E529858">
      <w:numFmt w:val="decimal"/>
      <w:lvlText w:val=""/>
      <w:lvlJc w:val="left"/>
    </w:lvl>
    <w:lvl w:ilvl="7" w:tplc="EA4AD4BE">
      <w:numFmt w:val="decimal"/>
      <w:lvlText w:val=""/>
      <w:lvlJc w:val="left"/>
    </w:lvl>
    <w:lvl w:ilvl="8" w:tplc="1FF41530">
      <w:numFmt w:val="decimal"/>
      <w:lvlText w:val=""/>
      <w:lvlJc w:val="left"/>
    </w:lvl>
  </w:abstractNum>
  <w:abstractNum w:abstractNumId="5" w15:restartNumberingAfterBreak="0">
    <w:nsid w:val="4A5573B2"/>
    <w:multiLevelType w:val="hybridMultilevel"/>
    <w:tmpl w:val="7EAE41AA"/>
    <w:lvl w:ilvl="0" w:tplc="A642DFE6">
      <w:start w:val="1"/>
      <w:numFmt w:val="bullet"/>
      <w:lvlText w:val="•"/>
      <w:lvlJc w:val="left"/>
    </w:lvl>
    <w:lvl w:ilvl="1" w:tplc="FBAECB8A">
      <w:numFmt w:val="decimal"/>
      <w:lvlText w:val=""/>
      <w:lvlJc w:val="left"/>
    </w:lvl>
    <w:lvl w:ilvl="2" w:tplc="0D4C8856">
      <w:numFmt w:val="decimal"/>
      <w:lvlText w:val=""/>
      <w:lvlJc w:val="left"/>
    </w:lvl>
    <w:lvl w:ilvl="3" w:tplc="E49CF2C6">
      <w:numFmt w:val="decimal"/>
      <w:lvlText w:val=""/>
      <w:lvlJc w:val="left"/>
    </w:lvl>
    <w:lvl w:ilvl="4" w:tplc="56A68D68">
      <w:numFmt w:val="decimal"/>
      <w:lvlText w:val=""/>
      <w:lvlJc w:val="left"/>
    </w:lvl>
    <w:lvl w:ilvl="5" w:tplc="77A45E64">
      <w:numFmt w:val="decimal"/>
      <w:lvlText w:val=""/>
      <w:lvlJc w:val="left"/>
    </w:lvl>
    <w:lvl w:ilvl="6" w:tplc="AADC3566">
      <w:numFmt w:val="decimal"/>
      <w:lvlText w:val=""/>
      <w:lvlJc w:val="left"/>
    </w:lvl>
    <w:lvl w:ilvl="7" w:tplc="E2B855C8">
      <w:numFmt w:val="decimal"/>
      <w:lvlText w:val=""/>
      <w:lvlJc w:val="left"/>
    </w:lvl>
    <w:lvl w:ilvl="8" w:tplc="2AB4B2D6">
      <w:numFmt w:val="decimal"/>
      <w:lvlText w:val=""/>
      <w:lvlJc w:val="left"/>
    </w:lvl>
  </w:abstractNum>
  <w:abstractNum w:abstractNumId="6" w15:restartNumberingAfterBreak="0">
    <w:nsid w:val="5B853B0D"/>
    <w:multiLevelType w:val="hybridMultilevel"/>
    <w:tmpl w:val="40F671B0"/>
    <w:lvl w:ilvl="0" w:tplc="DB68C9BA">
      <w:start w:val="1"/>
      <w:numFmt w:val="bullet"/>
      <w:lvlText w:val="•"/>
      <w:lvlJc w:val="left"/>
    </w:lvl>
    <w:lvl w:ilvl="1" w:tplc="62A48F9A">
      <w:numFmt w:val="decimal"/>
      <w:lvlText w:val=""/>
      <w:lvlJc w:val="left"/>
    </w:lvl>
    <w:lvl w:ilvl="2" w:tplc="9D648A0C">
      <w:numFmt w:val="decimal"/>
      <w:lvlText w:val=""/>
      <w:lvlJc w:val="left"/>
    </w:lvl>
    <w:lvl w:ilvl="3" w:tplc="7A6279FE">
      <w:numFmt w:val="decimal"/>
      <w:lvlText w:val=""/>
      <w:lvlJc w:val="left"/>
    </w:lvl>
    <w:lvl w:ilvl="4" w:tplc="6B54FF24">
      <w:numFmt w:val="decimal"/>
      <w:lvlText w:val=""/>
      <w:lvlJc w:val="left"/>
    </w:lvl>
    <w:lvl w:ilvl="5" w:tplc="A3CC5284">
      <w:numFmt w:val="decimal"/>
      <w:lvlText w:val=""/>
      <w:lvlJc w:val="left"/>
    </w:lvl>
    <w:lvl w:ilvl="6" w:tplc="2580E6AE">
      <w:numFmt w:val="decimal"/>
      <w:lvlText w:val=""/>
      <w:lvlJc w:val="left"/>
    </w:lvl>
    <w:lvl w:ilvl="7" w:tplc="3530B9D2">
      <w:numFmt w:val="decimal"/>
      <w:lvlText w:val=""/>
      <w:lvlJc w:val="left"/>
    </w:lvl>
    <w:lvl w:ilvl="8" w:tplc="3320A8C0">
      <w:numFmt w:val="decimal"/>
      <w:lvlText w:val=""/>
      <w:lvlJc w:val="left"/>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jnhorizontaal" w:val="cm"/>
    <w:docVar w:name="lijnverticaal" w:val="cm"/>
  </w:docVars>
  <w:rsids>
    <w:rsidRoot w:val="002E245D"/>
    <w:rsid w:val="00003CA9"/>
    <w:rsid w:val="00005135"/>
    <w:rsid w:val="00010E42"/>
    <w:rsid w:val="000110EA"/>
    <w:rsid w:val="00011FBD"/>
    <w:rsid w:val="0001446D"/>
    <w:rsid w:val="00022144"/>
    <w:rsid w:val="00023787"/>
    <w:rsid w:val="00041745"/>
    <w:rsid w:val="0004337C"/>
    <w:rsid w:val="00045B73"/>
    <w:rsid w:val="00045F88"/>
    <w:rsid w:val="00051335"/>
    <w:rsid w:val="000550A0"/>
    <w:rsid w:val="00074EA0"/>
    <w:rsid w:val="00082C06"/>
    <w:rsid w:val="000A2661"/>
    <w:rsid w:val="000B6CAD"/>
    <w:rsid w:val="000C11CA"/>
    <w:rsid w:val="000C1E5C"/>
    <w:rsid w:val="000C4A81"/>
    <w:rsid w:val="000C683F"/>
    <w:rsid w:val="000D0D55"/>
    <w:rsid w:val="000E1044"/>
    <w:rsid w:val="000E11D8"/>
    <w:rsid w:val="000E443A"/>
    <w:rsid w:val="000E7FB6"/>
    <w:rsid w:val="000F081B"/>
    <w:rsid w:val="000F1675"/>
    <w:rsid w:val="00103FB2"/>
    <w:rsid w:val="00110BF6"/>
    <w:rsid w:val="00112897"/>
    <w:rsid w:val="00117E76"/>
    <w:rsid w:val="001269C5"/>
    <w:rsid w:val="00135B13"/>
    <w:rsid w:val="00136624"/>
    <w:rsid w:val="0015442D"/>
    <w:rsid w:val="00155C5C"/>
    <w:rsid w:val="00161A92"/>
    <w:rsid w:val="00165719"/>
    <w:rsid w:val="00172634"/>
    <w:rsid w:val="001738E4"/>
    <w:rsid w:val="001917DB"/>
    <w:rsid w:val="00196E77"/>
    <w:rsid w:val="001A2408"/>
    <w:rsid w:val="001A7352"/>
    <w:rsid w:val="001B2F12"/>
    <w:rsid w:val="001C0220"/>
    <w:rsid w:val="001C6C68"/>
    <w:rsid w:val="001D585A"/>
    <w:rsid w:val="001E0167"/>
    <w:rsid w:val="001F0BE1"/>
    <w:rsid w:val="001F1D40"/>
    <w:rsid w:val="00203C9E"/>
    <w:rsid w:val="00203ECD"/>
    <w:rsid w:val="00212F80"/>
    <w:rsid w:val="0021630C"/>
    <w:rsid w:val="0023605D"/>
    <w:rsid w:val="00244C61"/>
    <w:rsid w:val="002473AE"/>
    <w:rsid w:val="002479A7"/>
    <w:rsid w:val="00262849"/>
    <w:rsid w:val="0029738D"/>
    <w:rsid w:val="002A2251"/>
    <w:rsid w:val="002B0C09"/>
    <w:rsid w:val="002B0EFD"/>
    <w:rsid w:val="002B119E"/>
    <w:rsid w:val="002B28D8"/>
    <w:rsid w:val="002C0AF6"/>
    <w:rsid w:val="002D3441"/>
    <w:rsid w:val="002D4121"/>
    <w:rsid w:val="002D5C69"/>
    <w:rsid w:val="002E08A4"/>
    <w:rsid w:val="002E245D"/>
    <w:rsid w:val="002F1ECF"/>
    <w:rsid w:val="00316A71"/>
    <w:rsid w:val="00327A2B"/>
    <w:rsid w:val="003506E1"/>
    <w:rsid w:val="00354527"/>
    <w:rsid w:val="00366810"/>
    <w:rsid w:val="003674CF"/>
    <w:rsid w:val="00372893"/>
    <w:rsid w:val="00372CF8"/>
    <w:rsid w:val="003759C7"/>
    <w:rsid w:val="00381BFB"/>
    <w:rsid w:val="0038450A"/>
    <w:rsid w:val="0039014C"/>
    <w:rsid w:val="00392A83"/>
    <w:rsid w:val="00394483"/>
    <w:rsid w:val="003A0F0B"/>
    <w:rsid w:val="003C2C9B"/>
    <w:rsid w:val="003C5FD7"/>
    <w:rsid w:val="003D1ECF"/>
    <w:rsid w:val="003D60C2"/>
    <w:rsid w:val="003E3C68"/>
    <w:rsid w:val="003E5B8E"/>
    <w:rsid w:val="003F17A6"/>
    <w:rsid w:val="003F4866"/>
    <w:rsid w:val="004044AE"/>
    <w:rsid w:val="00404EAA"/>
    <w:rsid w:val="004104F0"/>
    <w:rsid w:val="00415443"/>
    <w:rsid w:val="00426EFE"/>
    <w:rsid w:val="004319EE"/>
    <w:rsid w:val="00437BFF"/>
    <w:rsid w:val="0045299A"/>
    <w:rsid w:val="00464467"/>
    <w:rsid w:val="00466D35"/>
    <w:rsid w:val="00471FF3"/>
    <w:rsid w:val="00474373"/>
    <w:rsid w:val="00476C4C"/>
    <w:rsid w:val="00481416"/>
    <w:rsid w:val="00484B1F"/>
    <w:rsid w:val="004903B4"/>
    <w:rsid w:val="004A11F9"/>
    <w:rsid w:val="004A46BA"/>
    <w:rsid w:val="004A4D76"/>
    <w:rsid w:val="004B4E91"/>
    <w:rsid w:val="004C0B2E"/>
    <w:rsid w:val="004C3E3A"/>
    <w:rsid w:val="004C44BB"/>
    <w:rsid w:val="004C62E0"/>
    <w:rsid w:val="004E011C"/>
    <w:rsid w:val="004E0A19"/>
    <w:rsid w:val="005223B4"/>
    <w:rsid w:val="005247C7"/>
    <w:rsid w:val="00525739"/>
    <w:rsid w:val="00530828"/>
    <w:rsid w:val="005356A5"/>
    <w:rsid w:val="00535E0E"/>
    <w:rsid w:val="005371F5"/>
    <w:rsid w:val="00544B4D"/>
    <w:rsid w:val="0054777B"/>
    <w:rsid w:val="00550420"/>
    <w:rsid w:val="00556DD6"/>
    <w:rsid w:val="005631C5"/>
    <w:rsid w:val="00564301"/>
    <w:rsid w:val="00570426"/>
    <w:rsid w:val="00572DDF"/>
    <w:rsid w:val="00572F16"/>
    <w:rsid w:val="005A2A56"/>
    <w:rsid w:val="005A3C4F"/>
    <w:rsid w:val="005C224F"/>
    <w:rsid w:val="005C40E7"/>
    <w:rsid w:val="005C740C"/>
    <w:rsid w:val="005C7C9F"/>
    <w:rsid w:val="005D1FCE"/>
    <w:rsid w:val="005D29FE"/>
    <w:rsid w:val="005D5CFC"/>
    <w:rsid w:val="005E4C5A"/>
    <w:rsid w:val="005F472F"/>
    <w:rsid w:val="006026AB"/>
    <w:rsid w:val="00604B66"/>
    <w:rsid w:val="00607AF4"/>
    <w:rsid w:val="00614BA1"/>
    <w:rsid w:val="00633445"/>
    <w:rsid w:val="006356A3"/>
    <w:rsid w:val="00643680"/>
    <w:rsid w:val="00643F24"/>
    <w:rsid w:val="006529E9"/>
    <w:rsid w:val="00654FC1"/>
    <w:rsid w:val="00675200"/>
    <w:rsid w:val="00676A9B"/>
    <w:rsid w:val="006861BB"/>
    <w:rsid w:val="006876BE"/>
    <w:rsid w:val="006951BC"/>
    <w:rsid w:val="006B5381"/>
    <w:rsid w:val="006B622F"/>
    <w:rsid w:val="006C2A37"/>
    <w:rsid w:val="006C3DEA"/>
    <w:rsid w:val="006C5DF2"/>
    <w:rsid w:val="006E5D9C"/>
    <w:rsid w:val="007016A2"/>
    <w:rsid w:val="007017FC"/>
    <w:rsid w:val="00701BEE"/>
    <w:rsid w:val="00707D29"/>
    <w:rsid w:val="007209EA"/>
    <w:rsid w:val="00721EF8"/>
    <w:rsid w:val="0072510C"/>
    <w:rsid w:val="00735E76"/>
    <w:rsid w:val="00737A34"/>
    <w:rsid w:val="00740A36"/>
    <w:rsid w:val="007427C3"/>
    <w:rsid w:val="00743A1A"/>
    <w:rsid w:val="00750817"/>
    <w:rsid w:val="0076467A"/>
    <w:rsid w:val="00777067"/>
    <w:rsid w:val="00783EF2"/>
    <w:rsid w:val="007963A1"/>
    <w:rsid w:val="007A2703"/>
    <w:rsid w:val="007A326E"/>
    <w:rsid w:val="007B2423"/>
    <w:rsid w:val="007B45A0"/>
    <w:rsid w:val="007B5BC2"/>
    <w:rsid w:val="007B7C43"/>
    <w:rsid w:val="007C14B7"/>
    <w:rsid w:val="007C197F"/>
    <w:rsid w:val="007C7441"/>
    <w:rsid w:val="007D0475"/>
    <w:rsid w:val="007D224F"/>
    <w:rsid w:val="007D55B0"/>
    <w:rsid w:val="007D5B21"/>
    <w:rsid w:val="007E26B8"/>
    <w:rsid w:val="007F7125"/>
    <w:rsid w:val="00802A25"/>
    <w:rsid w:val="00803885"/>
    <w:rsid w:val="00811434"/>
    <w:rsid w:val="0081622C"/>
    <w:rsid w:val="008178D4"/>
    <w:rsid w:val="0082320D"/>
    <w:rsid w:val="00826909"/>
    <w:rsid w:val="00831397"/>
    <w:rsid w:val="008332A3"/>
    <w:rsid w:val="0083768F"/>
    <w:rsid w:val="008448F7"/>
    <w:rsid w:val="008526C0"/>
    <w:rsid w:val="008563DE"/>
    <w:rsid w:val="00856766"/>
    <w:rsid w:val="00857F91"/>
    <w:rsid w:val="008647D0"/>
    <w:rsid w:val="00895584"/>
    <w:rsid w:val="008A21BF"/>
    <w:rsid w:val="008A2D62"/>
    <w:rsid w:val="008B09EA"/>
    <w:rsid w:val="008B2689"/>
    <w:rsid w:val="008B5A02"/>
    <w:rsid w:val="008C74B0"/>
    <w:rsid w:val="008D23DA"/>
    <w:rsid w:val="008D5934"/>
    <w:rsid w:val="008E3645"/>
    <w:rsid w:val="008E3863"/>
    <w:rsid w:val="008E5AC6"/>
    <w:rsid w:val="008F1E07"/>
    <w:rsid w:val="008F37F7"/>
    <w:rsid w:val="00903750"/>
    <w:rsid w:val="009043F5"/>
    <w:rsid w:val="009046BE"/>
    <w:rsid w:val="0091303E"/>
    <w:rsid w:val="00913FE2"/>
    <w:rsid w:val="00920AE3"/>
    <w:rsid w:val="00921632"/>
    <w:rsid w:val="00940CC8"/>
    <w:rsid w:val="00942E0C"/>
    <w:rsid w:val="0094549F"/>
    <w:rsid w:val="00951C77"/>
    <w:rsid w:val="00962312"/>
    <w:rsid w:val="00965A65"/>
    <w:rsid w:val="00967D5F"/>
    <w:rsid w:val="00975353"/>
    <w:rsid w:val="009824F2"/>
    <w:rsid w:val="00984AE3"/>
    <w:rsid w:val="00995793"/>
    <w:rsid w:val="009C1B50"/>
    <w:rsid w:val="009D1615"/>
    <w:rsid w:val="009D19EF"/>
    <w:rsid w:val="009E4377"/>
    <w:rsid w:val="009F0725"/>
    <w:rsid w:val="00A04D53"/>
    <w:rsid w:val="00A213BA"/>
    <w:rsid w:val="00A21B48"/>
    <w:rsid w:val="00A22276"/>
    <w:rsid w:val="00A232DC"/>
    <w:rsid w:val="00A3549A"/>
    <w:rsid w:val="00A363F9"/>
    <w:rsid w:val="00A40EB7"/>
    <w:rsid w:val="00A45CFF"/>
    <w:rsid w:val="00A537C8"/>
    <w:rsid w:val="00A548B3"/>
    <w:rsid w:val="00A57058"/>
    <w:rsid w:val="00A66317"/>
    <w:rsid w:val="00A7132B"/>
    <w:rsid w:val="00A77E32"/>
    <w:rsid w:val="00A90E7F"/>
    <w:rsid w:val="00A912E6"/>
    <w:rsid w:val="00A941D4"/>
    <w:rsid w:val="00A9740F"/>
    <w:rsid w:val="00A97B5A"/>
    <w:rsid w:val="00AA3110"/>
    <w:rsid w:val="00AB6CE3"/>
    <w:rsid w:val="00AB6E17"/>
    <w:rsid w:val="00AD0DA6"/>
    <w:rsid w:val="00AE1E7C"/>
    <w:rsid w:val="00AE2578"/>
    <w:rsid w:val="00AE4C4B"/>
    <w:rsid w:val="00B03F5C"/>
    <w:rsid w:val="00B10197"/>
    <w:rsid w:val="00B12E77"/>
    <w:rsid w:val="00B12E93"/>
    <w:rsid w:val="00B31C35"/>
    <w:rsid w:val="00B37305"/>
    <w:rsid w:val="00B51DD6"/>
    <w:rsid w:val="00B52571"/>
    <w:rsid w:val="00B54C09"/>
    <w:rsid w:val="00B733BC"/>
    <w:rsid w:val="00B773ED"/>
    <w:rsid w:val="00B7794C"/>
    <w:rsid w:val="00B83F65"/>
    <w:rsid w:val="00B85098"/>
    <w:rsid w:val="00B87C6E"/>
    <w:rsid w:val="00B94DF5"/>
    <w:rsid w:val="00B95EFA"/>
    <w:rsid w:val="00BA0E79"/>
    <w:rsid w:val="00BA5A70"/>
    <w:rsid w:val="00BB283B"/>
    <w:rsid w:val="00BB459C"/>
    <w:rsid w:val="00BB535C"/>
    <w:rsid w:val="00BB7E0F"/>
    <w:rsid w:val="00BC295C"/>
    <w:rsid w:val="00BC7044"/>
    <w:rsid w:val="00BD53FA"/>
    <w:rsid w:val="00BD7E60"/>
    <w:rsid w:val="00BE0146"/>
    <w:rsid w:val="00BF6D9B"/>
    <w:rsid w:val="00BF7745"/>
    <w:rsid w:val="00C0140F"/>
    <w:rsid w:val="00C039CB"/>
    <w:rsid w:val="00C04376"/>
    <w:rsid w:val="00C07CDA"/>
    <w:rsid w:val="00C142B7"/>
    <w:rsid w:val="00C2228C"/>
    <w:rsid w:val="00C22536"/>
    <w:rsid w:val="00C2312B"/>
    <w:rsid w:val="00C2401C"/>
    <w:rsid w:val="00C52165"/>
    <w:rsid w:val="00C6082C"/>
    <w:rsid w:val="00C73D8F"/>
    <w:rsid w:val="00C76FC7"/>
    <w:rsid w:val="00CB03E1"/>
    <w:rsid w:val="00CD09B1"/>
    <w:rsid w:val="00CD3E7F"/>
    <w:rsid w:val="00CE22CB"/>
    <w:rsid w:val="00CF18B1"/>
    <w:rsid w:val="00D0731A"/>
    <w:rsid w:val="00D14447"/>
    <w:rsid w:val="00D14E40"/>
    <w:rsid w:val="00D17DA5"/>
    <w:rsid w:val="00D24715"/>
    <w:rsid w:val="00D3006A"/>
    <w:rsid w:val="00D32BC7"/>
    <w:rsid w:val="00D358F2"/>
    <w:rsid w:val="00D44DFA"/>
    <w:rsid w:val="00D50488"/>
    <w:rsid w:val="00D50BF7"/>
    <w:rsid w:val="00D716D7"/>
    <w:rsid w:val="00D7269C"/>
    <w:rsid w:val="00D73580"/>
    <w:rsid w:val="00D7701E"/>
    <w:rsid w:val="00D802E8"/>
    <w:rsid w:val="00D841F2"/>
    <w:rsid w:val="00D93CBD"/>
    <w:rsid w:val="00D960B3"/>
    <w:rsid w:val="00DA1487"/>
    <w:rsid w:val="00DA4F6F"/>
    <w:rsid w:val="00DA6DEF"/>
    <w:rsid w:val="00DC21B0"/>
    <w:rsid w:val="00DC2677"/>
    <w:rsid w:val="00DC7290"/>
    <w:rsid w:val="00DD420D"/>
    <w:rsid w:val="00DE2A4E"/>
    <w:rsid w:val="00DE4286"/>
    <w:rsid w:val="00E11523"/>
    <w:rsid w:val="00E14914"/>
    <w:rsid w:val="00E15AD5"/>
    <w:rsid w:val="00E24012"/>
    <w:rsid w:val="00E241C4"/>
    <w:rsid w:val="00E31F3A"/>
    <w:rsid w:val="00E32467"/>
    <w:rsid w:val="00E3724A"/>
    <w:rsid w:val="00E417F7"/>
    <w:rsid w:val="00E45FD6"/>
    <w:rsid w:val="00E47135"/>
    <w:rsid w:val="00E47749"/>
    <w:rsid w:val="00E478EB"/>
    <w:rsid w:val="00E50190"/>
    <w:rsid w:val="00E57276"/>
    <w:rsid w:val="00E6236F"/>
    <w:rsid w:val="00E635FD"/>
    <w:rsid w:val="00E657A8"/>
    <w:rsid w:val="00E7286C"/>
    <w:rsid w:val="00E74DEF"/>
    <w:rsid w:val="00E94060"/>
    <w:rsid w:val="00E94905"/>
    <w:rsid w:val="00E96D8B"/>
    <w:rsid w:val="00E97766"/>
    <w:rsid w:val="00EA617C"/>
    <w:rsid w:val="00EA675C"/>
    <w:rsid w:val="00EB6FCE"/>
    <w:rsid w:val="00EB7063"/>
    <w:rsid w:val="00ED2003"/>
    <w:rsid w:val="00ED6A48"/>
    <w:rsid w:val="00EF2234"/>
    <w:rsid w:val="00EF46D9"/>
    <w:rsid w:val="00EF6DA4"/>
    <w:rsid w:val="00F276D0"/>
    <w:rsid w:val="00F40758"/>
    <w:rsid w:val="00F44ED4"/>
    <w:rsid w:val="00F47834"/>
    <w:rsid w:val="00F5411B"/>
    <w:rsid w:val="00F618B5"/>
    <w:rsid w:val="00F71DAE"/>
    <w:rsid w:val="00F83E80"/>
    <w:rsid w:val="00F95161"/>
    <w:rsid w:val="00F952F7"/>
    <w:rsid w:val="00FA780C"/>
    <w:rsid w:val="00FB0062"/>
    <w:rsid w:val="00FB00C7"/>
    <w:rsid w:val="00FB18E9"/>
    <w:rsid w:val="00FC30BB"/>
    <w:rsid w:val="00FC6AF7"/>
    <w:rsid w:val="00FD4C43"/>
    <w:rsid w:val="00FE4E7B"/>
    <w:rsid w:val="00FE68D6"/>
    <w:rsid w:val="00FF1CFA"/>
    <w:rsid w:val="00FF5161"/>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87393"/>
    <o:shapelayout v:ext="edit">
      <o:idmap v:ext="edit" data="1"/>
    </o:shapelayout>
  </w:shapeDefaults>
  <w:decimalSymbol w:val="."/>
  <w:listSeparator w:val=";"/>
  <w15:docId w15:val="{D39E2721-8DB0-4AFA-9309-7A83680A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EA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4AE"/>
    <w:pPr>
      <w:tabs>
        <w:tab w:val="center" w:pos="4536"/>
        <w:tab w:val="right" w:pos="9072"/>
      </w:tabs>
    </w:pPr>
  </w:style>
  <w:style w:type="character" w:customStyle="1" w:styleId="HeaderChar">
    <w:name w:val="Header Char"/>
    <w:basedOn w:val="DefaultParagraphFont"/>
    <w:link w:val="Header"/>
    <w:uiPriority w:val="99"/>
    <w:rsid w:val="004044AE"/>
  </w:style>
  <w:style w:type="paragraph" w:styleId="Footer">
    <w:name w:val="footer"/>
    <w:basedOn w:val="Normal"/>
    <w:link w:val="FooterChar"/>
    <w:uiPriority w:val="99"/>
    <w:unhideWhenUsed/>
    <w:rsid w:val="00372CF8"/>
    <w:pPr>
      <w:tabs>
        <w:tab w:val="center" w:pos="4536"/>
        <w:tab w:val="right" w:pos="9072"/>
      </w:tabs>
      <w:jc w:val="right"/>
    </w:pPr>
    <w:rPr>
      <w:sz w:val="14"/>
    </w:rPr>
  </w:style>
  <w:style w:type="character" w:customStyle="1" w:styleId="FooterChar">
    <w:name w:val="Footer Char"/>
    <w:basedOn w:val="DefaultParagraphFont"/>
    <w:link w:val="Footer"/>
    <w:uiPriority w:val="99"/>
    <w:rsid w:val="00372CF8"/>
    <w:rPr>
      <w:rFonts w:ascii="Arial" w:hAnsi="Arial"/>
      <w:color w:val="4A4345"/>
      <w:sz w:val="14"/>
      <w:lang w:val="en-GB"/>
    </w:rPr>
  </w:style>
  <w:style w:type="paragraph" w:styleId="BalloonText">
    <w:name w:val="Balloon Text"/>
    <w:basedOn w:val="Normal"/>
    <w:link w:val="BalloonTextChar"/>
    <w:uiPriority w:val="99"/>
    <w:semiHidden/>
    <w:unhideWhenUsed/>
    <w:rsid w:val="004044AE"/>
    <w:rPr>
      <w:rFonts w:ascii="Tahoma" w:hAnsi="Tahoma" w:cs="Tahoma"/>
      <w:sz w:val="16"/>
      <w:szCs w:val="16"/>
    </w:rPr>
  </w:style>
  <w:style w:type="character" w:customStyle="1" w:styleId="BalloonTextChar">
    <w:name w:val="Balloon Text Char"/>
    <w:basedOn w:val="DefaultParagraphFont"/>
    <w:link w:val="BalloonText"/>
    <w:uiPriority w:val="99"/>
    <w:semiHidden/>
    <w:rsid w:val="004044AE"/>
    <w:rPr>
      <w:rFonts w:ascii="Tahoma" w:hAnsi="Tahoma" w:cs="Tahoma"/>
      <w:sz w:val="16"/>
      <w:szCs w:val="16"/>
    </w:rPr>
  </w:style>
  <w:style w:type="paragraph" w:customStyle="1" w:styleId="Metadata">
    <w:name w:val="_Metadata"/>
    <w:basedOn w:val="Normal"/>
    <w:next w:val="Normal"/>
    <w:qFormat/>
    <w:rsid w:val="009C1B50"/>
    <w:rPr>
      <w:rFonts w:cs="Arial"/>
      <w:b/>
      <w:sz w:val="18"/>
    </w:rPr>
  </w:style>
  <w:style w:type="paragraph" w:customStyle="1" w:styleId="Heading">
    <w:name w:val="_Heading"/>
    <w:basedOn w:val="Normal"/>
    <w:next w:val="SubHeading"/>
    <w:qFormat/>
    <w:rsid w:val="00856766"/>
    <w:pPr>
      <w:spacing w:line="480" w:lineRule="atLeast"/>
    </w:pPr>
    <w:rPr>
      <w:caps/>
      <w:color w:val="9B9195"/>
      <w:sz w:val="40"/>
    </w:rPr>
  </w:style>
  <w:style w:type="paragraph" w:customStyle="1" w:styleId="SubHeading">
    <w:name w:val="_SubHeading"/>
    <w:basedOn w:val="Heading"/>
    <w:next w:val="Normal"/>
    <w:qFormat/>
    <w:rsid w:val="00856766"/>
    <w:pPr>
      <w:spacing w:line="360" w:lineRule="atLeast"/>
    </w:pPr>
    <w:rPr>
      <w:sz w:val="24"/>
    </w:rPr>
  </w:style>
  <w:style w:type="paragraph" w:customStyle="1" w:styleId="Intro">
    <w:name w:val="_Intro"/>
    <w:basedOn w:val="Normal"/>
    <w:qFormat/>
    <w:rsid w:val="00F40758"/>
    <w:pPr>
      <w:spacing w:line="320" w:lineRule="atLeast"/>
    </w:pPr>
    <w:rPr>
      <w:b/>
      <w:color w:val="9B9195"/>
      <w:sz w:val="22"/>
    </w:rPr>
  </w:style>
  <w:style w:type="paragraph" w:customStyle="1" w:styleId="BodyHeading1">
    <w:name w:val="_BodyHeading1"/>
    <w:basedOn w:val="Normal"/>
    <w:next w:val="Normal"/>
    <w:qFormat/>
    <w:rsid w:val="002A2251"/>
    <w:rPr>
      <w:b/>
      <w:caps/>
      <w:color w:val="EE0024"/>
    </w:rPr>
  </w:style>
  <w:style w:type="paragraph" w:customStyle="1" w:styleId="BodyHeading2">
    <w:name w:val="_BodyHeading2"/>
    <w:basedOn w:val="Normal"/>
    <w:next w:val="Normal"/>
    <w:qFormat/>
    <w:rsid w:val="002A2251"/>
    <w:rPr>
      <w:b/>
      <w:color w:val="71676A"/>
    </w:rPr>
  </w:style>
  <w:style w:type="paragraph" w:customStyle="1" w:styleId="BulletedText">
    <w:name w:val="_BulletedText"/>
    <w:basedOn w:val="Normal"/>
    <w:qFormat/>
    <w:rsid w:val="006951BC"/>
    <w:pPr>
      <w:numPr>
        <w:numId w:val="1"/>
      </w:numPr>
      <w:ind w:left="170" w:hanging="170"/>
    </w:pPr>
  </w:style>
  <w:style w:type="paragraph" w:customStyle="1" w:styleId="RedHeading">
    <w:name w:val="_RedHeading"/>
    <w:basedOn w:val="Normal"/>
    <w:next w:val="Normal"/>
    <w:qFormat/>
    <w:rsid w:val="00AB6CE3"/>
    <w:rPr>
      <w:b/>
      <w:caps/>
      <w:color w:val="EE0024"/>
    </w:rPr>
  </w:style>
  <w:style w:type="paragraph" w:customStyle="1" w:styleId="BodyHeading3">
    <w:name w:val="_BodyHeading3"/>
    <w:basedOn w:val="BodyHeading2"/>
    <w:next w:val="Normal"/>
    <w:qFormat/>
    <w:rsid w:val="00AB6CE3"/>
    <w:rPr>
      <w:color w:val="4A4345"/>
      <w:sz w:val="19"/>
    </w:rPr>
  </w:style>
  <w:style w:type="paragraph" w:customStyle="1" w:styleId="SmallText">
    <w:name w:val="_SmallText"/>
    <w:basedOn w:val="BulletedText"/>
    <w:qFormat/>
    <w:rsid w:val="00AB6CE3"/>
    <w:pPr>
      <w:numPr>
        <w:numId w:val="0"/>
      </w:numPr>
      <w:spacing w:line="240" w:lineRule="atLeast"/>
    </w:pPr>
    <w:rPr>
      <w:sz w:val="18"/>
    </w:rPr>
  </w:style>
  <w:style w:type="character" w:customStyle="1" w:styleId="FooterFixed">
    <w:name w:val="_FooterFixed"/>
    <w:basedOn w:val="DefaultParagraphFont"/>
    <w:uiPriority w:val="1"/>
    <w:qFormat/>
    <w:rsid w:val="00A66317"/>
    <w:rPr>
      <w:rFonts w:ascii="Arial" w:hAnsi="Arial"/>
      <w:b/>
      <w:caps/>
      <w:smallCaps w:val="0"/>
      <w:color w:val="9B9195"/>
      <w:sz w:val="14"/>
    </w:rPr>
  </w:style>
  <w:style w:type="character" w:styleId="Hyperlink">
    <w:name w:val="Hyperlink"/>
    <w:basedOn w:val="DefaultParagraphFont"/>
    <w:uiPriority w:val="99"/>
    <w:unhideWhenUsed/>
    <w:rsid w:val="006026AB"/>
    <w:rPr>
      <w:color w:val="4A4345"/>
      <w:u w:val="single"/>
    </w:rPr>
  </w:style>
  <w:style w:type="paragraph" w:customStyle="1" w:styleId="Contact">
    <w:name w:val="_Contact"/>
    <w:basedOn w:val="Normal"/>
    <w:qFormat/>
    <w:rsid w:val="00AB6CE3"/>
    <w:rPr>
      <w:sz w:val="18"/>
      <w:szCs w:val="18"/>
    </w:rPr>
  </w:style>
  <w:style w:type="paragraph" w:customStyle="1" w:styleId="ContactBold">
    <w:name w:val="_ContactBold"/>
    <w:basedOn w:val="Contact"/>
    <w:qFormat/>
    <w:rsid w:val="00AB6CE3"/>
    <w:rPr>
      <w:b/>
    </w:rPr>
  </w:style>
  <w:style w:type="paragraph" w:customStyle="1" w:styleId="AboutAsm">
    <w:name w:val="_AboutAsm"/>
    <w:basedOn w:val="BodyHeading3"/>
    <w:qFormat/>
    <w:rsid w:val="0004337C"/>
    <w:rPr>
      <w:sz w:val="18"/>
    </w:rPr>
  </w:style>
  <w:style w:type="table" w:styleId="TableGrid">
    <w:name w:val="Table Grid"/>
    <w:basedOn w:val="TableNormal"/>
    <w:uiPriority w:val="59"/>
    <w:rsid w:val="00DC2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7766"/>
    <w:rPr>
      <w:b/>
      <w:bCs/>
    </w:rPr>
  </w:style>
  <w:style w:type="paragraph" w:styleId="NormalWeb">
    <w:name w:val="Normal (Web)"/>
    <w:basedOn w:val="Normal"/>
    <w:uiPriority w:val="99"/>
    <w:semiHidden/>
    <w:unhideWhenUsed/>
    <w:rsid w:val="00E97766"/>
    <w:pPr>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E97766"/>
    <w:rPr>
      <w:i/>
      <w:iCs/>
    </w:rPr>
  </w:style>
  <w:style w:type="character" w:styleId="FollowedHyperlink">
    <w:name w:val="FollowedHyperlink"/>
    <w:basedOn w:val="DefaultParagraphFont"/>
    <w:uiPriority w:val="99"/>
    <w:semiHidden/>
    <w:unhideWhenUsed/>
    <w:rsid w:val="00750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3980">
      <w:bodyDiv w:val="1"/>
      <w:marLeft w:val="0"/>
      <w:marRight w:val="0"/>
      <w:marTop w:val="0"/>
      <w:marBottom w:val="0"/>
      <w:divBdr>
        <w:top w:val="none" w:sz="0" w:space="0" w:color="auto"/>
        <w:left w:val="none" w:sz="0" w:space="0" w:color="auto"/>
        <w:bottom w:val="none" w:sz="0" w:space="0" w:color="auto"/>
        <w:right w:val="none" w:sz="0" w:space="0" w:color="auto"/>
      </w:divBdr>
    </w:div>
    <w:div w:id="1042947820">
      <w:bodyDiv w:val="1"/>
      <w:marLeft w:val="0"/>
      <w:marRight w:val="0"/>
      <w:marTop w:val="0"/>
      <w:marBottom w:val="0"/>
      <w:divBdr>
        <w:top w:val="none" w:sz="0" w:space="0" w:color="auto"/>
        <w:left w:val="none" w:sz="0" w:space="0" w:color="auto"/>
        <w:bottom w:val="none" w:sz="0" w:space="0" w:color="auto"/>
        <w:right w:val="none" w:sz="0" w:space="0" w:color="auto"/>
      </w:divBdr>
    </w:div>
    <w:div w:id="1126777361">
      <w:bodyDiv w:val="1"/>
      <w:marLeft w:val="0"/>
      <w:marRight w:val="0"/>
      <w:marTop w:val="0"/>
      <w:marBottom w:val="0"/>
      <w:divBdr>
        <w:top w:val="none" w:sz="0" w:space="0" w:color="auto"/>
        <w:left w:val="none" w:sz="0" w:space="0" w:color="auto"/>
        <w:bottom w:val="none" w:sz="0" w:space="0" w:color="auto"/>
        <w:right w:val="none" w:sz="0" w:space="0" w:color="auto"/>
      </w:divBdr>
    </w:div>
    <w:div w:id="15217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m.com/investors/share-information/share-buy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ctor.bareno@asm.com" TargetMode="External"/><Relationship Id="rId4" Type="http://schemas.openxmlformats.org/officeDocument/2006/relationships/settings" Target="settings.xml"/><Relationship Id="rId9" Type="http://schemas.openxmlformats.org/officeDocument/2006/relationships/hyperlink" Target="http://www.as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ELDH~1\AppData\Local\Temp\7zO7B1E.tmp\Press%20release%20international.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798C5-BF3C-4F05-A01A-DD5AB2FF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international.dotm</Template>
  <TotalTime>1</TotalTime>
  <Pages>1</Pages>
  <Words>455</Words>
  <Characters>2596</Characters>
  <Application>Microsoft Office Word</Application>
  <DocSecurity>4</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ASM</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 Veldhuis</dc:creator>
  <cp:keywords/>
  <dc:description/>
  <cp:lastModifiedBy>Corinne Jongejeugd</cp:lastModifiedBy>
  <cp:revision>2</cp:revision>
  <cp:lastPrinted>2018-02-26T15:46:00Z</cp:lastPrinted>
  <dcterms:created xsi:type="dcterms:W3CDTF">2021-11-29T09:39:00Z</dcterms:created>
  <dcterms:modified xsi:type="dcterms:W3CDTF">2021-11-29T09:39:00Z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2013-04-22T22:00:00Z</vt:filetime>
  </property>
</Properties>
</file>