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76F0" w14:textId="2E860CC5" w:rsidR="008C4FBB" w:rsidRDefault="008C4FBB"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52B62514" w14:textId="77777777" w:rsidR="00802FF4" w:rsidRPr="004922A2" w:rsidRDefault="00802FF4" w:rsidP="00802FF4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922A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LITGRID AB</w:t>
            </w:r>
          </w:p>
          <w:p w14:paraId="1B73908C" w14:textId="1FECD0D8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K</w:t>
            </w:r>
            <w:r w:rsidRPr="0037175C">
              <w:rPr>
                <w:rFonts w:ascii="Tahoma" w:hAnsi="Tahoma" w:cs="Tahoma"/>
                <w:iCs/>
                <w:sz w:val="20"/>
                <w:szCs w:val="20"/>
              </w:rPr>
              <w:t xml:space="preserve">odas </w:t>
            </w:r>
            <w:r w:rsidR="00802FF4" w:rsidRPr="00802FF4">
              <w:rPr>
                <w:rFonts w:ascii="Tahoma" w:hAnsi="Tahoma" w:cs="Tahoma"/>
                <w:iCs/>
                <w:sz w:val="20"/>
                <w:szCs w:val="20"/>
              </w:rPr>
              <w:t>302564383</w:t>
            </w:r>
          </w:p>
          <w:p w14:paraId="3B7D14E4" w14:textId="4ED9BA7B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37175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802FF4" w:rsidRPr="00802FF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Viršuliškių skg. 99B, Vilnius, Lietuva</w:t>
            </w:r>
          </w:p>
          <w:p w14:paraId="489733FD" w14:textId="77777777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37175C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D952DD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7A7DE9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5401ACB2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FD247D">
        <w:rPr>
          <w:rFonts w:ascii="Tahoma" w:hAnsi="Tahoma" w:cs="Tahoma"/>
          <w:b/>
          <w:bCs/>
          <w:sz w:val="20"/>
          <w:szCs w:val="20"/>
          <w:lang w:val="lt-LT"/>
        </w:rPr>
        <w:t>2</w:t>
      </w:r>
      <w:r w:rsidR="00F51BCA">
        <w:rPr>
          <w:rFonts w:ascii="Tahoma" w:hAnsi="Tahoma" w:cs="Tahoma"/>
          <w:b/>
          <w:bCs/>
          <w:sz w:val="20"/>
          <w:szCs w:val="20"/>
          <w:lang w:val="lt-LT"/>
        </w:rPr>
        <w:t>1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7C67">
        <w:rPr>
          <w:rFonts w:ascii="Tahoma" w:hAnsi="Tahoma" w:cs="Tahoma"/>
          <w:b/>
          <w:bCs/>
          <w:sz w:val="20"/>
          <w:szCs w:val="20"/>
          <w:lang w:val="lt-LT"/>
        </w:rPr>
        <w:t>LAPKRIČIO</w:t>
      </w:r>
      <w:r w:rsidR="00A2427A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7C67">
        <w:rPr>
          <w:rFonts w:ascii="Tahoma" w:hAnsi="Tahoma" w:cs="Tahoma"/>
          <w:b/>
          <w:bCs/>
          <w:sz w:val="20"/>
          <w:szCs w:val="20"/>
          <w:lang w:val="lt-LT"/>
        </w:rPr>
        <w:t>17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FD247D">
        <w:rPr>
          <w:rFonts w:ascii="Tahoma" w:hAnsi="Tahoma" w:cs="Tahoma"/>
          <w:b/>
          <w:bCs/>
          <w:sz w:val="20"/>
          <w:szCs w:val="20"/>
          <w:lang w:val="lt-LT"/>
        </w:rPr>
        <w:t>NE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110E40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77777777" w:rsidR="00AA473D" w:rsidRPr="00110E40" w:rsidRDefault="00D232FB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 w:rsidRPr="00D7728D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1D9A200E" w14:textId="591E329C" w:rsidR="00AA473D" w:rsidRPr="00110E40" w:rsidRDefault="00D232FB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D7728D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Asmens kodas / juridinio asmens kodas</w:t>
                </w:r>
              </w:p>
            </w:sdtContent>
          </w:sdt>
        </w:tc>
      </w:tr>
      <w:tr w:rsidR="0076702C" w:rsidRPr="00110E4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38459E98" w14:textId="77777777" w:rsidR="0076702C" w:rsidRPr="00110E40" w:rsidRDefault="00D232FB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D7728D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4EB04C56" w:rsidR="00E830FD" w:rsidRPr="00110E40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Pr="00D7728D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7777777" w:rsidR="00E830FD" w:rsidRPr="00110E40" w:rsidRDefault="005E7C67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5E7C67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124038A3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sekretoriumi išrinkti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Pr="00D7728D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36653FFE" w:rsidR="005D2131" w:rsidRDefault="005E7C67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5E7C67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2F3B044A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Pr="00D7728D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165E3EF4" w:rsidR="005D2131" w:rsidRDefault="005E7C67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5E7C67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6B24177B" w:rsidR="00CD2A13" w:rsidRPr="005E4D46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4110"/>
        <w:gridCol w:w="1219"/>
        <w:gridCol w:w="1333"/>
      </w:tblGrid>
      <w:tr w:rsidR="00CE0CFB" w:rsidRPr="00110E40" w14:paraId="0C3F764C" w14:textId="77777777" w:rsidTr="005A6FDA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4110" w:type="dxa"/>
            <w:vAlign w:val="center"/>
          </w:tcPr>
          <w:p w14:paraId="613F54AE" w14:textId="77777777" w:rsidR="00CE0CFB" w:rsidRPr="00110E40" w:rsidRDefault="00284C65" w:rsidP="00537C87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802FF4" w:rsidRPr="00110E40" w14:paraId="4713EBE7" w14:textId="77777777" w:rsidTr="005A6FDA">
        <w:trPr>
          <w:trHeight w:val="668"/>
        </w:trPr>
        <w:tc>
          <w:tcPr>
            <w:tcW w:w="568" w:type="dxa"/>
            <w:vAlign w:val="center"/>
          </w:tcPr>
          <w:p w14:paraId="4E263C9E" w14:textId="77777777" w:rsidR="00802FF4" w:rsidRPr="00485462" w:rsidRDefault="00802FF4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vAlign w:val="center"/>
          </w:tcPr>
          <w:p w14:paraId="5052CFFE" w14:textId="5FD9C80A" w:rsidR="00A2427A" w:rsidRPr="00327523" w:rsidRDefault="00A2427A" w:rsidP="00A2427A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Dėl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pritarimo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LITGRID AB 202</w:t>
            </w:r>
            <w:r w:rsidRPr="00A2427A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1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m. </w:t>
            </w:r>
            <w:proofErr w:type="spellStart"/>
            <w:r w:rsidR="005E7C67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spalio</w:t>
            </w:r>
            <w:proofErr w:type="spellEnd"/>
            <w:r w:rsidRPr="00A2427A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E7C67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26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 d. 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valdybos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sprendimui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Nr. </w:t>
            </w:r>
            <w:r w:rsidR="005E7C67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4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protokolo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Nr. </w:t>
            </w:r>
            <w:r w:rsidRPr="00A2427A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2</w:t>
            </w:r>
            <w:r w:rsidR="005E7C67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5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)</w:t>
            </w:r>
          </w:p>
          <w:p w14:paraId="2BF06599" w14:textId="4A53E0CF" w:rsidR="00802FF4" w:rsidRDefault="00802FF4" w:rsidP="0079233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vAlign w:val="center"/>
          </w:tcPr>
          <w:p w14:paraId="6D12F01E" w14:textId="77777777" w:rsidR="005E7C67" w:rsidRPr="005E7C67" w:rsidRDefault="005E7C67" w:rsidP="005E7C67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spacing w:after="160" w:line="256" w:lineRule="auto"/>
              <w:ind w:left="29" w:firstLine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Pritarti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ilgalaikio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sukūrimui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„330 kV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linijos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naujo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ruožo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LN531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LN</w:t>
            </w:r>
            <w:r w:rsidRPr="005E7C6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5E7C67">
              <w:rPr>
                <w:rFonts w:ascii="Tahoma" w:hAnsi="Tahoma" w:cs="Tahoma"/>
                <w:sz w:val="20"/>
                <w:szCs w:val="20"/>
              </w:rPr>
              <w:t xml:space="preserve">447 </w:t>
            </w:r>
            <w:proofErr w:type="spellStart"/>
            <w:r w:rsidRPr="005E7C67">
              <w:rPr>
                <w:rFonts w:ascii="Tahoma" w:hAnsi="Tahoma" w:cs="Tahoma"/>
                <w:sz w:val="20"/>
                <w:szCs w:val="20"/>
              </w:rPr>
              <w:t>statyba</w:t>
            </w:r>
            <w:proofErr w:type="spellEnd"/>
            <w:r w:rsidRPr="005E7C6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“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ūkio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subjektų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grupe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tiekėjų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grupe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susidedančia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UAB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Connecto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Lietuva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AS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Connecto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Eesti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AS Empower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UAB „Empower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Fidelitas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“. 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  – 17 350 000,00  Eur  be PVM, (20 993 500,00 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lv-LV"/>
              </w:rPr>
              <w:t xml:space="preserve"> Eur su PVM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).</w:t>
            </w:r>
          </w:p>
          <w:p w14:paraId="0A929A0D" w14:textId="77777777" w:rsidR="005E7C67" w:rsidRPr="005E7C67" w:rsidRDefault="005E7C67" w:rsidP="005E7C67">
            <w:pPr>
              <w:tabs>
                <w:tab w:val="left" w:pos="321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Patvirtinti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esmines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„330 kV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linijos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naujo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ruožo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LN531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LN 447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“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</w:t>
            </w:r>
          </w:p>
          <w:p w14:paraId="352C8E9C" w14:textId="77777777" w:rsidR="005E7C67" w:rsidRPr="005E7C67" w:rsidRDefault="005E7C67" w:rsidP="005E7C67">
            <w:pPr>
              <w:tabs>
                <w:tab w:val="left" w:pos="746"/>
              </w:tabs>
              <w:spacing w:after="160" w:line="256" w:lineRule="auto"/>
              <w:ind w:left="37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Bendrosios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Tarptautinės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inžinierių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konsultantų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federacijos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(Fédération Internationale des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Ingénieurs-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Conceils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FIDIC)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išleistos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projektuojamų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inžinerinių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elektros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mechanikos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įrenginių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Geltonoji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knyga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pirmas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leidimas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1999 m.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antroji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pataisyta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lietuvių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kalba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, 2007 m.).</w:t>
            </w:r>
          </w:p>
          <w:p w14:paraId="0967BEC2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2.2.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objektas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330 kV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linijos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naujo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ruožo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LN531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LN 447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6C0DC1E9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3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terminas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pilna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apimtimi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tinkamai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202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-0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-01.</w:t>
            </w:r>
          </w:p>
          <w:p w14:paraId="66D4F2A4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  </w:t>
            </w:r>
          </w:p>
          <w:p w14:paraId="126D661B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(per 12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mėn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parengti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techninį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gauti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leidžiančius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;</w:t>
            </w:r>
          </w:p>
          <w:p w14:paraId="09F2DC33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II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2025-02-01)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parengti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įskaitant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sėkmingai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bandymus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gauti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44F64175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4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galioja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visiško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šalių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įsipareigojimų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nutraukimo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3639F06F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5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pasiūlymo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vertė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pagal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pirkimo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detalizaciją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67C99E60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2.6.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kainodara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mokėjimai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sutarčiai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taikoma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peržiūra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kainodara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atsiskaitymas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anksto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kaip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procentinė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dalis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susieti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pasiektais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tarpiniais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rezultatais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3CCDB0BA" w14:textId="04BCABBB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2.6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.1.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pataisymai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pasikeitusių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Išlaidų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mokėtinos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gali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perskaičiuojamos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tik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statistikos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departamento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skelbiamo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mėnesinio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sąnaudų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indekso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„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Inžineriniai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statiniai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Indeksas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reikšmė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pakinta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</w:t>
            </w:r>
          </w:p>
          <w:p w14:paraId="3A019FF8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(A)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daugiau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kaip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per bet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12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mėnesių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</w:p>
          <w:p w14:paraId="6B62C31C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(B)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daugiau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kaip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15% per bet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po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leidžiančio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išdavimo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laikotarpiu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metinis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indeksavimas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nebuvo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atliekamas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46E3F71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2.6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.2.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pataisymai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Įstatymų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perskaičiuojama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po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pasikeis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Įstatymai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aiškinimas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to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padidės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sumažės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Išlaidos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kaštai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teisės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į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pelną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padidėjusių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Išlaidų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perskaičiuojama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atsižvelgiant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į PVM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padidėjimus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sumažėjimus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Įstatymų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susijusių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PVM.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mokesčius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išskyrus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PVM)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reglamentuojančių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teisės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aktų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įtakos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328B192E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2.7.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Atsiskaitymo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tvarka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atliekami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tik po to, kai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Inžinierius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patvirtins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kad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kuriomis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siejama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eilinė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įmoka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terminas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per 30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sąskaitos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faktūros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1D51BBCD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2.8.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Rezervas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netaikomas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639E62E4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2.9.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Išankstinis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mokėjimas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avansas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)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teisę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gauti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avansą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– 5%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be PVM.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grąžintas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atskaitant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po 5%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pažymos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Atskaitymai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daromi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kol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visiškai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grąžintas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Bet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paskutinėje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pažymoje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pagal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atskaitoma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visa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likusi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negrąžinta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nepriklausomai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dydžio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4E44A03D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2.10.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Sulaikymo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procentas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sulaikomų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pinigų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 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PVM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sąskaitos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faktūros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sulaikoma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mokėtinos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pasiekta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sulaikomų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pinigų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39C43514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2.11.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Įsipareigojimų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užtikrinimo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priemonės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  <w:p w14:paraId="37350FD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2.11.1.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užtikrinimas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užtikrinimą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užtikrinimą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dydis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PVM). </w:t>
            </w:r>
          </w:p>
          <w:p w14:paraId="09AD8134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2.11.2.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Garantinio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laikotarpio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garantija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dydis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pirmiems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metams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antriems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tretiems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metams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5%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PVM).</w:t>
            </w:r>
          </w:p>
          <w:p w14:paraId="6042500D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  <w:p w14:paraId="6B05EA59" w14:textId="7D0517BE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2.12.1. 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Kompensacija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uždelsimą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0.04%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eurais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0.04%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eurais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280E9CE4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Netesybos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smulkų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nebaigtą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/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ištaisyti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defektus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1000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skaičiuojamą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53A594DE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2.12.3.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Netesybos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ištaisyti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defektus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per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Pranešimo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apie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defektus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1000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skaičiuojamą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124CF1C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2.12.4.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atnaujintą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kai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vėluojama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atnaujintą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atnaujintą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negali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viršyti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10 000 Eur. </w:t>
            </w:r>
          </w:p>
          <w:p w14:paraId="2CE40CB3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2.12.5.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techninio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dokumentacijos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nesuderinimą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kaltės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per 3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kartus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400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pakartotinį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viršijantį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kartų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derinimo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ribą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43C80BB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2.12.6.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nustačius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kad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personalo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trečiųjų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asmenų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kuriuos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atsakingas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darbuotojai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apsvaigę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alkoholio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narkotinių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toksinių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psichotropinių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medžiagų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1500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6C76396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Bendros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atsakomybės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ribos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–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taikomos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tokios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ribos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Šalių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atsakomybei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tiesioginius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nuostolius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pagal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</w:t>
            </w:r>
          </w:p>
          <w:p w14:paraId="0E85210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2.13.1.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neviršys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;</w:t>
            </w:r>
          </w:p>
          <w:p w14:paraId="2450BFB8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2.13.2.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neviršys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;</w:t>
            </w:r>
          </w:p>
          <w:p w14:paraId="48D7B5D5" w14:textId="08D6802C" w:rsid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2.13.3.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neviršys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27FFCB63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16678ADE" w14:textId="1B2A5FAC" w:rsid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3.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Įgalioti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LITGRID 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generalinį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direktorių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be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atskiro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LITGRID 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valdybos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esminės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mažinant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be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jokių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apribojimų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didinant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susitarimus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papildomų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įsigijimo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susitarimų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papildomų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3%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t.y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520 500 EUR be PVM)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pradinės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43A500A2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1D471C00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4.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Įpareigoti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LITGRID 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generalinį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direktorių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apie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šio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 p.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esminės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informuoti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valdybą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prieš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tokį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el.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laišku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476CE143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40765D26" w14:textId="1CCED2A3" w:rsidR="00802FF4" w:rsidRPr="005E7C67" w:rsidRDefault="00802FF4" w:rsidP="005A6FDA">
            <w:pPr>
              <w:ind w:left="320" w:hanging="283"/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19" w:type="dxa"/>
            <w:vAlign w:val="center"/>
          </w:tcPr>
          <w:p w14:paraId="17E047FC" w14:textId="7909F35B" w:rsidR="00802FF4" w:rsidRDefault="005E7C67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6460A4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12364579" w14:textId="1E249ED5" w:rsidR="00802FF4" w:rsidRDefault="005E7C67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802FF4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E7C67" w:rsidRPr="00110E40" w14:paraId="10690862" w14:textId="77777777" w:rsidTr="005A6FDA">
        <w:trPr>
          <w:trHeight w:val="668"/>
        </w:trPr>
        <w:tc>
          <w:tcPr>
            <w:tcW w:w="568" w:type="dxa"/>
            <w:vAlign w:val="center"/>
          </w:tcPr>
          <w:p w14:paraId="14DF0AC2" w14:textId="77777777" w:rsidR="005E7C67" w:rsidRPr="00485462" w:rsidRDefault="005E7C67" w:rsidP="005E7C6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vAlign w:val="center"/>
          </w:tcPr>
          <w:p w14:paraId="4BAC7643" w14:textId="45E12B3A" w:rsidR="005E7C67" w:rsidRPr="00327523" w:rsidRDefault="005E7C67" w:rsidP="005E7C67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Dėl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pritarimo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LITGRID AB 202</w:t>
            </w:r>
            <w:r w:rsidRPr="00A2427A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1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m.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spalio</w:t>
            </w:r>
            <w:proofErr w:type="spellEnd"/>
            <w:r w:rsidRPr="00A2427A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26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 d. 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valdybos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sprendimui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Nr.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5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protokolo</w:t>
            </w:r>
            <w:proofErr w:type="spellEnd"/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 xml:space="preserve"> Nr. </w:t>
            </w:r>
            <w:r w:rsidRPr="00A2427A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5</w:t>
            </w:r>
            <w:r w:rsidRPr="00327523">
              <w:rPr>
                <w:rFonts w:ascii="Tahoma" w:hAnsi="Tahoma" w:cs="Tahoma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4110" w:type="dxa"/>
            <w:vAlign w:val="center"/>
          </w:tcPr>
          <w:p w14:paraId="0332729B" w14:textId="77777777" w:rsidR="005E7C67" w:rsidRPr="005E7C67" w:rsidRDefault="005E7C67" w:rsidP="005E7C67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313"/>
              </w:tabs>
              <w:spacing w:after="160" w:line="256" w:lineRule="auto"/>
              <w:ind w:left="0" w:firstLine="29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Pritarti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ilgalaikio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sukūrimui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„330 kV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linijos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Darbėnai-Bitėnai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“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ūkio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subjektų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grupe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akcinės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bendrovės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„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Kauno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tiltai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“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UAB „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Litenergoservis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“.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br/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 – 46 930 000,00  Eur  be PVM, (56 785 300,00 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lv-LV"/>
              </w:rPr>
              <w:t xml:space="preserve"> Eur su PVM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).</w:t>
            </w:r>
          </w:p>
          <w:p w14:paraId="41635191" w14:textId="77777777" w:rsidR="005E7C67" w:rsidRPr="005E7C67" w:rsidRDefault="005E7C67" w:rsidP="005E7C67">
            <w:pPr>
              <w:tabs>
                <w:tab w:val="left" w:pos="313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Patvirtinti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esmines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„330 kV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linijos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Darbėnai-Bitėnai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“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</w:t>
            </w:r>
          </w:p>
          <w:p w14:paraId="1A3CF66E" w14:textId="77777777" w:rsidR="005E7C67" w:rsidRPr="005E7C67" w:rsidRDefault="005E7C67" w:rsidP="005E7C67">
            <w:pPr>
              <w:tabs>
                <w:tab w:val="left" w:pos="746"/>
              </w:tabs>
              <w:spacing w:after="160"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Bendrosios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Tarptautinės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inžinierių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konsultantų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federacijos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(Fédération Internationale des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Ingénieurs-Conceils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FIDIC)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išleistos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projektuojamų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inžinerinių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elektros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mechanikos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įrenginių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Geltonoji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knyga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pirmas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leidimas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1999 m.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antroji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pataisyta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lietuvių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kalba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, 2007 m.).</w:t>
            </w:r>
          </w:p>
          <w:p w14:paraId="2FC6A0C5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2.2.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objektas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330 kV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linijos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Darbėnai-Bitėnai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236D350B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atlikimo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terminas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pilna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apimtimi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tinkamai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202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-0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-01.</w:t>
            </w:r>
          </w:p>
          <w:p w14:paraId="2F98B4C6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  </w:t>
            </w:r>
          </w:p>
          <w:p w14:paraId="105BD83D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(per 12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mėn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parengti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techninį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gauti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leidžiančius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;</w:t>
            </w:r>
          </w:p>
          <w:p w14:paraId="2E835A80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II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2025-05-01) –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parengti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įskaitant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sėkmingai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bandymus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gauti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0033BF23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4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galioja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visiško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šalių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įsipareigojimų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nutraukimo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5C386500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5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pasiūlymo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vertė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pagal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pirkimo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detalizaciją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7A878F2F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2.6.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kainodara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mokėjimai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sutarčiai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taikoma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peržiūra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kainodara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atsiskaitymas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anksto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kaip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procentinė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dalis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susieti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pasiektais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tarpiniais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rezultatais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3D8CF2AA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2.6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.1.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pataisymai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pasikeitusių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Išlaidų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mokėtinos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gali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perskaičiuojamos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tik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statistikos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departamento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skelbiamo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mėnesinio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sąnaudų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indekso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„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Inžineriniai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statiniai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“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Indeksas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reikšmė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pakinta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</w:t>
            </w:r>
          </w:p>
          <w:p w14:paraId="63462F82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(A)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daugiau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kaip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per bet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12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mėnesių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</w:p>
          <w:p w14:paraId="16998092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(B)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 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daugiau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kaip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15% per bet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po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statybą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leidžiančio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išdavimo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laikotarpiu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metinis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indeksavimas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nebuvo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atliekamas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19E61B90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2.6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.2.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pataisymai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Įstatymų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perskaičiuojama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po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pasikeis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Įstatymai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aiškinimas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to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padidės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sumažės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Išlaidos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kaštai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teisės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į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pelną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padidėjusių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Išlaidų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perskaičiuojama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atsižvelgiant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į PVM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padidėjimus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sumažėjimus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Įstatymų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susijusių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PVM.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mokesčius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išskyrus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PVM)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reglamentuojančių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teisės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aktų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įtakos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2BBC1178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2.7.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Atsiskaitymo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tvarka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atliekami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tik po to, kai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Inžinierius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patvirtins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kad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kuriomis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siejama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eilinė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įmoka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terminas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per 30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sąskaitos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faktūros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68F6FE3C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2.8.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Rezervas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netaikomas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6684353C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2.9.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Išankstinis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mokėjimas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avansas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)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teisę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gauti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avansą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– 5%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be PVM.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grąžintas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atskaitant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po 5%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pažymos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Atskaitymai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daromi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kol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visiškai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grąžintas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Bet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paskutinėje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pažymoje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pagal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atskaitoma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visa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likusi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negrąžinta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išankstinio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nepriklausomai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dydžio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78FB3F25" w14:textId="7A6AF93B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2.10.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Sulaikymo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procentas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sulaikomų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pinigų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 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PVM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sąskaitos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faktūros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sulaikoma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mokėtinos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iki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pasiekta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sulaikomų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pinigų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0CD9D186" w14:textId="64F06033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2.11.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Įsipareigojimų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užtikrinimo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priemonės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  <w:p w14:paraId="1B47AD11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2.11.1.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užtikrinimas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Užsakovui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įvykdymo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užtikrinimą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Atlikimo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užtikrinimą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dydis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turi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būti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PVM). </w:t>
            </w:r>
          </w:p>
          <w:p w14:paraId="27C71F2C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 xml:space="preserve">2.11.2.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laikotarpio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Garantijos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dydis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pirmiems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metams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antriems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tretiems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metams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5%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(be PVM).</w:t>
            </w:r>
          </w:p>
          <w:p w14:paraId="1D03A517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2.12.</w:t>
            </w:r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  <w:p w14:paraId="2FE12F7C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2.12.1. 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Kompensacija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uždelsimą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0.04%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eurais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0.04%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II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etapą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mokama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eurais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6CE77080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2.12.2.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Netesybos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užbaigti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smulkų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nebaigtą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/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ištaisyti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defektus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1000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skaičiuojamą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05D3D125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2.12.3.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Netesybos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ištaisyti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defektus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per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Pranešimo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apie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defektus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laiką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1000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skaičiuojamą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pažeidimo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2A0B289F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2.12.4.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atnaujintą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100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kai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vėluojama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atnaujintą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pateikti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atnaujintą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programą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negali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viršyti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10 000 Eur. </w:t>
            </w:r>
          </w:p>
          <w:p w14:paraId="09222DBD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2.12.5.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techninio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projekto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dokumentacijos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nesuderinimą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kaltės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per 3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kartus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400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pakartotinį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dokumentų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derinimą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viršijantį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kartų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derinimo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ribą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7F415431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2.12.6.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Bauda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nustačius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kad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objekte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personalo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trečiųjų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asmenų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kuriuos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atsakingas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Rangovas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darbuotojai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yra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 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apsvaigę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alkoholio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narkotinių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toksinių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ir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psichotropinių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medžiagų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  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–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1500 Eur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kiekvieną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atvejį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 </w:t>
            </w:r>
          </w:p>
          <w:p w14:paraId="0847E646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Bendros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atsakomybės</w:t>
            </w:r>
            <w:proofErr w:type="spellEnd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ribos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–</w:t>
            </w: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Bus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taikomos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tokios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ribos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Šalių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atsakomybei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tiesioginius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nuostolius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pagal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:</w:t>
            </w:r>
          </w:p>
          <w:p w14:paraId="4959B251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2.13.1.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neviršys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;</w:t>
            </w:r>
          </w:p>
          <w:p w14:paraId="111AB1AF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2.13.2.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Rangovo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vėlavimus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neviršys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;</w:t>
            </w:r>
          </w:p>
          <w:p w14:paraId="481F3B66" w14:textId="76760BE4" w:rsid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>2.13.3.</w:t>
            </w:r>
            <w:r w:rsidRPr="005E7C6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Užsakovo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atsakomybė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neviršys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100%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29B32F0E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71369410" w14:textId="5A20E973" w:rsid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3.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Įgalioti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LITGRID 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generalinį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direktorių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be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atskiro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LITGRID 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valdybos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esminės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–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mažinant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be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jokių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apribojimų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arba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didinant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sudarant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susitarimus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papildomų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įsigijimo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jeigu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bendra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visų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susitarimų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papildomų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darbų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suma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neviršija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3% (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t.y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. 1 407 900 EUR be PVM)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nuo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pradinės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kainos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14:paraId="3BA8D7EA" w14:textId="77777777" w:rsidR="005E7C67" w:rsidRPr="005E7C67" w:rsidRDefault="005E7C67" w:rsidP="005E7C67">
            <w:pPr>
              <w:tabs>
                <w:tab w:val="left" w:pos="746"/>
              </w:tabs>
              <w:spacing w:line="256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3241D49D" w14:textId="2B1C4454" w:rsidR="005E7C67" w:rsidRPr="005E7C67" w:rsidRDefault="005E7C67" w:rsidP="005E7C67">
            <w:pPr>
              <w:tabs>
                <w:tab w:val="left" w:pos="746"/>
              </w:tabs>
              <w:spacing w:after="160" w:line="256" w:lineRule="auto"/>
              <w:jc w:val="both"/>
              <w:rPr>
                <w:rFonts w:ascii="Tahoma" w:eastAsiaTheme="minorHAnsi" w:hAnsi="Tahoma" w:cs="Tahoma"/>
                <w:iCs/>
                <w:sz w:val="20"/>
                <w:szCs w:val="20"/>
              </w:rPr>
            </w:pPr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4.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Įpareigoti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LITGRID AB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generalinį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direktorių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apie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šio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3 p.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priimtus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sprendimus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dėl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sutarties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esminės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sąlygos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pakeitimo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informuoti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valdybą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prieš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priimant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tokį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sprendimą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 xml:space="preserve"> el. </w:t>
            </w:r>
            <w:proofErr w:type="spellStart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laišku</w:t>
            </w:r>
            <w:proofErr w:type="spellEnd"/>
            <w:r w:rsidRPr="005E7C6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</w:tc>
        <w:tc>
          <w:tcPr>
            <w:tcW w:w="1219" w:type="dxa"/>
            <w:vAlign w:val="center"/>
          </w:tcPr>
          <w:p w14:paraId="22865092" w14:textId="5FD60F1A" w:rsidR="005E7C67" w:rsidRDefault="005E7C67" w:rsidP="005E7C67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37816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15CDBA19" w14:textId="320E33A3" w:rsidR="005E7C67" w:rsidRDefault="005E7C67" w:rsidP="005E7C67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5301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tbl>
      <w:tblPr>
        <w:tblW w:w="992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1276"/>
        <w:gridCol w:w="1276"/>
      </w:tblGrid>
      <w:tr w:rsidR="00E926FD" w:rsidRPr="00DE2009" w14:paraId="03052453" w14:textId="77777777" w:rsidTr="00A26A24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A4F" w14:textId="4CA1E34B" w:rsidR="00E926FD" w:rsidRPr="00E926FD" w:rsidRDefault="00E926FD" w:rsidP="00E926FD">
            <w:pPr>
              <w:pStyle w:val="Default"/>
              <w:spacing w:before="40" w:after="40"/>
              <w:jc w:val="both"/>
              <w:rPr>
                <w:sz w:val="16"/>
                <w:szCs w:val="16"/>
                <w:lang w:val="lt-LT"/>
              </w:rPr>
            </w:pPr>
            <w:r w:rsidRPr="00E926FD">
              <w:rPr>
                <w:rFonts w:ascii="Tahoma" w:hAnsi="Tahoma" w:cs="Tahoma"/>
                <w:color w:val="auto"/>
                <w:sz w:val="20"/>
                <w:szCs w:val="20"/>
                <w:lang w:val="lt-LT"/>
              </w:rPr>
              <w:t>Dėl bet kokių kitų naujų sprendimų projektų, nenurodytų aukščiau, visais turimais balsais balsuojame: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50C7" w14:textId="58AB9E4E" w:rsidR="00E926FD" w:rsidRPr="00DE2009" w:rsidRDefault="005E7C67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16"/>
                <w:szCs w:val="16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7994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926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A14E" w14:textId="4ABC6D15" w:rsidR="00E926FD" w:rsidRPr="00DE2009" w:rsidRDefault="005E7C67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16"/>
                <w:szCs w:val="16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2506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926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38842D4" w14:textId="7D9AE954" w:rsidR="00D0669E" w:rsidRPr="00AF57A2" w:rsidRDefault="000A68AC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0A68AC">
        <w:rPr>
          <w:rStyle w:val="FontStyle13"/>
          <w:rFonts w:ascii="Tahoma" w:hAnsi="Tahoma" w:cs="Tahoma"/>
          <w:lang w:val="lt-LT"/>
        </w:rPr>
        <w:t xml:space="preserve">Pasirašydamas šį biuletenį, akcininkas taip pat patvirtina, kad informacija apie šaukiamą Bendrovės visuotinį akcininkų susirinkimą buvo tinkamai ir laiku pateikta, akcininkas neturi jokių pretenzijų dėl visuotinio akcininkų </w:t>
      </w:r>
      <w:r w:rsidRPr="00AF57A2">
        <w:rPr>
          <w:rStyle w:val="FontStyle13"/>
          <w:rFonts w:ascii="Tahoma" w:hAnsi="Tahoma" w:cs="Tahoma"/>
          <w:lang w:val="lt-LT"/>
        </w:rPr>
        <w:t>susirinkimo sušaukimo, o taip pat patvirtina, jog jam buvo pateikta visa informacija / dokumentai, kurie būtini balsuojant dėl kiekvieno iš darbotvarkės klausimų.</w:t>
      </w:r>
    </w:p>
    <w:p w14:paraId="20EF2672" w14:textId="5DFBA672" w:rsidR="00D26AEA" w:rsidRPr="00AF57A2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1A2D4A38" w14:textId="568501E9" w:rsidR="007D71DA" w:rsidRPr="00AF57A2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3E3368E1" w14:textId="77777777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F57A2">
        <w:rPr>
          <w:rFonts w:ascii="Tahoma" w:hAnsi="Tahoma" w:cs="Tahoma"/>
          <w:sz w:val="20"/>
          <w:szCs w:val="20"/>
          <w:lang w:val="lt-LT"/>
        </w:rPr>
        <w:t>V</w:t>
      </w:r>
      <w:r w:rsidR="007D71DA" w:rsidRPr="00AF57A2">
        <w:rPr>
          <w:rFonts w:ascii="Tahoma" w:hAnsi="Tahoma" w:cs="Tahoma"/>
          <w:sz w:val="20"/>
          <w:szCs w:val="20"/>
          <w:lang w:val="lt-LT"/>
        </w:rPr>
        <w:t>ardas, pavardė</w:t>
      </w:r>
      <w:r w:rsidR="00907433" w:rsidRPr="00AF57A2">
        <w:rPr>
          <w:rFonts w:ascii="Tahoma" w:hAnsi="Tahoma" w:cs="Tahoma"/>
          <w:sz w:val="20"/>
          <w:szCs w:val="20"/>
          <w:lang w:val="lt-LT"/>
        </w:rPr>
        <w:t xml:space="preserve"> / pavadinimas,</w:t>
      </w:r>
    </w:p>
    <w:p w14:paraId="0EA9A4A3" w14:textId="76819C3D" w:rsidR="007D71DA" w:rsidRDefault="00907433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F57A2">
        <w:rPr>
          <w:rFonts w:ascii="Tahoma" w:hAnsi="Tahoma" w:cs="Tahoma"/>
          <w:sz w:val="20"/>
          <w:szCs w:val="20"/>
          <w:lang w:val="lt-LT"/>
        </w:rPr>
        <w:t>atstovo</w:t>
      </w:r>
      <w:r w:rsidR="00AF57A2" w:rsidRPr="00AF57A2">
        <w:rPr>
          <w:rFonts w:ascii="Tahoma" w:hAnsi="Tahoma" w:cs="Tahoma"/>
          <w:sz w:val="20"/>
          <w:szCs w:val="20"/>
          <w:lang w:val="lt-LT"/>
        </w:rPr>
        <w:t xml:space="preserve"> vardas ir pavardė,</w:t>
      </w:r>
      <w:r w:rsidR="007D71DA" w:rsidRPr="00AF57A2">
        <w:rPr>
          <w:rFonts w:ascii="Tahoma" w:hAnsi="Tahoma" w:cs="Tahoma"/>
          <w:sz w:val="20"/>
          <w:szCs w:val="20"/>
          <w:lang w:val="lt-LT"/>
        </w:rPr>
        <w:t xml:space="preserve"> pareigos:</w:t>
      </w:r>
      <w:r w:rsidR="00AF57A2">
        <w:rPr>
          <w:rFonts w:ascii="Tahoma" w:hAnsi="Tahoma" w:cs="Tahoma"/>
          <w:sz w:val="20"/>
          <w:szCs w:val="20"/>
          <w:lang w:val="lt-LT"/>
        </w:rPr>
        <w:tab/>
      </w:r>
      <w:r w:rsidR="00AF57A2">
        <w:rPr>
          <w:rFonts w:ascii="Tahoma" w:hAnsi="Tahoma" w:cs="Tahoma"/>
          <w:sz w:val="20"/>
          <w:szCs w:val="20"/>
          <w:lang w:val="lt-LT"/>
        </w:rPr>
        <w:tab/>
      </w:r>
      <w:r w:rsidR="00D952DD">
        <w:rPr>
          <w:rFonts w:ascii="Tahoma" w:hAnsi="Tahoma" w:cs="Tahoma"/>
          <w:sz w:val="20"/>
          <w:szCs w:val="20"/>
          <w:lang w:val="lt-LT"/>
        </w:rPr>
        <w:tab/>
      </w:r>
      <w:r w:rsidR="00AF57A2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5CDCAB80" w14:textId="77777777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273437E" w14:textId="77777777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7679EF3" w14:textId="52995595" w:rsidR="007D71DA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F57A2">
        <w:rPr>
          <w:rFonts w:ascii="Tahoma" w:hAnsi="Tahoma" w:cs="Tahoma"/>
          <w:sz w:val="20"/>
          <w:szCs w:val="20"/>
          <w:lang w:val="lt-LT"/>
        </w:rPr>
        <w:t>P</w:t>
      </w:r>
      <w:r w:rsidR="007D71DA" w:rsidRPr="00AF57A2">
        <w:rPr>
          <w:rFonts w:ascii="Tahoma" w:hAnsi="Tahoma" w:cs="Tahoma"/>
          <w:sz w:val="20"/>
          <w:szCs w:val="20"/>
          <w:lang w:val="lt-LT"/>
        </w:rPr>
        <w:t>arašas ir</w:t>
      </w:r>
      <w:r w:rsidRPr="00AF57A2">
        <w:rPr>
          <w:rFonts w:ascii="Tahoma" w:hAnsi="Tahoma" w:cs="Tahoma"/>
          <w:sz w:val="20"/>
          <w:szCs w:val="20"/>
          <w:lang w:val="lt-LT"/>
        </w:rPr>
        <w:t xml:space="preserve"> pasirašymo</w:t>
      </w:r>
      <w:r>
        <w:rPr>
          <w:rFonts w:ascii="Tahoma" w:hAnsi="Tahoma" w:cs="Tahoma"/>
          <w:sz w:val="20"/>
          <w:szCs w:val="20"/>
          <w:lang w:val="lt-LT"/>
        </w:rPr>
        <w:t xml:space="preserve"> </w:t>
      </w:r>
      <w:r w:rsidR="007D71DA" w:rsidRPr="00AF57A2">
        <w:rPr>
          <w:rFonts w:ascii="Tahoma" w:hAnsi="Tahoma" w:cs="Tahoma"/>
          <w:sz w:val="20"/>
          <w:szCs w:val="20"/>
          <w:lang w:val="lt-LT"/>
        </w:rPr>
        <w:t>data:</w:t>
      </w:r>
      <w:r w:rsidRPr="00AF57A2">
        <w:rPr>
          <w:rFonts w:ascii="Tahoma" w:hAnsi="Tahoma" w:cs="Tahoma"/>
          <w:sz w:val="20"/>
          <w:szCs w:val="20"/>
          <w:lang w:val="lt-LT"/>
        </w:rPr>
        <w:t xml:space="preserve"> </w:t>
      </w:r>
      <w:r>
        <w:rPr>
          <w:rFonts w:ascii="Tahoma" w:hAnsi="Tahoma" w:cs="Tahoma"/>
          <w:sz w:val="20"/>
          <w:szCs w:val="20"/>
          <w:lang w:val="lt-LT"/>
        </w:rPr>
        <w:tab/>
      </w:r>
      <w:r>
        <w:rPr>
          <w:rFonts w:ascii="Tahoma" w:hAnsi="Tahoma" w:cs="Tahoma"/>
          <w:sz w:val="20"/>
          <w:szCs w:val="20"/>
          <w:lang w:val="lt-LT"/>
        </w:rPr>
        <w:tab/>
      </w:r>
      <w:r>
        <w:rPr>
          <w:rFonts w:ascii="Tahoma" w:hAnsi="Tahoma" w:cs="Tahoma"/>
          <w:sz w:val="20"/>
          <w:szCs w:val="20"/>
          <w:lang w:val="lt-LT"/>
        </w:rPr>
        <w:tab/>
      </w:r>
      <w:r w:rsidR="00D952DD">
        <w:rPr>
          <w:rFonts w:ascii="Tahoma" w:hAnsi="Tahoma" w:cs="Tahoma"/>
          <w:sz w:val="20"/>
          <w:szCs w:val="20"/>
          <w:lang w:val="lt-LT"/>
        </w:rPr>
        <w:tab/>
      </w:r>
      <w:r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7222485F" w14:textId="1CC3E090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18ABA73" w14:textId="77777777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B1B88CE" w14:textId="77777777" w:rsidR="00AF57A2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F57A2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699BB38B" w14:textId="77777777" w:rsidR="00AF57A2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F57A2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0AF3D666" w14:textId="6B4BCF57" w:rsidR="007D71DA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F57A2">
        <w:rPr>
          <w:rFonts w:ascii="Tahoma" w:hAnsi="Tahoma" w:cs="Tahoma"/>
          <w:sz w:val="20"/>
          <w:szCs w:val="20"/>
          <w:lang w:val="lt-LT"/>
        </w:rPr>
        <w:t>(jeigu biuletenį pasirašo ne akcininko vadovas):</w:t>
      </w:r>
      <w:r w:rsidR="00AF57A2">
        <w:rPr>
          <w:rFonts w:ascii="Tahoma" w:hAnsi="Tahoma" w:cs="Tahoma"/>
          <w:sz w:val="20"/>
          <w:szCs w:val="20"/>
          <w:lang w:val="lt-LT"/>
        </w:rPr>
        <w:t xml:space="preserve"> </w:t>
      </w:r>
      <w:r w:rsidR="00D952DD">
        <w:rPr>
          <w:rFonts w:ascii="Tahoma" w:hAnsi="Tahoma" w:cs="Tahoma"/>
          <w:sz w:val="20"/>
          <w:szCs w:val="20"/>
          <w:lang w:val="lt-LT"/>
        </w:rPr>
        <w:tab/>
        <w:t>_</w:t>
      </w:r>
      <w:r w:rsidR="00AF57A2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31A88F9A" w14:textId="2A99E475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4FE932A" w14:textId="056061D7" w:rsidR="003570BD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D9635B1" w14:textId="77777777" w:rsidR="003570BD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2A0CEAA" w14:textId="2E25204F" w:rsidR="00AF57A2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67BF1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380D" w14:textId="77777777" w:rsidR="00044AB8" w:rsidRDefault="00044AB8">
      <w:pPr>
        <w:pStyle w:val="antraste"/>
      </w:pPr>
      <w:r>
        <w:separator/>
      </w:r>
    </w:p>
  </w:endnote>
  <w:endnote w:type="continuationSeparator" w:id="0">
    <w:p w14:paraId="3F6A8AA7" w14:textId="77777777" w:rsidR="00044AB8" w:rsidRDefault="00044AB8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361A" w14:textId="77777777" w:rsidR="00044AB8" w:rsidRDefault="00044AB8">
      <w:pPr>
        <w:pStyle w:val="antraste"/>
      </w:pPr>
      <w:r>
        <w:separator/>
      </w:r>
    </w:p>
  </w:footnote>
  <w:footnote w:type="continuationSeparator" w:id="0">
    <w:p w14:paraId="589E49E6" w14:textId="77777777" w:rsidR="00044AB8" w:rsidRDefault="00044AB8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DC27FE"/>
    <w:multiLevelType w:val="multilevel"/>
    <w:tmpl w:val="EE9C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B063E"/>
    <w:multiLevelType w:val="hybridMultilevel"/>
    <w:tmpl w:val="13C82570"/>
    <w:lvl w:ilvl="0" w:tplc="82CC4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0FEB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E9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C2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D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6D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6A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E4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0B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B3FEB"/>
    <w:multiLevelType w:val="multilevel"/>
    <w:tmpl w:val="912819D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6AF16FA0"/>
    <w:multiLevelType w:val="multilevel"/>
    <w:tmpl w:val="582E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AB8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5DF0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15B30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43CC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C87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6FDA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C6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0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2337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79C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3D6D"/>
    <w:rsid w:val="009E5973"/>
    <w:rsid w:val="009E5BA1"/>
    <w:rsid w:val="009E6A38"/>
    <w:rsid w:val="009E6AAE"/>
    <w:rsid w:val="009E6D61"/>
    <w:rsid w:val="009E6F7D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427A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5B85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2EF7"/>
    <w:rsid w:val="00B73313"/>
    <w:rsid w:val="00B74301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21A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2777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50CE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BCA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2F1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4A"/>
    <w:rsid w:val="00FD247D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,Sąrašo pastraipa1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,Sąrašo pastraipa1 Char"/>
    <w:basedOn w:val="DefaultParagraphFont"/>
    <w:link w:val="ListParagraph"/>
    <w:uiPriority w:val="34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6572"/>
    <w:rsid w:val="00131EE3"/>
    <w:rsid w:val="00154EA0"/>
    <w:rsid w:val="001775D0"/>
    <w:rsid w:val="001C7ED2"/>
    <w:rsid w:val="0025049E"/>
    <w:rsid w:val="00266F92"/>
    <w:rsid w:val="00290853"/>
    <w:rsid w:val="002931FE"/>
    <w:rsid w:val="002D63D8"/>
    <w:rsid w:val="00326647"/>
    <w:rsid w:val="003532FE"/>
    <w:rsid w:val="0037073B"/>
    <w:rsid w:val="00375614"/>
    <w:rsid w:val="0042762B"/>
    <w:rsid w:val="00443CC5"/>
    <w:rsid w:val="004D691E"/>
    <w:rsid w:val="004E5C42"/>
    <w:rsid w:val="00530858"/>
    <w:rsid w:val="005575E8"/>
    <w:rsid w:val="00557DC7"/>
    <w:rsid w:val="005B1208"/>
    <w:rsid w:val="005E4E93"/>
    <w:rsid w:val="005F0E44"/>
    <w:rsid w:val="0061001B"/>
    <w:rsid w:val="006D0D44"/>
    <w:rsid w:val="007E3BE8"/>
    <w:rsid w:val="0087368A"/>
    <w:rsid w:val="00980E27"/>
    <w:rsid w:val="009D490B"/>
    <w:rsid w:val="009E3691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E27CC4"/>
    <w:rsid w:val="00E32DAB"/>
    <w:rsid w:val="00E546CF"/>
    <w:rsid w:val="00E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3E42E352454996CC3DEAD8F6F4E4" ma:contentTypeVersion="13" ma:contentTypeDescription="Create a new document." ma:contentTypeScope="" ma:versionID="a8cc0fda8ef6f8d2bb37efd76cb18d44">
  <xsd:schema xmlns:xsd="http://www.w3.org/2001/XMLSchema" xmlns:xs="http://www.w3.org/2001/XMLSchema" xmlns:p="http://schemas.microsoft.com/office/2006/metadata/properties" xmlns:ns3="125072a9-8a73-4a14-a1c6-70026ae78096" xmlns:ns4="ddf95a5c-706d-4ed3-87b9-c3c502cadf8c" targetNamespace="http://schemas.microsoft.com/office/2006/metadata/properties" ma:root="true" ma:fieldsID="b54a1b79587f1203dd8286b11d67bbe7" ns3:_="" ns4:_="">
    <xsd:import namespace="125072a9-8a73-4a14-a1c6-70026ae78096"/>
    <xsd:import namespace="ddf95a5c-706d-4ed3-87b9-c3c502cad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72a9-8a73-4a14-a1c6-70026ae7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5a5c-706d-4ed3-87b9-c3c502ca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9A590-5383-414A-BC7B-34DAB19AF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AFCC4A-CA21-42E6-BAFF-447E0C3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72a9-8a73-4a14-a1c6-70026ae78096"/>
    <ds:schemaRef ds:uri="ddf95a5c-706d-4ed3-87b9-c3c502cad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</TotalTime>
  <Pages>8</Pages>
  <Words>9824</Words>
  <Characters>5600</Characters>
  <Application>Microsoft Office Word</Application>
  <DocSecurity>4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Simona Putrimienė</cp:lastModifiedBy>
  <cp:revision>2</cp:revision>
  <cp:lastPrinted>2014-03-14T08:41:00Z</cp:lastPrinted>
  <dcterms:created xsi:type="dcterms:W3CDTF">2021-10-25T12:14:00Z</dcterms:created>
  <dcterms:modified xsi:type="dcterms:W3CDTF">2021-10-25T12:14:00Z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0x01010033FC3E42E352454996CC3DEAD8F6F4E4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Sensitivity">
    <vt:lpwstr>Vieša informacija</vt:lpwstr>
  </property>
</Properties>
</file>