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5BDB979C" w14:textId="77777777" w:rsidTr="007B633C">
        <w:tc>
          <w:tcPr>
            <w:tcW w:w="5688" w:type="dxa"/>
          </w:tcPr>
          <w:p w14:paraId="784DC168" w14:textId="44076DF9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360A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84993">
              <w:rPr>
                <w:rFonts w:ascii="Times New Roman" w:hAnsi="Times New Roman"/>
                <w:b/>
                <w:sz w:val="18"/>
                <w:szCs w:val="18"/>
              </w:rPr>
              <w:t>balandžio 15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</w:t>
            </w:r>
            <w:r w:rsidR="000360AA">
              <w:rPr>
                <w:rFonts w:ascii="Times New Roman" w:hAnsi="Times New Roman"/>
                <w:b/>
                <w:sz w:val="18"/>
                <w:szCs w:val="18"/>
              </w:rPr>
              <w:t>ne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eilinio visuotinio akcininkų susirinkimo</w:t>
            </w:r>
          </w:p>
          <w:p w14:paraId="5A01B155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0DFD0224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E47E702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67761FF3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B4A085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617ECFBA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F4025D" w14:textId="6B18EE3E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</w:p>
          <w:p w14:paraId="240B83ED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D0E247" w14:textId="35238B42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3085AD10" w14:textId="52C8EFB9" w:rsidR="008C0278" w:rsidRDefault="00AE7F46" w:rsidP="00AE7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750479" w:rsidRPr="00750479">
              <w:rPr>
                <w:sz w:val="18"/>
                <w:szCs w:val="18"/>
              </w:rPr>
              <w:t xml:space="preserve">AB „Snaigė“ akcijų išbraukimas iš prekybos reguliuojamoje rinkoje AB </w:t>
            </w:r>
            <w:proofErr w:type="spellStart"/>
            <w:r w:rsidR="00750479" w:rsidRPr="00750479">
              <w:rPr>
                <w:sz w:val="18"/>
                <w:szCs w:val="18"/>
              </w:rPr>
              <w:t>Nasdaq</w:t>
            </w:r>
            <w:proofErr w:type="spellEnd"/>
            <w:r w:rsidR="00750479" w:rsidRPr="00750479">
              <w:rPr>
                <w:sz w:val="18"/>
                <w:szCs w:val="18"/>
              </w:rPr>
              <w:t xml:space="preserve"> Vilnius ir AB „Snaigė“ akcijų viešo siūlymo nebevykdymas</w:t>
            </w:r>
            <w:r w:rsidR="008C0278">
              <w:rPr>
                <w:sz w:val="18"/>
                <w:szCs w:val="18"/>
              </w:rPr>
              <w:t>;</w:t>
            </w:r>
            <w:r w:rsidR="008C0278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8BF0D38" w14:textId="143677A8" w:rsidR="00C06594" w:rsidRPr="002B79E0" w:rsidRDefault="00AE7F46" w:rsidP="006E3D32">
            <w:pPr>
              <w:jc w:val="both"/>
              <w:rPr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r w:rsidR="002B79E0" w:rsidRPr="002B79E0">
              <w:rPr>
                <w:rFonts w:hint="eastAsia"/>
                <w:sz w:val="18"/>
                <w:szCs w:val="18"/>
              </w:rPr>
              <w:t>Į</w:t>
            </w:r>
            <w:r w:rsidR="002B79E0" w:rsidRPr="002B79E0">
              <w:rPr>
                <w:sz w:val="18"/>
                <w:szCs w:val="18"/>
              </w:rPr>
              <w:t>galiojim</w:t>
            </w:r>
            <w:r w:rsidR="002B79E0" w:rsidRPr="002B79E0">
              <w:rPr>
                <w:rFonts w:hint="eastAsia"/>
                <w:sz w:val="18"/>
                <w:szCs w:val="18"/>
              </w:rPr>
              <w:t>ų</w:t>
            </w:r>
            <w:r w:rsidR="002B79E0" w:rsidRPr="002B79E0">
              <w:rPr>
                <w:sz w:val="18"/>
                <w:szCs w:val="18"/>
              </w:rPr>
              <w:t xml:space="preserve"> AB „Snaig</w:t>
            </w:r>
            <w:r w:rsidR="002B79E0" w:rsidRPr="002B79E0">
              <w:rPr>
                <w:rFonts w:hint="eastAsia"/>
                <w:sz w:val="18"/>
                <w:szCs w:val="18"/>
              </w:rPr>
              <w:t>ė“</w:t>
            </w:r>
            <w:r w:rsidR="002B79E0" w:rsidRPr="002B79E0">
              <w:rPr>
                <w:sz w:val="18"/>
                <w:szCs w:val="18"/>
              </w:rPr>
              <w:t xml:space="preserve"> vadovui suteikimas</w:t>
            </w:r>
            <w:r w:rsidR="002B79E0">
              <w:rPr>
                <w:sz w:val="18"/>
                <w:szCs w:val="18"/>
              </w:rPr>
              <w:t>.</w:t>
            </w:r>
          </w:p>
        </w:tc>
        <w:tc>
          <w:tcPr>
            <w:tcW w:w="5540" w:type="dxa"/>
          </w:tcPr>
          <w:p w14:paraId="546B233D" w14:textId="6DB1CBB3" w:rsidR="00C06594" w:rsidRPr="0060279B" w:rsidRDefault="00384993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15 April</w:t>
            </w:r>
            <w:r w:rsidR="000360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2024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" AB </w:t>
            </w:r>
            <w:r w:rsidR="000360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extra-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78752E96" w14:textId="77777777" w:rsidR="00816D1A" w:rsidRDefault="00816D1A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D33CBC7" w14:textId="6AFC9F39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03B60D60" w14:textId="77777777" w:rsidR="00816D1A" w:rsidRPr="0060279B" w:rsidRDefault="00816D1A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737023E" w14:textId="7186365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shareholder’s name, surname (</w:t>
            </w:r>
            <w:r w:rsidR="006E3D32">
              <w:rPr>
                <w:rFonts w:ascii="Times New Roman" w:hAnsi="Times New Roman"/>
                <w:sz w:val="18"/>
                <w:szCs w:val="18"/>
                <w:lang w:val="en-US"/>
              </w:rPr>
              <w:t>name of legal entity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45DD3DF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2E95F990" w14:textId="03BCF562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 xml:space="preserve">cation code of </w:t>
            </w:r>
            <w:r w:rsidR="006E3D32">
              <w:rPr>
                <w:sz w:val="18"/>
                <w:szCs w:val="18"/>
                <w:lang w:val="en-US"/>
              </w:rPr>
              <w:t>legal entity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4A93E43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6A65F08" w14:textId="50C5EA05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6E3D3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7987BF7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FD88634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31A1B5F7" w14:textId="14B0E0B3" w:rsidR="0067488F" w:rsidRPr="006E3D32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="00B17D4D">
              <w:t xml:space="preserve"> </w:t>
            </w:r>
            <w:r w:rsidR="008B7196" w:rsidRPr="008B719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Delisting of AB </w:t>
            </w:r>
            <w:proofErr w:type="spellStart"/>
            <w:r w:rsidR="008B7196" w:rsidRPr="008B7196">
              <w:rPr>
                <w:rFonts w:ascii="Times New Roman" w:hAnsi="Times New Roman"/>
                <w:sz w:val="18"/>
                <w:szCs w:val="18"/>
                <w:lang w:val="en-GB"/>
              </w:rPr>
              <w:t>Snaig</w:t>
            </w:r>
            <w:r w:rsidR="008B7196" w:rsidRPr="008B7196">
              <w:rPr>
                <w:rFonts w:ascii="Times New Roman" w:hAnsi="Times New Roman" w:hint="eastAsia"/>
                <w:sz w:val="18"/>
                <w:szCs w:val="18"/>
                <w:lang w:val="en-GB"/>
              </w:rPr>
              <w:t>ė</w:t>
            </w:r>
            <w:proofErr w:type="spellEnd"/>
            <w:r w:rsidR="008B7196" w:rsidRPr="008B719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shares from trading on the regulated market AB Nasdaq Vilnius and discontinuation of public offering of AB </w:t>
            </w:r>
            <w:proofErr w:type="spellStart"/>
            <w:r w:rsidR="008B7196" w:rsidRPr="008B7196">
              <w:rPr>
                <w:rFonts w:ascii="Times New Roman" w:hAnsi="Times New Roman"/>
                <w:sz w:val="18"/>
                <w:szCs w:val="18"/>
                <w:lang w:val="en-GB"/>
              </w:rPr>
              <w:t>Snaig</w:t>
            </w:r>
            <w:r w:rsidR="008B7196" w:rsidRPr="008B7196">
              <w:rPr>
                <w:rFonts w:ascii="Times New Roman" w:hAnsi="Times New Roman" w:hint="eastAsia"/>
                <w:sz w:val="18"/>
                <w:szCs w:val="18"/>
                <w:lang w:val="en-GB"/>
              </w:rPr>
              <w:t>ė</w:t>
            </w:r>
            <w:proofErr w:type="spellEnd"/>
            <w:r w:rsidR="008B7196" w:rsidRPr="008B719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shares</w:t>
            </w:r>
            <w:r w:rsidR="008B7196"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</w:p>
          <w:p w14:paraId="0B2D1718" w14:textId="0D2974E8" w:rsidR="005936D1" w:rsidRPr="0060279B" w:rsidRDefault="00DB32E4" w:rsidP="005C3C6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  <w:r w:rsidR="00815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C3C62" w:rsidRPr="005C3C62">
              <w:rPr>
                <w:rFonts w:ascii="Times New Roman" w:hAnsi="Times New Roman"/>
                <w:sz w:val="18"/>
                <w:szCs w:val="18"/>
              </w:rPr>
              <w:t>Granting</w:t>
            </w:r>
            <w:proofErr w:type="spellEnd"/>
            <w:r w:rsidR="005C3C62" w:rsidRPr="005C3C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C3C62" w:rsidRPr="005C3C62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5C3C62" w:rsidRPr="005C3C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C3C62" w:rsidRPr="005C3C62">
              <w:rPr>
                <w:rFonts w:ascii="Times New Roman" w:hAnsi="Times New Roman"/>
                <w:sz w:val="18"/>
                <w:szCs w:val="18"/>
              </w:rPr>
              <w:t>authorizations</w:t>
            </w:r>
            <w:proofErr w:type="spellEnd"/>
            <w:r w:rsidR="005C3C62" w:rsidRPr="005C3C62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="005C3C62" w:rsidRPr="005C3C6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5C3C62" w:rsidRPr="005C3C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C3C62" w:rsidRPr="005C3C62">
              <w:rPr>
                <w:rFonts w:ascii="Times New Roman" w:hAnsi="Times New Roman"/>
                <w:sz w:val="18"/>
                <w:szCs w:val="18"/>
              </w:rPr>
              <w:t>manager</w:t>
            </w:r>
            <w:proofErr w:type="spellEnd"/>
            <w:r w:rsidR="005C3C62" w:rsidRPr="005C3C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C3C62" w:rsidRPr="005C3C62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5C3C62" w:rsidRPr="005C3C62">
              <w:rPr>
                <w:rFonts w:ascii="Times New Roman" w:hAnsi="Times New Roman"/>
                <w:sz w:val="18"/>
                <w:szCs w:val="18"/>
              </w:rPr>
              <w:t xml:space="preserve"> AB "Snaigė"</w:t>
            </w:r>
            <w:r w:rsidR="005C3C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125415BD" w14:textId="77777777" w:rsidR="00964D72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7A436FE5" w14:textId="77777777" w:rsidR="00F957E1" w:rsidRPr="00F957E1" w:rsidRDefault="00F957E1" w:rsidP="00F957E1">
      <w:pPr>
        <w:rPr>
          <w:lang w:val="en-US"/>
        </w:rPr>
      </w:pPr>
    </w:p>
    <w:p w14:paraId="3ED2B3E0" w14:textId="67C12DA9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„UŽ“ arba „PRIEŠ“/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</w:t>
      </w:r>
    </w:p>
    <w:p w14:paraId="344B6567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4B7DEFC4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3099"/>
        <w:gridCol w:w="2039"/>
        <w:gridCol w:w="2101"/>
      </w:tblGrid>
      <w:tr w:rsidR="00E87AF6" w:rsidRPr="0060279B" w14:paraId="33670338" w14:textId="77777777" w:rsidTr="0067488F">
        <w:tc>
          <w:tcPr>
            <w:tcW w:w="496" w:type="dxa"/>
          </w:tcPr>
          <w:p w14:paraId="396419C1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503CDC0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099" w:type="dxa"/>
            <w:vAlign w:val="center"/>
          </w:tcPr>
          <w:p w14:paraId="49D0D28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4140" w:type="dxa"/>
            <w:gridSpan w:val="2"/>
          </w:tcPr>
          <w:p w14:paraId="6B2864EB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7B48535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1E44D4" w:rsidRPr="0060279B" w14:paraId="44D0A6C7" w14:textId="5E7158C9" w:rsidTr="001E44D4">
        <w:trPr>
          <w:trHeight w:val="2064"/>
        </w:trPr>
        <w:tc>
          <w:tcPr>
            <w:tcW w:w="496" w:type="dxa"/>
          </w:tcPr>
          <w:p w14:paraId="11F34154" w14:textId="77777777" w:rsidR="001E44D4" w:rsidRPr="0060279B" w:rsidRDefault="001E44D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</w:tcPr>
          <w:p w14:paraId="1729AB9E" w14:textId="77777777" w:rsidR="00F957E1" w:rsidRDefault="00F957E1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C1E0005" w14:textId="08289004" w:rsidR="001E44D4" w:rsidRPr="0060279B" w:rsidRDefault="001E44D4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72E3FFE3" w14:textId="77777777" w:rsidR="006A3795" w:rsidRDefault="001E44D4" w:rsidP="00EE1372">
            <w:pPr>
              <w:spacing w:line="210" w:lineRule="exact"/>
              <w:ind w:left="34"/>
              <w:rPr>
                <w:rStyle w:val="FontStyle13"/>
              </w:rPr>
            </w:pPr>
            <w:r>
              <w:rPr>
                <w:sz w:val="18"/>
                <w:szCs w:val="18"/>
                <w:lang w:val="en-US"/>
              </w:rPr>
              <w:t xml:space="preserve">1. </w:t>
            </w:r>
            <w:r w:rsidR="00F505EC" w:rsidRPr="00F505EC">
              <w:rPr>
                <w:sz w:val="18"/>
                <w:szCs w:val="18"/>
                <w:lang w:val="en-US"/>
              </w:rPr>
              <w:t>AB „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Snaig</w:t>
            </w:r>
            <w:r w:rsidR="00F505EC" w:rsidRPr="00F505EC">
              <w:rPr>
                <w:rFonts w:hint="eastAsia"/>
                <w:sz w:val="18"/>
                <w:szCs w:val="18"/>
                <w:lang w:val="en-US"/>
              </w:rPr>
              <w:t>ė</w:t>
            </w:r>
            <w:proofErr w:type="spellEnd"/>
            <w:r w:rsidR="00F505EC" w:rsidRPr="00F505EC">
              <w:rPr>
                <w:rFonts w:hint="eastAsia"/>
                <w:sz w:val="18"/>
                <w:szCs w:val="18"/>
                <w:lang w:val="en-US"/>
              </w:rPr>
              <w:t>“</w:t>
            </w:r>
            <w:r w:rsidR="00F505EC" w:rsidRPr="00F505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akcij</w:t>
            </w:r>
            <w:r w:rsidR="00F505EC" w:rsidRPr="00F505EC">
              <w:rPr>
                <w:rFonts w:hint="eastAsia"/>
                <w:sz w:val="18"/>
                <w:szCs w:val="18"/>
                <w:lang w:val="en-US"/>
              </w:rPr>
              <w:t>ų</w:t>
            </w:r>
            <w:proofErr w:type="spellEnd"/>
            <w:r w:rsidR="00F505EC" w:rsidRPr="00F505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išbraukimas</w:t>
            </w:r>
            <w:proofErr w:type="spellEnd"/>
            <w:r w:rsidR="00F505EC" w:rsidRPr="00F505EC">
              <w:rPr>
                <w:sz w:val="18"/>
                <w:szCs w:val="18"/>
                <w:lang w:val="en-US"/>
              </w:rPr>
              <w:t xml:space="preserve"> iš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prekybos</w:t>
            </w:r>
            <w:proofErr w:type="spellEnd"/>
            <w:r w:rsidR="00F505EC" w:rsidRPr="00F505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reguliuojamoje</w:t>
            </w:r>
            <w:proofErr w:type="spellEnd"/>
            <w:r w:rsidR="00F505EC" w:rsidRPr="00F505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rinkoje</w:t>
            </w:r>
            <w:proofErr w:type="spellEnd"/>
            <w:r w:rsidR="00F505EC" w:rsidRPr="00F505EC">
              <w:rPr>
                <w:sz w:val="18"/>
                <w:szCs w:val="18"/>
                <w:lang w:val="en-US"/>
              </w:rPr>
              <w:t xml:space="preserve"> AB Nasdaq Vilnius ir AB „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Snaig</w:t>
            </w:r>
            <w:r w:rsidR="00F505EC" w:rsidRPr="00F505EC">
              <w:rPr>
                <w:rFonts w:hint="eastAsia"/>
                <w:sz w:val="18"/>
                <w:szCs w:val="18"/>
                <w:lang w:val="en-US"/>
              </w:rPr>
              <w:t>ė</w:t>
            </w:r>
            <w:proofErr w:type="spellEnd"/>
            <w:r w:rsidR="00F505EC" w:rsidRPr="00F505EC">
              <w:rPr>
                <w:rFonts w:hint="eastAsia"/>
                <w:sz w:val="18"/>
                <w:szCs w:val="18"/>
                <w:lang w:val="en-US"/>
              </w:rPr>
              <w:t>“</w:t>
            </w:r>
            <w:r w:rsidR="00F505EC" w:rsidRPr="00F505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akcij</w:t>
            </w:r>
            <w:r w:rsidR="00F505EC" w:rsidRPr="00F505EC">
              <w:rPr>
                <w:rFonts w:hint="eastAsia"/>
                <w:sz w:val="18"/>
                <w:szCs w:val="18"/>
                <w:lang w:val="en-US"/>
              </w:rPr>
              <w:t>ų</w:t>
            </w:r>
            <w:proofErr w:type="spellEnd"/>
            <w:r w:rsidR="00F505EC" w:rsidRPr="00F505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viešo</w:t>
            </w:r>
            <w:proofErr w:type="spellEnd"/>
            <w:r w:rsidR="00F505EC" w:rsidRPr="00F505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si</w:t>
            </w:r>
            <w:r w:rsidR="00F505EC" w:rsidRPr="00F505EC">
              <w:rPr>
                <w:rFonts w:hint="eastAsia"/>
                <w:sz w:val="18"/>
                <w:szCs w:val="18"/>
                <w:lang w:val="en-US"/>
              </w:rPr>
              <w:t>ū</w:t>
            </w:r>
            <w:r w:rsidR="00F505EC" w:rsidRPr="00F505EC">
              <w:rPr>
                <w:sz w:val="18"/>
                <w:szCs w:val="18"/>
                <w:lang w:val="en-US"/>
              </w:rPr>
              <w:t>lymo</w:t>
            </w:r>
            <w:proofErr w:type="spellEnd"/>
            <w:r w:rsidR="00F505EC" w:rsidRPr="00F505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05EC" w:rsidRPr="00F505EC">
              <w:rPr>
                <w:sz w:val="18"/>
                <w:szCs w:val="18"/>
                <w:lang w:val="en-US"/>
              </w:rPr>
              <w:t>nebevykdymas</w:t>
            </w:r>
            <w:proofErr w:type="spellEnd"/>
            <w:r w:rsidR="006A3795">
              <w:rPr>
                <w:rStyle w:val="FontStyle13"/>
              </w:rPr>
              <w:t>.</w:t>
            </w:r>
          </w:p>
          <w:p w14:paraId="3E94E2D1" w14:textId="77777777" w:rsidR="006A3795" w:rsidRDefault="006A3795" w:rsidP="00EE1372">
            <w:pPr>
              <w:spacing w:line="210" w:lineRule="exact"/>
              <w:ind w:left="34"/>
              <w:rPr>
                <w:rStyle w:val="FontStyle13"/>
              </w:rPr>
            </w:pPr>
          </w:p>
          <w:p w14:paraId="4A3897C9" w14:textId="2FDCA439" w:rsidR="001E44D4" w:rsidRPr="0060279B" w:rsidRDefault="001E44D4" w:rsidP="00EE1372">
            <w:pPr>
              <w:spacing w:line="210" w:lineRule="exact"/>
              <w:ind w:left="34"/>
              <w:rPr>
                <w:rStyle w:val="FontStyle13"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57DE674A" w14:textId="77777777" w:rsidR="00242E8B" w:rsidRDefault="001E44D4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="00242E8B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42E8B" w:rsidRPr="00242E8B">
              <w:rPr>
                <w:rFonts w:ascii="Times New Roman" w:hAnsi="Times New Roman"/>
                <w:sz w:val="18"/>
                <w:szCs w:val="18"/>
              </w:rPr>
              <w:t>Inicijuoti vis</w:t>
            </w:r>
            <w:r w:rsidR="00242E8B" w:rsidRPr="00242E8B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="00242E8B" w:rsidRPr="00242E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42E8B"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="00242E8B" w:rsidRPr="00242E8B">
              <w:rPr>
                <w:rFonts w:ascii="Times New Roman" w:hAnsi="Times New Roman"/>
                <w:sz w:val="18"/>
                <w:szCs w:val="18"/>
              </w:rPr>
              <w:t xml:space="preserve"> išleist</w:t>
            </w:r>
            <w:r w:rsidR="00242E8B" w:rsidRPr="00242E8B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="00242E8B" w:rsidRPr="00242E8B">
              <w:rPr>
                <w:rFonts w:ascii="Times New Roman" w:hAnsi="Times New Roman"/>
                <w:sz w:val="18"/>
                <w:szCs w:val="18"/>
              </w:rPr>
              <w:t xml:space="preserve"> akcij</w:t>
            </w:r>
            <w:r w:rsidR="00242E8B" w:rsidRPr="00242E8B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="00242E8B" w:rsidRPr="00242E8B">
              <w:rPr>
                <w:rFonts w:ascii="Times New Roman" w:hAnsi="Times New Roman"/>
                <w:sz w:val="18"/>
                <w:szCs w:val="18"/>
              </w:rPr>
              <w:t xml:space="preserve"> išbraukim</w:t>
            </w:r>
            <w:r w:rsidR="00242E8B" w:rsidRPr="00242E8B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="00242E8B" w:rsidRPr="00242E8B">
              <w:rPr>
                <w:rFonts w:ascii="Times New Roman" w:hAnsi="Times New Roman"/>
                <w:sz w:val="18"/>
                <w:szCs w:val="18"/>
              </w:rPr>
              <w:t xml:space="preserve"> ir išbraukti jas iš prekybos reguliuojamoje rinkoje AB </w:t>
            </w:r>
            <w:proofErr w:type="spellStart"/>
            <w:r w:rsidR="00242E8B" w:rsidRPr="00242E8B">
              <w:rPr>
                <w:rFonts w:ascii="Times New Roman" w:hAnsi="Times New Roman"/>
                <w:sz w:val="18"/>
                <w:szCs w:val="18"/>
              </w:rPr>
              <w:t>Nasdaq</w:t>
            </w:r>
            <w:proofErr w:type="spellEnd"/>
            <w:r w:rsidR="00242E8B" w:rsidRPr="00242E8B">
              <w:rPr>
                <w:rFonts w:ascii="Times New Roman" w:hAnsi="Times New Roman"/>
                <w:sz w:val="18"/>
                <w:szCs w:val="18"/>
              </w:rPr>
              <w:t xml:space="preserve"> Vilnius bei nebesi</w:t>
            </w:r>
            <w:r w:rsidR="00242E8B" w:rsidRPr="00242E8B">
              <w:rPr>
                <w:rFonts w:ascii="Times New Roman" w:hAnsi="Times New Roman" w:hint="eastAsia"/>
                <w:sz w:val="18"/>
                <w:szCs w:val="18"/>
              </w:rPr>
              <w:t>ū</w:t>
            </w:r>
            <w:r w:rsidR="00242E8B" w:rsidRPr="00242E8B">
              <w:rPr>
                <w:rFonts w:ascii="Times New Roman" w:hAnsi="Times New Roman"/>
                <w:sz w:val="18"/>
                <w:szCs w:val="18"/>
              </w:rPr>
              <w:t>lyti j</w:t>
            </w:r>
            <w:r w:rsidR="00242E8B" w:rsidRPr="00242E8B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="00242E8B" w:rsidRPr="00242E8B">
              <w:rPr>
                <w:rFonts w:ascii="Times New Roman" w:hAnsi="Times New Roman"/>
                <w:sz w:val="18"/>
                <w:szCs w:val="18"/>
              </w:rPr>
              <w:t xml:space="preserve"> viešai.</w:t>
            </w:r>
          </w:p>
          <w:p w14:paraId="1FB62A3E" w14:textId="1663FFAC" w:rsidR="001E44D4" w:rsidRDefault="003C06EC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1.2. 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Nustatyti, kad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AB „Snaigė“ 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akcininkai, balsav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ę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„UŽ“ sprendim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išbraukti </w:t>
            </w:r>
            <w:r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akcijas iš prekybos reguliuojamoje rinkoje AB </w:t>
            </w:r>
            <w:proofErr w:type="spellStart"/>
            <w:r w:rsidRPr="003C06EC">
              <w:rPr>
                <w:rFonts w:ascii="Times New Roman" w:hAnsi="Times New Roman"/>
                <w:sz w:val="18"/>
                <w:szCs w:val="18"/>
              </w:rPr>
              <w:t>Nasdaq</w:t>
            </w:r>
            <w:proofErr w:type="spellEnd"/>
            <w:r w:rsidRPr="003C06EC">
              <w:rPr>
                <w:rFonts w:ascii="Times New Roman" w:hAnsi="Times New Roman"/>
                <w:sz w:val="18"/>
                <w:szCs w:val="18"/>
              </w:rPr>
              <w:t xml:space="preserve"> Vilnius ir nebesi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ū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lyti </w:t>
            </w:r>
            <w:r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akcij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viešai, taikytin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teis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ė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s akt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nustatyta tvarka pateiks Lietuvos bankui oficialaus si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ū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lymo cirkuliar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tvirtinimui ir už šio sprendimo 1.3. punkte nurodyt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kain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į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gyvendins oficial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si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ū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lym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supirkti </w:t>
            </w:r>
            <w:r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akcijas. </w:t>
            </w:r>
            <w:r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akcininkas UAB EDS INVEST 3 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į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gyvendins oficial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si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ū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lym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="00D272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už kitus ši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prievol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ę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į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gijusius 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="00D272C1">
              <w:rPr>
                <w:rFonts w:ascii="Times New Roman" w:hAnsi="Times New Roman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akcininkus, kurie neišreikš valios jo 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į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gyvendinti savarankiškai. Šio oficialaus si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ū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lymo galiojimo metu parduoti </w:t>
            </w:r>
            <w:r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akcijas tur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ė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s teis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ę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, bet ne pareig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visi </w:t>
            </w:r>
            <w:r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akcininkai, išskyrus akcininkus, sprendimo išbraukti </w:t>
            </w:r>
            <w:r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akcijas iš prekybos AB </w:t>
            </w:r>
            <w:proofErr w:type="spellStart"/>
            <w:r w:rsidRPr="003C06EC">
              <w:rPr>
                <w:rFonts w:ascii="Times New Roman" w:hAnsi="Times New Roman"/>
                <w:sz w:val="18"/>
                <w:szCs w:val="18"/>
              </w:rPr>
              <w:t>Nasdaq</w:t>
            </w:r>
            <w:proofErr w:type="spellEnd"/>
            <w:r w:rsidRPr="003C06EC">
              <w:rPr>
                <w:rFonts w:ascii="Times New Roman" w:hAnsi="Times New Roman"/>
                <w:sz w:val="18"/>
                <w:szCs w:val="18"/>
              </w:rPr>
              <w:t xml:space="preserve"> Vilnius ir nebesi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ū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lyti </w:t>
            </w:r>
            <w:r>
              <w:rPr>
                <w:rFonts w:ascii="Times New Roman" w:hAnsi="Times New Roman"/>
                <w:sz w:val="18"/>
                <w:szCs w:val="18"/>
              </w:rPr>
              <w:t>AB „Snaigė“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akcij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viešai pri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ė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mimo metu balsavusius „UŽ“ tok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į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 xml:space="preserve"> sprendim</w:t>
            </w:r>
            <w:r w:rsidRPr="003C06EC">
              <w:rPr>
                <w:rFonts w:ascii="Times New Roman" w:hAnsi="Times New Roman" w:hint="eastAsia"/>
                <w:sz w:val="18"/>
                <w:szCs w:val="18"/>
              </w:rPr>
              <w:t>ą</w:t>
            </w:r>
            <w:r w:rsidRPr="003C06E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EBCA0FA" w14:textId="2FE53955" w:rsidR="003C06EC" w:rsidRPr="0060279B" w:rsidRDefault="003C06EC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1.3. </w:t>
            </w:r>
            <w:r w:rsidR="0049487E" w:rsidRPr="0049487E">
              <w:rPr>
                <w:rFonts w:ascii="Times New Roman" w:hAnsi="Times New Roman"/>
                <w:sz w:val="18"/>
                <w:szCs w:val="18"/>
              </w:rPr>
              <w:t>Oficialaus si</w:t>
            </w:r>
            <w:r w:rsidR="0049487E" w:rsidRPr="0049487E">
              <w:rPr>
                <w:rFonts w:ascii="Times New Roman" w:hAnsi="Times New Roman" w:hint="eastAsia"/>
                <w:sz w:val="18"/>
                <w:szCs w:val="18"/>
              </w:rPr>
              <w:t>ū</w:t>
            </w:r>
            <w:r w:rsidR="0049487E" w:rsidRPr="0049487E">
              <w:rPr>
                <w:rFonts w:ascii="Times New Roman" w:hAnsi="Times New Roman"/>
                <w:sz w:val="18"/>
                <w:szCs w:val="18"/>
              </w:rPr>
              <w:t xml:space="preserve">lymo, </w:t>
            </w:r>
            <w:r w:rsidR="00943952">
              <w:rPr>
                <w:rFonts w:ascii="Times New Roman" w:hAnsi="Times New Roman"/>
                <w:sz w:val="18"/>
                <w:szCs w:val="18"/>
              </w:rPr>
              <w:t>įgyvendinamo</w:t>
            </w:r>
            <w:r w:rsidR="0049487E" w:rsidRPr="0049487E">
              <w:rPr>
                <w:rFonts w:ascii="Times New Roman" w:hAnsi="Times New Roman"/>
                <w:sz w:val="18"/>
                <w:szCs w:val="18"/>
              </w:rPr>
              <w:t xml:space="preserve"> siekia</w:t>
            </w:r>
            <w:r w:rsidR="00943952">
              <w:rPr>
                <w:rFonts w:ascii="Times New Roman" w:hAnsi="Times New Roman"/>
                <w:sz w:val="18"/>
                <w:szCs w:val="18"/>
              </w:rPr>
              <w:t>nt</w:t>
            </w:r>
            <w:r w:rsidR="0049487E" w:rsidRPr="0049487E">
              <w:rPr>
                <w:rFonts w:ascii="Times New Roman" w:hAnsi="Times New Roman"/>
                <w:sz w:val="18"/>
                <w:szCs w:val="18"/>
              </w:rPr>
              <w:t xml:space="preserve"> išbraukti akcijas iš prekybos reguliuojamoje rinkoje AB </w:t>
            </w:r>
            <w:proofErr w:type="spellStart"/>
            <w:r w:rsidR="0049487E" w:rsidRPr="0049487E">
              <w:rPr>
                <w:rFonts w:ascii="Times New Roman" w:hAnsi="Times New Roman"/>
                <w:sz w:val="18"/>
                <w:szCs w:val="18"/>
              </w:rPr>
              <w:t>Nasdaq</w:t>
            </w:r>
            <w:proofErr w:type="spellEnd"/>
            <w:r w:rsidR="0049487E" w:rsidRPr="0049487E">
              <w:rPr>
                <w:rFonts w:ascii="Times New Roman" w:hAnsi="Times New Roman"/>
                <w:sz w:val="18"/>
                <w:szCs w:val="18"/>
              </w:rPr>
              <w:t xml:space="preserve"> Vilnius, kaina bus nustatyta Lietuvos Respublikos vertybini</w:t>
            </w:r>
            <w:r w:rsidR="0049487E" w:rsidRPr="0049487E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="0049487E" w:rsidRPr="0049487E">
              <w:rPr>
                <w:rFonts w:ascii="Times New Roman" w:hAnsi="Times New Roman"/>
                <w:sz w:val="18"/>
                <w:szCs w:val="18"/>
              </w:rPr>
              <w:t xml:space="preserve"> popieri</w:t>
            </w:r>
            <w:r w:rsidR="0049487E" w:rsidRPr="0049487E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="0049487E" w:rsidRPr="004948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9487E" w:rsidRPr="0049487E">
              <w:rPr>
                <w:rFonts w:ascii="Times New Roman" w:hAnsi="Times New Roman" w:hint="eastAsia"/>
                <w:sz w:val="18"/>
                <w:szCs w:val="18"/>
              </w:rPr>
              <w:t>į</w:t>
            </w:r>
            <w:r w:rsidR="0049487E" w:rsidRPr="0049487E">
              <w:rPr>
                <w:rFonts w:ascii="Times New Roman" w:hAnsi="Times New Roman"/>
                <w:sz w:val="18"/>
                <w:szCs w:val="18"/>
              </w:rPr>
              <w:t>statymo 29 str. 1 d. 1 p. numatyta tvarka</w:t>
            </w:r>
            <w:r w:rsidR="004948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99" w:type="dxa"/>
          </w:tcPr>
          <w:p w14:paraId="67D78C4F" w14:textId="77777777" w:rsidR="00F957E1" w:rsidRDefault="00F957E1" w:rsidP="00ED4F3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5788A82" w14:textId="34A98EC9" w:rsidR="001E44D4" w:rsidRPr="0060279B" w:rsidRDefault="001E44D4" w:rsidP="00ED4F3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14:paraId="0C668874" w14:textId="33ABE0A8" w:rsidR="001E44D4" w:rsidRDefault="001E44D4" w:rsidP="00ED4F3B">
            <w:pPr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6A3795" w:rsidRPr="006A37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Delisting of AB </w:t>
            </w:r>
            <w:proofErr w:type="spellStart"/>
            <w:r w:rsidR="006A3795" w:rsidRPr="006A3795">
              <w:rPr>
                <w:rFonts w:ascii="Times New Roman" w:hAnsi="Times New Roman"/>
                <w:sz w:val="18"/>
                <w:szCs w:val="18"/>
                <w:lang w:val="en-GB"/>
              </w:rPr>
              <w:t>Snaig</w:t>
            </w:r>
            <w:r w:rsidR="006A3795" w:rsidRPr="006A3795">
              <w:rPr>
                <w:rFonts w:ascii="Times New Roman" w:hAnsi="Times New Roman" w:hint="eastAsia"/>
                <w:sz w:val="18"/>
                <w:szCs w:val="18"/>
                <w:lang w:val="en-GB"/>
              </w:rPr>
              <w:t>ė</w:t>
            </w:r>
            <w:proofErr w:type="spellEnd"/>
            <w:r w:rsidR="006A3795" w:rsidRPr="006A37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shares from trading on the regulated market AB Nasdaq Vilnius and discontinuation of public offering of AB </w:t>
            </w:r>
            <w:proofErr w:type="spellStart"/>
            <w:r w:rsidR="006A3795" w:rsidRPr="006A3795">
              <w:rPr>
                <w:rFonts w:ascii="Times New Roman" w:hAnsi="Times New Roman"/>
                <w:sz w:val="18"/>
                <w:szCs w:val="18"/>
                <w:lang w:val="en-GB"/>
              </w:rPr>
              <w:t>Snaig</w:t>
            </w:r>
            <w:r w:rsidR="006A3795" w:rsidRPr="006A3795">
              <w:rPr>
                <w:rFonts w:ascii="Times New Roman" w:hAnsi="Times New Roman" w:hint="eastAsia"/>
                <w:sz w:val="18"/>
                <w:szCs w:val="18"/>
                <w:lang w:val="en-GB"/>
              </w:rPr>
              <w:t>ė</w:t>
            </w:r>
            <w:proofErr w:type="spellEnd"/>
            <w:r w:rsidR="006A3795" w:rsidRPr="006A37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shares</w:t>
            </w:r>
            <w:r w:rsidR="006A3795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  <w:p w14:paraId="343DBEC9" w14:textId="77777777" w:rsidR="006A3795" w:rsidRPr="0060279B" w:rsidRDefault="006A3795" w:rsidP="00ED4F3B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48D7AD8" w14:textId="77777777" w:rsidR="001E44D4" w:rsidRPr="0060279B" w:rsidRDefault="001E44D4" w:rsidP="00ED4F3B">
            <w:pPr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14:paraId="52AE8CDB" w14:textId="6D195949" w:rsidR="001E44D4" w:rsidRDefault="001E44D4" w:rsidP="00ED4F3B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</w:t>
            </w:r>
            <w:r w:rsidR="00B9028A">
              <w:t xml:space="preserve"> </w:t>
            </w:r>
            <w:r w:rsidR="00B9028A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="00B9028A" w:rsidRPr="00B902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nitiate the delisting of all shares issued by AB </w:t>
            </w:r>
            <w:proofErr w:type="spellStart"/>
            <w:r w:rsidR="00B9028A" w:rsidRPr="00B9028A">
              <w:rPr>
                <w:rFonts w:ascii="Times New Roman" w:hAnsi="Times New Roman"/>
                <w:sz w:val="18"/>
                <w:szCs w:val="18"/>
                <w:lang w:val="en-US"/>
              </w:rPr>
              <w:t>Snaig</w:t>
            </w:r>
            <w:r w:rsidR="00B9028A" w:rsidRPr="00B9028A">
              <w:rPr>
                <w:rFonts w:ascii="Times New Roman" w:hAnsi="Times New Roman" w:hint="eastAsia"/>
                <w:sz w:val="18"/>
                <w:szCs w:val="18"/>
                <w:lang w:val="en-US"/>
              </w:rPr>
              <w:t>ė</w:t>
            </w:r>
            <w:proofErr w:type="spellEnd"/>
            <w:r w:rsidR="00B9028A" w:rsidRPr="00B902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and remove them from trading on the regulated market AB Nasdaq Vilnius and no longer offer them to the public.</w:t>
            </w:r>
          </w:p>
          <w:p w14:paraId="2C04EC19" w14:textId="77777777" w:rsidR="001E44D4" w:rsidRDefault="005F79AC" w:rsidP="004360B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 To </w:t>
            </w:r>
            <w:proofErr w:type="spellStart"/>
            <w:r w:rsidR="0085006D">
              <w:rPr>
                <w:color w:val="000000"/>
                <w:sz w:val="18"/>
                <w:szCs w:val="18"/>
              </w:rPr>
              <w:t>establish</w:t>
            </w:r>
            <w:proofErr w:type="spellEnd"/>
            <w:r w:rsid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>
              <w:rPr>
                <w:color w:val="000000"/>
                <w:sz w:val="18"/>
                <w:szCs w:val="18"/>
              </w:rPr>
              <w:t>that</w:t>
            </w:r>
            <w:proofErr w:type="spellEnd"/>
            <w:r w:rsid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shareholders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who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voted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"FOR"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decision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delist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>'s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from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trading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regulated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market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Nasdaq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Vilnius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and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no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longer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offer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>'s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public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85006D">
              <w:rPr>
                <w:color w:val="000000"/>
                <w:sz w:val="18"/>
                <w:szCs w:val="18"/>
              </w:rPr>
              <w:t>shall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submit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r w:rsidR="0085006D">
              <w:rPr>
                <w:color w:val="000000"/>
                <w:sz w:val="18"/>
                <w:szCs w:val="18"/>
              </w:rPr>
              <w:t xml:space="preserve">a </w:t>
            </w:r>
            <w:proofErr w:type="spellStart"/>
            <w:r w:rsidR="0085006D">
              <w:rPr>
                <w:color w:val="000000"/>
                <w:sz w:val="18"/>
                <w:szCs w:val="18"/>
              </w:rPr>
              <w:t>circular</w:t>
            </w:r>
            <w:proofErr w:type="spellEnd"/>
            <w:r w:rsid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>
              <w:rPr>
                <w:color w:val="000000"/>
                <w:sz w:val="18"/>
                <w:szCs w:val="18"/>
              </w:rPr>
              <w:t>takeover</w:t>
            </w:r>
            <w:proofErr w:type="spellEnd"/>
            <w:r w:rsid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>
              <w:rPr>
                <w:color w:val="000000"/>
                <w:sz w:val="18"/>
                <w:szCs w:val="18"/>
              </w:rPr>
              <w:t>bid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Bank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Lithuania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for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approval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and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at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price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indicated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in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point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1</w:t>
            </w:r>
            <w:r w:rsidR="00D272C1">
              <w:rPr>
                <w:color w:val="000000"/>
                <w:sz w:val="18"/>
                <w:szCs w:val="18"/>
              </w:rPr>
              <w:t>.3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272C1">
              <w:rPr>
                <w:color w:val="000000"/>
                <w:sz w:val="18"/>
                <w:szCs w:val="18"/>
              </w:rPr>
              <w:t>shall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implement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272C1">
              <w:rPr>
                <w:color w:val="000000"/>
                <w:sz w:val="18"/>
                <w:szCs w:val="18"/>
              </w:rPr>
              <w:t>takeover</w:t>
            </w:r>
            <w:proofErr w:type="spellEnd"/>
            <w:r w:rsidR="00D272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272C1">
              <w:rPr>
                <w:color w:val="000000"/>
                <w:sz w:val="18"/>
                <w:szCs w:val="18"/>
              </w:rPr>
              <w:t>bid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buy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"Snaig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. AB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>'s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shareholder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UAB EDS INVEST 3</w:t>
            </w:r>
            <w:r w:rsidR="00D272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272C1">
              <w:rPr>
                <w:color w:val="000000"/>
                <w:sz w:val="18"/>
                <w:szCs w:val="18"/>
              </w:rPr>
              <w:t>shall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implement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r w:rsidR="00D272C1">
              <w:rPr>
                <w:color w:val="000000"/>
                <w:sz w:val="18"/>
                <w:szCs w:val="18"/>
              </w:rPr>
              <w:t xml:space="preserve">a </w:t>
            </w:r>
            <w:proofErr w:type="spellStart"/>
            <w:r w:rsidR="00D272C1">
              <w:rPr>
                <w:color w:val="000000"/>
                <w:sz w:val="18"/>
                <w:szCs w:val="18"/>
              </w:rPr>
              <w:t>takeover</w:t>
            </w:r>
            <w:proofErr w:type="spellEnd"/>
            <w:r w:rsidR="00D272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272C1">
              <w:rPr>
                <w:color w:val="000000"/>
                <w:sz w:val="18"/>
                <w:szCs w:val="18"/>
              </w:rPr>
              <w:t>bid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for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other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shareholders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who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have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acquired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this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obligation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and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who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do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not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express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their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will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implement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it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independently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During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2564F">
              <w:rPr>
                <w:color w:val="000000"/>
                <w:sz w:val="18"/>
                <w:szCs w:val="18"/>
              </w:rPr>
              <w:t>implementation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this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360BD">
              <w:rPr>
                <w:color w:val="000000"/>
                <w:sz w:val="18"/>
                <w:szCs w:val="18"/>
              </w:rPr>
              <w:t>takeover</w:t>
            </w:r>
            <w:proofErr w:type="spellEnd"/>
            <w:r w:rsidR="004360B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360BD">
              <w:rPr>
                <w:color w:val="000000"/>
                <w:sz w:val="18"/>
                <w:szCs w:val="18"/>
              </w:rPr>
              <w:t>bid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all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shareholders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will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have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right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but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not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obligation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, to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sell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except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for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those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who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756">
              <w:rPr>
                <w:color w:val="000000"/>
                <w:sz w:val="18"/>
                <w:szCs w:val="18"/>
              </w:rPr>
              <w:t>in</w:t>
            </w:r>
            <w:proofErr w:type="spellEnd"/>
            <w:r w:rsidR="0046775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756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46775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756">
              <w:rPr>
                <w:color w:val="000000"/>
                <w:sz w:val="18"/>
                <w:szCs w:val="18"/>
              </w:rPr>
              <w:t>Meeting</w:t>
            </w:r>
            <w:proofErr w:type="spellEnd"/>
            <w:r w:rsidR="0046775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756">
              <w:rPr>
                <w:color w:val="000000"/>
                <w:sz w:val="18"/>
                <w:szCs w:val="18"/>
              </w:rPr>
              <w:t>adopting</w:t>
            </w:r>
            <w:proofErr w:type="spellEnd"/>
            <w:r w:rsidR="0046775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756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decision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delist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from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trading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Nasdaq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Vilnius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and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no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longer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offer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AB Snaig</w:t>
            </w:r>
            <w:r w:rsidR="0085006D" w:rsidRPr="0085006D">
              <w:rPr>
                <w:rFonts w:hint="eastAsia"/>
                <w:color w:val="000000"/>
                <w:sz w:val="18"/>
                <w:szCs w:val="18"/>
              </w:rPr>
              <w:t>ė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shares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756">
              <w:rPr>
                <w:color w:val="000000"/>
                <w:sz w:val="18"/>
                <w:szCs w:val="18"/>
              </w:rPr>
              <w:t>voted</w:t>
            </w:r>
            <w:proofErr w:type="spellEnd"/>
            <w:r w:rsidR="00467756">
              <w:rPr>
                <w:color w:val="000000"/>
                <w:sz w:val="18"/>
                <w:szCs w:val="18"/>
              </w:rPr>
              <w:t xml:space="preserve"> </w:t>
            </w:r>
            <w:r w:rsidR="0085006D" w:rsidRPr="0085006D">
              <w:rPr>
                <w:color w:val="000000"/>
                <w:sz w:val="18"/>
                <w:szCs w:val="18"/>
              </w:rPr>
              <w:t xml:space="preserve">"FOR"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such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85006D" w:rsidRPr="0085006D">
              <w:rPr>
                <w:color w:val="000000"/>
                <w:sz w:val="18"/>
                <w:szCs w:val="18"/>
              </w:rPr>
              <w:t>decision</w:t>
            </w:r>
            <w:proofErr w:type="spellEnd"/>
            <w:r w:rsidR="0085006D" w:rsidRPr="0085006D">
              <w:rPr>
                <w:color w:val="000000"/>
                <w:sz w:val="18"/>
                <w:szCs w:val="18"/>
              </w:rPr>
              <w:t>.</w:t>
            </w:r>
          </w:p>
          <w:p w14:paraId="04CF2ECD" w14:textId="77777777" w:rsidR="00013C1A" w:rsidRDefault="00013C1A" w:rsidP="004360B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price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>
              <w:rPr>
                <w:color w:val="000000"/>
                <w:sz w:val="18"/>
                <w:szCs w:val="18"/>
              </w:rPr>
              <w:t>takevoer</w:t>
            </w:r>
            <w:proofErr w:type="spellEnd"/>
            <w:r w:rsid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>
              <w:rPr>
                <w:color w:val="000000"/>
                <w:sz w:val="18"/>
                <w:szCs w:val="18"/>
              </w:rPr>
              <w:t>bid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which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is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implemented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in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order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remove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shares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from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trading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on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regulated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market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AB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Nasdaq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Vilnius, </w:t>
            </w:r>
            <w:proofErr w:type="spellStart"/>
            <w:r w:rsidR="0020778A">
              <w:rPr>
                <w:color w:val="000000"/>
                <w:sz w:val="18"/>
                <w:szCs w:val="18"/>
              </w:rPr>
              <w:t>shall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be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determined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in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accordance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with</w:t>
            </w:r>
            <w:proofErr w:type="spellEnd"/>
            <w:r w:rsid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>
              <w:rPr>
                <w:color w:val="000000"/>
                <w:sz w:val="18"/>
                <w:szCs w:val="18"/>
              </w:rPr>
              <w:t>paragraph</w:t>
            </w:r>
            <w:proofErr w:type="spellEnd"/>
            <w:r w:rsidR="0020778A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="0020778A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>
              <w:rPr>
                <w:color w:val="000000"/>
                <w:sz w:val="18"/>
                <w:szCs w:val="18"/>
              </w:rPr>
              <w:t>Part</w:t>
            </w:r>
            <w:proofErr w:type="spellEnd"/>
            <w:r w:rsidR="0020778A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="0020778A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Article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29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Securities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Law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the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Republic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778A" w:rsidRPr="0020778A">
              <w:rPr>
                <w:color w:val="000000"/>
                <w:sz w:val="18"/>
                <w:szCs w:val="18"/>
              </w:rPr>
              <w:t>of</w:t>
            </w:r>
            <w:proofErr w:type="spellEnd"/>
            <w:r w:rsidR="0020778A" w:rsidRPr="0020778A">
              <w:rPr>
                <w:color w:val="000000"/>
                <w:sz w:val="18"/>
                <w:szCs w:val="18"/>
              </w:rPr>
              <w:t xml:space="preserve"> Lithuania. </w:t>
            </w:r>
          </w:p>
          <w:p w14:paraId="0D5E85FA" w14:textId="7DEBF177" w:rsidR="00F957E1" w:rsidRPr="00075399" w:rsidRDefault="00F957E1" w:rsidP="004360B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14:paraId="36F5489C" w14:textId="77777777" w:rsidR="006A3795" w:rsidRDefault="006A3795" w:rsidP="001E44D4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2E34E09" w14:textId="3FCD02E8" w:rsidR="001E44D4" w:rsidRDefault="001E44D4" w:rsidP="001E44D4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15359CE4" w14:textId="77777777" w:rsidR="001E44D4" w:rsidRPr="000B1B7B" w:rsidRDefault="001E44D4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14:paraId="3D680E4E" w14:textId="04BAC16C" w:rsidR="001E44D4" w:rsidRPr="001E44D4" w:rsidRDefault="001E44D4" w:rsidP="000B1B7B">
            <w:pPr>
              <w:spacing w:line="21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</w:tc>
      </w:tr>
      <w:tr w:rsidR="001E44D4" w:rsidRPr="0060279B" w14:paraId="17E45E09" w14:textId="67C276EF" w:rsidTr="001E44D4">
        <w:tc>
          <w:tcPr>
            <w:tcW w:w="496" w:type="dxa"/>
          </w:tcPr>
          <w:p w14:paraId="69FE46A8" w14:textId="77777777" w:rsidR="001E44D4" w:rsidRPr="0060279B" w:rsidRDefault="001E44D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3155" w:type="dxa"/>
          </w:tcPr>
          <w:p w14:paraId="5AE98A86" w14:textId="77777777" w:rsidR="001E44D4" w:rsidRPr="0060279B" w:rsidRDefault="001E44D4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4C741B4F" w14:textId="1AD78F7F" w:rsidR="001E44D4" w:rsidRPr="0060279B" w:rsidRDefault="001E44D4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F957E1" w:rsidRPr="00F957E1">
              <w:rPr>
                <w:rFonts w:ascii="Times New Roman" w:hAnsi="Times New Roman" w:hint="eastAsia"/>
                <w:sz w:val="18"/>
                <w:szCs w:val="18"/>
              </w:rPr>
              <w:t>Į</w:t>
            </w:r>
            <w:r w:rsidR="00F957E1" w:rsidRPr="00F957E1">
              <w:rPr>
                <w:rFonts w:ascii="Times New Roman" w:hAnsi="Times New Roman"/>
                <w:sz w:val="18"/>
                <w:szCs w:val="18"/>
              </w:rPr>
              <w:t>galiojim</w:t>
            </w:r>
            <w:r w:rsidR="00F957E1" w:rsidRPr="00F957E1">
              <w:rPr>
                <w:rFonts w:ascii="Times New Roman" w:hAnsi="Times New Roman" w:hint="eastAsia"/>
                <w:sz w:val="18"/>
                <w:szCs w:val="18"/>
              </w:rPr>
              <w:t>ų</w:t>
            </w:r>
            <w:r w:rsidR="00F957E1" w:rsidRPr="00F957E1">
              <w:rPr>
                <w:rFonts w:ascii="Times New Roman" w:hAnsi="Times New Roman"/>
                <w:sz w:val="18"/>
                <w:szCs w:val="18"/>
              </w:rPr>
              <w:t xml:space="preserve"> AB „Snaig</w:t>
            </w:r>
            <w:r w:rsidR="00F957E1" w:rsidRPr="00F957E1">
              <w:rPr>
                <w:rFonts w:ascii="Times New Roman" w:hAnsi="Times New Roman" w:hint="eastAsia"/>
                <w:sz w:val="18"/>
                <w:szCs w:val="18"/>
              </w:rPr>
              <w:t>ė“</w:t>
            </w:r>
            <w:r w:rsidR="00F957E1" w:rsidRPr="00F957E1">
              <w:rPr>
                <w:rFonts w:ascii="Times New Roman" w:hAnsi="Times New Roman"/>
                <w:sz w:val="18"/>
                <w:szCs w:val="18"/>
              </w:rPr>
              <w:t xml:space="preserve"> vadovui suteikimas</w:t>
            </w:r>
            <w:r w:rsidR="00024C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C923D41" w14:textId="77777777" w:rsidR="00791CD4" w:rsidRDefault="00791CD4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</w:p>
          <w:p w14:paraId="1D487D5E" w14:textId="1AFFA60F" w:rsidR="001E44D4" w:rsidRPr="0060279B" w:rsidRDefault="001E44D4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00FE468F" w14:textId="30D0A7A5" w:rsidR="001E44D4" w:rsidRPr="0060279B" w:rsidRDefault="001E44D4" w:rsidP="007411C9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DC2913" w:rsidRPr="00DC2913">
              <w:rPr>
                <w:rFonts w:ascii="Times New Roman" w:hAnsi="Times New Roman"/>
                <w:sz w:val="18"/>
                <w:szCs w:val="18"/>
              </w:rPr>
              <w:t xml:space="preserve">Įgalioti ir įpareigoti </w:t>
            </w:r>
            <w:r w:rsidR="00DC2913">
              <w:rPr>
                <w:rFonts w:ascii="Times New Roman" w:hAnsi="Times New Roman"/>
                <w:sz w:val="18"/>
                <w:szCs w:val="18"/>
              </w:rPr>
              <w:t xml:space="preserve">AB „Snaigė“ </w:t>
            </w:r>
            <w:r w:rsidR="00DC2913" w:rsidRPr="00DC2913">
              <w:rPr>
                <w:rFonts w:ascii="Times New Roman" w:hAnsi="Times New Roman"/>
                <w:sz w:val="18"/>
                <w:szCs w:val="18"/>
              </w:rPr>
              <w:t xml:space="preserve">vadovą (generalinį direktorių) su teise perįgalioti kitą asmenį, reikiamiems Bendrovės akcininkams įgyvendinus oficialų siūlymą, kuriuo siekiama išbraukti Bendrovės akcijas iš prekybos AB </w:t>
            </w:r>
            <w:proofErr w:type="spellStart"/>
            <w:r w:rsidR="00DC2913" w:rsidRPr="00DC2913">
              <w:rPr>
                <w:rFonts w:ascii="Times New Roman" w:hAnsi="Times New Roman"/>
                <w:sz w:val="18"/>
                <w:szCs w:val="18"/>
              </w:rPr>
              <w:t>Nasdaq</w:t>
            </w:r>
            <w:proofErr w:type="spellEnd"/>
            <w:r w:rsidR="00DC2913" w:rsidRPr="00DC2913">
              <w:rPr>
                <w:rFonts w:ascii="Times New Roman" w:hAnsi="Times New Roman"/>
                <w:sz w:val="18"/>
                <w:szCs w:val="18"/>
              </w:rPr>
              <w:t xml:space="preserve"> Vilnius, atlikti reikiamus veiksmus ir pateikti reikiamus dokumentus AB </w:t>
            </w:r>
            <w:proofErr w:type="spellStart"/>
            <w:r w:rsidR="00DC2913" w:rsidRPr="00DC2913">
              <w:rPr>
                <w:rFonts w:ascii="Times New Roman" w:hAnsi="Times New Roman"/>
                <w:sz w:val="18"/>
                <w:szCs w:val="18"/>
              </w:rPr>
              <w:t>Nasdaq</w:t>
            </w:r>
            <w:proofErr w:type="spellEnd"/>
            <w:r w:rsidR="00DC2913" w:rsidRPr="00DC2913">
              <w:rPr>
                <w:rFonts w:ascii="Times New Roman" w:hAnsi="Times New Roman"/>
                <w:sz w:val="18"/>
                <w:szCs w:val="18"/>
              </w:rPr>
              <w:t xml:space="preserve"> Vilnius dėl Bendrovės akcijų išbraukimo šioje reguliuojamoje rinkoje.</w:t>
            </w:r>
          </w:p>
        </w:tc>
        <w:tc>
          <w:tcPr>
            <w:tcW w:w="3099" w:type="dxa"/>
            <w:vAlign w:val="center"/>
          </w:tcPr>
          <w:p w14:paraId="35E59366" w14:textId="77777777" w:rsidR="001E44D4" w:rsidRPr="0060279B" w:rsidRDefault="001E44D4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4354736B" w14:textId="0985B68D" w:rsidR="001E44D4" w:rsidRPr="0060279B" w:rsidRDefault="001E44D4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957E1" w:rsidRPr="00F957E1">
              <w:rPr>
                <w:rFonts w:ascii="Times New Roman" w:hAnsi="Times New Roman"/>
                <w:sz w:val="18"/>
                <w:szCs w:val="18"/>
              </w:rPr>
              <w:t>Granting</w:t>
            </w:r>
            <w:proofErr w:type="spellEnd"/>
            <w:r w:rsidR="00F957E1" w:rsidRPr="00F957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957E1" w:rsidRPr="00F957E1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957E1" w:rsidRPr="00F957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957E1" w:rsidRPr="00F957E1">
              <w:rPr>
                <w:rFonts w:ascii="Times New Roman" w:hAnsi="Times New Roman"/>
                <w:sz w:val="18"/>
                <w:szCs w:val="18"/>
              </w:rPr>
              <w:t>authorizations</w:t>
            </w:r>
            <w:proofErr w:type="spellEnd"/>
            <w:r w:rsidR="00F957E1" w:rsidRPr="00F957E1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="00F957E1" w:rsidRPr="00F957E1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957E1" w:rsidRPr="00F957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957E1" w:rsidRPr="00F957E1">
              <w:rPr>
                <w:rFonts w:ascii="Times New Roman" w:hAnsi="Times New Roman"/>
                <w:sz w:val="18"/>
                <w:szCs w:val="18"/>
              </w:rPr>
              <w:t>manager</w:t>
            </w:r>
            <w:proofErr w:type="spellEnd"/>
            <w:r w:rsidR="00F957E1" w:rsidRPr="00F957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957E1" w:rsidRPr="00F957E1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957E1" w:rsidRPr="00F957E1">
              <w:rPr>
                <w:rFonts w:ascii="Times New Roman" w:hAnsi="Times New Roman"/>
                <w:sz w:val="18"/>
                <w:szCs w:val="18"/>
              </w:rPr>
              <w:t xml:space="preserve"> AB "Snaigė"</w:t>
            </w:r>
            <w:r w:rsidR="00024C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4F13B4F" w14:textId="77777777" w:rsidR="00791CD4" w:rsidRDefault="00791CD4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  <w:p w14:paraId="19DC9A21" w14:textId="7144BC1B" w:rsidR="001E44D4" w:rsidRPr="0060279B" w:rsidRDefault="001E44D4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31718164" w14:textId="630C843D" w:rsidR="001E44D4" w:rsidRDefault="001E44D4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To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authorize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oblige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manager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general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director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AB Snaig</w:t>
            </w:r>
            <w:r w:rsidR="00F01F1F" w:rsidRPr="00F01F1F">
              <w:rPr>
                <w:rFonts w:ascii="Times New Roman" w:hAnsi="Times New Roman" w:hint="eastAsia"/>
                <w:sz w:val="18"/>
                <w:szCs w:val="18"/>
              </w:rPr>
              <w:t>ė</w:t>
            </w:r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right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to delegate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another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person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after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necessary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shareholders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Company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have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implemented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3812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proofErr w:type="spellStart"/>
            <w:r w:rsidR="00853812">
              <w:rPr>
                <w:rFonts w:ascii="Times New Roman" w:hAnsi="Times New Roman"/>
                <w:sz w:val="18"/>
                <w:szCs w:val="18"/>
              </w:rPr>
              <w:t>takeover</w:t>
            </w:r>
            <w:proofErr w:type="spellEnd"/>
            <w:r w:rsidR="008538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53812">
              <w:rPr>
                <w:rFonts w:ascii="Times New Roman" w:hAnsi="Times New Roman"/>
                <w:sz w:val="18"/>
                <w:szCs w:val="18"/>
              </w:rPr>
              <w:t>bid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aimed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at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delisting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Company's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shares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from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trading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AB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Nasdaq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Vilnius, to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perform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necessary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actions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submit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necessary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documents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to AB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Nasdaq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Vilnius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regarding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delisting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Company's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shares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in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this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regulated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1F1F" w:rsidRPr="00F01F1F">
              <w:rPr>
                <w:rFonts w:ascii="Times New Roman" w:hAnsi="Times New Roman"/>
                <w:sz w:val="18"/>
                <w:szCs w:val="18"/>
              </w:rPr>
              <w:t>market</w:t>
            </w:r>
            <w:proofErr w:type="spellEnd"/>
            <w:r w:rsidR="00F01F1F" w:rsidRPr="00F01F1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F1197B0" w14:textId="3E5F9B6E" w:rsidR="00C34D27" w:rsidRPr="0060279B" w:rsidRDefault="00C34D27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14:paraId="771391FA" w14:textId="0BC65EB0" w:rsidR="001E44D4" w:rsidRPr="000B1B7B" w:rsidRDefault="001E44D4" w:rsidP="000B1B7B">
            <w:pPr>
              <w:rPr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44D41988" w14:textId="77777777" w:rsidR="001E44D4" w:rsidRPr="000B1B7B" w:rsidRDefault="001E44D4" w:rsidP="000B1B7B"/>
        </w:tc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14:paraId="6103B143" w14:textId="0B819195" w:rsidR="001E44D4" w:rsidRPr="001E44D4" w:rsidRDefault="001E44D4">
            <w:pPr>
              <w:rPr>
                <w:b/>
                <w:bCs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  <w:p w14:paraId="2A598C7C" w14:textId="77777777" w:rsidR="001E44D4" w:rsidRPr="000B1B7B" w:rsidRDefault="001E44D4" w:rsidP="000B1B7B"/>
        </w:tc>
      </w:tr>
    </w:tbl>
    <w:p w14:paraId="257DE61B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9F1620A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C4AF75E" w14:textId="51B0394F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/representative </w:t>
      </w:r>
      <w:r w:rsidR="00731A10">
        <w:rPr>
          <w:rFonts w:ascii="Times New Roman" w:hAnsi="Times New Roman"/>
          <w:sz w:val="18"/>
          <w:szCs w:val="18"/>
          <w:lang w:val="en-US"/>
        </w:rPr>
        <w:t>of legal entity</w:t>
      </w:r>
      <w:r w:rsidRPr="0060279B">
        <w:rPr>
          <w:rFonts w:ascii="Times New Roman" w:hAnsi="Times New Roman"/>
          <w:sz w:val="18"/>
          <w:szCs w:val="18"/>
          <w:lang w:val="en-US"/>
        </w:rPr>
        <w:t>)</w:t>
      </w:r>
    </w:p>
    <w:p w14:paraId="1300B3E8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D028E58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61B8F41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A535673" w14:textId="77777777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1A286F91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 xml:space="preserve">(data/date)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1C4CD5D6" w14:textId="15D7F92C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 xml:space="preserve">(A.V./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/for </w:t>
      </w:r>
      <w:r w:rsidR="00731A10">
        <w:rPr>
          <w:rFonts w:ascii="Times New Roman" w:hAnsi="Times New Roman"/>
          <w:sz w:val="18"/>
          <w:szCs w:val="18"/>
          <w:lang w:val="en-US"/>
        </w:rPr>
        <w:t>legal entity</w:t>
      </w:r>
      <w:r w:rsidRPr="0060279B">
        <w:rPr>
          <w:rFonts w:ascii="Times New Roman" w:hAnsi="Times New Roman"/>
          <w:sz w:val="18"/>
          <w:szCs w:val="18"/>
          <w:lang w:val="en-US"/>
        </w:rPr>
        <w:t xml:space="preserve"> )</w:t>
      </w:r>
    </w:p>
    <w:sectPr w:rsidR="00FD5BA1" w:rsidRPr="0060279B" w:rsidSect="00DE07B1">
      <w:footerReference w:type="default" r:id="rId7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6EB2" w14:textId="77777777" w:rsidR="00DE07B1" w:rsidRDefault="00DE07B1" w:rsidP="00493CAE">
      <w:r>
        <w:separator/>
      </w:r>
    </w:p>
  </w:endnote>
  <w:endnote w:type="continuationSeparator" w:id="0">
    <w:p w14:paraId="438DE2F2" w14:textId="77777777" w:rsidR="00DE07B1" w:rsidRDefault="00DE07B1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72D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DA72B5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6A56" w:rsidRPr="00966A56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7135EEE8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FDAC" w14:textId="77777777" w:rsidR="00DE07B1" w:rsidRDefault="00DE07B1" w:rsidP="00493CAE">
      <w:r>
        <w:separator/>
      </w:r>
    </w:p>
  </w:footnote>
  <w:footnote w:type="continuationSeparator" w:id="0">
    <w:p w14:paraId="57B5D1E3" w14:textId="77777777" w:rsidR="00DE07B1" w:rsidRDefault="00DE07B1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17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2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202968">
    <w:abstractNumId w:val="13"/>
  </w:num>
  <w:num w:numId="5" w16cid:durableId="1497304223">
    <w:abstractNumId w:val="24"/>
  </w:num>
  <w:num w:numId="6" w16cid:durableId="641932548">
    <w:abstractNumId w:val="17"/>
  </w:num>
  <w:num w:numId="7" w16cid:durableId="1793553988">
    <w:abstractNumId w:val="14"/>
  </w:num>
  <w:num w:numId="8" w16cid:durableId="1733887732">
    <w:abstractNumId w:val="15"/>
  </w:num>
  <w:num w:numId="9" w16cid:durableId="220679020">
    <w:abstractNumId w:val="0"/>
  </w:num>
  <w:num w:numId="10" w16cid:durableId="1380474102">
    <w:abstractNumId w:val="18"/>
  </w:num>
  <w:num w:numId="11" w16cid:durableId="1169103022">
    <w:abstractNumId w:val="22"/>
  </w:num>
  <w:num w:numId="12" w16cid:durableId="249169667">
    <w:abstractNumId w:val="23"/>
  </w:num>
  <w:num w:numId="13" w16cid:durableId="589658000">
    <w:abstractNumId w:val="1"/>
  </w:num>
  <w:num w:numId="14" w16cid:durableId="972514862">
    <w:abstractNumId w:val="2"/>
  </w:num>
  <w:num w:numId="15" w16cid:durableId="130833886">
    <w:abstractNumId w:val="12"/>
  </w:num>
  <w:num w:numId="16" w16cid:durableId="509102277">
    <w:abstractNumId w:val="26"/>
  </w:num>
  <w:num w:numId="17" w16cid:durableId="317659653">
    <w:abstractNumId w:val="25"/>
  </w:num>
  <w:num w:numId="18" w16cid:durableId="1747653989">
    <w:abstractNumId w:val="4"/>
  </w:num>
  <w:num w:numId="19" w16cid:durableId="1478842239">
    <w:abstractNumId w:val="19"/>
  </w:num>
  <w:num w:numId="20" w16cid:durableId="676814100">
    <w:abstractNumId w:val="8"/>
  </w:num>
  <w:num w:numId="21" w16cid:durableId="1311641905">
    <w:abstractNumId w:val="10"/>
  </w:num>
  <w:num w:numId="22" w16cid:durableId="857158594">
    <w:abstractNumId w:val="9"/>
  </w:num>
  <w:num w:numId="23" w16cid:durableId="785807713">
    <w:abstractNumId w:val="6"/>
  </w:num>
  <w:num w:numId="24" w16cid:durableId="1445268214">
    <w:abstractNumId w:val="27"/>
  </w:num>
  <w:num w:numId="25" w16cid:durableId="1061055295">
    <w:abstractNumId w:val="3"/>
  </w:num>
  <w:num w:numId="26" w16cid:durableId="2002082010">
    <w:abstractNumId w:val="21"/>
  </w:num>
  <w:num w:numId="27" w16cid:durableId="1797068970">
    <w:abstractNumId w:val="16"/>
  </w:num>
  <w:num w:numId="28" w16cid:durableId="319845557">
    <w:abstractNumId w:val="5"/>
  </w:num>
  <w:num w:numId="29" w16cid:durableId="1574468953">
    <w:abstractNumId w:val="20"/>
  </w:num>
  <w:num w:numId="30" w16cid:durableId="1736199308">
    <w:abstractNumId w:val="28"/>
  </w:num>
  <w:num w:numId="31" w16cid:durableId="169418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13C1A"/>
    <w:rsid w:val="00013F27"/>
    <w:rsid w:val="00024CCA"/>
    <w:rsid w:val="000360AA"/>
    <w:rsid w:val="00040DAB"/>
    <w:rsid w:val="000450BB"/>
    <w:rsid w:val="00047C36"/>
    <w:rsid w:val="00065800"/>
    <w:rsid w:val="00065DDC"/>
    <w:rsid w:val="00071A77"/>
    <w:rsid w:val="000737FF"/>
    <w:rsid w:val="00075399"/>
    <w:rsid w:val="00077CE7"/>
    <w:rsid w:val="00084771"/>
    <w:rsid w:val="00085AAF"/>
    <w:rsid w:val="00086197"/>
    <w:rsid w:val="00086480"/>
    <w:rsid w:val="000950BA"/>
    <w:rsid w:val="000A363A"/>
    <w:rsid w:val="000B1B7B"/>
    <w:rsid w:val="000B397C"/>
    <w:rsid w:val="000B48FE"/>
    <w:rsid w:val="000C7B4F"/>
    <w:rsid w:val="000D5EFC"/>
    <w:rsid w:val="000F1904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55D30"/>
    <w:rsid w:val="001621FC"/>
    <w:rsid w:val="00167C81"/>
    <w:rsid w:val="001736C2"/>
    <w:rsid w:val="00182346"/>
    <w:rsid w:val="00186A0E"/>
    <w:rsid w:val="001903CC"/>
    <w:rsid w:val="001B2958"/>
    <w:rsid w:val="001B3247"/>
    <w:rsid w:val="001D0563"/>
    <w:rsid w:val="001D2AF5"/>
    <w:rsid w:val="001D48EA"/>
    <w:rsid w:val="001E44D4"/>
    <w:rsid w:val="001E71F4"/>
    <w:rsid w:val="001F1D2F"/>
    <w:rsid w:val="00203D3D"/>
    <w:rsid w:val="0020778A"/>
    <w:rsid w:val="00211906"/>
    <w:rsid w:val="00211956"/>
    <w:rsid w:val="00211CDE"/>
    <w:rsid w:val="00215C47"/>
    <w:rsid w:val="002271BE"/>
    <w:rsid w:val="00242E8B"/>
    <w:rsid w:val="0025693D"/>
    <w:rsid w:val="00262411"/>
    <w:rsid w:val="00266625"/>
    <w:rsid w:val="00266A3C"/>
    <w:rsid w:val="0026722E"/>
    <w:rsid w:val="002676B8"/>
    <w:rsid w:val="00277BB6"/>
    <w:rsid w:val="00287554"/>
    <w:rsid w:val="00295F06"/>
    <w:rsid w:val="002B79E0"/>
    <w:rsid w:val="002B7FEC"/>
    <w:rsid w:val="002C0B01"/>
    <w:rsid w:val="002C0FE9"/>
    <w:rsid w:val="002E7998"/>
    <w:rsid w:val="003041E1"/>
    <w:rsid w:val="00320CBA"/>
    <w:rsid w:val="00324A15"/>
    <w:rsid w:val="00334FB3"/>
    <w:rsid w:val="003605AF"/>
    <w:rsid w:val="00361F18"/>
    <w:rsid w:val="00367C35"/>
    <w:rsid w:val="00374F6F"/>
    <w:rsid w:val="00382365"/>
    <w:rsid w:val="00384993"/>
    <w:rsid w:val="003A1773"/>
    <w:rsid w:val="003A1D23"/>
    <w:rsid w:val="003A7AF9"/>
    <w:rsid w:val="003B0616"/>
    <w:rsid w:val="003B7409"/>
    <w:rsid w:val="003C06EC"/>
    <w:rsid w:val="003C1574"/>
    <w:rsid w:val="003E3CA3"/>
    <w:rsid w:val="003F2A35"/>
    <w:rsid w:val="0042089A"/>
    <w:rsid w:val="00424F67"/>
    <w:rsid w:val="004256FF"/>
    <w:rsid w:val="00426A77"/>
    <w:rsid w:val="004360BD"/>
    <w:rsid w:val="00441786"/>
    <w:rsid w:val="00454288"/>
    <w:rsid w:val="00467128"/>
    <w:rsid w:val="00467756"/>
    <w:rsid w:val="00470D55"/>
    <w:rsid w:val="00481463"/>
    <w:rsid w:val="00490515"/>
    <w:rsid w:val="00493CAE"/>
    <w:rsid w:val="0049487E"/>
    <w:rsid w:val="004A0783"/>
    <w:rsid w:val="004A7041"/>
    <w:rsid w:val="004B5EB6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936D1"/>
    <w:rsid w:val="005A0E9B"/>
    <w:rsid w:val="005C03F2"/>
    <w:rsid w:val="005C3C62"/>
    <w:rsid w:val="005E41E4"/>
    <w:rsid w:val="005F79AC"/>
    <w:rsid w:val="005F7E42"/>
    <w:rsid w:val="0060172B"/>
    <w:rsid w:val="0060279B"/>
    <w:rsid w:val="00603774"/>
    <w:rsid w:val="00606052"/>
    <w:rsid w:val="00607D81"/>
    <w:rsid w:val="0062174F"/>
    <w:rsid w:val="0062564F"/>
    <w:rsid w:val="00625807"/>
    <w:rsid w:val="00630D7D"/>
    <w:rsid w:val="0063477D"/>
    <w:rsid w:val="006374A2"/>
    <w:rsid w:val="006376B4"/>
    <w:rsid w:val="00646866"/>
    <w:rsid w:val="006570E7"/>
    <w:rsid w:val="00673468"/>
    <w:rsid w:val="00674468"/>
    <w:rsid w:val="0067488F"/>
    <w:rsid w:val="00693E61"/>
    <w:rsid w:val="006A23CD"/>
    <w:rsid w:val="006A3795"/>
    <w:rsid w:val="006A6FBE"/>
    <w:rsid w:val="006C1A20"/>
    <w:rsid w:val="006C7908"/>
    <w:rsid w:val="006E3D32"/>
    <w:rsid w:val="006F2231"/>
    <w:rsid w:val="006F2489"/>
    <w:rsid w:val="006F2F56"/>
    <w:rsid w:val="00716371"/>
    <w:rsid w:val="00717EAB"/>
    <w:rsid w:val="00724626"/>
    <w:rsid w:val="00724D48"/>
    <w:rsid w:val="00731A10"/>
    <w:rsid w:val="00736279"/>
    <w:rsid w:val="007411C9"/>
    <w:rsid w:val="00746AEF"/>
    <w:rsid w:val="007477AD"/>
    <w:rsid w:val="00750479"/>
    <w:rsid w:val="00753EA2"/>
    <w:rsid w:val="00757F76"/>
    <w:rsid w:val="00762EB2"/>
    <w:rsid w:val="00764BDA"/>
    <w:rsid w:val="0076658F"/>
    <w:rsid w:val="00767F94"/>
    <w:rsid w:val="00773F78"/>
    <w:rsid w:val="00791CD4"/>
    <w:rsid w:val="007A24A4"/>
    <w:rsid w:val="007A57C9"/>
    <w:rsid w:val="007A58A9"/>
    <w:rsid w:val="007B114E"/>
    <w:rsid w:val="007B282B"/>
    <w:rsid w:val="007B2CA2"/>
    <w:rsid w:val="007B633C"/>
    <w:rsid w:val="007B6459"/>
    <w:rsid w:val="007C68EA"/>
    <w:rsid w:val="007C7E17"/>
    <w:rsid w:val="007D23D9"/>
    <w:rsid w:val="007D2F59"/>
    <w:rsid w:val="007F765C"/>
    <w:rsid w:val="00803D44"/>
    <w:rsid w:val="00806A60"/>
    <w:rsid w:val="00815B28"/>
    <w:rsid w:val="00816D1A"/>
    <w:rsid w:val="00820532"/>
    <w:rsid w:val="00823FA4"/>
    <w:rsid w:val="00837786"/>
    <w:rsid w:val="0085006D"/>
    <w:rsid w:val="00852497"/>
    <w:rsid w:val="00853812"/>
    <w:rsid w:val="00856BBC"/>
    <w:rsid w:val="0085791A"/>
    <w:rsid w:val="0087356F"/>
    <w:rsid w:val="00877F95"/>
    <w:rsid w:val="008832B6"/>
    <w:rsid w:val="00883E76"/>
    <w:rsid w:val="00890AE9"/>
    <w:rsid w:val="008972C6"/>
    <w:rsid w:val="008A23E6"/>
    <w:rsid w:val="008B5F18"/>
    <w:rsid w:val="008B6933"/>
    <w:rsid w:val="008B7196"/>
    <w:rsid w:val="008C0278"/>
    <w:rsid w:val="008C38BE"/>
    <w:rsid w:val="008E2CCE"/>
    <w:rsid w:val="009026B8"/>
    <w:rsid w:val="009140D1"/>
    <w:rsid w:val="0091459F"/>
    <w:rsid w:val="00921779"/>
    <w:rsid w:val="0092442D"/>
    <w:rsid w:val="00926896"/>
    <w:rsid w:val="00931296"/>
    <w:rsid w:val="00942D22"/>
    <w:rsid w:val="00943952"/>
    <w:rsid w:val="00943B3B"/>
    <w:rsid w:val="009472B0"/>
    <w:rsid w:val="00947914"/>
    <w:rsid w:val="00962F2A"/>
    <w:rsid w:val="00964D72"/>
    <w:rsid w:val="0096531A"/>
    <w:rsid w:val="00966A56"/>
    <w:rsid w:val="00967AF4"/>
    <w:rsid w:val="00974992"/>
    <w:rsid w:val="009749ED"/>
    <w:rsid w:val="009753F3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12E2B"/>
    <w:rsid w:val="00A224FA"/>
    <w:rsid w:val="00A400BF"/>
    <w:rsid w:val="00A52D9D"/>
    <w:rsid w:val="00A72057"/>
    <w:rsid w:val="00A93FE8"/>
    <w:rsid w:val="00AA4B27"/>
    <w:rsid w:val="00AA5E16"/>
    <w:rsid w:val="00AD0D31"/>
    <w:rsid w:val="00AD7402"/>
    <w:rsid w:val="00AE3C1A"/>
    <w:rsid w:val="00AE7F46"/>
    <w:rsid w:val="00AF1391"/>
    <w:rsid w:val="00B10B05"/>
    <w:rsid w:val="00B156B3"/>
    <w:rsid w:val="00B15A18"/>
    <w:rsid w:val="00B15E97"/>
    <w:rsid w:val="00B17D4D"/>
    <w:rsid w:val="00B20F45"/>
    <w:rsid w:val="00B24744"/>
    <w:rsid w:val="00B3153D"/>
    <w:rsid w:val="00B52007"/>
    <w:rsid w:val="00B70A38"/>
    <w:rsid w:val="00B719A8"/>
    <w:rsid w:val="00B736FE"/>
    <w:rsid w:val="00B9028A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F65D0"/>
    <w:rsid w:val="00C004B2"/>
    <w:rsid w:val="00C06594"/>
    <w:rsid w:val="00C14249"/>
    <w:rsid w:val="00C216BC"/>
    <w:rsid w:val="00C21EAD"/>
    <w:rsid w:val="00C31A38"/>
    <w:rsid w:val="00C33BD6"/>
    <w:rsid w:val="00C34D27"/>
    <w:rsid w:val="00C3575E"/>
    <w:rsid w:val="00C37688"/>
    <w:rsid w:val="00C52A0A"/>
    <w:rsid w:val="00C718C8"/>
    <w:rsid w:val="00C810BF"/>
    <w:rsid w:val="00C906E4"/>
    <w:rsid w:val="00C91B8B"/>
    <w:rsid w:val="00C956E4"/>
    <w:rsid w:val="00CA41D1"/>
    <w:rsid w:val="00CB4CD2"/>
    <w:rsid w:val="00CB7D9B"/>
    <w:rsid w:val="00CC1894"/>
    <w:rsid w:val="00CC7F55"/>
    <w:rsid w:val="00CD2673"/>
    <w:rsid w:val="00CD2FDD"/>
    <w:rsid w:val="00CD3F9D"/>
    <w:rsid w:val="00CE7752"/>
    <w:rsid w:val="00CE7779"/>
    <w:rsid w:val="00D02F82"/>
    <w:rsid w:val="00D04CD8"/>
    <w:rsid w:val="00D22411"/>
    <w:rsid w:val="00D22689"/>
    <w:rsid w:val="00D2528B"/>
    <w:rsid w:val="00D272C1"/>
    <w:rsid w:val="00D421C7"/>
    <w:rsid w:val="00D53EEC"/>
    <w:rsid w:val="00D568BD"/>
    <w:rsid w:val="00D77C81"/>
    <w:rsid w:val="00D819D7"/>
    <w:rsid w:val="00D81AB1"/>
    <w:rsid w:val="00D831A3"/>
    <w:rsid w:val="00DB32E4"/>
    <w:rsid w:val="00DC1F93"/>
    <w:rsid w:val="00DC2913"/>
    <w:rsid w:val="00DC5FD7"/>
    <w:rsid w:val="00DC71F8"/>
    <w:rsid w:val="00DE07B1"/>
    <w:rsid w:val="00DE2A51"/>
    <w:rsid w:val="00E1141E"/>
    <w:rsid w:val="00E221EC"/>
    <w:rsid w:val="00E3616B"/>
    <w:rsid w:val="00E44D18"/>
    <w:rsid w:val="00E82290"/>
    <w:rsid w:val="00E82ED9"/>
    <w:rsid w:val="00E87A6E"/>
    <w:rsid w:val="00E87AF6"/>
    <w:rsid w:val="00EA1D5E"/>
    <w:rsid w:val="00EA38E0"/>
    <w:rsid w:val="00EA60D2"/>
    <w:rsid w:val="00EB2F48"/>
    <w:rsid w:val="00EB7FCD"/>
    <w:rsid w:val="00ED4F3B"/>
    <w:rsid w:val="00ED6BAF"/>
    <w:rsid w:val="00ED75C9"/>
    <w:rsid w:val="00EE1372"/>
    <w:rsid w:val="00EF00A7"/>
    <w:rsid w:val="00EF064F"/>
    <w:rsid w:val="00EF7A15"/>
    <w:rsid w:val="00F01F1F"/>
    <w:rsid w:val="00F1407A"/>
    <w:rsid w:val="00F3166B"/>
    <w:rsid w:val="00F31B4B"/>
    <w:rsid w:val="00F40A9C"/>
    <w:rsid w:val="00F410D2"/>
    <w:rsid w:val="00F431D0"/>
    <w:rsid w:val="00F505EC"/>
    <w:rsid w:val="00F560D2"/>
    <w:rsid w:val="00F620B4"/>
    <w:rsid w:val="00F64E91"/>
    <w:rsid w:val="00F80D61"/>
    <w:rsid w:val="00F813DC"/>
    <w:rsid w:val="00F82BDB"/>
    <w:rsid w:val="00F954EE"/>
    <w:rsid w:val="00F957E1"/>
    <w:rsid w:val="00F979D7"/>
    <w:rsid w:val="00FB35F9"/>
    <w:rsid w:val="00FC0B95"/>
    <w:rsid w:val="00FC5316"/>
    <w:rsid w:val="00FC7FBD"/>
    <w:rsid w:val="00FD5BA1"/>
    <w:rsid w:val="00FD7BA7"/>
    <w:rsid w:val="00FE521E"/>
    <w:rsid w:val="00FF39CE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81C"/>
  <w15:docId w15:val="{2E485EEE-C584-40C5-9F41-56A46B7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3528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2</cp:revision>
  <cp:lastPrinted>2019-04-04T07:07:00Z</cp:lastPrinted>
  <dcterms:created xsi:type="dcterms:W3CDTF">2024-03-22T09:36:00Z</dcterms:created>
  <dcterms:modified xsi:type="dcterms:W3CDTF">2024-03-22T09:36:00Z</dcterms:modified>
</cp:coreProperties>
</file>