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560"/>
        </w:tabs>
        <w:rPr/>
      </w:pPr>
      <w:bookmarkStart w:colFirst="0" w:colLast="0" w:name="_c9q9i31a2u03" w:id="0"/>
      <w:bookmarkEnd w:id="0"/>
      <w:r w:rsidDel="00000000" w:rsidR="00000000" w:rsidRPr="00000000">
        <w:rPr>
          <w:rtl w:val="0"/>
        </w:rPr>
      </w:r>
    </w:p>
    <w:p w:rsidR="00000000" w:rsidDel="00000000" w:rsidP="00000000" w:rsidRDefault="00000000" w:rsidRPr="00000000" w14:paraId="00000002">
      <w:pPr>
        <w:tabs>
          <w:tab w:val="left" w:leader="none" w:pos="560"/>
        </w:tabs>
        <w:rPr/>
      </w:pPr>
      <w:r w:rsidDel="00000000" w:rsidR="00000000" w:rsidRPr="00000000">
        <w:rPr>
          <w:rtl w:val="0"/>
        </w:rPr>
        <w:t xml:space="preserve">Persbericht </w:t>
      </w:r>
      <w:r w:rsidDel="00000000" w:rsidR="00000000" w:rsidRPr="00000000">
        <w:rPr>
          <w:rtl w:val="0"/>
        </w:rPr>
        <w:tab/>
        <w:tab/>
        <w:tab/>
        <w:tab/>
        <w:tab/>
        <w:tab/>
        <w:tab/>
        <w:t xml:space="preserve">        Gereglementeerde informatie</w:t>
      </w:r>
    </w:p>
    <w:p w:rsidR="00000000" w:rsidDel="00000000" w:rsidP="00000000" w:rsidRDefault="00000000" w:rsidRPr="00000000" w14:paraId="00000003">
      <w:pPr>
        <w:tabs>
          <w:tab w:val="left" w:leader="none" w:pos="560"/>
        </w:tabs>
        <w:rPr/>
      </w:pPr>
      <w:r w:rsidDel="00000000" w:rsidR="00000000" w:rsidRPr="00000000">
        <w:rPr>
          <w:rtl w:val="0"/>
        </w:rPr>
      </w:r>
    </w:p>
    <w:p w:rsidR="00000000" w:rsidDel="00000000" w:rsidP="00000000" w:rsidRDefault="00000000" w:rsidRPr="00000000" w14:paraId="00000004">
      <w:pPr>
        <w:pStyle w:val="Title"/>
        <w:tabs>
          <w:tab w:val="left" w:leader="none" w:pos="560"/>
        </w:tabs>
        <w:spacing w:after="120" w:line="240" w:lineRule="auto"/>
        <w:rPr/>
      </w:pPr>
      <w:bookmarkStart w:colFirst="0" w:colLast="0" w:name="_j3kzwfqcs4lz" w:id="1"/>
      <w:bookmarkEnd w:id="1"/>
      <w:r w:rsidDel="00000000" w:rsidR="00000000" w:rsidRPr="00000000">
        <w:rPr>
          <w:rtl w:val="0"/>
        </w:rPr>
        <w:t xml:space="preserve">Participatiemelding van BNP Paribas Asset Management</w:t>
      </w:r>
      <w:r w:rsidDel="00000000" w:rsidR="00000000" w:rsidRPr="00000000">
        <w:rPr>
          <w:rtl w:val="0"/>
        </w:rPr>
      </w:r>
    </w:p>
    <w:p w:rsidR="00000000" w:rsidDel="00000000" w:rsidP="00000000" w:rsidRDefault="00000000" w:rsidRPr="00000000" w14:paraId="00000005">
      <w:pPr>
        <w:pStyle w:val="Subtitle"/>
        <w:tabs>
          <w:tab w:val="left" w:leader="none" w:pos="560"/>
        </w:tabs>
        <w:rPr>
          <w:sz w:val="20"/>
          <w:szCs w:val="20"/>
        </w:rPr>
      </w:pPr>
      <w:bookmarkStart w:colFirst="0" w:colLast="0" w:name="_ghd38umu1ceq" w:id="2"/>
      <w:bookmarkEnd w:id="2"/>
      <w:r w:rsidDel="00000000" w:rsidR="00000000" w:rsidRPr="00000000">
        <w:rPr>
          <w:rtl w:val="0"/>
        </w:rPr>
      </w:r>
    </w:p>
    <w:p w:rsidR="00000000" w:rsidDel="00000000" w:rsidP="00000000" w:rsidRDefault="00000000" w:rsidRPr="00000000" w14:paraId="00000006">
      <w:pPr>
        <w:pStyle w:val="Subtitle"/>
        <w:tabs>
          <w:tab w:val="left" w:leader="none" w:pos="560"/>
        </w:tabs>
        <w:rPr>
          <w:rFonts w:ascii="Roboto" w:cs="Roboto" w:eastAsia="Roboto" w:hAnsi="Roboto"/>
          <w:sz w:val="20"/>
          <w:szCs w:val="20"/>
        </w:rPr>
      </w:pPr>
      <w:bookmarkStart w:colFirst="0" w:colLast="0" w:name="_axo0lxxk5sl4" w:id="3"/>
      <w:bookmarkEnd w:id="3"/>
      <w:r w:rsidDel="00000000" w:rsidR="00000000" w:rsidRPr="00000000">
        <w:rPr>
          <w:sz w:val="20"/>
          <w:szCs w:val="20"/>
          <w:rtl w:val="0"/>
        </w:rPr>
        <w:t xml:space="preserve">Brussel</w:t>
      </w:r>
      <w:r w:rsidDel="00000000" w:rsidR="00000000" w:rsidRPr="00000000">
        <w:rPr>
          <w:rFonts w:ascii="Roboto" w:cs="Roboto" w:eastAsia="Roboto" w:hAnsi="Roboto"/>
          <w:sz w:val="20"/>
          <w:szCs w:val="20"/>
          <w:rtl w:val="0"/>
        </w:rPr>
        <w:t xml:space="preserve">, </w:t>
      </w:r>
      <w:r w:rsidDel="00000000" w:rsidR="00000000" w:rsidRPr="00000000">
        <w:rPr>
          <w:sz w:val="20"/>
          <w:szCs w:val="20"/>
          <w:rtl w:val="0"/>
        </w:rPr>
        <w:t xml:space="preserve">18 maart</w:t>
      </w:r>
      <w:r w:rsidDel="00000000" w:rsidR="00000000" w:rsidRPr="00000000">
        <w:rPr>
          <w:rFonts w:ascii="Roboto" w:cs="Roboto" w:eastAsia="Roboto" w:hAnsi="Roboto"/>
          <w:sz w:val="20"/>
          <w:szCs w:val="20"/>
          <w:rtl w:val="0"/>
        </w:rPr>
        <w:t xml:space="preserve"> </w:t>
      </w:r>
      <w:r w:rsidDel="00000000" w:rsidR="00000000" w:rsidRPr="00000000">
        <w:rPr>
          <w:sz w:val="20"/>
          <w:szCs w:val="20"/>
          <w:rtl w:val="0"/>
        </w:rPr>
        <w:t xml:space="preserve">2025</w:t>
      </w:r>
      <w:r w:rsidDel="00000000" w:rsidR="00000000" w:rsidRPr="00000000">
        <w:rPr>
          <w:rFonts w:ascii="Roboto" w:cs="Roboto" w:eastAsia="Roboto" w:hAnsi="Roboto"/>
          <w:sz w:val="20"/>
          <w:szCs w:val="20"/>
          <w:rtl w:val="0"/>
        </w:rPr>
        <w:t xml:space="preserve"> - </w:t>
      </w:r>
      <w:r w:rsidDel="00000000" w:rsidR="00000000" w:rsidRPr="00000000">
        <w:rPr>
          <w:sz w:val="20"/>
          <w:szCs w:val="20"/>
          <w:rtl w:val="0"/>
        </w:rPr>
        <w:t xml:space="preserve">18u</w:t>
      </w:r>
      <w:r w:rsidDel="00000000" w:rsidR="00000000" w:rsidRPr="00000000">
        <w:rPr>
          <w:rFonts w:ascii="Roboto" w:cs="Roboto" w:eastAsia="Roboto" w:hAnsi="Roboto"/>
          <w:sz w:val="20"/>
          <w:szCs w:val="20"/>
          <w:rtl w:val="0"/>
        </w:rPr>
        <w:t xml:space="preserve"> CET</w:t>
      </w:r>
    </w:p>
    <w:p w:rsidR="00000000" w:rsidDel="00000000" w:rsidP="00000000" w:rsidRDefault="00000000" w:rsidRPr="00000000" w14:paraId="00000007">
      <w:pPr>
        <w:spacing w:after="60" w:lineRule="auto"/>
        <w:rPr/>
      </w:pPr>
      <w:r w:rsidDel="00000000" w:rsidR="00000000" w:rsidRPr="00000000">
        <w:rPr>
          <w:rtl w:val="0"/>
        </w:rPr>
      </w:r>
    </w:p>
    <w:p w:rsidR="00000000" w:rsidDel="00000000" w:rsidP="00000000" w:rsidRDefault="00000000" w:rsidRPr="00000000" w14:paraId="00000008">
      <w:pPr>
        <w:spacing w:after="60" w:lineRule="auto"/>
        <w:jc w:val="both"/>
        <w:rPr>
          <w:rFonts w:ascii="Avenir" w:cs="Avenir" w:eastAsia="Avenir" w:hAnsi="Avenir"/>
          <w:b w:val="1"/>
          <w:color w:val="000000"/>
        </w:rPr>
      </w:pPr>
      <w:r w:rsidDel="00000000" w:rsidR="00000000" w:rsidRPr="00000000">
        <w:rPr>
          <w:rtl w:val="0"/>
        </w:rPr>
        <w:t xml:space="preserve">In overeenstemming met de Belgische transparantiewetgeving (Wet van 2 mei 2007) heeft BNP Paribas Asset Management Holding onlangs de volgende transparantiekennisgeving naar Solvay gestuurd om aan te geven dat ze de drempel van</w:t>
      </w:r>
      <w:r w:rsidDel="00000000" w:rsidR="00000000" w:rsidRPr="00000000">
        <w:rPr>
          <w:rtl w:val="0"/>
        </w:rPr>
        <w:t xml:space="preserve"> 3% heeft overschreden</w:t>
      </w:r>
      <w:r w:rsidDel="00000000" w:rsidR="00000000" w:rsidRPr="00000000">
        <w:rPr>
          <w:rtl w:val="0"/>
        </w:rPr>
        <w:t xml:space="preserve">. Hier is een samenvatting van de beweging:</w:t>
      </w:r>
      <w:r w:rsidDel="00000000" w:rsidR="00000000" w:rsidRPr="00000000">
        <w:rPr>
          <w:rtl w:val="0"/>
        </w:rPr>
      </w:r>
    </w:p>
    <w:p w:rsidR="00000000" w:rsidDel="00000000" w:rsidP="00000000" w:rsidRDefault="00000000" w:rsidRPr="00000000" w14:paraId="00000009">
      <w:pPr>
        <w:spacing w:after="60" w:lineRule="auto"/>
        <w:rPr/>
      </w:pPr>
      <w:r w:rsidDel="00000000" w:rsidR="00000000" w:rsidRPr="00000000">
        <w:rPr>
          <w:rtl w:val="0"/>
        </w:rPr>
      </w:r>
    </w:p>
    <w:tbl>
      <w:tblPr>
        <w:tblStyle w:val="Table1"/>
        <w:tblW w:w="90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40"/>
        <w:gridCol w:w="1940"/>
        <w:gridCol w:w="3169"/>
        <w:gridCol w:w="1180"/>
        <w:tblGridChange w:id="0">
          <w:tblGrid>
            <w:gridCol w:w="2740"/>
            <w:gridCol w:w="1940"/>
            <w:gridCol w:w="3169"/>
            <w:gridCol w:w="11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A">
            <w:pPr>
              <w:spacing w:after="0" w:line="240" w:lineRule="auto"/>
              <w:jc w:val="center"/>
              <w:rPr>
                <w:color w:val="000000"/>
                <w:sz w:val="16"/>
                <w:szCs w:val="16"/>
              </w:rPr>
            </w:pPr>
            <w:r w:rsidDel="00000000" w:rsidR="00000000" w:rsidRPr="00000000">
              <w:rPr>
                <w:color w:val="000000"/>
                <w:sz w:val="16"/>
                <w:szCs w:val="16"/>
                <w:rtl w:val="0"/>
              </w:rPr>
              <w:t xml:space="preserve">Datum van drempeloverschrijding</w:t>
            </w:r>
          </w:p>
        </w:tc>
        <w:tc>
          <w:tcPr>
            <w:tcBorders>
              <w:top w:color="000000" w:space="0" w:sz="8" w:val="single"/>
              <w:left w:color="000000" w:space="0" w:sz="0" w:val="nil"/>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B">
            <w:pPr>
              <w:spacing w:after="0" w:line="240" w:lineRule="auto"/>
              <w:jc w:val="center"/>
              <w:rPr>
                <w:color w:val="000000"/>
                <w:sz w:val="16"/>
                <w:szCs w:val="16"/>
              </w:rPr>
            </w:pPr>
            <w:r w:rsidDel="00000000" w:rsidR="00000000" w:rsidRPr="00000000">
              <w:rPr>
                <w:color w:val="000000"/>
                <w:sz w:val="16"/>
                <w:szCs w:val="16"/>
                <w:rtl w:val="0"/>
              </w:rPr>
              <w:t xml:space="preserve">Stemrechten na de transactie</w:t>
            </w:r>
          </w:p>
        </w:tc>
        <w:tc>
          <w:tcPr>
            <w:tcBorders>
              <w:top w:color="000000" w:space="0" w:sz="8" w:val="single"/>
              <w:left w:color="000000" w:space="0" w:sz="0" w:val="nil"/>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C">
            <w:pPr>
              <w:spacing w:after="0" w:line="240" w:lineRule="auto"/>
              <w:jc w:val="center"/>
              <w:rPr>
                <w:color w:val="000000"/>
                <w:sz w:val="16"/>
                <w:szCs w:val="16"/>
              </w:rPr>
            </w:pPr>
            <w:r w:rsidDel="00000000" w:rsidR="00000000" w:rsidRPr="00000000">
              <w:rPr>
                <w:color w:val="000000"/>
                <w:sz w:val="16"/>
                <w:szCs w:val="16"/>
                <w:rtl w:val="0"/>
              </w:rPr>
              <w:t xml:space="preserve">Aan stemrechten gelijkgestelde financiële instrumenten na de transactie</w:t>
            </w:r>
          </w:p>
        </w:tc>
        <w:tc>
          <w:tcPr>
            <w:tcBorders>
              <w:top w:color="000000" w:space="0" w:sz="8" w:val="single"/>
              <w:left w:color="000000" w:space="0" w:sz="0" w:val="nil"/>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D">
            <w:pPr>
              <w:spacing w:after="0" w:line="240" w:lineRule="auto"/>
              <w:jc w:val="center"/>
              <w:rPr>
                <w:color w:val="000000"/>
                <w:sz w:val="16"/>
                <w:szCs w:val="16"/>
              </w:rPr>
            </w:pPr>
            <w:r w:rsidDel="00000000" w:rsidR="00000000" w:rsidRPr="00000000">
              <w:rPr>
                <w:color w:val="000000"/>
                <w:sz w:val="16"/>
                <w:szCs w:val="16"/>
                <w:rtl w:val="0"/>
              </w:rPr>
              <w:t xml:space="preserve">Totaal</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E">
            <w:pPr>
              <w:spacing w:after="0" w:line="240" w:lineRule="auto"/>
              <w:jc w:val="center"/>
              <w:rPr>
                <w:color w:val="000000"/>
              </w:rPr>
            </w:pPr>
            <w:r w:rsidDel="00000000" w:rsidR="00000000" w:rsidRPr="00000000">
              <w:rPr>
                <w:color w:val="000000"/>
                <w:rtl w:val="0"/>
              </w:rPr>
              <w:t xml:space="preserve">11 maart 2025</w:t>
            </w:r>
          </w:p>
        </w:tc>
        <w:tc>
          <w:tcPr>
            <w:tcBorders>
              <w:top w:color="000000" w:space="0" w:sz="0" w:val="nil"/>
              <w:left w:color="000000" w:space="0" w:sz="0" w:val="nil"/>
              <w:bottom w:color="000000" w:space="0" w:sz="8" w:val="single"/>
              <w:right w:color="000000" w:space="0" w:sz="8"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0F">
            <w:pPr>
              <w:spacing w:after="0" w:line="240" w:lineRule="auto"/>
              <w:jc w:val="center"/>
              <w:rPr>
                <w:color w:val="000000"/>
              </w:rPr>
            </w:pPr>
            <w:r w:rsidDel="00000000" w:rsidR="00000000" w:rsidRPr="00000000">
              <w:rPr>
                <w:color w:val="000000"/>
                <w:rtl w:val="0"/>
              </w:rPr>
              <w:t xml:space="preserve">2,95%</w:t>
            </w:r>
          </w:p>
        </w:tc>
        <w:tc>
          <w:tcPr>
            <w:tcBorders>
              <w:top w:color="000000" w:space="0" w:sz="0" w:val="nil"/>
              <w:left w:color="000000" w:space="0" w:sz="0" w:val="nil"/>
              <w:bottom w:color="000000" w:space="0" w:sz="8" w:val="single"/>
              <w:right w:color="000000" w:space="0" w:sz="8"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0">
            <w:pPr>
              <w:spacing w:after="0" w:line="240" w:lineRule="auto"/>
              <w:jc w:val="center"/>
              <w:rPr>
                <w:color w:val="000000"/>
              </w:rPr>
            </w:pPr>
            <w:r w:rsidDel="00000000" w:rsidR="00000000" w:rsidRPr="00000000">
              <w:rPr>
                <w:color w:val="000000"/>
                <w:rtl w:val="0"/>
              </w:rPr>
              <w:t xml:space="preserve">0,00%</w:t>
            </w:r>
          </w:p>
        </w:tc>
        <w:tc>
          <w:tcPr>
            <w:tcBorders>
              <w:top w:color="000000" w:space="0" w:sz="0" w:val="nil"/>
              <w:left w:color="000000" w:space="0" w:sz="0" w:val="nil"/>
              <w:bottom w:color="000000" w:space="0" w:sz="8" w:val="single"/>
              <w:right w:color="000000" w:space="0" w:sz="8"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11">
            <w:pPr>
              <w:spacing w:after="0" w:line="240" w:lineRule="auto"/>
              <w:jc w:val="center"/>
              <w:rPr>
                <w:color w:val="000000"/>
              </w:rPr>
            </w:pPr>
            <w:r w:rsidDel="00000000" w:rsidR="00000000" w:rsidRPr="00000000">
              <w:rPr>
                <w:color w:val="000000"/>
                <w:rtl w:val="0"/>
              </w:rPr>
              <w:t xml:space="preserve">2,95%</w:t>
            </w:r>
          </w:p>
        </w:tc>
      </w:tr>
    </w:tbl>
    <w:p w:rsidR="00000000" w:rsidDel="00000000" w:rsidP="00000000" w:rsidRDefault="00000000" w:rsidRPr="00000000" w14:paraId="00000012">
      <w:pPr>
        <w:spacing w:after="0" w:line="240" w:lineRule="auto"/>
        <w:jc w:val="both"/>
        <w:rPr/>
      </w:pPr>
      <w:r w:rsidDel="00000000" w:rsidR="00000000" w:rsidRPr="00000000">
        <w:rPr>
          <w:rtl w:val="0"/>
        </w:rPr>
      </w:r>
    </w:p>
    <w:p w:rsidR="00000000" w:rsidDel="00000000" w:rsidP="00000000" w:rsidRDefault="00000000" w:rsidRPr="00000000" w14:paraId="00000013">
      <w:pPr>
        <w:spacing w:after="60" w:line="360" w:lineRule="auto"/>
        <w:rPr/>
      </w:pPr>
      <w:r w:rsidDel="00000000" w:rsidR="00000000" w:rsidRPr="00000000">
        <w:rPr>
          <w:rtl w:val="0"/>
        </w:rPr>
        <w:t xml:space="preserve">De kennisgeving, gedateerd 13 maart 2025, bevat de volgende informatie:</w:t>
      </w:r>
    </w:p>
    <w:p w:rsidR="00000000" w:rsidDel="00000000" w:rsidP="00000000" w:rsidRDefault="00000000" w:rsidRPr="00000000" w14:paraId="00000014">
      <w:pPr>
        <w:numPr>
          <w:ilvl w:val="0"/>
          <w:numId w:val="1"/>
        </w:numPr>
        <w:spacing w:after="0" w:afterAutospacing="0" w:line="360" w:lineRule="auto"/>
        <w:ind w:left="720" w:hanging="360"/>
        <w:rPr/>
      </w:pPr>
      <w:r w:rsidDel="00000000" w:rsidR="00000000" w:rsidRPr="00000000">
        <w:rPr>
          <w:rtl w:val="0"/>
        </w:rPr>
        <w:t xml:space="preserve">Reden voor de kennisgeving: </w:t>
      </w:r>
    </w:p>
    <w:p w:rsidR="00000000" w:rsidDel="00000000" w:rsidP="00000000" w:rsidRDefault="00000000" w:rsidRPr="00000000" w14:paraId="00000015">
      <w:pPr>
        <w:numPr>
          <w:ilvl w:val="1"/>
          <w:numId w:val="1"/>
        </w:numPr>
        <w:spacing w:after="0" w:afterAutospacing="0" w:line="360" w:lineRule="auto"/>
        <w:ind w:left="1440" w:hanging="360"/>
        <w:rPr/>
      </w:pPr>
      <w:r w:rsidDel="00000000" w:rsidR="00000000" w:rsidRPr="00000000">
        <w:rPr>
          <w:rtl w:val="0"/>
        </w:rPr>
        <w:t xml:space="preserve">Verwerving of overdracht van stemrechtverlenende effecten of stemrechten</w:t>
      </w:r>
    </w:p>
    <w:p w:rsidR="00000000" w:rsidDel="00000000" w:rsidP="00000000" w:rsidRDefault="00000000" w:rsidRPr="00000000" w14:paraId="00000016">
      <w:pPr>
        <w:numPr>
          <w:ilvl w:val="1"/>
          <w:numId w:val="1"/>
        </w:numPr>
        <w:spacing w:after="0" w:afterAutospacing="0" w:line="360" w:lineRule="auto"/>
        <w:ind w:left="1440" w:hanging="360"/>
        <w:rPr/>
      </w:pPr>
      <w:r w:rsidDel="00000000" w:rsidR="00000000" w:rsidRPr="00000000">
        <w:rPr>
          <w:rtl w:val="0"/>
        </w:rPr>
        <w:t xml:space="preserve">Kruising van de laagste drempel</w:t>
        <w:tab/>
        <w:tab/>
        <w:tab/>
        <w:tab/>
      </w:r>
    </w:p>
    <w:p w:rsidR="00000000" w:rsidDel="00000000" w:rsidP="00000000" w:rsidRDefault="00000000" w:rsidRPr="00000000" w14:paraId="00000017">
      <w:pPr>
        <w:numPr>
          <w:ilvl w:val="0"/>
          <w:numId w:val="1"/>
        </w:numPr>
        <w:spacing w:after="0" w:afterAutospacing="0" w:line="360" w:lineRule="auto"/>
        <w:ind w:left="720" w:hanging="360"/>
        <w:rPr/>
      </w:pPr>
      <w:r w:rsidDel="00000000" w:rsidR="00000000" w:rsidRPr="00000000">
        <w:rPr>
          <w:rtl w:val="0"/>
        </w:rPr>
        <w:t xml:space="preserve">Kennisgeving door: een moederonderneming of een controlerende persoon </w:t>
      </w:r>
    </w:p>
    <w:p w:rsidR="00000000" w:rsidDel="00000000" w:rsidP="00000000" w:rsidRDefault="00000000" w:rsidRPr="00000000" w14:paraId="00000018">
      <w:pPr>
        <w:numPr>
          <w:ilvl w:val="0"/>
          <w:numId w:val="1"/>
        </w:numPr>
        <w:spacing w:after="0" w:afterAutospacing="0" w:line="360" w:lineRule="auto"/>
        <w:ind w:left="720" w:hanging="360"/>
        <w:rPr/>
      </w:pPr>
      <w:r w:rsidDel="00000000" w:rsidR="00000000" w:rsidRPr="00000000">
        <w:rPr>
          <w:rtl w:val="0"/>
        </w:rPr>
        <w:t xml:space="preserve">Datum waarop de drempel werd overschreden: 11 maart 2025</w:t>
      </w:r>
    </w:p>
    <w:p w:rsidR="00000000" w:rsidDel="00000000" w:rsidP="00000000" w:rsidRDefault="00000000" w:rsidRPr="00000000" w14:paraId="00000019">
      <w:pPr>
        <w:numPr>
          <w:ilvl w:val="0"/>
          <w:numId w:val="1"/>
        </w:numPr>
        <w:spacing w:after="0" w:afterAutospacing="0" w:line="360" w:lineRule="auto"/>
        <w:ind w:left="720" w:hanging="360"/>
        <w:rPr/>
      </w:pPr>
      <w:r w:rsidDel="00000000" w:rsidR="00000000" w:rsidRPr="00000000">
        <w:rPr>
          <w:rtl w:val="0"/>
        </w:rPr>
        <w:t xml:space="preserve">Overschreden drempel van directe stemrechten: 3% naar beneden</w:t>
      </w:r>
    </w:p>
    <w:p w:rsidR="00000000" w:rsidDel="00000000" w:rsidP="00000000" w:rsidRDefault="00000000" w:rsidRPr="00000000" w14:paraId="0000001A">
      <w:pPr>
        <w:numPr>
          <w:ilvl w:val="0"/>
          <w:numId w:val="1"/>
        </w:numPr>
        <w:spacing w:after="0" w:afterAutospacing="0" w:line="360" w:lineRule="auto"/>
        <w:ind w:left="720" w:hanging="360"/>
        <w:rPr/>
      </w:pPr>
      <w:r w:rsidDel="00000000" w:rsidR="00000000" w:rsidRPr="00000000">
        <w:rPr>
          <w:rtl w:val="0"/>
        </w:rPr>
        <w:t xml:space="preserve">Noemer: 105,876,416 </w:t>
      </w:r>
    </w:p>
    <w:p w:rsidR="00000000" w:rsidDel="00000000" w:rsidP="00000000" w:rsidRDefault="00000000" w:rsidRPr="00000000" w14:paraId="0000001B">
      <w:pPr>
        <w:numPr>
          <w:ilvl w:val="0"/>
          <w:numId w:val="1"/>
        </w:numPr>
        <w:spacing w:after="0" w:afterAutospacing="0" w:line="360" w:lineRule="auto"/>
        <w:ind w:left="720" w:hanging="360"/>
        <w:rPr/>
      </w:pPr>
      <w:r w:rsidDel="00000000" w:rsidR="00000000" w:rsidRPr="00000000">
        <w:rPr>
          <w:rtl w:val="0"/>
        </w:rPr>
        <w:t xml:space="preserve">Aanvullende informatie: BNP Paribas Asset Management Europe SAS en BNP Paribas Asset Management UK Ltd zijn beleggingsmaatschappijen die stemrechten op discretionaire basis uitoefenen, wanneer er geen specifieke instructies zijn.</w:t>
      </w:r>
    </w:p>
    <w:p w:rsidR="00000000" w:rsidDel="00000000" w:rsidP="00000000" w:rsidRDefault="00000000" w:rsidRPr="00000000" w14:paraId="0000001C">
      <w:pPr>
        <w:numPr>
          <w:ilvl w:val="0"/>
          <w:numId w:val="1"/>
        </w:numPr>
        <w:spacing w:after="60" w:line="360" w:lineRule="auto"/>
        <w:ind w:left="720" w:hanging="360"/>
        <w:rPr/>
      </w:pPr>
      <w:r w:rsidDel="00000000" w:rsidR="00000000" w:rsidRPr="00000000">
        <w:rPr>
          <w:rtl w:val="0"/>
        </w:rPr>
        <w:t xml:space="preserve">Kennisgevingsplichtige personen: BNP Paribas Asset Management Holding (SA 47000-75318 Paris cedex 09 - Frankrijk)</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spacing w:line="312"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8" w:lineRule="auto"/>
        <w:ind w:left="720" w:right="0" w:hanging="360"/>
        <w:jc w:val="left"/>
        <w:rPr/>
      </w:pPr>
      <w:r w:rsidDel="00000000" w:rsidR="00000000" w:rsidRPr="00000000">
        <w:rPr>
          <w:rtl w:val="0"/>
        </w:rPr>
        <w:t xml:space="preserve">Details van de kennisgeving:</w:t>
      </w:r>
    </w:p>
    <w:p w:rsidR="00000000" w:rsidDel="00000000" w:rsidP="00000000" w:rsidRDefault="00000000" w:rsidRPr="00000000" w14:paraId="0000001F">
      <w:pPr>
        <w:spacing w:after="60" w:lineRule="auto"/>
        <w:rPr/>
      </w:pPr>
      <w:r w:rsidDel="00000000" w:rsidR="00000000" w:rsidRPr="00000000">
        <w:rPr>
          <w:rtl w:val="0"/>
        </w:rPr>
      </w:r>
    </w:p>
    <w:p w:rsidR="00000000" w:rsidDel="00000000" w:rsidP="00000000" w:rsidRDefault="00000000" w:rsidRPr="00000000" w14:paraId="00000020">
      <w:pPr>
        <w:spacing w:after="60" w:lineRule="auto"/>
        <w:rPr/>
      </w:pPr>
      <w:r w:rsidDel="00000000" w:rsidR="00000000" w:rsidRPr="00000000">
        <w:rPr>
          <w:rtl w:val="0"/>
        </w:rPr>
      </w:r>
    </w:p>
    <w:p w:rsidR="00000000" w:rsidDel="00000000" w:rsidP="00000000" w:rsidRDefault="00000000" w:rsidRPr="00000000" w14:paraId="00000021">
      <w:pPr>
        <w:spacing w:after="60" w:lineRule="auto"/>
        <w:rPr/>
      </w:pPr>
      <w:r w:rsidDel="00000000" w:rsidR="00000000" w:rsidRPr="00000000">
        <w:rPr/>
        <w:drawing>
          <wp:inline distB="114300" distT="114300" distL="114300" distR="114300">
            <wp:extent cx="5731200" cy="1562100"/>
            <wp:effectExtent b="0" l="0" r="0" t="0"/>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15621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60" w:lineRule="auto"/>
        <w:rPr/>
      </w:pPr>
      <w:r w:rsidDel="00000000" w:rsidR="00000000" w:rsidRPr="00000000">
        <w:rPr/>
        <w:drawing>
          <wp:inline distB="114300" distT="114300" distL="114300" distR="114300">
            <wp:extent cx="5731200" cy="1206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60" w:lineRule="auto"/>
        <w:rPr/>
      </w:pPr>
      <w:r w:rsidDel="00000000" w:rsidR="00000000" w:rsidRPr="00000000">
        <w:rPr/>
        <w:drawing>
          <wp:inline distB="114300" distT="114300" distL="114300" distR="114300">
            <wp:extent cx="5731200" cy="73660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31200" cy="7366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0" w:line="312" w:lineRule="auto"/>
        <w:rPr/>
      </w:pPr>
      <w:r w:rsidDel="00000000" w:rsidR="00000000" w:rsidRPr="00000000">
        <w:rPr>
          <w:rtl w:val="0"/>
        </w:rPr>
      </w:r>
    </w:p>
    <w:p w:rsidR="00000000" w:rsidDel="00000000" w:rsidP="00000000" w:rsidRDefault="00000000" w:rsidRPr="00000000" w14:paraId="00000025">
      <w:pPr>
        <w:spacing w:after="0" w:line="312" w:lineRule="auto"/>
        <w:rPr/>
      </w:pPr>
      <w:r w:rsidDel="00000000" w:rsidR="00000000" w:rsidRPr="00000000">
        <w:rPr>
          <w:rtl w:val="0"/>
        </w:rPr>
      </w:r>
    </w:p>
    <w:p w:rsidR="00000000" w:rsidDel="00000000" w:rsidP="00000000" w:rsidRDefault="00000000" w:rsidRPr="00000000" w14:paraId="00000026">
      <w:pPr>
        <w:spacing w:after="0" w:line="312" w:lineRule="auto"/>
        <w:rPr>
          <w:b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8" w:lineRule="auto"/>
        <w:ind w:left="720" w:right="0" w:hanging="360"/>
        <w:jc w:val="both"/>
      </w:pPr>
      <w:r w:rsidDel="00000000" w:rsidR="00000000" w:rsidRPr="00000000">
        <w:rPr>
          <w:rtl w:val="0"/>
        </w:rPr>
        <w:t xml:space="preserve">Volledige keten van gecontroleerde ondernemingen via dewelke de deelneming daadwerkelijk wordt gehouden: </w:t>
        <w:br w:type="textWrapping"/>
        <w:t xml:space="preserve">De dochteronderneming BNP Paribas Asset Management Europe SAS en de dochteronderneming BNP Paribas Asset Management UK Ltd worden gecontroleerd door de moedermaatschappij BNP Paribas Asset Management Holding. Deze moedermaatschappij wordt gecontroleerd door de moedermaatschappij BNP Paribas SA, die is vrijgesteld van het samenvoegen van haar deelnemingen met die van haar dochtermaatschappijen in beleggingsmaatschappijen, in overeenstemming met art. 21 paragraaf 2 van het Koninklijk Besluit van 14 februari 2008 op de openbaarmaking van belangrijke deelnemingen.</w:t>
      </w:r>
      <w:r w:rsidDel="00000000" w:rsidR="00000000" w:rsidRPr="00000000">
        <w:rPr>
          <w:rtl w:val="0"/>
        </w:rPr>
      </w:r>
    </w:p>
    <w:p w:rsidR="00000000" w:rsidDel="00000000" w:rsidP="00000000" w:rsidRDefault="00000000" w:rsidRPr="00000000" w14:paraId="00000028">
      <w:pPr>
        <w:spacing w:after="0" w:before="120" w:line="240" w:lineRule="auto"/>
        <w:jc w:val="both"/>
        <w:rPr/>
      </w:pPr>
      <w:r w:rsidDel="00000000" w:rsidR="00000000" w:rsidRPr="00000000">
        <w:rPr>
          <w:rtl w:val="0"/>
        </w:rPr>
      </w:r>
    </w:p>
    <w:p w:rsidR="00000000" w:rsidDel="00000000" w:rsidP="00000000" w:rsidRDefault="00000000" w:rsidRPr="00000000" w14:paraId="00000029">
      <w:pPr>
        <w:spacing w:after="0" w:before="120" w:line="240" w:lineRule="auto"/>
        <w:jc w:val="both"/>
        <w:rPr/>
      </w:pPr>
      <w:r w:rsidDel="00000000" w:rsidR="00000000" w:rsidRPr="00000000">
        <w:rPr>
          <w:rtl w:val="0"/>
        </w:rPr>
      </w:r>
    </w:p>
    <w:p w:rsidR="00000000" w:rsidDel="00000000" w:rsidP="00000000" w:rsidRDefault="00000000" w:rsidRPr="00000000" w14:paraId="0000002A">
      <w:pPr>
        <w:spacing w:after="0" w:line="312" w:lineRule="auto"/>
        <w:ind w:left="720" w:firstLine="0"/>
        <w:rPr>
          <w:color w:val="222222"/>
        </w:rPr>
      </w:pPr>
      <w:r w:rsidDel="00000000" w:rsidR="00000000" w:rsidRPr="00000000">
        <w:rPr>
          <w:rtl w:val="0"/>
        </w:rPr>
      </w:r>
    </w:p>
    <w:p w:rsidR="00000000" w:rsidDel="00000000" w:rsidP="00000000" w:rsidRDefault="00000000" w:rsidRPr="00000000" w14:paraId="0000002B">
      <w:pPr>
        <w:spacing w:after="0" w:before="120" w:line="240" w:lineRule="auto"/>
        <w:jc w:val="both"/>
        <w:rPr/>
      </w:pPr>
      <w:r w:rsidDel="00000000" w:rsidR="00000000" w:rsidRPr="00000000">
        <w:rPr>
          <w:color w:val="222222"/>
          <w:rtl w:val="0"/>
        </w:rPr>
        <w:t xml:space="preserve">De kennisgevingen zijn beschikbaar in de </w:t>
      </w:r>
      <w:hyperlink r:id="rId9">
        <w:r w:rsidDel="00000000" w:rsidR="00000000" w:rsidRPr="00000000">
          <w:rPr>
            <w:color w:val="1155cc"/>
            <w:u w:val="single"/>
            <w:rtl w:val="0"/>
          </w:rPr>
          <w:t xml:space="preserve">Investor Relations-rubriek</w:t>
        </w:r>
      </w:hyperlink>
      <w:r w:rsidDel="00000000" w:rsidR="00000000" w:rsidRPr="00000000">
        <w:rPr>
          <w:color w:val="222222"/>
          <w:rtl w:val="0"/>
        </w:rPr>
        <w:t xml:space="preserve"> op de website van Solvay.</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spacing w:line="240" w:lineRule="auto"/>
        <w:rPr/>
      </w:pPr>
      <w:bookmarkStart w:colFirst="0" w:colLast="0" w:name="_v6nis8mxrsva" w:id="4"/>
      <w:bookmarkEnd w:id="4"/>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2"/>
        <w:spacing w:line="240" w:lineRule="auto"/>
        <w:rPr/>
      </w:pPr>
      <w:bookmarkStart w:colFirst="0" w:colLast="0" w:name="_dcaajldwj3fh" w:id="5"/>
      <w:bookmarkEnd w:id="5"/>
      <w:r w:rsidDel="00000000" w:rsidR="00000000" w:rsidRPr="00000000">
        <w:rPr>
          <w:rtl w:val="0"/>
        </w:rPr>
        <w:t xml:space="preserve">Contacten</w:t>
      </w:r>
    </w:p>
    <w:tbl>
      <w:tblPr>
        <w:tblStyle w:val="Table2"/>
        <w:tblW w:w="8850.0" w:type="dxa"/>
        <w:jc w:val="left"/>
        <w:tblLayout w:type="fixed"/>
        <w:tblLook w:val="0600"/>
      </w:tblPr>
      <w:tblGrid>
        <w:gridCol w:w="4425"/>
        <w:gridCol w:w="4425"/>
        <w:tblGridChange w:id="0">
          <w:tblGrid>
            <w:gridCol w:w="4425"/>
            <w:gridCol w:w="4425"/>
          </w:tblGrid>
        </w:tblGridChange>
      </w:tblGrid>
      <w:tr>
        <w:trPr>
          <w:cantSplit w:val="0"/>
          <w:trHeight w:val="473.04687499999994" w:hRule="atLeast"/>
          <w:tblHeader w:val="0"/>
        </w:trPr>
        <w:tc>
          <w:tcPr/>
          <w:p w:rsidR="00000000" w:rsidDel="00000000" w:rsidP="00000000" w:rsidRDefault="00000000" w:rsidRPr="00000000" w14:paraId="00000030">
            <w:pPr>
              <w:pStyle w:val="Heading3"/>
              <w:spacing w:line="240" w:lineRule="auto"/>
              <w:rPr/>
            </w:pPr>
            <w:bookmarkStart w:colFirst="0" w:colLast="0" w:name="_zbrrxgbtsxaf" w:id="6"/>
            <w:bookmarkEnd w:id="6"/>
            <w:r w:rsidDel="00000000" w:rsidR="00000000" w:rsidRPr="00000000">
              <w:rPr>
                <w:rtl w:val="0"/>
              </w:rPr>
              <w:t xml:space="preserve">Media relations</w:t>
            </w:r>
          </w:p>
        </w:tc>
        <w:tc>
          <w:tcPr/>
          <w:p w:rsidR="00000000" w:rsidDel="00000000" w:rsidP="00000000" w:rsidRDefault="00000000" w:rsidRPr="00000000" w14:paraId="00000031">
            <w:pPr>
              <w:pStyle w:val="Heading3"/>
              <w:spacing w:line="240" w:lineRule="auto"/>
              <w:rPr/>
            </w:pPr>
            <w:bookmarkStart w:colFirst="0" w:colLast="0" w:name="_q0dk28rjqups" w:id="7"/>
            <w:bookmarkEnd w:id="7"/>
            <w:r w:rsidDel="00000000" w:rsidR="00000000" w:rsidRPr="00000000">
              <w:rPr>
                <w:rtl w:val="0"/>
              </w:rPr>
              <w:t xml:space="preserve">Investor relations</w:t>
            </w:r>
          </w:p>
        </w:tc>
      </w:tr>
      <w:tr>
        <w:trPr>
          <w:cantSplit w:val="0"/>
          <w:trHeight w:val="1474" w:hRule="atLeast"/>
          <w:tblHeader w:val="0"/>
        </w:trPr>
        <w:tc>
          <w:tcPr/>
          <w:p w:rsidR="00000000" w:rsidDel="00000000" w:rsidP="00000000" w:rsidRDefault="00000000" w:rsidRPr="00000000" w14:paraId="00000032">
            <w:pPr>
              <w:pStyle w:val="Heading4"/>
              <w:spacing w:line="240" w:lineRule="auto"/>
              <w:rPr/>
            </w:pPr>
            <w:bookmarkStart w:colFirst="0" w:colLast="0" w:name="_5k284hpgebux" w:id="8"/>
            <w:bookmarkEnd w:id="8"/>
            <w:r w:rsidDel="00000000" w:rsidR="00000000" w:rsidRPr="00000000">
              <w:rPr>
                <w:rtl w:val="0"/>
              </w:rPr>
              <w:t xml:space="preserve">Peter Boelaert</w:t>
            </w:r>
            <w:r w:rsidDel="00000000" w:rsidR="00000000" w:rsidRPr="00000000">
              <w:rPr>
                <w:rtl w:val="0"/>
              </w:rPr>
            </w:r>
          </w:p>
          <w:p w:rsidR="00000000" w:rsidDel="00000000" w:rsidP="00000000" w:rsidRDefault="00000000" w:rsidRPr="00000000" w14:paraId="00000033">
            <w:pPr>
              <w:pStyle w:val="Heading4"/>
              <w:spacing w:line="240" w:lineRule="auto"/>
              <w:rPr/>
            </w:pPr>
            <w:bookmarkStart w:colFirst="0" w:colLast="0" w:name="_ncfummsjn8h8" w:id="9"/>
            <w:bookmarkEnd w:id="9"/>
            <w:r w:rsidDel="00000000" w:rsidR="00000000" w:rsidRPr="00000000">
              <w:rPr>
                <w:rtl w:val="0"/>
              </w:rPr>
              <w:t xml:space="preserve">+32 479 30 91 59</w:t>
            </w:r>
          </w:p>
          <w:p w:rsidR="00000000" w:rsidDel="00000000" w:rsidP="00000000" w:rsidRDefault="00000000" w:rsidRPr="00000000" w14:paraId="00000034">
            <w:pPr>
              <w:pStyle w:val="Heading4"/>
              <w:spacing w:line="240" w:lineRule="auto"/>
              <w:rPr/>
            </w:pPr>
            <w:bookmarkStart w:colFirst="0" w:colLast="0" w:name="_i84xo4pgei5k" w:id="10"/>
            <w:bookmarkEnd w:id="10"/>
            <w:r w:rsidDel="00000000" w:rsidR="00000000" w:rsidRPr="00000000">
              <w:rPr>
                <w:rtl w:val="0"/>
              </w:rPr>
            </w:r>
          </w:p>
          <w:p w:rsidR="00000000" w:rsidDel="00000000" w:rsidP="00000000" w:rsidRDefault="00000000" w:rsidRPr="00000000" w14:paraId="00000035">
            <w:pPr>
              <w:pStyle w:val="Heading4"/>
              <w:spacing w:line="240" w:lineRule="auto"/>
              <w:rPr/>
            </w:pPr>
            <w:bookmarkStart w:colFirst="0" w:colLast="0" w:name="_syov19z0palh" w:id="11"/>
            <w:bookmarkEnd w:id="11"/>
            <w:r w:rsidDel="00000000" w:rsidR="00000000" w:rsidRPr="00000000">
              <w:rPr>
                <w:rtl w:val="0"/>
              </w:rPr>
              <w:t xml:space="preserve">Laetitia Van Minnenbruggen</w:t>
            </w:r>
          </w:p>
          <w:p w:rsidR="00000000" w:rsidDel="00000000" w:rsidP="00000000" w:rsidRDefault="00000000" w:rsidRPr="00000000" w14:paraId="00000036">
            <w:pPr>
              <w:pStyle w:val="Heading4"/>
              <w:spacing w:line="240" w:lineRule="auto"/>
              <w:rPr/>
            </w:pPr>
            <w:bookmarkStart w:colFirst="0" w:colLast="0" w:name="_46nlxnphhlpn" w:id="12"/>
            <w:bookmarkEnd w:id="12"/>
            <w:r w:rsidDel="00000000" w:rsidR="00000000" w:rsidRPr="00000000">
              <w:rPr>
                <w:rtl w:val="0"/>
              </w:rPr>
              <w:t xml:space="preserve">+32 484 65 30 47</w:t>
            </w:r>
          </w:p>
          <w:p w:rsidR="00000000" w:rsidDel="00000000" w:rsidP="00000000" w:rsidRDefault="00000000" w:rsidRPr="00000000" w14:paraId="00000037">
            <w:pPr>
              <w:spacing w:after="0" w:line="240" w:lineRule="auto"/>
              <w:rPr/>
            </w:pPr>
            <w:r w:rsidDel="00000000" w:rsidR="00000000" w:rsidRPr="00000000">
              <w:rPr>
                <w:rtl w:val="0"/>
              </w:rPr>
            </w:r>
          </w:p>
          <w:p w:rsidR="00000000" w:rsidDel="00000000" w:rsidP="00000000" w:rsidRDefault="00000000" w:rsidRPr="00000000" w14:paraId="00000038">
            <w:pPr>
              <w:pStyle w:val="Heading4"/>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x6ftwj9aha91" w:id="13"/>
            <w:bookmarkEnd w:id="13"/>
            <w:r w:rsidDel="00000000" w:rsidR="00000000" w:rsidRPr="00000000">
              <w:rPr>
                <w:rtl w:val="0"/>
              </w:rPr>
              <w:t xml:space="preserve">Valérie Goutherot</w:t>
            </w:r>
          </w:p>
          <w:p w:rsidR="00000000" w:rsidDel="00000000" w:rsidP="00000000" w:rsidRDefault="00000000" w:rsidRPr="00000000" w14:paraId="00000039">
            <w:pPr>
              <w:pStyle w:val="Heading4"/>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p70iwnkx67a8" w:id="14"/>
            <w:bookmarkEnd w:id="14"/>
            <w:r w:rsidDel="00000000" w:rsidR="00000000" w:rsidRPr="00000000">
              <w:rPr>
                <w:rtl w:val="0"/>
              </w:rPr>
              <w:t xml:space="preserve">+33 6 77 05 04 79</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0" w:line="240" w:lineRule="auto"/>
              <w:rPr>
                <w:color w:val="5495fc"/>
              </w:rPr>
            </w:pPr>
            <w:hyperlink r:id="rId10">
              <w:r w:rsidDel="00000000" w:rsidR="00000000" w:rsidRPr="00000000">
                <w:rPr>
                  <w:color w:val="5495fc"/>
                  <w:u w:val="single"/>
                  <w:rtl w:val="0"/>
                </w:rPr>
                <w:t xml:space="preserve">media.relations@solvay.com</w:t>
              </w:r>
            </w:hyperlink>
            <w:r w:rsidDel="00000000" w:rsidR="00000000" w:rsidRPr="00000000">
              <w:rPr>
                <w:rtl w:val="0"/>
              </w:rPr>
            </w:r>
          </w:p>
        </w:tc>
        <w:tc>
          <w:tcPr/>
          <w:p w:rsidR="00000000" w:rsidDel="00000000" w:rsidP="00000000" w:rsidRDefault="00000000" w:rsidRPr="00000000" w14:paraId="0000003C">
            <w:pPr>
              <w:pStyle w:val="Heading4"/>
              <w:rPr/>
            </w:pPr>
            <w:bookmarkStart w:colFirst="0" w:colLast="0" w:name="_ydjlu899zee3" w:id="15"/>
            <w:bookmarkEnd w:id="15"/>
            <w:r w:rsidDel="00000000" w:rsidR="00000000" w:rsidRPr="00000000">
              <w:rPr>
                <w:rtl w:val="0"/>
              </w:rPr>
              <w:t xml:space="preserve">Boris Cambon-Lalanne</w:t>
            </w:r>
          </w:p>
          <w:p w:rsidR="00000000" w:rsidDel="00000000" w:rsidP="00000000" w:rsidRDefault="00000000" w:rsidRPr="00000000" w14:paraId="0000003D">
            <w:pPr>
              <w:pStyle w:val="Heading4"/>
              <w:rPr/>
            </w:pPr>
            <w:bookmarkStart w:colFirst="0" w:colLast="0" w:name="_qgqv7jxby1zn" w:id="16"/>
            <w:bookmarkEnd w:id="16"/>
            <w:r w:rsidDel="00000000" w:rsidR="00000000" w:rsidRPr="00000000">
              <w:rPr>
                <w:rtl w:val="0"/>
              </w:rPr>
              <w:t xml:space="preserve">+32 471 55 37 49</w:t>
            </w:r>
          </w:p>
          <w:p w:rsidR="00000000" w:rsidDel="00000000" w:rsidP="00000000" w:rsidRDefault="00000000" w:rsidRPr="00000000" w14:paraId="0000003E">
            <w:pPr>
              <w:pStyle w:val="Heading4"/>
              <w:spacing w:line="240" w:lineRule="auto"/>
              <w:rPr/>
            </w:pPr>
            <w:bookmarkStart w:colFirst="0" w:colLast="0" w:name="_ya4g8u9o2dnu" w:id="17"/>
            <w:bookmarkEnd w:id="17"/>
            <w:r w:rsidDel="00000000" w:rsidR="00000000" w:rsidRPr="00000000">
              <w:rPr>
                <w:rtl w:val="0"/>
              </w:rPr>
            </w:r>
          </w:p>
          <w:p w:rsidR="00000000" w:rsidDel="00000000" w:rsidP="00000000" w:rsidRDefault="00000000" w:rsidRPr="00000000" w14:paraId="0000003F">
            <w:pPr>
              <w:pStyle w:val="Heading4"/>
              <w:spacing w:line="240" w:lineRule="auto"/>
              <w:rPr/>
            </w:pPr>
            <w:bookmarkStart w:colFirst="0" w:colLast="0" w:name="_mm0k8k4fs2z9" w:id="18"/>
            <w:bookmarkEnd w:id="18"/>
            <w:r w:rsidDel="00000000" w:rsidR="00000000" w:rsidRPr="00000000">
              <w:rPr>
                <w:rtl w:val="0"/>
              </w:rPr>
              <w:t xml:space="preserve">Geoffroy d’Oultremont</w:t>
            </w:r>
          </w:p>
          <w:p w:rsidR="00000000" w:rsidDel="00000000" w:rsidP="00000000" w:rsidRDefault="00000000" w:rsidRPr="00000000" w14:paraId="00000040">
            <w:pPr>
              <w:pStyle w:val="Heading4"/>
              <w:spacing w:line="240" w:lineRule="auto"/>
              <w:rPr/>
            </w:pPr>
            <w:bookmarkStart w:colFirst="0" w:colLast="0" w:name="_mm0k8k4fs2z9" w:id="18"/>
            <w:bookmarkEnd w:id="18"/>
            <w:r w:rsidDel="00000000" w:rsidR="00000000" w:rsidRPr="00000000">
              <w:rPr>
                <w:rtl w:val="0"/>
              </w:rPr>
              <w:t xml:space="preserve">+32 478 88 32 96</w:t>
            </w:r>
          </w:p>
          <w:p w:rsidR="00000000" w:rsidDel="00000000" w:rsidP="00000000" w:rsidRDefault="00000000" w:rsidRPr="00000000" w14:paraId="00000041">
            <w:pPr>
              <w:pStyle w:val="Heading4"/>
              <w:spacing w:line="240" w:lineRule="auto"/>
              <w:rPr/>
            </w:pPr>
            <w:bookmarkStart w:colFirst="0" w:colLast="0" w:name="_inniimuvmdf8" w:id="19"/>
            <w:bookmarkEnd w:id="19"/>
            <w:r w:rsidDel="00000000" w:rsidR="00000000" w:rsidRPr="00000000">
              <w:rPr>
                <w:rtl w:val="0"/>
              </w:rPr>
            </w:r>
          </w:p>
          <w:p w:rsidR="00000000" w:rsidDel="00000000" w:rsidP="00000000" w:rsidRDefault="00000000" w:rsidRPr="00000000" w14:paraId="00000042">
            <w:pPr>
              <w:pStyle w:val="Heading4"/>
              <w:spacing w:line="240" w:lineRule="auto"/>
              <w:rPr/>
            </w:pPr>
            <w:bookmarkStart w:colFirst="0" w:colLast="0" w:name="_mm0k8k4fs2z9" w:id="18"/>
            <w:bookmarkEnd w:id="18"/>
            <w:r w:rsidDel="00000000" w:rsidR="00000000" w:rsidRPr="00000000">
              <w:rPr>
                <w:rtl w:val="0"/>
              </w:rPr>
              <w:t xml:space="preserve">Vincent Toussaint</w:t>
            </w:r>
            <w:r w:rsidDel="00000000" w:rsidR="00000000" w:rsidRPr="00000000">
              <w:rPr>
                <w:rtl w:val="0"/>
              </w:rPr>
            </w:r>
          </w:p>
          <w:p w:rsidR="00000000" w:rsidDel="00000000" w:rsidP="00000000" w:rsidRDefault="00000000" w:rsidRPr="00000000" w14:paraId="00000043">
            <w:pPr>
              <w:pStyle w:val="Heading4"/>
              <w:spacing w:line="240" w:lineRule="auto"/>
              <w:rPr/>
            </w:pPr>
            <w:bookmarkStart w:colFirst="0" w:colLast="0" w:name="_s6q3dblnz706" w:id="20"/>
            <w:bookmarkEnd w:id="20"/>
            <w:r w:rsidDel="00000000" w:rsidR="00000000" w:rsidRPr="00000000">
              <w:rPr>
                <w:rtl w:val="0"/>
              </w:rPr>
              <w:t xml:space="preserve">+33 6 74 87 85 65</w:t>
            </w:r>
          </w:p>
          <w:p w:rsidR="00000000" w:rsidDel="00000000" w:rsidP="00000000" w:rsidRDefault="00000000" w:rsidRPr="00000000" w14:paraId="00000044">
            <w:pPr>
              <w:pStyle w:val="Heading4"/>
              <w:spacing w:line="240" w:lineRule="auto"/>
              <w:rPr>
                <w:color w:val="000000"/>
              </w:rPr>
            </w:pPr>
            <w:bookmarkStart w:colFirst="0" w:colLast="0" w:name="_jgeldeddlyum" w:id="21"/>
            <w:bookmarkEnd w:id="21"/>
            <w:r w:rsidDel="00000000" w:rsidR="00000000" w:rsidRPr="00000000">
              <w:rPr>
                <w:rtl w:val="0"/>
              </w:rPr>
            </w:r>
          </w:p>
          <w:p w:rsidR="00000000" w:rsidDel="00000000" w:rsidP="00000000" w:rsidRDefault="00000000" w:rsidRPr="00000000" w14:paraId="00000045">
            <w:pPr>
              <w:pStyle w:val="Heading4"/>
              <w:spacing w:line="240" w:lineRule="auto"/>
              <w:rPr>
                <w:color w:val="5495fc"/>
              </w:rPr>
            </w:pPr>
            <w:bookmarkStart w:colFirst="0" w:colLast="0" w:name="_m0wvwrvoaued" w:id="22"/>
            <w:bookmarkEnd w:id="22"/>
            <w:hyperlink r:id="rId11">
              <w:r w:rsidDel="00000000" w:rsidR="00000000" w:rsidRPr="00000000">
                <w:rPr>
                  <w:color w:val="5495fc"/>
                  <w:u w:val="single"/>
                  <w:rtl w:val="0"/>
                </w:rPr>
                <w:t xml:space="preserve">investor.relations@solvay.com</w:t>
              </w:r>
            </w:hyperlink>
            <w:r w:rsidDel="00000000" w:rsidR="00000000" w:rsidRPr="00000000">
              <w:rPr>
                <w:rtl w:val="0"/>
              </w:rPr>
            </w:r>
          </w:p>
        </w:tc>
      </w:tr>
      <w:tr>
        <w:trPr>
          <w:cantSplit w:val="0"/>
          <w:trHeight w:val="1474" w:hRule="atLeast"/>
          <w:tblHeader w:val="0"/>
        </w:trPr>
        <w:tc>
          <w:tcPr/>
          <w:p w:rsidR="00000000" w:rsidDel="00000000" w:rsidP="00000000" w:rsidRDefault="00000000" w:rsidRPr="00000000" w14:paraId="00000046">
            <w:pPr>
              <w:pStyle w:val="Heading4"/>
              <w:spacing w:line="240" w:lineRule="auto"/>
              <w:rPr/>
            </w:pPr>
            <w:bookmarkStart w:colFirst="0" w:colLast="0" w:name="_5k284hpgebux" w:id="8"/>
            <w:bookmarkEnd w:id="8"/>
            <w:r w:rsidDel="00000000" w:rsidR="00000000" w:rsidRPr="00000000">
              <w:rPr>
                <w:rtl w:val="0"/>
              </w:rPr>
            </w:r>
          </w:p>
        </w:tc>
        <w:tc>
          <w:tcPr/>
          <w:p w:rsidR="00000000" w:rsidDel="00000000" w:rsidP="00000000" w:rsidRDefault="00000000" w:rsidRPr="00000000" w14:paraId="00000047">
            <w:pPr>
              <w:pStyle w:val="Heading4"/>
              <w:rPr/>
            </w:pPr>
            <w:bookmarkStart w:colFirst="0" w:colLast="0" w:name="_ydjlu899zee3" w:id="15"/>
            <w:bookmarkEnd w:id="15"/>
            <w:r w:rsidDel="00000000" w:rsidR="00000000" w:rsidRPr="00000000">
              <w:rPr>
                <w:rtl w:val="0"/>
              </w:rPr>
            </w:r>
          </w:p>
        </w:tc>
      </w:tr>
    </w:tbl>
    <w:p w:rsidR="00000000" w:rsidDel="00000000" w:rsidP="00000000" w:rsidRDefault="00000000" w:rsidRPr="00000000" w14:paraId="00000048">
      <w:pPr>
        <w:tabs>
          <w:tab w:val="left" w:leader="none" w:pos="560"/>
        </w:tabs>
        <w:spacing w:line="240" w:lineRule="auto"/>
        <w:rPr/>
      </w:pPr>
      <w:r w:rsidDel="00000000" w:rsidR="00000000" w:rsidRPr="00000000">
        <w:rPr>
          <w:rtl w:val="0"/>
        </w:rPr>
      </w:r>
    </w:p>
    <w:p w:rsidR="00000000" w:rsidDel="00000000" w:rsidP="00000000" w:rsidRDefault="00000000" w:rsidRPr="00000000" w14:paraId="00000049">
      <w:pPr>
        <w:pStyle w:val="Heading3"/>
        <w:spacing w:after="200" w:before="0" w:line="240" w:lineRule="auto"/>
        <w:rPr/>
      </w:pPr>
      <w:bookmarkStart w:colFirst="0" w:colLast="0" w:name="_m2rin3lau3zs" w:id="23"/>
      <w:bookmarkEnd w:id="23"/>
      <w:r w:rsidDel="00000000" w:rsidR="00000000" w:rsidRPr="00000000">
        <w:rPr>
          <w:rtl w:val="0"/>
        </w:rPr>
      </w:r>
    </w:p>
    <w:p w:rsidR="00000000" w:rsidDel="00000000" w:rsidP="00000000" w:rsidRDefault="00000000" w:rsidRPr="00000000" w14:paraId="0000004A">
      <w:pPr>
        <w:pStyle w:val="Heading3"/>
        <w:spacing w:after="200" w:before="0" w:line="240" w:lineRule="auto"/>
        <w:rPr>
          <w:rFonts w:ascii="Roboto" w:cs="Roboto" w:eastAsia="Roboto" w:hAnsi="Roboto"/>
          <w:color w:val="5495fc"/>
          <w:sz w:val="24"/>
          <w:szCs w:val="24"/>
        </w:rPr>
      </w:pPr>
      <w:bookmarkStart w:colFirst="0" w:colLast="0" w:name="_mjr26fucospg" w:id="24"/>
      <w:bookmarkEnd w:id="24"/>
      <w:r w:rsidDel="00000000" w:rsidR="00000000" w:rsidRPr="00000000">
        <w:rPr>
          <w:rtl w:val="0"/>
        </w:rPr>
        <w:t xml:space="preserve">Over Solvay</w:t>
      </w:r>
      <w:r w:rsidDel="00000000" w:rsidR="00000000" w:rsidRPr="00000000">
        <w:rPr>
          <w:rFonts w:ascii="Roboto" w:cs="Roboto" w:eastAsia="Roboto" w:hAnsi="Roboto"/>
          <w:color w:val="5495fc"/>
          <w:sz w:val="24"/>
          <w:szCs w:val="24"/>
          <w:rtl w:val="0"/>
        </w:rPr>
        <w:t xml:space="preserve"> </w:t>
      </w:r>
    </w:p>
    <w:p w:rsidR="00000000" w:rsidDel="00000000" w:rsidP="00000000" w:rsidRDefault="00000000" w:rsidRPr="00000000" w14:paraId="0000004B">
      <w:pPr>
        <w:widowControl w:val="0"/>
        <w:spacing w:after="240" w:line="240" w:lineRule="auto"/>
        <w:jc w:val="both"/>
        <w:rPr/>
      </w:pPr>
      <w:r w:rsidDel="00000000" w:rsidR="00000000" w:rsidRPr="00000000">
        <w:rPr>
          <w:rtl w:val="0"/>
        </w:rPr>
        <w:t xml:space="preserve">Solvay is een chemisch bedrijf met een erfenis geworteld in de baanbrekende innovatie van oprichter Ernest Solvay die in 1863 een nieuw proces uitvond voor het maken van natriumcarbonaat. Vandaag maakt Solvay wereldwijd essentiële producten met een team van circa 9.000 medewerkers. Sinds 1863 gebruikt Solvay de kracht van de chemie om innovatieve, duurzame oplossingen te creëren die tegemoet komen aan onze meest essentiële behoeften, zoals het zuiveren van de lucht die we inademen en het water dat we drinken, het behoud van onze voedselvoorziening, het beschermen van onze gezondheid en welzijn, het produceren van milieuvriendelijke kleding, het duurzamer maken van de banden van onze auto's en het reinigen en beschermen van onze huizen. Solvay wil blijven inzetten op duurzaamheid en een rechtvaardige transitie en wil tegen 2050 koolstofneutraal zijn. Met een nettowinst van €4,7 miljard in 2024 heeft Solvay noteringen op Euronext Brussel en Parijs (SOLB). Voor meer informatie over Solvay, bezoek </w:t>
      </w:r>
      <w:hyperlink r:id="rId12">
        <w:r w:rsidDel="00000000" w:rsidR="00000000" w:rsidRPr="00000000">
          <w:rPr>
            <w:color w:val="5495fc"/>
            <w:u w:val="single"/>
            <w:rtl w:val="0"/>
          </w:rPr>
          <w:t xml:space="preserve">solvay.com</w:t>
        </w:r>
      </w:hyperlink>
      <w:r w:rsidDel="00000000" w:rsidR="00000000" w:rsidRPr="00000000">
        <w:rPr>
          <w:rtl w:val="0"/>
        </w:rPr>
        <w:t xml:space="preserve"> en </w:t>
      </w:r>
      <w:hyperlink r:id="rId13">
        <w:r w:rsidDel="00000000" w:rsidR="00000000" w:rsidRPr="00000000">
          <w:rPr>
            <w:color w:val="5495fc"/>
            <w:u w:val="single"/>
            <w:rtl w:val="0"/>
          </w:rPr>
          <w:t xml:space="preserve">Linkedin</w:t>
        </w:r>
      </w:hyperlink>
      <w:r w:rsidDel="00000000" w:rsidR="00000000" w:rsidRPr="00000000">
        <w:rPr>
          <w:rtl w:val="0"/>
        </w:rPr>
        <w:t xml:space="preserve">.</w:t>
      </w:r>
    </w:p>
    <w:p w:rsidR="00000000" w:rsidDel="00000000" w:rsidP="00000000" w:rsidRDefault="00000000" w:rsidRPr="00000000" w14:paraId="0000004C">
      <w:pPr>
        <w:spacing w:after="200" w:line="240" w:lineRule="auto"/>
        <w:rPr>
          <w:color w:val="5495fc"/>
        </w:rPr>
      </w:pPr>
      <w:r w:rsidDel="00000000" w:rsidR="00000000" w:rsidRPr="00000000">
        <w:rPr>
          <w:rtl w:val="0"/>
        </w:rPr>
      </w:r>
    </w:p>
    <w:p w:rsidR="00000000" w:rsidDel="00000000" w:rsidP="00000000" w:rsidRDefault="00000000" w:rsidRPr="00000000" w14:paraId="0000004D">
      <w:pPr>
        <w:pStyle w:val="Heading3"/>
        <w:spacing w:line="240" w:lineRule="auto"/>
        <w:rPr/>
      </w:pPr>
      <w:bookmarkStart w:colFirst="0" w:colLast="0" w:name="_h4l48chyjh3c" w:id="25"/>
      <w:bookmarkEnd w:id="25"/>
      <w:r w:rsidDel="00000000" w:rsidR="00000000" w:rsidRPr="00000000">
        <w:rPr>
          <w:color w:val="313131"/>
          <w:sz w:val="20"/>
          <w:szCs w:val="20"/>
          <w:rtl w:val="0"/>
        </w:rPr>
        <w:t xml:space="preserve">This press release is also available in English.</w:t>
        <w:br w:type="textWrapping"/>
        <w:t xml:space="preserve">Ce communiqué de presse est également disponible en français.</w:t>
      </w:r>
      <w:r w:rsidDel="00000000" w:rsidR="00000000" w:rsidRPr="00000000">
        <w:rPr>
          <w:rtl w:val="0"/>
        </w:rPr>
      </w:r>
    </w:p>
    <w:p w:rsidR="00000000" w:rsidDel="00000000" w:rsidP="00000000" w:rsidRDefault="00000000" w:rsidRPr="00000000" w14:paraId="0000004E">
      <w:pPr>
        <w:spacing w:line="240" w:lineRule="auto"/>
        <w:rPr>
          <w:rFonts w:ascii="Roboto" w:cs="Roboto" w:eastAsia="Roboto" w:hAnsi="Roboto"/>
          <w:color w:val="313131"/>
        </w:rPr>
      </w:pPr>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0000000000002" w:top="0" w:left="1440.0000000000002" w:right="1440.0000000000002" w:header="1417.3228346456694"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tabs>
        <w:tab w:val="center" w:leader="none" w:pos="8643.897637795275"/>
        <w:tab w:val="right" w:leader="none" w:pos="9406"/>
      </w:tabs>
      <w:spacing w:line="288" w:lineRule="auto"/>
      <w:ind w:left="-1800" w:firstLine="0"/>
      <w:rPr>
        <w:rFonts w:ascii="Roboto Light" w:cs="Roboto Light" w:eastAsia="Roboto Light" w:hAnsi="Roboto Light"/>
      </w:rPr>
    </w:pPr>
    <w:r w:rsidDel="00000000" w:rsidR="00000000" w:rsidRPr="00000000">
      <w:rPr>
        <w:rFonts w:ascii="Avenir" w:cs="Avenir" w:eastAsia="Avenir" w:hAnsi="Avenir"/>
        <w:color w:val="666666"/>
        <w:sz w:val="18"/>
        <w:szCs w:val="18"/>
        <w:rtl w:val="0"/>
      </w:rPr>
      <w:t xml:space="preserve">                                 </w:t>
    </w:r>
    <w:r w:rsidDel="00000000" w:rsidR="00000000" w:rsidRPr="00000000">
      <w:rPr>
        <w:rFonts w:ascii="Avenir" w:cs="Avenir" w:eastAsia="Avenir" w:hAnsi="Avenir"/>
        <w:color w:val="5495fc"/>
        <w:sz w:val="18"/>
        <w:szCs w:val="18"/>
        <w:rtl w:val="0"/>
      </w:rPr>
      <w:t xml:space="preserve"> </w:t>
    </w:r>
    <w:hyperlink r:id="rId1">
      <w:r w:rsidDel="00000000" w:rsidR="00000000" w:rsidRPr="00000000">
        <w:rPr>
          <w:rFonts w:ascii="Roboto Light" w:cs="Roboto Light" w:eastAsia="Roboto Light" w:hAnsi="Roboto Light"/>
          <w:color w:val="5495fc"/>
          <w:sz w:val="18"/>
          <w:szCs w:val="18"/>
          <w:u w:val="single"/>
          <w:rtl w:val="0"/>
        </w:rPr>
        <w:t xml:space="preserve">solvay.com</w:t>
      </w:r>
    </w:hyperlink>
    <w:r w:rsidDel="00000000" w:rsidR="00000000" w:rsidRPr="00000000">
      <w:rPr>
        <w:rFonts w:ascii="Avenir" w:cs="Avenir" w:eastAsia="Avenir" w:hAnsi="Avenir"/>
        <w:color w:val="666666"/>
        <w:sz w:val="18"/>
        <w:szCs w:val="18"/>
        <w:rtl w:val="0"/>
      </w:rPr>
      <w:tab/>
      <w:tab/>
    </w:r>
    <w:r w:rsidDel="00000000" w:rsidR="00000000" w:rsidRPr="00000000">
      <w:rPr>
        <w:rFonts w:ascii="Roboto Light" w:cs="Roboto Light" w:eastAsia="Roboto Light" w:hAnsi="Roboto Light"/>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tabs>
        <w:tab w:val="center" w:leader="none" w:pos="8643.897637795275"/>
        <w:tab w:val="right" w:leader="none" w:pos="9406"/>
      </w:tabs>
      <w:ind w:left="-1800" w:firstLine="0"/>
      <w:rPr>
        <w:sz w:val="18"/>
        <w:szCs w:val="18"/>
      </w:rPr>
    </w:pPr>
    <w:r w:rsidDel="00000000" w:rsidR="00000000" w:rsidRPr="00000000">
      <w:rPr>
        <w:rtl w:val="0"/>
      </w:rPr>
      <w:t xml:space="preserve">                                    </w:t>
    </w:r>
    <w:hyperlink r:id="rId1">
      <w:r w:rsidDel="00000000" w:rsidR="00000000" w:rsidRPr="00000000">
        <w:rPr>
          <w:rFonts w:ascii="Roboto Light" w:cs="Roboto Light" w:eastAsia="Roboto Light" w:hAnsi="Roboto Light"/>
          <w:color w:val="5495fc"/>
          <w:sz w:val="18"/>
          <w:szCs w:val="18"/>
          <w:u w:val="single"/>
          <w:rtl w:val="0"/>
        </w:rPr>
        <w:t xml:space="preserve">solvay.com</w:t>
      </w:r>
    </w:hyperlink>
    <w:r w:rsidDel="00000000" w:rsidR="00000000" w:rsidRPr="00000000">
      <w:rPr>
        <w:rtl w:val="0"/>
      </w:rPr>
      <w:tab/>
    </w:r>
    <w:r w:rsidDel="00000000" w:rsidR="00000000" w:rsidRPr="00000000">
      <w:rPr>
        <w:sz w:val="18"/>
        <w:szCs w:val="18"/>
        <w:rtl w:val="0"/>
      </w:rPr>
      <w:tab/>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tabs>
        <w:tab w:val="center" w:leader="none" w:pos="4703"/>
        <w:tab w:val="right" w:leader="none" w:pos="9406"/>
      </w:tabs>
      <w:spacing w:line="240" w:lineRule="auto"/>
      <w:jc w:val="left"/>
      <w:rPr>
        <w:rFonts w:ascii="Avenir" w:cs="Avenir" w:eastAsia="Avenir" w:hAnsi="Avenir"/>
        <w:b w:val="1"/>
        <w:color w:val="666666"/>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-107999</wp:posOffset>
          </wp:positionH>
          <wp:positionV relativeFrom="paragraph">
            <wp:posOffset>-571499</wp:posOffset>
          </wp:positionV>
          <wp:extent cx="1080000" cy="369626"/>
          <wp:effectExtent b="0" l="0" r="0" t="0"/>
          <wp:wrapNone/>
          <wp:docPr id="3"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080000" cy="369626"/>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-17223</wp:posOffset>
          </wp:positionH>
          <wp:positionV relativeFrom="page">
            <wp:posOffset>0</wp:posOffset>
          </wp:positionV>
          <wp:extent cx="7594362" cy="1147763"/>
          <wp:effectExtent b="0" l="0" r="0" t="0"/>
          <wp:wrapNone/>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94362" cy="11477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313131"/>
        <w:lang w:val="fr"/>
      </w:rPr>
    </w:rPrDefault>
    <w:pPrDefault>
      <w:pPr>
        <w:spacing w:after="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40" w:line="240" w:lineRule="auto"/>
    </w:pPr>
    <w:rPr>
      <w:rFonts w:ascii="Roboto Medium" w:cs="Roboto Medium" w:eastAsia="Roboto Medium" w:hAnsi="Roboto Medium"/>
      <w:sz w:val="24"/>
      <w:szCs w:val="24"/>
    </w:rPr>
  </w:style>
  <w:style w:type="paragraph" w:styleId="Heading3">
    <w:name w:val="heading 3"/>
    <w:basedOn w:val="Normal"/>
    <w:next w:val="Normal"/>
    <w:pPr>
      <w:keepNext w:val="1"/>
      <w:keepLines w:val="1"/>
      <w:spacing w:after="200" w:line="288" w:lineRule="auto"/>
    </w:pPr>
    <w:rPr>
      <w:rFonts w:ascii="Roboto" w:cs="Roboto" w:eastAsia="Roboto" w:hAnsi="Roboto"/>
      <w:color w:val="5495fc"/>
      <w:sz w:val="24"/>
      <w:szCs w:val="24"/>
    </w:rPr>
  </w:style>
  <w:style w:type="paragraph" w:styleId="Heading4">
    <w:name w:val="heading 4"/>
    <w:basedOn w:val="Normal"/>
    <w:next w:val="Normal"/>
    <w:pPr>
      <w:keepNext w:val="1"/>
      <w:keepLines w:val="1"/>
      <w:spacing w:after="0" w:line="240" w:lineRule="auto"/>
    </w:pPr>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tabs>
        <w:tab w:val="left" w:leader="none" w:pos="560"/>
      </w:tabs>
      <w:spacing w:after="60" w:lineRule="auto"/>
    </w:pPr>
    <w:rPr>
      <w:rFonts w:ascii="Roboto Medium" w:cs="Roboto Medium" w:eastAsia="Roboto Medium" w:hAnsi="Roboto Medium"/>
      <w:color w:val="5495fc"/>
      <w:sz w:val="36"/>
      <w:szCs w:val="36"/>
    </w:rPr>
  </w:style>
  <w:style w:type="paragraph" w:styleId="Subtitle">
    <w:name w:val="Subtitle"/>
    <w:basedOn w:val="Normal"/>
    <w:next w:val="Normal"/>
    <w:pPr>
      <w:keepNext w:val="1"/>
      <w:keepLines w:val="1"/>
      <w:tabs>
        <w:tab w:val="left" w:leader="none" w:pos="560"/>
      </w:tabs>
      <w:spacing w:after="200" w:lineRule="auto"/>
    </w:pPr>
    <w:rPr>
      <w:rFonts w:ascii="Roboto" w:cs="Roboto" w:eastAsia="Roboto" w:hAnsi="Roboto"/>
      <w:color w:val="5495fc"/>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investor.relations@solvay.com" TargetMode="External"/><Relationship Id="rId10" Type="http://schemas.openxmlformats.org/officeDocument/2006/relationships/hyperlink" Target="mailto:media.relations@solvay.com" TargetMode="External"/><Relationship Id="rId13" Type="http://schemas.openxmlformats.org/officeDocument/2006/relationships/hyperlink" Target="https://www.linkedin.com/company/solvay/" TargetMode="External"/><Relationship Id="rId12" Type="http://schemas.openxmlformats.org/officeDocument/2006/relationships/hyperlink" Target="http://www.solva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olvay.com/en/investors/regulated-information"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RobotoLight-italic.ttf"/><Relationship Id="rId10" Type="http://schemas.openxmlformats.org/officeDocument/2006/relationships/font" Target="fonts/RobotoLight-bold.ttf"/><Relationship Id="rId12" Type="http://schemas.openxmlformats.org/officeDocument/2006/relationships/font" Target="fonts/RobotoLight-boldItalic.ttf"/><Relationship Id="rId9" Type="http://schemas.openxmlformats.org/officeDocument/2006/relationships/font" Target="fonts/RobotoLight-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solva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olv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