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F848" w14:textId="4504B9EE" w:rsidR="00A7138A" w:rsidRPr="00B24252" w:rsidRDefault="00B24252" w:rsidP="00A7138A">
      <w:pPr>
        <w:spacing w:after="0"/>
        <w:jc w:val="center"/>
        <w:rPr>
          <w:sz w:val="20"/>
          <w:szCs w:val="20"/>
          <w:lang w:val="en-GB"/>
        </w:rPr>
      </w:pPr>
      <w:r>
        <w:rPr>
          <w:sz w:val="20"/>
          <w:szCs w:val="20"/>
          <w:lang w:val="en-GB"/>
        </w:rPr>
        <w:t>Press Release</w:t>
      </w:r>
    </w:p>
    <w:p w14:paraId="1673E5DA" w14:textId="505D263B" w:rsidR="00A7138A" w:rsidRPr="00B24252" w:rsidRDefault="2D223794" w:rsidP="00A7138A">
      <w:pPr>
        <w:spacing w:after="0"/>
        <w:jc w:val="center"/>
        <w:rPr>
          <w:sz w:val="20"/>
          <w:szCs w:val="20"/>
          <w:lang w:val="en-GB"/>
        </w:rPr>
      </w:pPr>
      <w:r w:rsidRPr="00B24252">
        <w:rPr>
          <w:sz w:val="20"/>
          <w:szCs w:val="20"/>
          <w:lang w:val="en-GB"/>
        </w:rPr>
        <w:t>202</w:t>
      </w:r>
      <w:r w:rsidR="00980018" w:rsidRPr="00B24252">
        <w:rPr>
          <w:sz w:val="20"/>
          <w:szCs w:val="20"/>
          <w:lang w:val="en-GB"/>
        </w:rPr>
        <w:t>3</w:t>
      </w:r>
      <w:r w:rsidRPr="00B24252">
        <w:rPr>
          <w:sz w:val="20"/>
          <w:szCs w:val="20"/>
          <w:lang w:val="en-GB"/>
        </w:rPr>
        <w:t>-</w:t>
      </w:r>
      <w:r w:rsidR="00980018" w:rsidRPr="00B24252">
        <w:rPr>
          <w:sz w:val="20"/>
          <w:szCs w:val="20"/>
          <w:lang w:val="en-GB"/>
        </w:rPr>
        <w:t>02</w:t>
      </w:r>
      <w:r w:rsidRPr="00B24252">
        <w:rPr>
          <w:sz w:val="20"/>
          <w:szCs w:val="20"/>
          <w:lang w:val="en-GB"/>
        </w:rPr>
        <w:t>-</w:t>
      </w:r>
      <w:r w:rsidR="00980018" w:rsidRPr="00B24252">
        <w:rPr>
          <w:sz w:val="20"/>
          <w:szCs w:val="20"/>
          <w:lang w:val="en-GB"/>
        </w:rPr>
        <w:t>06</w:t>
      </w:r>
    </w:p>
    <w:p w14:paraId="599E6AA3" w14:textId="52CBD36A" w:rsidR="00A7138A" w:rsidRPr="00B24252" w:rsidRDefault="2D223794" w:rsidP="00A7138A">
      <w:pPr>
        <w:spacing w:after="0"/>
        <w:jc w:val="center"/>
        <w:rPr>
          <w:sz w:val="20"/>
          <w:szCs w:val="20"/>
          <w:lang w:val="en-GB"/>
        </w:rPr>
      </w:pPr>
      <w:r w:rsidRPr="00B24252">
        <w:rPr>
          <w:sz w:val="20"/>
          <w:szCs w:val="20"/>
          <w:lang w:val="en-GB"/>
        </w:rPr>
        <w:t>Vilnius</w:t>
      </w:r>
    </w:p>
    <w:p w14:paraId="1CDDDF84" w14:textId="77777777" w:rsidR="00A7138A" w:rsidRPr="00B24252" w:rsidRDefault="00A7138A" w:rsidP="001E4E5E">
      <w:pPr>
        <w:jc w:val="both"/>
        <w:rPr>
          <w:b/>
          <w:bCs/>
          <w:sz w:val="24"/>
          <w:szCs w:val="24"/>
          <w:lang w:val="en-GB"/>
        </w:rPr>
      </w:pPr>
    </w:p>
    <w:p w14:paraId="65E101F1" w14:textId="0C7F61C9" w:rsidR="009E67D5" w:rsidRPr="00B24252" w:rsidRDefault="008F6279" w:rsidP="009D156F">
      <w:pPr>
        <w:jc w:val="center"/>
        <w:rPr>
          <w:b/>
          <w:bCs/>
          <w:sz w:val="24"/>
          <w:szCs w:val="24"/>
          <w:lang w:val="en-GB"/>
        </w:rPr>
      </w:pPr>
      <w:r w:rsidRPr="00B24252">
        <w:rPr>
          <w:b/>
          <w:bCs/>
          <w:sz w:val="24"/>
          <w:szCs w:val="24"/>
          <w:lang w:val="en-GB"/>
        </w:rPr>
        <w:t xml:space="preserve">Litgrid </w:t>
      </w:r>
      <w:r w:rsidR="00B24252" w:rsidRPr="00B24252">
        <w:rPr>
          <w:b/>
          <w:bCs/>
          <w:sz w:val="24"/>
          <w:szCs w:val="24"/>
          <w:lang w:val="en-GB"/>
        </w:rPr>
        <w:t xml:space="preserve">Results For 2022: Important Stages </w:t>
      </w:r>
      <w:proofErr w:type="gramStart"/>
      <w:r w:rsidR="00B24252" w:rsidRPr="00B24252">
        <w:rPr>
          <w:b/>
          <w:bCs/>
          <w:sz w:val="24"/>
          <w:szCs w:val="24"/>
          <w:lang w:val="en-GB"/>
        </w:rPr>
        <w:t>Of</w:t>
      </w:r>
      <w:proofErr w:type="gramEnd"/>
      <w:r w:rsidR="00B24252" w:rsidRPr="00B24252">
        <w:rPr>
          <w:b/>
          <w:bCs/>
          <w:sz w:val="24"/>
          <w:szCs w:val="24"/>
          <w:lang w:val="en-GB"/>
        </w:rPr>
        <w:t xml:space="preserve"> Synchronisation Projects Completed, High Energy Prices Led To A Loss</w:t>
      </w:r>
    </w:p>
    <w:p w14:paraId="7AF07733" w14:textId="4EC84456" w:rsidR="008F6279" w:rsidRPr="00B24252" w:rsidRDefault="008F6279" w:rsidP="008F6279">
      <w:pPr>
        <w:jc w:val="both"/>
        <w:rPr>
          <w:b/>
          <w:bCs/>
          <w:lang w:val="en-GB"/>
        </w:rPr>
      </w:pPr>
      <w:r w:rsidRPr="00B24252">
        <w:rPr>
          <w:b/>
          <w:bCs/>
          <w:lang w:val="en-GB"/>
        </w:rPr>
        <w:t xml:space="preserve">Lithuanian electricity transmission system operator Litgrid in 2022 implemented the most important goals of strategic </w:t>
      </w:r>
      <w:r w:rsidR="00F3748A">
        <w:rPr>
          <w:b/>
          <w:bCs/>
          <w:lang w:val="en-GB"/>
        </w:rPr>
        <w:t xml:space="preserve">projects in the </w:t>
      </w:r>
      <w:r w:rsidRPr="00B24252">
        <w:rPr>
          <w:b/>
          <w:bCs/>
          <w:lang w:val="en-GB"/>
        </w:rPr>
        <w:t>synchroni</w:t>
      </w:r>
      <w:r w:rsidR="00F3748A">
        <w:rPr>
          <w:b/>
          <w:bCs/>
          <w:lang w:val="en-GB"/>
        </w:rPr>
        <w:t>s</w:t>
      </w:r>
      <w:r w:rsidRPr="00B24252">
        <w:rPr>
          <w:b/>
          <w:bCs/>
          <w:lang w:val="en-GB"/>
        </w:rPr>
        <w:t>ation with continental Europe</w:t>
      </w:r>
      <w:r w:rsidR="00F3748A">
        <w:rPr>
          <w:b/>
          <w:bCs/>
          <w:lang w:val="en-GB"/>
        </w:rPr>
        <w:t xml:space="preserve"> programme</w:t>
      </w:r>
      <w:r w:rsidRPr="00B24252">
        <w:rPr>
          <w:b/>
          <w:bCs/>
          <w:lang w:val="en-GB"/>
        </w:rPr>
        <w:t xml:space="preserve">, ensured reliable electricity transmission, developed </w:t>
      </w:r>
      <w:proofErr w:type="gramStart"/>
      <w:r w:rsidRPr="00B24252">
        <w:rPr>
          <w:b/>
          <w:bCs/>
          <w:lang w:val="en-GB"/>
        </w:rPr>
        <w:t>innovations</w:t>
      </w:r>
      <w:proofErr w:type="gramEnd"/>
      <w:r w:rsidRPr="00B24252">
        <w:rPr>
          <w:b/>
          <w:bCs/>
          <w:lang w:val="en-GB"/>
        </w:rPr>
        <w:t xml:space="preserve"> and improved the conditions for the development of renewable energy resources. Due to high electricity prices, the company suffered losses of 49.4 million, according to unaudited data. In response to the situation in the electricity market, at Litgrid's proposal, a part of the congestion management revenues received by the company is allocated to consumers, thereby amortizing the increase in the electricity transmission tariff from </w:t>
      </w:r>
      <w:r w:rsidR="00F3748A">
        <w:rPr>
          <w:b/>
          <w:bCs/>
          <w:lang w:val="en-GB"/>
        </w:rPr>
        <w:t xml:space="preserve">the beginning </w:t>
      </w:r>
      <w:r w:rsidRPr="00B24252">
        <w:rPr>
          <w:b/>
          <w:bCs/>
          <w:lang w:val="en-GB"/>
        </w:rPr>
        <w:t>this year.</w:t>
      </w:r>
    </w:p>
    <w:p w14:paraId="7619D3BD" w14:textId="35DDB054" w:rsidR="008F6279" w:rsidRPr="00B24252" w:rsidRDefault="008F6279" w:rsidP="008F6279">
      <w:pPr>
        <w:jc w:val="both"/>
        <w:rPr>
          <w:sz w:val="20"/>
          <w:szCs w:val="20"/>
          <w:lang w:val="en-GB"/>
        </w:rPr>
      </w:pPr>
      <w:r w:rsidRPr="00B24252">
        <w:rPr>
          <w:sz w:val="20"/>
          <w:szCs w:val="20"/>
          <w:lang w:val="en-GB"/>
        </w:rPr>
        <w:t xml:space="preserve">"Last year was not easy, because the </w:t>
      </w:r>
      <w:r w:rsidR="00F3748A">
        <w:rPr>
          <w:sz w:val="20"/>
          <w:szCs w:val="20"/>
          <w:lang w:val="en-GB"/>
        </w:rPr>
        <w:t xml:space="preserve">Russia-Ukraine </w:t>
      </w:r>
      <w:r w:rsidRPr="00B24252">
        <w:rPr>
          <w:sz w:val="20"/>
          <w:szCs w:val="20"/>
          <w:lang w:val="en-GB"/>
        </w:rPr>
        <w:t xml:space="preserve">war and the energy crisis affected all areas of our activity. Despite this, we implemented important works for Lithuania's energy independence. We </w:t>
      </w:r>
      <w:r w:rsidR="00F3748A">
        <w:rPr>
          <w:sz w:val="20"/>
          <w:szCs w:val="20"/>
          <w:lang w:val="en-GB"/>
        </w:rPr>
        <w:t xml:space="preserve">have </w:t>
      </w:r>
      <w:r w:rsidRPr="00B24252">
        <w:rPr>
          <w:sz w:val="20"/>
          <w:szCs w:val="20"/>
          <w:lang w:val="en-GB"/>
        </w:rPr>
        <w:t xml:space="preserve">maintained the fast pace of implementation of synchronization projects </w:t>
      </w:r>
      <w:r w:rsidR="00F3748A">
        <w:rPr>
          <w:sz w:val="20"/>
          <w:szCs w:val="20"/>
          <w:lang w:val="en-GB"/>
        </w:rPr>
        <w:t>–</w:t>
      </w:r>
      <w:r w:rsidRPr="00B24252">
        <w:rPr>
          <w:sz w:val="20"/>
          <w:szCs w:val="20"/>
          <w:lang w:val="en-GB"/>
        </w:rPr>
        <w:t xml:space="preserve"> we</w:t>
      </w:r>
      <w:r w:rsidR="00F3748A">
        <w:rPr>
          <w:sz w:val="20"/>
          <w:szCs w:val="20"/>
          <w:lang w:val="en-GB"/>
        </w:rPr>
        <w:t xml:space="preserve"> have </w:t>
      </w:r>
      <w:r w:rsidRPr="00B24252">
        <w:rPr>
          <w:sz w:val="20"/>
          <w:szCs w:val="20"/>
          <w:lang w:val="en-GB"/>
        </w:rPr>
        <w:t>signed an additional EU financing agreement, started construction works on strategic projects - 330 kV</w:t>
      </w:r>
      <w:r w:rsidR="008A796E">
        <w:rPr>
          <w:sz w:val="20"/>
          <w:szCs w:val="20"/>
          <w:lang w:val="en-GB"/>
        </w:rPr>
        <w:t xml:space="preserve"> overhead</w:t>
      </w:r>
      <w:r w:rsidRPr="00B24252">
        <w:rPr>
          <w:sz w:val="20"/>
          <w:szCs w:val="20"/>
          <w:lang w:val="en-GB"/>
        </w:rPr>
        <w:t xml:space="preserve"> lines Darbėnai-Bitėnai and </w:t>
      </w:r>
      <w:proofErr w:type="spellStart"/>
      <w:r w:rsidRPr="00B24252">
        <w:rPr>
          <w:sz w:val="20"/>
          <w:szCs w:val="20"/>
          <w:lang w:val="en-GB"/>
        </w:rPr>
        <w:t>Kruonis</w:t>
      </w:r>
      <w:proofErr w:type="spellEnd"/>
      <w:r w:rsidRPr="00B24252">
        <w:rPr>
          <w:sz w:val="20"/>
          <w:szCs w:val="20"/>
          <w:lang w:val="en-GB"/>
        </w:rPr>
        <w:t xml:space="preserve"> HAE-Bitėnai</w:t>
      </w:r>
      <w:r w:rsidR="008A796E">
        <w:rPr>
          <w:sz w:val="20"/>
          <w:szCs w:val="20"/>
          <w:lang w:val="en-GB"/>
        </w:rPr>
        <w:t>,</w:t>
      </w:r>
      <w:r w:rsidRPr="00B24252">
        <w:rPr>
          <w:sz w:val="20"/>
          <w:szCs w:val="20"/>
          <w:lang w:val="en-GB"/>
        </w:rPr>
        <w:t xml:space="preserve"> and Neris </w:t>
      </w:r>
      <w:r w:rsidR="008A796E">
        <w:rPr>
          <w:sz w:val="20"/>
          <w:szCs w:val="20"/>
          <w:lang w:val="en-GB"/>
        </w:rPr>
        <w:t xml:space="preserve">330 kV </w:t>
      </w:r>
      <w:r w:rsidRPr="00B24252">
        <w:rPr>
          <w:sz w:val="20"/>
          <w:szCs w:val="20"/>
          <w:lang w:val="en-GB"/>
        </w:rPr>
        <w:t>substatio</w:t>
      </w:r>
      <w:r w:rsidR="008A796E">
        <w:rPr>
          <w:sz w:val="20"/>
          <w:szCs w:val="20"/>
          <w:lang w:val="en-GB"/>
        </w:rPr>
        <w:t>n</w:t>
      </w:r>
      <w:r w:rsidR="00025EFA">
        <w:rPr>
          <w:sz w:val="20"/>
          <w:szCs w:val="20"/>
          <w:lang w:val="en-GB"/>
        </w:rPr>
        <w:t xml:space="preserve">, </w:t>
      </w:r>
      <w:r w:rsidRPr="00B24252">
        <w:rPr>
          <w:sz w:val="20"/>
          <w:szCs w:val="20"/>
          <w:lang w:val="en-GB"/>
        </w:rPr>
        <w:t>prepared the infrastructure for the connection of two synchronous co</w:t>
      </w:r>
      <w:r w:rsidR="00025EFA">
        <w:rPr>
          <w:sz w:val="20"/>
          <w:szCs w:val="20"/>
          <w:lang w:val="en-GB"/>
        </w:rPr>
        <w:t>ndensers</w:t>
      </w:r>
      <w:r w:rsidRPr="00B24252">
        <w:rPr>
          <w:sz w:val="20"/>
          <w:szCs w:val="20"/>
          <w:lang w:val="en-GB"/>
        </w:rPr>
        <w:t xml:space="preserve">. We have completed the last </w:t>
      </w:r>
      <w:r w:rsidR="00025EFA">
        <w:rPr>
          <w:sz w:val="20"/>
          <w:szCs w:val="20"/>
          <w:lang w:val="en-GB"/>
        </w:rPr>
        <w:t>spatial</w:t>
      </w:r>
      <w:r w:rsidRPr="00B24252">
        <w:rPr>
          <w:sz w:val="20"/>
          <w:szCs w:val="20"/>
          <w:lang w:val="en-GB"/>
        </w:rPr>
        <w:t xml:space="preserve"> planning works and all public procurements for onshore construction projects - these are big and important milestones that we have successfully implemented," says Rokas Masiulis, CEO of Litgrid.</w:t>
      </w:r>
    </w:p>
    <w:p w14:paraId="57DCEF5F" w14:textId="77777777" w:rsidR="008F6279" w:rsidRPr="00B24252" w:rsidRDefault="008F6279" w:rsidP="008F6279">
      <w:pPr>
        <w:jc w:val="both"/>
        <w:rPr>
          <w:sz w:val="20"/>
          <w:szCs w:val="20"/>
          <w:lang w:val="en-GB"/>
        </w:rPr>
      </w:pPr>
      <w:r w:rsidRPr="00B24252">
        <w:rPr>
          <w:sz w:val="20"/>
          <w:szCs w:val="20"/>
          <w:lang w:val="en-GB"/>
        </w:rPr>
        <w:t>According to him, high energy prices had a negative impact on the financial results of the company.</w:t>
      </w:r>
    </w:p>
    <w:p w14:paraId="51D7F723" w14:textId="74502A2D" w:rsidR="008F6279" w:rsidRPr="00B24252" w:rsidRDefault="008F6279" w:rsidP="008F6279">
      <w:pPr>
        <w:jc w:val="both"/>
        <w:rPr>
          <w:sz w:val="20"/>
          <w:szCs w:val="20"/>
          <w:lang w:val="en-GB"/>
        </w:rPr>
      </w:pPr>
      <w:r w:rsidRPr="00B24252">
        <w:rPr>
          <w:sz w:val="20"/>
          <w:szCs w:val="20"/>
          <w:lang w:val="en-GB"/>
        </w:rPr>
        <w:t xml:space="preserve">"We </w:t>
      </w:r>
      <w:r w:rsidR="00C768C0">
        <w:rPr>
          <w:sz w:val="20"/>
          <w:szCs w:val="20"/>
          <w:lang w:val="en-GB"/>
        </w:rPr>
        <w:t>purchase</w:t>
      </w:r>
      <w:r w:rsidRPr="00B24252">
        <w:rPr>
          <w:sz w:val="20"/>
          <w:szCs w:val="20"/>
          <w:lang w:val="en-GB"/>
        </w:rPr>
        <w:t xml:space="preserve"> the energy needed to compensate for the technological losses of the transmission network at the market price, so last year these costs increased 2.5 times </w:t>
      </w:r>
      <w:r w:rsidR="00025EFA">
        <w:rPr>
          <w:sz w:val="20"/>
          <w:szCs w:val="20"/>
          <w:lang w:val="en-GB"/>
        </w:rPr>
        <w:t xml:space="preserve">for us </w:t>
      </w:r>
      <w:r w:rsidRPr="00B24252">
        <w:rPr>
          <w:sz w:val="20"/>
          <w:szCs w:val="20"/>
          <w:lang w:val="en-GB"/>
        </w:rPr>
        <w:t>and resulted in a loss," says R. Masiulis.</w:t>
      </w:r>
    </w:p>
    <w:p w14:paraId="6530DB92" w14:textId="4A93BCA8" w:rsidR="008F6279" w:rsidRPr="00B24252" w:rsidRDefault="008F6279" w:rsidP="008F6279">
      <w:pPr>
        <w:jc w:val="both"/>
        <w:rPr>
          <w:sz w:val="20"/>
          <w:szCs w:val="20"/>
          <w:lang w:val="en-GB"/>
        </w:rPr>
      </w:pPr>
      <w:r w:rsidRPr="00B24252">
        <w:rPr>
          <w:sz w:val="20"/>
          <w:szCs w:val="20"/>
          <w:lang w:val="en-GB"/>
        </w:rPr>
        <w:t xml:space="preserve">In response to Russia's aggression against Ukraine, the operators of the electricity transmission system of the Baltic countries reduced the </w:t>
      </w:r>
      <w:r w:rsidR="00025EFA">
        <w:rPr>
          <w:sz w:val="20"/>
          <w:szCs w:val="20"/>
          <w:lang w:val="en-GB"/>
        </w:rPr>
        <w:t>capacities</w:t>
      </w:r>
      <w:r w:rsidRPr="00B24252">
        <w:rPr>
          <w:sz w:val="20"/>
          <w:szCs w:val="20"/>
          <w:lang w:val="en-GB"/>
        </w:rPr>
        <w:t xml:space="preserve"> of system connections with Russia in March. Since May, the import of electricity from Russia has been completely </w:t>
      </w:r>
      <w:r w:rsidR="00336AE1">
        <w:rPr>
          <w:sz w:val="20"/>
          <w:szCs w:val="20"/>
          <w:lang w:val="en-GB"/>
        </w:rPr>
        <w:t>ende</w:t>
      </w:r>
      <w:r w:rsidRPr="00B24252">
        <w:rPr>
          <w:sz w:val="20"/>
          <w:szCs w:val="20"/>
          <w:lang w:val="en-GB"/>
        </w:rPr>
        <w:t>d, and since June, the Baltic countries have started to independently ensure the balance of the system, refusing to purchase these services from Russia.</w:t>
      </w:r>
    </w:p>
    <w:p w14:paraId="1E64526C" w14:textId="1D983171" w:rsidR="008F6279" w:rsidRPr="00B24252" w:rsidRDefault="008F6279" w:rsidP="008F6279">
      <w:pPr>
        <w:jc w:val="both"/>
        <w:rPr>
          <w:sz w:val="20"/>
          <w:szCs w:val="20"/>
          <w:lang w:val="en-GB"/>
        </w:rPr>
      </w:pPr>
      <w:r w:rsidRPr="00B24252">
        <w:rPr>
          <w:sz w:val="20"/>
          <w:szCs w:val="20"/>
          <w:lang w:val="en-GB"/>
        </w:rPr>
        <w:t xml:space="preserve">In order to accelerate the implementation of ambitious renewable energy goals, Litgrid established the Renewable Energy Resource </w:t>
      </w:r>
      <w:r w:rsidR="008B20A5">
        <w:rPr>
          <w:sz w:val="20"/>
          <w:szCs w:val="20"/>
          <w:lang w:val="en-GB"/>
        </w:rPr>
        <w:t xml:space="preserve">Integration </w:t>
      </w:r>
      <w:r w:rsidRPr="00B24252">
        <w:rPr>
          <w:sz w:val="20"/>
          <w:szCs w:val="20"/>
          <w:lang w:val="en-GB"/>
        </w:rPr>
        <w:t>Cent</w:t>
      </w:r>
      <w:r w:rsidR="00025EFA">
        <w:rPr>
          <w:sz w:val="20"/>
          <w:szCs w:val="20"/>
          <w:lang w:val="en-GB"/>
        </w:rPr>
        <w:t>r</w:t>
      </w:r>
      <w:r w:rsidRPr="00B24252">
        <w:rPr>
          <w:sz w:val="20"/>
          <w:szCs w:val="20"/>
          <w:lang w:val="en-GB"/>
        </w:rPr>
        <w:t>e, which coordinates the connection of new renewable energy power plant and battery projects to the electricity transmission grid.</w:t>
      </w:r>
    </w:p>
    <w:p w14:paraId="09BABFAC" w14:textId="186279BA" w:rsidR="008F6279" w:rsidRPr="00B24252" w:rsidRDefault="008B20A5" w:rsidP="008F6279">
      <w:pPr>
        <w:jc w:val="both"/>
        <w:rPr>
          <w:sz w:val="20"/>
          <w:szCs w:val="20"/>
          <w:lang w:val="en-GB"/>
        </w:rPr>
      </w:pPr>
      <w:r>
        <w:rPr>
          <w:sz w:val="20"/>
          <w:szCs w:val="20"/>
          <w:lang w:val="en-GB"/>
        </w:rPr>
        <w:t>While fostering innovations</w:t>
      </w:r>
      <w:r w:rsidR="008F6279" w:rsidRPr="00B24252">
        <w:rPr>
          <w:sz w:val="20"/>
          <w:szCs w:val="20"/>
          <w:lang w:val="en-GB"/>
        </w:rPr>
        <w:t>, Litgrid has opened up an experimental 1 MW battery to science and business and implemented the first joint tests with</w:t>
      </w:r>
      <w:r>
        <w:rPr>
          <w:sz w:val="20"/>
          <w:szCs w:val="20"/>
          <w:lang w:val="en-GB"/>
        </w:rPr>
        <w:t xml:space="preserve"> the</w:t>
      </w:r>
      <w:r w:rsidR="008F6279" w:rsidRPr="00B24252">
        <w:rPr>
          <w:sz w:val="20"/>
          <w:szCs w:val="20"/>
          <w:lang w:val="en-GB"/>
        </w:rPr>
        <w:t xml:space="preserve"> universities and companies. At the end of the year, the project, which made Litgrid the first network operator in Europe to use a battery for system management functions, won the prestigious Platts Global Energy Award.</w:t>
      </w:r>
    </w:p>
    <w:p w14:paraId="28F5C94E" w14:textId="4F9603AC" w:rsidR="008F6279" w:rsidRPr="00B24252" w:rsidRDefault="008F6279" w:rsidP="008F6279">
      <w:pPr>
        <w:jc w:val="both"/>
        <w:rPr>
          <w:sz w:val="20"/>
          <w:szCs w:val="20"/>
          <w:lang w:val="en-GB"/>
        </w:rPr>
      </w:pPr>
      <w:r w:rsidRPr="00B24252">
        <w:rPr>
          <w:sz w:val="20"/>
          <w:szCs w:val="20"/>
          <w:lang w:val="en-GB"/>
        </w:rPr>
        <w:t xml:space="preserve">Litgrid was also the first in the Baltic countries to start tests of </w:t>
      </w:r>
      <w:r w:rsidR="00025EFA">
        <w:rPr>
          <w:sz w:val="20"/>
          <w:szCs w:val="20"/>
          <w:lang w:val="en-GB"/>
        </w:rPr>
        <w:t>dynamic line rating</w:t>
      </w:r>
      <w:r w:rsidRPr="00B24252">
        <w:rPr>
          <w:sz w:val="20"/>
          <w:szCs w:val="20"/>
          <w:lang w:val="en-GB"/>
        </w:rPr>
        <w:t xml:space="preserve"> technology. The first results showed that the artificial intelligence-based technology for monitoring weather conditions enables the transfer of more than 50% more electricity </w:t>
      </w:r>
      <w:r w:rsidR="002D207E">
        <w:rPr>
          <w:sz w:val="20"/>
          <w:szCs w:val="20"/>
          <w:lang w:val="en-GB"/>
        </w:rPr>
        <w:t>through</w:t>
      </w:r>
      <w:r w:rsidRPr="00B24252">
        <w:rPr>
          <w:sz w:val="20"/>
          <w:szCs w:val="20"/>
          <w:lang w:val="en-GB"/>
        </w:rPr>
        <w:t xml:space="preserve"> the same lines.</w:t>
      </w:r>
    </w:p>
    <w:p w14:paraId="39DD1B14" w14:textId="77777777" w:rsidR="00B24252" w:rsidRPr="00B24252" w:rsidRDefault="00B24252" w:rsidP="00B24252">
      <w:pPr>
        <w:jc w:val="both"/>
        <w:rPr>
          <w:b/>
          <w:bCs/>
          <w:sz w:val="20"/>
          <w:szCs w:val="20"/>
          <w:lang w:val="en-GB"/>
        </w:rPr>
      </w:pPr>
      <w:r w:rsidRPr="00B24252">
        <w:rPr>
          <w:b/>
          <w:bCs/>
          <w:sz w:val="20"/>
          <w:szCs w:val="20"/>
          <w:lang w:val="en-GB"/>
        </w:rPr>
        <w:lastRenderedPageBreak/>
        <w:t>Reliability of supply</w:t>
      </w:r>
    </w:p>
    <w:p w14:paraId="72649DC3" w14:textId="2D9D8C2D" w:rsidR="00B24252" w:rsidRPr="00B24252" w:rsidRDefault="00B24252" w:rsidP="00B24252">
      <w:pPr>
        <w:jc w:val="both"/>
        <w:rPr>
          <w:sz w:val="20"/>
          <w:szCs w:val="20"/>
          <w:lang w:val="en-GB"/>
        </w:rPr>
      </w:pPr>
      <w:r w:rsidRPr="00B24252">
        <w:rPr>
          <w:sz w:val="20"/>
          <w:szCs w:val="20"/>
          <w:lang w:val="en-GB"/>
        </w:rPr>
        <w:t xml:space="preserve">Last year, compared to 2021, the amount of electricity transmitted through Lithuanian transmission networks decreased. </w:t>
      </w:r>
      <w:r w:rsidR="00F60BC4">
        <w:rPr>
          <w:sz w:val="20"/>
          <w:szCs w:val="20"/>
          <w:lang w:val="en-GB"/>
        </w:rPr>
        <w:t>I</w:t>
      </w:r>
      <w:r w:rsidRPr="00B24252">
        <w:rPr>
          <w:sz w:val="20"/>
          <w:szCs w:val="20"/>
          <w:lang w:val="en-GB"/>
        </w:rPr>
        <w:t xml:space="preserve">n 2022 </w:t>
      </w:r>
      <w:r w:rsidR="00742EDA">
        <w:rPr>
          <w:sz w:val="20"/>
          <w:szCs w:val="20"/>
          <w:lang w:val="en-GB"/>
        </w:rPr>
        <w:t xml:space="preserve">the </w:t>
      </w:r>
      <w:r w:rsidRPr="00B24252">
        <w:rPr>
          <w:sz w:val="20"/>
          <w:szCs w:val="20"/>
          <w:lang w:val="en-GB"/>
        </w:rPr>
        <w:t xml:space="preserve">transferred electricity for the country's needs amounted to 10.234 TWh, which is </w:t>
      </w:r>
      <w:r w:rsidR="00742EDA">
        <w:rPr>
          <w:sz w:val="20"/>
          <w:szCs w:val="20"/>
          <w:lang w:val="en-GB"/>
        </w:rPr>
        <w:t xml:space="preserve">by </w:t>
      </w:r>
      <w:r w:rsidRPr="00B24252">
        <w:rPr>
          <w:sz w:val="20"/>
          <w:szCs w:val="20"/>
          <w:lang w:val="en-GB"/>
        </w:rPr>
        <w:t>6.4 percent less than in 2021, when 10,936 TWh were transferred. Electricity consumption decreased due to the savings of residents and businesses and the growth of consumers producing electricity from renewable resources connected to the distribution network.</w:t>
      </w:r>
    </w:p>
    <w:p w14:paraId="19053755" w14:textId="40E50A86" w:rsidR="00B24252" w:rsidRPr="00B24252" w:rsidRDefault="00B24252" w:rsidP="00B24252">
      <w:pPr>
        <w:jc w:val="both"/>
        <w:rPr>
          <w:sz w:val="20"/>
          <w:szCs w:val="20"/>
          <w:lang w:val="en-GB"/>
        </w:rPr>
      </w:pPr>
      <w:r w:rsidRPr="00B24252">
        <w:rPr>
          <w:sz w:val="20"/>
          <w:szCs w:val="20"/>
          <w:lang w:val="en-GB"/>
        </w:rPr>
        <w:t xml:space="preserve">Litgrid continued to meet the planned targets for electricity supply reliability indicators </w:t>
      </w:r>
      <w:r w:rsidR="00400DFA">
        <w:rPr>
          <w:sz w:val="20"/>
          <w:szCs w:val="20"/>
          <w:lang w:val="en-GB"/>
        </w:rPr>
        <w:t>for</w:t>
      </w:r>
      <w:r w:rsidRPr="00B24252">
        <w:rPr>
          <w:sz w:val="20"/>
          <w:szCs w:val="20"/>
          <w:lang w:val="en-GB"/>
        </w:rPr>
        <w:t xml:space="preserve"> the maintenance and management of the electricity transmission system. According to</w:t>
      </w:r>
      <w:r w:rsidR="00400DFA">
        <w:rPr>
          <w:sz w:val="20"/>
          <w:szCs w:val="20"/>
          <w:lang w:val="en-GB"/>
        </w:rPr>
        <w:t xml:space="preserve"> the</w:t>
      </w:r>
      <w:r w:rsidRPr="00B24252">
        <w:rPr>
          <w:sz w:val="20"/>
          <w:szCs w:val="20"/>
          <w:lang w:val="en-GB"/>
        </w:rPr>
        <w:t xml:space="preserve"> preliminary data, in 2022 </w:t>
      </w:r>
      <w:r w:rsidR="00400DFA">
        <w:rPr>
          <w:sz w:val="20"/>
          <w:szCs w:val="20"/>
          <w:lang w:val="en-GB"/>
        </w:rPr>
        <w:t xml:space="preserve">the </w:t>
      </w:r>
      <w:r w:rsidRPr="00B24252">
        <w:rPr>
          <w:sz w:val="20"/>
          <w:szCs w:val="20"/>
          <w:lang w:val="en-GB"/>
        </w:rPr>
        <w:t xml:space="preserve">average </w:t>
      </w:r>
      <w:r w:rsidR="00F60BC4">
        <w:rPr>
          <w:sz w:val="20"/>
          <w:szCs w:val="20"/>
          <w:lang w:val="en-GB"/>
        </w:rPr>
        <w:t>interruption time</w:t>
      </w:r>
      <w:r w:rsidRPr="00B24252">
        <w:rPr>
          <w:sz w:val="20"/>
          <w:szCs w:val="20"/>
          <w:lang w:val="en-GB"/>
        </w:rPr>
        <w:t xml:space="preserve"> (AIT) was 0.356 min, and the energy</w:t>
      </w:r>
      <w:r w:rsidR="00F60BC4">
        <w:rPr>
          <w:sz w:val="20"/>
          <w:szCs w:val="20"/>
          <w:lang w:val="en-GB"/>
        </w:rPr>
        <w:t xml:space="preserve"> not supplied</w:t>
      </w:r>
      <w:r w:rsidRPr="00B24252">
        <w:rPr>
          <w:sz w:val="20"/>
          <w:szCs w:val="20"/>
          <w:lang w:val="en-GB"/>
        </w:rPr>
        <w:t xml:space="preserve"> (ENS) was 10.617 MWh. For comparison, </w:t>
      </w:r>
      <w:r w:rsidR="00D4225C">
        <w:rPr>
          <w:sz w:val="20"/>
          <w:szCs w:val="20"/>
          <w:lang w:val="en-GB"/>
        </w:rPr>
        <w:t xml:space="preserve">the National </w:t>
      </w:r>
      <w:r w:rsidR="00872868">
        <w:rPr>
          <w:sz w:val="20"/>
          <w:szCs w:val="20"/>
          <w:lang w:val="en-GB"/>
        </w:rPr>
        <w:t xml:space="preserve">Energy Regulatory Council </w:t>
      </w:r>
      <w:r w:rsidRPr="00B24252">
        <w:rPr>
          <w:sz w:val="20"/>
          <w:szCs w:val="20"/>
          <w:lang w:val="en-GB"/>
        </w:rPr>
        <w:t>has determined that AIT should not exceed 0.934 min and ENS should not exceed 27.251 MWh throughout the year.</w:t>
      </w:r>
    </w:p>
    <w:p w14:paraId="78286429" w14:textId="656E9036" w:rsidR="00B24252" w:rsidRPr="00B24252" w:rsidRDefault="00B24252" w:rsidP="00B24252">
      <w:pPr>
        <w:jc w:val="both"/>
        <w:rPr>
          <w:sz w:val="20"/>
          <w:szCs w:val="20"/>
          <w:lang w:val="en-GB"/>
        </w:rPr>
      </w:pPr>
      <w:r w:rsidRPr="00B24252">
        <w:rPr>
          <w:sz w:val="20"/>
          <w:szCs w:val="20"/>
          <w:lang w:val="en-GB"/>
        </w:rPr>
        <w:t>The overall availability of interconnections with Sweden (NordBalt) and Poland (LitPol Link) was 98.26 percent</w:t>
      </w:r>
      <w:r w:rsidR="00F60BC4">
        <w:rPr>
          <w:sz w:val="20"/>
          <w:szCs w:val="20"/>
          <w:lang w:val="en-GB"/>
        </w:rPr>
        <w:t xml:space="preserve"> </w:t>
      </w:r>
      <w:r w:rsidRPr="00B24252">
        <w:rPr>
          <w:sz w:val="20"/>
          <w:szCs w:val="20"/>
          <w:lang w:val="en-GB"/>
        </w:rPr>
        <w:t>and 98.34 percent</w:t>
      </w:r>
      <w:r w:rsidR="00F60BC4">
        <w:rPr>
          <w:sz w:val="20"/>
          <w:szCs w:val="20"/>
          <w:lang w:val="en-GB"/>
        </w:rPr>
        <w:t>, respectively</w:t>
      </w:r>
      <w:r w:rsidRPr="00B24252">
        <w:rPr>
          <w:sz w:val="20"/>
          <w:szCs w:val="20"/>
          <w:lang w:val="en-GB"/>
        </w:rPr>
        <w:t>. Scheduled works had the greatest influence on the availability of connections - the annual repair of NordBalt and the implementation of synchronization projects with continental European networks.</w:t>
      </w:r>
    </w:p>
    <w:p w14:paraId="40976025" w14:textId="519B52E9" w:rsidR="00B24252" w:rsidRPr="00B24252" w:rsidRDefault="00B24252" w:rsidP="00B24252">
      <w:pPr>
        <w:jc w:val="both"/>
        <w:rPr>
          <w:b/>
          <w:bCs/>
          <w:sz w:val="20"/>
          <w:szCs w:val="20"/>
          <w:lang w:val="en-GB"/>
        </w:rPr>
      </w:pPr>
      <w:r w:rsidRPr="00B24252">
        <w:rPr>
          <w:b/>
          <w:bCs/>
          <w:sz w:val="20"/>
          <w:szCs w:val="20"/>
          <w:lang w:val="en-GB"/>
        </w:rPr>
        <w:t>Financial results</w:t>
      </w:r>
    </w:p>
    <w:p w14:paraId="0A5050F9" w14:textId="21B49B3E" w:rsidR="00B24252" w:rsidRPr="00B24252" w:rsidRDefault="00F60BC4" w:rsidP="00B24252">
      <w:pPr>
        <w:jc w:val="both"/>
        <w:rPr>
          <w:sz w:val="20"/>
          <w:szCs w:val="20"/>
          <w:lang w:val="en-GB"/>
        </w:rPr>
      </w:pPr>
      <w:r>
        <w:rPr>
          <w:sz w:val="20"/>
          <w:szCs w:val="20"/>
          <w:lang w:val="en-GB"/>
        </w:rPr>
        <w:t>I</w:t>
      </w:r>
      <w:r w:rsidR="00B24252" w:rsidRPr="00B24252">
        <w:rPr>
          <w:sz w:val="20"/>
          <w:szCs w:val="20"/>
          <w:lang w:val="en-GB"/>
        </w:rPr>
        <w:t xml:space="preserve">n 2022 Litgrid revenue reached </w:t>
      </w:r>
      <w:r>
        <w:rPr>
          <w:sz w:val="20"/>
          <w:szCs w:val="20"/>
          <w:lang w:val="en-GB"/>
        </w:rPr>
        <w:t>€</w:t>
      </w:r>
      <w:r w:rsidR="00B24252" w:rsidRPr="00B24252">
        <w:rPr>
          <w:sz w:val="20"/>
          <w:szCs w:val="20"/>
          <w:lang w:val="en-GB"/>
        </w:rPr>
        <w:t xml:space="preserve">420.3 million. Compared to 2021 it was </w:t>
      </w:r>
      <w:r w:rsidR="00A66F1B">
        <w:rPr>
          <w:sz w:val="20"/>
          <w:szCs w:val="20"/>
          <w:lang w:val="en-GB"/>
        </w:rPr>
        <w:t xml:space="preserve">by </w:t>
      </w:r>
      <w:r w:rsidR="00B24252" w:rsidRPr="00B24252">
        <w:rPr>
          <w:sz w:val="20"/>
          <w:szCs w:val="20"/>
          <w:lang w:val="en-GB"/>
        </w:rPr>
        <w:t xml:space="preserve">55.3 percent </w:t>
      </w:r>
      <w:r>
        <w:rPr>
          <w:sz w:val="20"/>
          <w:szCs w:val="20"/>
          <w:lang w:val="en-GB"/>
        </w:rPr>
        <w:t>higher</w:t>
      </w:r>
      <w:r w:rsidR="00B24252" w:rsidRPr="00B24252">
        <w:rPr>
          <w:sz w:val="20"/>
          <w:szCs w:val="20"/>
          <w:lang w:val="en-GB"/>
        </w:rPr>
        <w:t xml:space="preserve">. </w:t>
      </w:r>
      <w:r>
        <w:rPr>
          <w:sz w:val="20"/>
          <w:szCs w:val="20"/>
          <w:lang w:val="en-GB"/>
        </w:rPr>
        <w:t>Revenue</w:t>
      </w:r>
      <w:r w:rsidR="00B24252" w:rsidRPr="00B24252">
        <w:rPr>
          <w:sz w:val="20"/>
          <w:szCs w:val="20"/>
          <w:lang w:val="en-GB"/>
        </w:rPr>
        <w:t xml:space="preserve"> from electricity transmission decreased due to lower prices set by the regulator and lower amount transferred, but </w:t>
      </w:r>
      <w:r w:rsidR="009E47AC">
        <w:rPr>
          <w:sz w:val="20"/>
          <w:szCs w:val="20"/>
          <w:lang w:val="en-GB"/>
        </w:rPr>
        <w:t xml:space="preserve">the </w:t>
      </w:r>
      <w:r w:rsidR="00B24252" w:rsidRPr="00B24252">
        <w:rPr>
          <w:sz w:val="20"/>
          <w:szCs w:val="20"/>
          <w:lang w:val="en-GB"/>
        </w:rPr>
        <w:t xml:space="preserve">overall </w:t>
      </w:r>
      <w:r>
        <w:rPr>
          <w:sz w:val="20"/>
          <w:szCs w:val="20"/>
          <w:lang w:val="en-GB"/>
        </w:rPr>
        <w:t>revenue</w:t>
      </w:r>
      <w:r w:rsidR="00B24252" w:rsidRPr="00B24252">
        <w:rPr>
          <w:sz w:val="20"/>
          <w:szCs w:val="20"/>
          <w:lang w:val="en-GB"/>
        </w:rPr>
        <w:t xml:space="preserve"> growth was mainly due to a 2.4-fold increase in imbalance and balancing electricity </w:t>
      </w:r>
      <w:r>
        <w:rPr>
          <w:sz w:val="20"/>
          <w:szCs w:val="20"/>
          <w:lang w:val="en-GB"/>
        </w:rPr>
        <w:t>revenue</w:t>
      </w:r>
      <w:r w:rsidR="00B24252" w:rsidRPr="00B24252">
        <w:rPr>
          <w:sz w:val="20"/>
          <w:szCs w:val="20"/>
          <w:lang w:val="en-GB"/>
        </w:rPr>
        <w:t xml:space="preserve"> due to higher electricity market prices. The system balancing service provided by Litgrid is always zero-profitable, this </w:t>
      </w:r>
      <w:r w:rsidR="009E47AC">
        <w:rPr>
          <w:sz w:val="20"/>
          <w:szCs w:val="20"/>
          <w:lang w:val="en-GB"/>
        </w:rPr>
        <w:t>revenue</w:t>
      </w:r>
      <w:r w:rsidR="00B24252" w:rsidRPr="00B24252">
        <w:rPr>
          <w:sz w:val="20"/>
          <w:szCs w:val="20"/>
          <w:lang w:val="en-GB"/>
        </w:rPr>
        <w:t xml:space="preserve"> only covers the actually incurred imbalance and balancing electricity costs, which in 2022 increased by 2.5 times.</w:t>
      </w:r>
    </w:p>
    <w:p w14:paraId="463F18A7" w14:textId="1C574469" w:rsidR="00B24252" w:rsidRPr="00B24252" w:rsidRDefault="00F60BC4" w:rsidP="00B24252">
      <w:pPr>
        <w:jc w:val="both"/>
        <w:rPr>
          <w:sz w:val="20"/>
          <w:szCs w:val="20"/>
          <w:lang w:val="en-GB"/>
        </w:rPr>
      </w:pPr>
      <w:r>
        <w:rPr>
          <w:sz w:val="20"/>
          <w:szCs w:val="20"/>
          <w:lang w:val="en-GB"/>
        </w:rPr>
        <w:t>I</w:t>
      </w:r>
      <w:r w:rsidR="00B24252" w:rsidRPr="00B24252">
        <w:rPr>
          <w:sz w:val="20"/>
          <w:szCs w:val="20"/>
          <w:lang w:val="en-GB"/>
        </w:rPr>
        <w:t xml:space="preserve">n 2022 the company's </w:t>
      </w:r>
      <w:r>
        <w:rPr>
          <w:sz w:val="20"/>
          <w:szCs w:val="20"/>
          <w:lang w:val="en-GB"/>
        </w:rPr>
        <w:t>earnings</w:t>
      </w:r>
      <w:r w:rsidR="00B24252" w:rsidRPr="00B24252">
        <w:rPr>
          <w:sz w:val="20"/>
          <w:szCs w:val="20"/>
          <w:lang w:val="en-GB"/>
        </w:rPr>
        <w:t xml:space="preserve"> before interest, taxes, </w:t>
      </w:r>
      <w:proofErr w:type="gramStart"/>
      <w:r w:rsidR="00B24252" w:rsidRPr="00B24252">
        <w:rPr>
          <w:sz w:val="20"/>
          <w:szCs w:val="20"/>
          <w:lang w:val="en-GB"/>
        </w:rPr>
        <w:t>depreciation</w:t>
      </w:r>
      <w:proofErr w:type="gramEnd"/>
      <w:r w:rsidR="00B24252" w:rsidRPr="00B24252">
        <w:rPr>
          <w:sz w:val="20"/>
          <w:szCs w:val="20"/>
          <w:lang w:val="en-GB"/>
        </w:rPr>
        <w:t xml:space="preserve"> and amortization (EBITDA) w</w:t>
      </w:r>
      <w:r>
        <w:rPr>
          <w:sz w:val="20"/>
          <w:szCs w:val="20"/>
          <w:lang w:val="en-GB"/>
        </w:rPr>
        <w:t>ere</w:t>
      </w:r>
      <w:r w:rsidR="00B24252" w:rsidRPr="00B24252">
        <w:rPr>
          <w:sz w:val="20"/>
          <w:szCs w:val="20"/>
          <w:lang w:val="en-GB"/>
        </w:rPr>
        <w:t xml:space="preserve"> negative (-</w:t>
      </w:r>
      <w:r>
        <w:rPr>
          <w:sz w:val="20"/>
          <w:szCs w:val="20"/>
          <w:lang w:val="en-GB"/>
        </w:rPr>
        <w:t>€</w:t>
      </w:r>
      <w:r w:rsidR="00B24252" w:rsidRPr="00B24252">
        <w:rPr>
          <w:sz w:val="20"/>
          <w:szCs w:val="20"/>
          <w:lang w:val="en-GB"/>
        </w:rPr>
        <w:t xml:space="preserve">36.5 million). In comparison, in 2021 EBITDA amounted to </w:t>
      </w:r>
      <w:r>
        <w:rPr>
          <w:sz w:val="20"/>
          <w:szCs w:val="20"/>
          <w:lang w:val="en-GB"/>
        </w:rPr>
        <w:t>€</w:t>
      </w:r>
      <w:r w:rsidR="00B24252" w:rsidRPr="00B24252">
        <w:rPr>
          <w:sz w:val="20"/>
          <w:szCs w:val="20"/>
          <w:lang w:val="en-GB"/>
        </w:rPr>
        <w:t xml:space="preserve">46.2 million. </w:t>
      </w:r>
      <w:r>
        <w:rPr>
          <w:sz w:val="20"/>
          <w:szCs w:val="20"/>
          <w:lang w:val="en-GB"/>
        </w:rPr>
        <w:t>I</w:t>
      </w:r>
      <w:r w:rsidR="00B24252" w:rsidRPr="00B24252">
        <w:rPr>
          <w:sz w:val="20"/>
          <w:szCs w:val="20"/>
          <w:lang w:val="en-GB"/>
        </w:rPr>
        <w:t xml:space="preserve">n 2022 the net loss was </w:t>
      </w:r>
      <w:r>
        <w:rPr>
          <w:sz w:val="20"/>
          <w:szCs w:val="20"/>
          <w:lang w:val="en-GB"/>
        </w:rPr>
        <w:t>€</w:t>
      </w:r>
      <w:r w:rsidR="00B24252" w:rsidRPr="00B24252">
        <w:rPr>
          <w:sz w:val="20"/>
          <w:szCs w:val="20"/>
          <w:lang w:val="en-GB"/>
        </w:rPr>
        <w:t xml:space="preserve">49.4 million (2021 net profit </w:t>
      </w:r>
      <w:r w:rsidR="00924F14">
        <w:rPr>
          <w:sz w:val="20"/>
          <w:szCs w:val="20"/>
          <w:lang w:val="en-GB"/>
        </w:rPr>
        <w:t>was</w:t>
      </w:r>
      <w:r w:rsidR="00B24252" w:rsidRPr="00B24252">
        <w:rPr>
          <w:sz w:val="20"/>
          <w:szCs w:val="20"/>
          <w:lang w:val="en-GB"/>
        </w:rPr>
        <w:t xml:space="preserve"> </w:t>
      </w:r>
      <w:r>
        <w:rPr>
          <w:sz w:val="20"/>
          <w:szCs w:val="20"/>
          <w:lang w:val="en-GB"/>
        </w:rPr>
        <w:t>€</w:t>
      </w:r>
      <w:r w:rsidR="00B24252" w:rsidRPr="00B24252">
        <w:rPr>
          <w:sz w:val="20"/>
          <w:szCs w:val="20"/>
          <w:lang w:val="en-GB"/>
        </w:rPr>
        <w:t xml:space="preserve">20 million). The loss was mainly caused by 2.5 times </w:t>
      </w:r>
      <w:r w:rsidR="00B93C9D">
        <w:rPr>
          <w:sz w:val="20"/>
          <w:szCs w:val="20"/>
          <w:lang w:val="en-GB"/>
        </w:rPr>
        <w:t xml:space="preserve">increased </w:t>
      </w:r>
      <w:r w:rsidR="00B24252" w:rsidRPr="00B24252">
        <w:rPr>
          <w:sz w:val="20"/>
          <w:szCs w:val="20"/>
          <w:lang w:val="en-GB"/>
        </w:rPr>
        <w:t>costs of compensating technological losses in the transmission network</w:t>
      </w:r>
      <w:r w:rsidR="00B93C9D">
        <w:rPr>
          <w:sz w:val="20"/>
          <w:szCs w:val="20"/>
          <w:lang w:val="en-GB"/>
        </w:rPr>
        <w:t xml:space="preserve"> to €</w:t>
      </w:r>
      <w:r w:rsidR="00B93C9D" w:rsidRPr="00B24252">
        <w:rPr>
          <w:sz w:val="20"/>
          <w:szCs w:val="20"/>
          <w:lang w:val="en-GB"/>
        </w:rPr>
        <w:t>99.6 million</w:t>
      </w:r>
      <w:r w:rsidR="00B93C9D">
        <w:rPr>
          <w:sz w:val="20"/>
          <w:szCs w:val="20"/>
          <w:lang w:val="en-GB"/>
        </w:rPr>
        <w:t xml:space="preserve"> because of</w:t>
      </w:r>
      <w:r w:rsidR="00B93C9D" w:rsidRPr="00B24252">
        <w:rPr>
          <w:sz w:val="20"/>
          <w:szCs w:val="20"/>
          <w:lang w:val="en-GB"/>
        </w:rPr>
        <w:t xml:space="preserve"> the increase in electricity prices</w:t>
      </w:r>
      <w:r w:rsidR="00B24252" w:rsidRPr="00B24252">
        <w:rPr>
          <w:sz w:val="20"/>
          <w:szCs w:val="20"/>
          <w:lang w:val="en-GB"/>
        </w:rPr>
        <w:t xml:space="preserve">. The regulator includes the compensation of these costs in the transmission tariff, </w:t>
      </w:r>
      <w:proofErr w:type="gramStart"/>
      <w:r w:rsidR="00B24252" w:rsidRPr="00B24252">
        <w:rPr>
          <w:sz w:val="20"/>
          <w:szCs w:val="20"/>
          <w:lang w:val="en-GB"/>
        </w:rPr>
        <w:t>taking into account</w:t>
      </w:r>
      <w:proofErr w:type="gramEnd"/>
      <w:r w:rsidR="00B24252" w:rsidRPr="00B24252">
        <w:rPr>
          <w:sz w:val="20"/>
          <w:szCs w:val="20"/>
          <w:lang w:val="en-GB"/>
        </w:rPr>
        <w:t xml:space="preserve"> the future price of electricity forecast on the market, which was significantly lower than the actual electricity prices in the market</w:t>
      </w:r>
      <w:r w:rsidR="00B93C9D">
        <w:rPr>
          <w:sz w:val="20"/>
          <w:szCs w:val="20"/>
          <w:lang w:val="en-GB"/>
        </w:rPr>
        <w:t xml:space="preserve"> in 2022</w:t>
      </w:r>
      <w:r w:rsidR="00B24252" w:rsidRPr="00B24252">
        <w:rPr>
          <w:sz w:val="20"/>
          <w:szCs w:val="20"/>
          <w:lang w:val="en-GB"/>
        </w:rPr>
        <w:t xml:space="preserve">. The worse result was also caused by </w:t>
      </w:r>
      <w:r>
        <w:rPr>
          <w:sz w:val="20"/>
          <w:szCs w:val="20"/>
          <w:lang w:val="en-GB"/>
        </w:rPr>
        <w:t>€</w:t>
      </w:r>
      <w:r w:rsidR="00B24252" w:rsidRPr="00B24252">
        <w:rPr>
          <w:sz w:val="20"/>
          <w:szCs w:val="20"/>
          <w:lang w:val="en-GB"/>
        </w:rPr>
        <w:t>7.6</w:t>
      </w:r>
      <w:r w:rsidR="00B93C9D">
        <w:rPr>
          <w:sz w:val="20"/>
          <w:szCs w:val="20"/>
          <w:lang w:val="en-GB"/>
        </w:rPr>
        <w:t xml:space="preserve"> million</w:t>
      </w:r>
      <w:r w:rsidR="00B24252" w:rsidRPr="00B24252">
        <w:rPr>
          <w:sz w:val="20"/>
          <w:szCs w:val="20"/>
          <w:lang w:val="en-GB"/>
        </w:rPr>
        <w:t xml:space="preserve"> lower transmission income</w:t>
      </w:r>
      <w:r w:rsidR="00B93C9D">
        <w:rPr>
          <w:sz w:val="20"/>
          <w:szCs w:val="20"/>
          <w:lang w:val="en-GB"/>
        </w:rPr>
        <w:t>,</w:t>
      </w:r>
      <w:r w:rsidR="00B24252" w:rsidRPr="00B24252">
        <w:rPr>
          <w:sz w:val="20"/>
          <w:szCs w:val="20"/>
          <w:lang w:val="en-GB"/>
        </w:rPr>
        <w:t xml:space="preserve"> </w:t>
      </w:r>
      <w:r>
        <w:rPr>
          <w:sz w:val="20"/>
          <w:szCs w:val="20"/>
          <w:lang w:val="en-GB"/>
        </w:rPr>
        <w:t>€</w:t>
      </w:r>
      <w:r w:rsidR="00B24252" w:rsidRPr="00B24252">
        <w:rPr>
          <w:sz w:val="20"/>
          <w:szCs w:val="20"/>
          <w:lang w:val="en-GB"/>
        </w:rPr>
        <w:t xml:space="preserve">4.3 million lower result of system services and </w:t>
      </w:r>
      <w:r>
        <w:rPr>
          <w:sz w:val="20"/>
          <w:szCs w:val="20"/>
          <w:lang w:val="en-GB"/>
        </w:rPr>
        <w:t>€</w:t>
      </w:r>
      <w:r w:rsidR="00B24252" w:rsidRPr="00B24252">
        <w:rPr>
          <w:sz w:val="20"/>
          <w:szCs w:val="20"/>
          <w:lang w:val="en-GB"/>
        </w:rPr>
        <w:t>6.8 million higher operating costs.</w:t>
      </w:r>
    </w:p>
    <w:p w14:paraId="7DA1A158" w14:textId="4ABEB70D" w:rsidR="00B24252" w:rsidRPr="00B24252" w:rsidRDefault="00B24252" w:rsidP="00B24252">
      <w:pPr>
        <w:jc w:val="both"/>
        <w:rPr>
          <w:sz w:val="20"/>
          <w:szCs w:val="20"/>
          <w:lang w:val="en-GB"/>
        </w:rPr>
      </w:pPr>
      <w:r w:rsidRPr="00B24252">
        <w:rPr>
          <w:sz w:val="20"/>
          <w:szCs w:val="20"/>
          <w:lang w:val="en-GB"/>
        </w:rPr>
        <w:t>Litgrid</w:t>
      </w:r>
      <w:r w:rsidR="00B93C9D">
        <w:rPr>
          <w:sz w:val="20"/>
          <w:szCs w:val="20"/>
          <w:lang w:val="en-GB"/>
        </w:rPr>
        <w:t xml:space="preserve"> investments</w:t>
      </w:r>
      <w:r w:rsidRPr="00B24252">
        <w:rPr>
          <w:sz w:val="20"/>
          <w:szCs w:val="20"/>
          <w:lang w:val="en-GB"/>
        </w:rPr>
        <w:t xml:space="preserve"> in 2022 amounted to </w:t>
      </w:r>
      <w:r w:rsidR="00F60BC4">
        <w:rPr>
          <w:sz w:val="20"/>
          <w:szCs w:val="20"/>
          <w:lang w:val="en-GB"/>
        </w:rPr>
        <w:t>€</w:t>
      </w:r>
      <w:r w:rsidRPr="00B24252">
        <w:rPr>
          <w:sz w:val="20"/>
          <w:szCs w:val="20"/>
          <w:lang w:val="en-GB"/>
        </w:rPr>
        <w:t>55.9 million, of which 41 percent intended for the implementation of strategic electricity projects, 59 percent – for the reconstruction and development of the transmission network and operational support.</w:t>
      </w:r>
    </w:p>
    <w:p w14:paraId="3CB7B5A3" w14:textId="3791E310" w:rsidR="00B24252" w:rsidRPr="00B24252" w:rsidRDefault="00B24252" w:rsidP="00B24252">
      <w:pPr>
        <w:jc w:val="both"/>
        <w:rPr>
          <w:sz w:val="20"/>
          <w:szCs w:val="20"/>
          <w:lang w:val="en-GB"/>
        </w:rPr>
      </w:pPr>
      <w:r w:rsidRPr="00B24252">
        <w:rPr>
          <w:sz w:val="20"/>
          <w:szCs w:val="20"/>
          <w:lang w:val="en-GB"/>
        </w:rPr>
        <w:t>Congestion management revenues in 2022 w</w:t>
      </w:r>
      <w:r w:rsidR="00B93C9D">
        <w:rPr>
          <w:sz w:val="20"/>
          <w:szCs w:val="20"/>
          <w:lang w:val="en-GB"/>
        </w:rPr>
        <w:t>ere</w:t>
      </w:r>
      <w:r w:rsidRPr="00B24252">
        <w:rPr>
          <w:sz w:val="20"/>
          <w:szCs w:val="20"/>
          <w:lang w:val="en-GB"/>
        </w:rPr>
        <w:t xml:space="preserve"> </w:t>
      </w:r>
      <w:r w:rsidR="00F60BC4">
        <w:rPr>
          <w:sz w:val="20"/>
          <w:szCs w:val="20"/>
          <w:lang w:val="en-GB"/>
        </w:rPr>
        <w:t>€</w:t>
      </w:r>
      <w:r w:rsidRPr="00B24252">
        <w:rPr>
          <w:sz w:val="20"/>
          <w:szCs w:val="20"/>
          <w:lang w:val="en-GB"/>
        </w:rPr>
        <w:t xml:space="preserve">267.3 million and, compared to 2021, were 5.3 times higher. These </w:t>
      </w:r>
      <w:r w:rsidR="00FB681E">
        <w:rPr>
          <w:sz w:val="20"/>
          <w:szCs w:val="20"/>
          <w:lang w:val="en-GB"/>
        </w:rPr>
        <w:t>revenues</w:t>
      </w:r>
      <w:r w:rsidRPr="00B24252">
        <w:rPr>
          <w:sz w:val="20"/>
          <w:szCs w:val="20"/>
          <w:lang w:val="en-GB"/>
        </w:rPr>
        <w:t xml:space="preserve"> are not </w:t>
      </w:r>
      <w:r w:rsidR="008814BA">
        <w:rPr>
          <w:sz w:val="20"/>
          <w:szCs w:val="20"/>
          <w:lang w:val="en-GB"/>
        </w:rPr>
        <w:t>accounted</w:t>
      </w:r>
      <w:r w:rsidRPr="00B24252">
        <w:rPr>
          <w:sz w:val="20"/>
          <w:szCs w:val="20"/>
          <w:lang w:val="en-GB"/>
        </w:rPr>
        <w:t xml:space="preserve"> as income and do not directly determine the company's performance, their use is regulated by the Regulation of the European Parliament and the Council no. </w:t>
      </w:r>
      <w:proofErr w:type="gramStart"/>
      <w:r w:rsidRPr="00B24252">
        <w:rPr>
          <w:sz w:val="20"/>
          <w:szCs w:val="20"/>
          <w:lang w:val="en-GB"/>
        </w:rPr>
        <w:t>2019/943</w:t>
      </w:r>
      <w:proofErr w:type="gramEnd"/>
      <w:r w:rsidRPr="00B24252">
        <w:rPr>
          <w:sz w:val="20"/>
          <w:szCs w:val="20"/>
          <w:lang w:val="en-GB"/>
        </w:rPr>
        <w:t xml:space="preserve"> and the methodology approved by the Agency for the Cooperation of Energy Regulatory Authorities of the European Union (ACER). Congestion management revenues are mainly used for partial financing of the company's investments that increase the </w:t>
      </w:r>
      <w:r w:rsidR="00FB681E">
        <w:rPr>
          <w:sz w:val="20"/>
          <w:szCs w:val="20"/>
          <w:lang w:val="en-GB"/>
        </w:rPr>
        <w:t>capacity</w:t>
      </w:r>
      <w:r w:rsidRPr="00B24252">
        <w:rPr>
          <w:sz w:val="20"/>
          <w:szCs w:val="20"/>
          <w:lang w:val="en-GB"/>
        </w:rPr>
        <w:t xml:space="preserve"> of inter-system connections.</w:t>
      </w:r>
    </w:p>
    <w:p w14:paraId="6EC0140A" w14:textId="4A11175B" w:rsidR="00B24252" w:rsidRPr="00B24252" w:rsidRDefault="00B24252" w:rsidP="00B24252">
      <w:pPr>
        <w:jc w:val="both"/>
        <w:rPr>
          <w:sz w:val="20"/>
          <w:szCs w:val="20"/>
          <w:lang w:val="en-GB"/>
        </w:rPr>
      </w:pPr>
      <w:r w:rsidRPr="00B24252">
        <w:rPr>
          <w:sz w:val="20"/>
          <w:szCs w:val="20"/>
          <w:lang w:val="en-GB"/>
        </w:rPr>
        <w:t xml:space="preserve">In August, in response to increased electricity market prices, Litgrid proposed to the </w:t>
      </w:r>
      <w:r w:rsidR="000010F1">
        <w:rPr>
          <w:sz w:val="20"/>
          <w:szCs w:val="20"/>
          <w:lang w:val="en-GB"/>
        </w:rPr>
        <w:t xml:space="preserve">National </w:t>
      </w:r>
      <w:r w:rsidRPr="00B24252">
        <w:rPr>
          <w:sz w:val="20"/>
          <w:szCs w:val="20"/>
          <w:lang w:val="en-GB"/>
        </w:rPr>
        <w:t>Energy Regulatory Council to allocate part of the 2023 received congestion management revenues for reducing the price of electricity (the rest is allocated to strategic projects).</w:t>
      </w:r>
    </w:p>
    <w:p w14:paraId="63E95066" w14:textId="413E9BDF" w:rsidR="0038245E" w:rsidRPr="00B24252" w:rsidRDefault="00B24252" w:rsidP="00B24252">
      <w:pPr>
        <w:jc w:val="both"/>
        <w:rPr>
          <w:sz w:val="20"/>
          <w:szCs w:val="20"/>
          <w:lang w:val="en-GB"/>
        </w:rPr>
      </w:pPr>
      <w:r w:rsidRPr="00B24252">
        <w:rPr>
          <w:sz w:val="20"/>
          <w:szCs w:val="20"/>
          <w:lang w:val="en-GB"/>
        </w:rPr>
        <w:lastRenderedPageBreak/>
        <w:t xml:space="preserve">In October, by the regulator's decision, </w:t>
      </w:r>
      <w:r w:rsidR="00924F14">
        <w:rPr>
          <w:sz w:val="20"/>
          <w:szCs w:val="20"/>
          <w:lang w:val="en-GB"/>
        </w:rPr>
        <w:t>€</w:t>
      </w:r>
      <w:r w:rsidRPr="00B24252">
        <w:rPr>
          <w:sz w:val="20"/>
          <w:szCs w:val="20"/>
          <w:lang w:val="en-GB"/>
        </w:rPr>
        <w:t xml:space="preserve">142.3 million </w:t>
      </w:r>
      <w:r w:rsidR="00C40589">
        <w:rPr>
          <w:sz w:val="20"/>
          <w:szCs w:val="20"/>
          <w:lang w:val="en-GB"/>
        </w:rPr>
        <w:t xml:space="preserve">of the </w:t>
      </w:r>
      <w:r w:rsidRPr="00B24252">
        <w:rPr>
          <w:sz w:val="20"/>
          <w:szCs w:val="20"/>
          <w:lang w:val="en-GB"/>
        </w:rPr>
        <w:t>congestion management revenue</w:t>
      </w:r>
      <w:r w:rsidR="00C40589">
        <w:rPr>
          <w:sz w:val="20"/>
          <w:szCs w:val="20"/>
          <w:lang w:val="en-GB"/>
        </w:rPr>
        <w:t>s</w:t>
      </w:r>
      <w:r w:rsidRPr="00B24252">
        <w:rPr>
          <w:sz w:val="20"/>
          <w:szCs w:val="20"/>
          <w:lang w:val="en-GB"/>
        </w:rPr>
        <w:t xml:space="preserve"> w</w:t>
      </w:r>
      <w:r w:rsidR="00C40589">
        <w:rPr>
          <w:sz w:val="20"/>
          <w:szCs w:val="20"/>
          <w:lang w:val="en-GB"/>
        </w:rPr>
        <w:t>ere</w:t>
      </w:r>
      <w:r w:rsidRPr="00B24252">
        <w:rPr>
          <w:sz w:val="20"/>
          <w:szCs w:val="20"/>
          <w:lang w:val="en-GB"/>
        </w:rPr>
        <w:t xml:space="preserve"> allocated to amortize the growth of the electricity transmission rate</w:t>
      </w:r>
      <w:r w:rsidR="00C40589">
        <w:rPr>
          <w:sz w:val="20"/>
          <w:szCs w:val="20"/>
          <w:lang w:val="en-GB"/>
        </w:rPr>
        <w:t xml:space="preserve"> in 2023</w:t>
      </w:r>
      <w:r w:rsidRPr="00B24252">
        <w:rPr>
          <w:sz w:val="20"/>
          <w:szCs w:val="20"/>
          <w:lang w:val="en-GB"/>
        </w:rPr>
        <w:t>. Due to the increased costs of compensating technological losses, the electricity price tariff was supposed to increase three times from this year, but after the decision to use congestion management revenues, it decreased by 4 percent compared to the 2022 tariff.</w:t>
      </w:r>
    </w:p>
    <w:p w14:paraId="00C8A95F" w14:textId="7FDFF234" w:rsidR="005D4FAD" w:rsidRPr="00B24252" w:rsidRDefault="005D4FAD" w:rsidP="000A31A5">
      <w:pPr>
        <w:jc w:val="both"/>
        <w:rPr>
          <w:sz w:val="20"/>
          <w:szCs w:val="20"/>
          <w:lang w:val="en-GB"/>
        </w:rPr>
      </w:pPr>
    </w:p>
    <w:sectPr w:rsidR="005D4FAD" w:rsidRPr="00B242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0A66" w14:textId="77777777" w:rsidR="007B59AB" w:rsidRDefault="007B59AB" w:rsidP="0071396B">
      <w:pPr>
        <w:spacing w:after="0" w:line="240" w:lineRule="auto"/>
      </w:pPr>
      <w:r>
        <w:separator/>
      </w:r>
    </w:p>
  </w:endnote>
  <w:endnote w:type="continuationSeparator" w:id="0">
    <w:p w14:paraId="1259F140" w14:textId="77777777" w:rsidR="007B59AB" w:rsidRDefault="007B59AB" w:rsidP="0071396B">
      <w:pPr>
        <w:spacing w:after="0" w:line="240" w:lineRule="auto"/>
      </w:pPr>
      <w:r>
        <w:continuationSeparator/>
      </w:r>
    </w:p>
  </w:endnote>
  <w:endnote w:type="continuationNotice" w:id="1">
    <w:p w14:paraId="5F3912B5" w14:textId="77777777" w:rsidR="007B59AB" w:rsidRDefault="007B5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0DD6" w14:textId="77777777" w:rsidR="007B59AB" w:rsidRDefault="007B59AB" w:rsidP="0071396B">
      <w:pPr>
        <w:spacing w:after="0" w:line="240" w:lineRule="auto"/>
      </w:pPr>
      <w:r>
        <w:separator/>
      </w:r>
    </w:p>
  </w:footnote>
  <w:footnote w:type="continuationSeparator" w:id="0">
    <w:p w14:paraId="2FB0F0C0" w14:textId="77777777" w:rsidR="007B59AB" w:rsidRDefault="007B59AB" w:rsidP="0071396B">
      <w:pPr>
        <w:spacing w:after="0" w:line="240" w:lineRule="auto"/>
      </w:pPr>
      <w:r>
        <w:continuationSeparator/>
      </w:r>
    </w:p>
  </w:footnote>
  <w:footnote w:type="continuationNotice" w:id="1">
    <w:p w14:paraId="46EAC8B4" w14:textId="77777777" w:rsidR="007B59AB" w:rsidRDefault="007B5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A632" w14:textId="77777777" w:rsidR="0071396B" w:rsidRDefault="008E38CE">
    <w:pPr>
      <w:pStyle w:val="Header"/>
    </w:pPr>
    <w:r>
      <w:rPr>
        <w:noProof/>
      </w:rPr>
      <w:drawing>
        <wp:inline distT="0" distB="0" distL="0" distR="0" wp14:anchorId="2101EAEE" wp14:editId="619E7969">
          <wp:extent cx="1692411" cy="621115"/>
          <wp:effectExtent l="0" t="0" r="317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57D4A388" w14:textId="77777777" w:rsidR="00177989" w:rsidRDefault="0017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77E6880"/>
    <w:lvl w:ilvl="0">
      <w:start w:val="1"/>
      <w:numFmt w:val="decimal"/>
      <w:lvlText w:val="%1."/>
      <w:lvlJc w:val="left"/>
      <w:pPr>
        <w:ind w:left="502"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8E46436"/>
    <w:multiLevelType w:val="hybridMultilevel"/>
    <w:tmpl w:val="FFFFFFFF"/>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9"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501892683">
    <w:abstractNumId w:val="5"/>
  </w:num>
  <w:num w:numId="2" w16cid:durableId="557280571">
    <w:abstractNumId w:val="2"/>
  </w:num>
  <w:num w:numId="3" w16cid:durableId="184832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38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7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33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37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841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633631">
    <w:abstractNumId w:val="3"/>
  </w:num>
  <w:num w:numId="10" w16cid:durableId="869496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8D70D1"/>
    <w:rsid w:val="00000061"/>
    <w:rsid w:val="00000E9A"/>
    <w:rsid w:val="000010F1"/>
    <w:rsid w:val="00001C65"/>
    <w:rsid w:val="00001DAF"/>
    <w:rsid w:val="000033DD"/>
    <w:rsid w:val="00004478"/>
    <w:rsid w:val="0000492A"/>
    <w:rsid w:val="000053BA"/>
    <w:rsid w:val="00006114"/>
    <w:rsid w:val="00007612"/>
    <w:rsid w:val="00007644"/>
    <w:rsid w:val="00007C0C"/>
    <w:rsid w:val="0001012B"/>
    <w:rsid w:val="00010DCC"/>
    <w:rsid w:val="00011736"/>
    <w:rsid w:val="00014558"/>
    <w:rsid w:val="00014DB8"/>
    <w:rsid w:val="00016786"/>
    <w:rsid w:val="00016A7D"/>
    <w:rsid w:val="000203B8"/>
    <w:rsid w:val="0002092E"/>
    <w:rsid w:val="000213BA"/>
    <w:rsid w:val="00021E4D"/>
    <w:rsid w:val="00021E84"/>
    <w:rsid w:val="00025EFA"/>
    <w:rsid w:val="0002631F"/>
    <w:rsid w:val="00026BC7"/>
    <w:rsid w:val="00027556"/>
    <w:rsid w:val="00027764"/>
    <w:rsid w:val="0002784A"/>
    <w:rsid w:val="00030F75"/>
    <w:rsid w:val="0003298D"/>
    <w:rsid w:val="00032A7C"/>
    <w:rsid w:val="00034722"/>
    <w:rsid w:val="00035032"/>
    <w:rsid w:val="00036104"/>
    <w:rsid w:val="0003640E"/>
    <w:rsid w:val="00040530"/>
    <w:rsid w:val="00041F7A"/>
    <w:rsid w:val="00044081"/>
    <w:rsid w:val="00044395"/>
    <w:rsid w:val="00044C9B"/>
    <w:rsid w:val="0004611D"/>
    <w:rsid w:val="0004679E"/>
    <w:rsid w:val="00047145"/>
    <w:rsid w:val="0005060F"/>
    <w:rsid w:val="00050818"/>
    <w:rsid w:val="000516DC"/>
    <w:rsid w:val="000522D3"/>
    <w:rsid w:val="00052986"/>
    <w:rsid w:val="00052A55"/>
    <w:rsid w:val="00052F63"/>
    <w:rsid w:val="000540ED"/>
    <w:rsid w:val="000544BA"/>
    <w:rsid w:val="00056135"/>
    <w:rsid w:val="0005690F"/>
    <w:rsid w:val="0006075D"/>
    <w:rsid w:val="00060999"/>
    <w:rsid w:val="0006299F"/>
    <w:rsid w:val="00066BE5"/>
    <w:rsid w:val="00067ED5"/>
    <w:rsid w:val="0007178E"/>
    <w:rsid w:val="00071E1A"/>
    <w:rsid w:val="00071E59"/>
    <w:rsid w:val="00072147"/>
    <w:rsid w:val="00074C28"/>
    <w:rsid w:val="000774DD"/>
    <w:rsid w:val="000800AA"/>
    <w:rsid w:val="00080331"/>
    <w:rsid w:val="000804F0"/>
    <w:rsid w:val="000805AD"/>
    <w:rsid w:val="00080F1A"/>
    <w:rsid w:val="00081EBE"/>
    <w:rsid w:val="00082501"/>
    <w:rsid w:val="0008290F"/>
    <w:rsid w:val="00082DC9"/>
    <w:rsid w:val="0008368C"/>
    <w:rsid w:val="00083F46"/>
    <w:rsid w:val="000877BF"/>
    <w:rsid w:val="00090EEB"/>
    <w:rsid w:val="00091745"/>
    <w:rsid w:val="00091C43"/>
    <w:rsid w:val="0009223C"/>
    <w:rsid w:val="00092A2E"/>
    <w:rsid w:val="00093C56"/>
    <w:rsid w:val="00094127"/>
    <w:rsid w:val="00095359"/>
    <w:rsid w:val="00096378"/>
    <w:rsid w:val="000972D3"/>
    <w:rsid w:val="0009746D"/>
    <w:rsid w:val="000A0716"/>
    <w:rsid w:val="000A115F"/>
    <w:rsid w:val="000A18B1"/>
    <w:rsid w:val="000A221A"/>
    <w:rsid w:val="000A31A5"/>
    <w:rsid w:val="000A31F5"/>
    <w:rsid w:val="000A36A1"/>
    <w:rsid w:val="000A4285"/>
    <w:rsid w:val="000A484E"/>
    <w:rsid w:val="000A4D65"/>
    <w:rsid w:val="000A576D"/>
    <w:rsid w:val="000A6DC2"/>
    <w:rsid w:val="000A71A6"/>
    <w:rsid w:val="000B0CAF"/>
    <w:rsid w:val="000B203C"/>
    <w:rsid w:val="000B4EEC"/>
    <w:rsid w:val="000B6265"/>
    <w:rsid w:val="000B6307"/>
    <w:rsid w:val="000B70FF"/>
    <w:rsid w:val="000B7489"/>
    <w:rsid w:val="000C0372"/>
    <w:rsid w:val="000C06A4"/>
    <w:rsid w:val="000C1288"/>
    <w:rsid w:val="000C17AD"/>
    <w:rsid w:val="000C2250"/>
    <w:rsid w:val="000C276C"/>
    <w:rsid w:val="000C36E9"/>
    <w:rsid w:val="000C40A2"/>
    <w:rsid w:val="000C4805"/>
    <w:rsid w:val="000C4EB8"/>
    <w:rsid w:val="000C5BE8"/>
    <w:rsid w:val="000D0235"/>
    <w:rsid w:val="000D106A"/>
    <w:rsid w:val="000D180F"/>
    <w:rsid w:val="000D18F9"/>
    <w:rsid w:val="000D1B41"/>
    <w:rsid w:val="000D2770"/>
    <w:rsid w:val="000D367F"/>
    <w:rsid w:val="000D4DDF"/>
    <w:rsid w:val="000D59A0"/>
    <w:rsid w:val="000D5EC1"/>
    <w:rsid w:val="000D5F2E"/>
    <w:rsid w:val="000D6068"/>
    <w:rsid w:val="000E1577"/>
    <w:rsid w:val="000E1647"/>
    <w:rsid w:val="000E1959"/>
    <w:rsid w:val="000E1C03"/>
    <w:rsid w:val="000E1C1F"/>
    <w:rsid w:val="000E1C73"/>
    <w:rsid w:val="000E2F4C"/>
    <w:rsid w:val="000E3AAF"/>
    <w:rsid w:val="000E5015"/>
    <w:rsid w:val="000E5844"/>
    <w:rsid w:val="000E604F"/>
    <w:rsid w:val="000E738D"/>
    <w:rsid w:val="000E74B2"/>
    <w:rsid w:val="000E7D84"/>
    <w:rsid w:val="000F01F2"/>
    <w:rsid w:val="000F2EFC"/>
    <w:rsid w:val="000F3231"/>
    <w:rsid w:val="000F3285"/>
    <w:rsid w:val="000F36A8"/>
    <w:rsid w:val="000F37AB"/>
    <w:rsid w:val="000F3823"/>
    <w:rsid w:val="000F43B5"/>
    <w:rsid w:val="000F43F8"/>
    <w:rsid w:val="000F4AD4"/>
    <w:rsid w:val="000F4F52"/>
    <w:rsid w:val="000F524D"/>
    <w:rsid w:val="000F5255"/>
    <w:rsid w:val="000F5B9D"/>
    <w:rsid w:val="000F7CF5"/>
    <w:rsid w:val="0010014A"/>
    <w:rsid w:val="00100ADE"/>
    <w:rsid w:val="00101677"/>
    <w:rsid w:val="00102130"/>
    <w:rsid w:val="0010236E"/>
    <w:rsid w:val="001027F4"/>
    <w:rsid w:val="001032B9"/>
    <w:rsid w:val="00103DC9"/>
    <w:rsid w:val="0010521A"/>
    <w:rsid w:val="00105641"/>
    <w:rsid w:val="00105B21"/>
    <w:rsid w:val="00105E97"/>
    <w:rsid w:val="001071BF"/>
    <w:rsid w:val="00110279"/>
    <w:rsid w:val="001103E5"/>
    <w:rsid w:val="00110CF4"/>
    <w:rsid w:val="0011212E"/>
    <w:rsid w:val="00112A88"/>
    <w:rsid w:val="00113371"/>
    <w:rsid w:val="00113900"/>
    <w:rsid w:val="00113E6D"/>
    <w:rsid w:val="00113FC8"/>
    <w:rsid w:val="001145DA"/>
    <w:rsid w:val="00115865"/>
    <w:rsid w:val="0012005F"/>
    <w:rsid w:val="001213DE"/>
    <w:rsid w:val="00122626"/>
    <w:rsid w:val="00122839"/>
    <w:rsid w:val="0012287A"/>
    <w:rsid w:val="00122C39"/>
    <w:rsid w:val="001230C8"/>
    <w:rsid w:val="00123DE6"/>
    <w:rsid w:val="00124B3E"/>
    <w:rsid w:val="00125DD9"/>
    <w:rsid w:val="00126EEE"/>
    <w:rsid w:val="00126FD8"/>
    <w:rsid w:val="00127DB2"/>
    <w:rsid w:val="001304BB"/>
    <w:rsid w:val="00130A0E"/>
    <w:rsid w:val="0013341E"/>
    <w:rsid w:val="00133917"/>
    <w:rsid w:val="00136156"/>
    <w:rsid w:val="00136488"/>
    <w:rsid w:val="00140685"/>
    <w:rsid w:val="00140F5F"/>
    <w:rsid w:val="001413D8"/>
    <w:rsid w:val="001419D7"/>
    <w:rsid w:val="0014231E"/>
    <w:rsid w:val="00142CA2"/>
    <w:rsid w:val="0014301D"/>
    <w:rsid w:val="00144AF5"/>
    <w:rsid w:val="00144D4B"/>
    <w:rsid w:val="00146A94"/>
    <w:rsid w:val="00147292"/>
    <w:rsid w:val="00147904"/>
    <w:rsid w:val="0015123D"/>
    <w:rsid w:val="001518E8"/>
    <w:rsid w:val="00152359"/>
    <w:rsid w:val="001527BE"/>
    <w:rsid w:val="00153468"/>
    <w:rsid w:val="00154822"/>
    <w:rsid w:val="00154858"/>
    <w:rsid w:val="00154953"/>
    <w:rsid w:val="0015544F"/>
    <w:rsid w:val="00156227"/>
    <w:rsid w:val="001576FF"/>
    <w:rsid w:val="001606A5"/>
    <w:rsid w:val="001618C7"/>
    <w:rsid w:val="001632CD"/>
    <w:rsid w:val="00164455"/>
    <w:rsid w:val="00165455"/>
    <w:rsid w:val="00167746"/>
    <w:rsid w:val="00174B93"/>
    <w:rsid w:val="00175AAF"/>
    <w:rsid w:val="00176DBA"/>
    <w:rsid w:val="001770F3"/>
    <w:rsid w:val="00177989"/>
    <w:rsid w:val="00177E05"/>
    <w:rsid w:val="0018029B"/>
    <w:rsid w:val="001805CE"/>
    <w:rsid w:val="00182C05"/>
    <w:rsid w:val="001849D3"/>
    <w:rsid w:val="00185956"/>
    <w:rsid w:val="001863B1"/>
    <w:rsid w:val="00190573"/>
    <w:rsid w:val="001908CA"/>
    <w:rsid w:val="00190A96"/>
    <w:rsid w:val="0019101F"/>
    <w:rsid w:val="001919D8"/>
    <w:rsid w:val="00191A96"/>
    <w:rsid w:val="0019278D"/>
    <w:rsid w:val="00193576"/>
    <w:rsid w:val="00193B96"/>
    <w:rsid w:val="00194F91"/>
    <w:rsid w:val="0019524D"/>
    <w:rsid w:val="001962DE"/>
    <w:rsid w:val="00197862"/>
    <w:rsid w:val="001A0F4E"/>
    <w:rsid w:val="001A133D"/>
    <w:rsid w:val="001A134C"/>
    <w:rsid w:val="001A2ED8"/>
    <w:rsid w:val="001A30E5"/>
    <w:rsid w:val="001A388C"/>
    <w:rsid w:val="001A40C9"/>
    <w:rsid w:val="001A435B"/>
    <w:rsid w:val="001A54B4"/>
    <w:rsid w:val="001A55B7"/>
    <w:rsid w:val="001A5C80"/>
    <w:rsid w:val="001A6AF6"/>
    <w:rsid w:val="001A78EF"/>
    <w:rsid w:val="001B082B"/>
    <w:rsid w:val="001B263C"/>
    <w:rsid w:val="001B2F33"/>
    <w:rsid w:val="001B315A"/>
    <w:rsid w:val="001B466D"/>
    <w:rsid w:val="001B469D"/>
    <w:rsid w:val="001B5F6C"/>
    <w:rsid w:val="001B70A2"/>
    <w:rsid w:val="001C0E83"/>
    <w:rsid w:val="001C115A"/>
    <w:rsid w:val="001C14CD"/>
    <w:rsid w:val="001C1938"/>
    <w:rsid w:val="001C3200"/>
    <w:rsid w:val="001C3519"/>
    <w:rsid w:val="001C39B6"/>
    <w:rsid w:val="001C3C28"/>
    <w:rsid w:val="001C4538"/>
    <w:rsid w:val="001C4C15"/>
    <w:rsid w:val="001C4DE7"/>
    <w:rsid w:val="001C53B8"/>
    <w:rsid w:val="001C66E9"/>
    <w:rsid w:val="001D1989"/>
    <w:rsid w:val="001D2592"/>
    <w:rsid w:val="001D2865"/>
    <w:rsid w:val="001D2ABD"/>
    <w:rsid w:val="001D3E86"/>
    <w:rsid w:val="001D439B"/>
    <w:rsid w:val="001D4499"/>
    <w:rsid w:val="001D4CDB"/>
    <w:rsid w:val="001D6230"/>
    <w:rsid w:val="001D6457"/>
    <w:rsid w:val="001D66BA"/>
    <w:rsid w:val="001E0E11"/>
    <w:rsid w:val="001E11B0"/>
    <w:rsid w:val="001E1A75"/>
    <w:rsid w:val="001E1BDE"/>
    <w:rsid w:val="001E25DF"/>
    <w:rsid w:val="001E2C3E"/>
    <w:rsid w:val="001E2CC6"/>
    <w:rsid w:val="001E2FA8"/>
    <w:rsid w:val="001E3C5D"/>
    <w:rsid w:val="001E4554"/>
    <w:rsid w:val="001E4E5E"/>
    <w:rsid w:val="001E4F1C"/>
    <w:rsid w:val="001E561A"/>
    <w:rsid w:val="001E5E72"/>
    <w:rsid w:val="001E677E"/>
    <w:rsid w:val="001E7FEA"/>
    <w:rsid w:val="001F0D76"/>
    <w:rsid w:val="001F0E4B"/>
    <w:rsid w:val="001F3334"/>
    <w:rsid w:val="001F3B38"/>
    <w:rsid w:val="001F45EB"/>
    <w:rsid w:val="001F572C"/>
    <w:rsid w:val="001F5B24"/>
    <w:rsid w:val="001F60FA"/>
    <w:rsid w:val="001F7017"/>
    <w:rsid w:val="001F7368"/>
    <w:rsid w:val="001F76FB"/>
    <w:rsid w:val="00200B45"/>
    <w:rsid w:val="00200E80"/>
    <w:rsid w:val="00201454"/>
    <w:rsid w:val="00203279"/>
    <w:rsid w:val="00204D29"/>
    <w:rsid w:val="0020515D"/>
    <w:rsid w:val="002057FA"/>
    <w:rsid w:val="002062E7"/>
    <w:rsid w:val="00207EEA"/>
    <w:rsid w:val="00210695"/>
    <w:rsid w:val="0021228F"/>
    <w:rsid w:val="00214885"/>
    <w:rsid w:val="0021556A"/>
    <w:rsid w:val="00215DCB"/>
    <w:rsid w:val="00215E87"/>
    <w:rsid w:val="002162C0"/>
    <w:rsid w:val="00216557"/>
    <w:rsid w:val="00216758"/>
    <w:rsid w:val="002167F0"/>
    <w:rsid w:val="00217346"/>
    <w:rsid w:val="00221D44"/>
    <w:rsid w:val="00222620"/>
    <w:rsid w:val="00222CD1"/>
    <w:rsid w:val="0022344B"/>
    <w:rsid w:val="002238B9"/>
    <w:rsid w:val="00223F56"/>
    <w:rsid w:val="00224A3E"/>
    <w:rsid w:val="00225524"/>
    <w:rsid w:val="0022677F"/>
    <w:rsid w:val="00226877"/>
    <w:rsid w:val="00226952"/>
    <w:rsid w:val="00226EBB"/>
    <w:rsid w:val="00226F4F"/>
    <w:rsid w:val="00227376"/>
    <w:rsid w:val="00227380"/>
    <w:rsid w:val="00231746"/>
    <w:rsid w:val="00231828"/>
    <w:rsid w:val="0023254C"/>
    <w:rsid w:val="002349E1"/>
    <w:rsid w:val="00234EFD"/>
    <w:rsid w:val="00235CA6"/>
    <w:rsid w:val="00240CA1"/>
    <w:rsid w:val="002414C8"/>
    <w:rsid w:val="00242BA9"/>
    <w:rsid w:val="00243ACE"/>
    <w:rsid w:val="00243F14"/>
    <w:rsid w:val="00246035"/>
    <w:rsid w:val="00246804"/>
    <w:rsid w:val="00246BF5"/>
    <w:rsid w:val="002477B7"/>
    <w:rsid w:val="002504B6"/>
    <w:rsid w:val="00250BDC"/>
    <w:rsid w:val="002516AC"/>
    <w:rsid w:val="00251EC1"/>
    <w:rsid w:val="00251FF4"/>
    <w:rsid w:val="00252FF4"/>
    <w:rsid w:val="00254C5B"/>
    <w:rsid w:val="0025593C"/>
    <w:rsid w:val="002570F3"/>
    <w:rsid w:val="00261061"/>
    <w:rsid w:val="00262F5A"/>
    <w:rsid w:val="00263200"/>
    <w:rsid w:val="00263238"/>
    <w:rsid w:val="0026386D"/>
    <w:rsid w:val="0026398F"/>
    <w:rsid w:val="00263E2B"/>
    <w:rsid w:val="00265C50"/>
    <w:rsid w:val="00266714"/>
    <w:rsid w:val="0026693D"/>
    <w:rsid w:val="00270D92"/>
    <w:rsid w:val="00271F92"/>
    <w:rsid w:val="00272031"/>
    <w:rsid w:val="00272BCB"/>
    <w:rsid w:val="00273F33"/>
    <w:rsid w:val="002758FF"/>
    <w:rsid w:val="00275E49"/>
    <w:rsid w:val="00276103"/>
    <w:rsid w:val="00276211"/>
    <w:rsid w:val="00276815"/>
    <w:rsid w:val="00276A45"/>
    <w:rsid w:val="00277112"/>
    <w:rsid w:val="00277266"/>
    <w:rsid w:val="00277982"/>
    <w:rsid w:val="00277FD2"/>
    <w:rsid w:val="00280436"/>
    <w:rsid w:val="0028080E"/>
    <w:rsid w:val="00281D63"/>
    <w:rsid w:val="0028411A"/>
    <w:rsid w:val="0028477D"/>
    <w:rsid w:val="00284B6E"/>
    <w:rsid w:val="002858F7"/>
    <w:rsid w:val="002869A3"/>
    <w:rsid w:val="00286D2C"/>
    <w:rsid w:val="00287C25"/>
    <w:rsid w:val="002916D7"/>
    <w:rsid w:val="00291C68"/>
    <w:rsid w:val="002945D7"/>
    <w:rsid w:val="0029509A"/>
    <w:rsid w:val="0029577A"/>
    <w:rsid w:val="00295D97"/>
    <w:rsid w:val="002975C2"/>
    <w:rsid w:val="002979C7"/>
    <w:rsid w:val="00297D21"/>
    <w:rsid w:val="002A0055"/>
    <w:rsid w:val="002A221E"/>
    <w:rsid w:val="002A29E0"/>
    <w:rsid w:val="002A45B6"/>
    <w:rsid w:val="002A46C9"/>
    <w:rsid w:val="002A4BFB"/>
    <w:rsid w:val="002A68A4"/>
    <w:rsid w:val="002B01ED"/>
    <w:rsid w:val="002B14B4"/>
    <w:rsid w:val="002B1B1B"/>
    <w:rsid w:val="002B35DC"/>
    <w:rsid w:val="002B3986"/>
    <w:rsid w:val="002B3DCF"/>
    <w:rsid w:val="002B45E6"/>
    <w:rsid w:val="002B471A"/>
    <w:rsid w:val="002B4B5F"/>
    <w:rsid w:val="002B5CB0"/>
    <w:rsid w:val="002B64E5"/>
    <w:rsid w:val="002B6BDC"/>
    <w:rsid w:val="002C05C7"/>
    <w:rsid w:val="002C1111"/>
    <w:rsid w:val="002C12DD"/>
    <w:rsid w:val="002C1E1F"/>
    <w:rsid w:val="002C30E3"/>
    <w:rsid w:val="002C4BD2"/>
    <w:rsid w:val="002C4CF8"/>
    <w:rsid w:val="002C6B6A"/>
    <w:rsid w:val="002C6DCA"/>
    <w:rsid w:val="002C7638"/>
    <w:rsid w:val="002C7E90"/>
    <w:rsid w:val="002C7E97"/>
    <w:rsid w:val="002D064A"/>
    <w:rsid w:val="002D07F5"/>
    <w:rsid w:val="002D0A5D"/>
    <w:rsid w:val="002D207E"/>
    <w:rsid w:val="002D276F"/>
    <w:rsid w:val="002D3766"/>
    <w:rsid w:val="002D445A"/>
    <w:rsid w:val="002D491D"/>
    <w:rsid w:val="002D4C3E"/>
    <w:rsid w:val="002D4DD1"/>
    <w:rsid w:val="002D5B03"/>
    <w:rsid w:val="002D5D71"/>
    <w:rsid w:val="002D5E29"/>
    <w:rsid w:val="002D6110"/>
    <w:rsid w:val="002D624B"/>
    <w:rsid w:val="002D7DCB"/>
    <w:rsid w:val="002E0522"/>
    <w:rsid w:val="002E0700"/>
    <w:rsid w:val="002E091E"/>
    <w:rsid w:val="002E0DDB"/>
    <w:rsid w:val="002E1752"/>
    <w:rsid w:val="002E1956"/>
    <w:rsid w:val="002E3A3F"/>
    <w:rsid w:val="002E55A3"/>
    <w:rsid w:val="002E6061"/>
    <w:rsid w:val="002E619E"/>
    <w:rsid w:val="002F0056"/>
    <w:rsid w:val="002F0116"/>
    <w:rsid w:val="002F1710"/>
    <w:rsid w:val="002F19DE"/>
    <w:rsid w:val="002F23B6"/>
    <w:rsid w:val="002F276A"/>
    <w:rsid w:val="002F3448"/>
    <w:rsid w:val="002F48F6"/>
    <w:rsid w:val="002F4CE8"/>
    <w:rsid w:val="00300E19"/>
    <w:rsid w:val="00300E80"/>
    <w:rsid w:val="003028B5"/>
    <w:rsid w:val="00303948"/>
    <w:rsid w:val="00304C55"/>
    <w:rsid w:val="00304DCF"/>
    <w:rsid w:val="00304F96"/>
    <w:rsid w:val="00305E19"/>
    <w:rsid w:val="003073DD"/>
    <w:rsid w:val="00310CBB"/>
    <w:rsid w:val="00311104"/>
    <w:rsid w:val="00311387"/>
    <w:rsid w:val="003118B7"/>
    <w:rsid w:val="00312A94"/>
    <w:rsid w:val="00313113"/>
    <w:rsid w:val="00314037"/>
    <w:rsid w:val="00314091"/>
    <w:rsid w:val="00314698"/>
    <w:rsid w:val="00316E22"/>
    <w:rsid w:val="00317EEA"/>
    <w:rsid w:val="0032081E"/>
    <w:rsid w:val="00320A7B"/>
    <w:rsid w:val="00320BA4"/>
    <w:rsid w:val="0032342E"/>
    <w:rsid w:val="00323648"/>
    <w:rsid w:val="00323940"/>
    <w:rsid w:val="00323E11"/>
    <w:rsid w:val="00324367"/>
    <w:rsid w:val="00324C90"/>
    <w:rsid w:val="00324CDA"/>
    <w:rsid w:val="00325671"/>
    <w:rsid w:val="003268A2"/>
    <w:rsid w:val="00327126"/>
    <w:rsid w:val="00327BF3"/>
    <w:rsid w:val="0033057B"/>
    <w:rsid w:val="00330808"/>
    <w:rsid w:val="00330C2B"/>
    <w:rsid w:val="00330D42"/>
    <w:rsid w:val="003315AC"/>
    <w:rsid w:val="00332315"/>
    <w:rsid w:val="00332A53"/>
    <w:rsid w:val="00335690"/>
    <w:rsid w:val="003368F3"/>
    <w:rsid w:val="00336AE1"/>
    <w:rsid w:val="0033710F"/>
    <w:rsid w:val="003405AC"/>
    <w:rsid w:val="003408AF"/>
    <w:rsid w:val="00340B66"/>
    <w:rsid w:val="0034117A"/>
    <w:rsid w:val="00341784"/>
    <w:rsid w:val="00341973"/>
    <w:rsid w:val="00341ED4"/>
    <w:rsid w:val="00342206"/>
    <w:rsid w:val="00342873"/>
    <w:rsid w:val="00343598"/>
    <w:rsid w:val="00345870"/>
    <w:rsid w:val="003461C6"/>
    <w:rsid w:val="00346BA2"/>
    <w:rsid w:val="00350158"/>
    <w:rsid w:val="00350608"/>
    <w:rsid w:val="00351897"/>
    <w:rsid w:val="00351EAC"/>
    <w:rsid w:val="00351F32"/>
    <w:rsid w:val="00352367"/>
    <w:rsid w:val="00355399"/>
    <w:rsid w:val="003554B9"/>
    <w:rsid w:val="0035611F"/>
    <w:rsid w:val="00356165"/>
    <w:rsid w:val="00356C67"/>
    <w:rsid w:val="003601E6"/>
    <w:rsid w:val="00360D2C"/>
    <w:rsid w:val="00361B9D"/>
    <w:rsid w:val="00362CFB"/>
    <w:rsid w:val="00363598"/>
    <w:rsid w:val="00364DDE"/>
    <w:rsid w:val="00365433"/>
    <w:rsid w:val="003656BE"/>
    <w:rsid w:val="00366B99"/>
    <w:rsid w:val="00367BA1"/>
    <w:rsid w:val="00370184"/>
    <w:rsid w:val="003722CE"/>
    <w:rsid w:val="00372AD3"/>
    <w:rsid w:val="00372B4B"/>
    <w:rsid w:val="0037696C"/>
    <w:rsid w:val="0037705D"/>
    <w:rsid w:val="003821E1"/>
    <w:rsid w:val="003822A2"/>
    <w:rsid w:val="0038245E"/>
    <w:rsid w:val="0038252F"/>
    <w:rsid w:val="00383529"/>
    <w:rsid w:val="00383689"/>
    <w:rsid w:val="00384AB7"/>
    <w:rsid w:val="00384B77"/>
    <w:rsid w:val="0038513D"/>
    <w:rsid w:val="003868C8"/>
    <w:rsid w:val="00390E0C"/>
    <w:rsid w:val="00393088"/>
    <w:rsid w:val="003937BC"/>
    <w:rsid w:val="00395758"/>
    <w:rsid w:val="00396F94"/>
    <w:rsid w:val="00397520"/>
    <w:rsid w:val="00397AB2"/>
    <w:rsid w:val="003A05EE"/>
    <w:rsid w:val="003A05FA"/>
    <w:rsid w:val="003A0676"/>
    <w:rsid w:val="003A075F"/>
    <w:rsid w:val="003A0FC0"/>
    <w:rsid w:val="003A1107"/>
    <w:rsid w:val="003A1122"/>
    <w:rsid w:val="003A243E"/>
    <w:rsid w:val="003A297F"/>
    <w:rsid w:val="003A2FF3"/>
    <w:rsid w:val="003A38ED"/>
    <w:rsid w:val="003A3E33"/>
    <w:rsid w:val="003A5C89"/>
    <w:rsid w:val="003A7E76"/>
    <w:rsid w:val="003B2223"/>
    <w:rsid w:val="003B4178"/>
    <w:rsid w:val="003B43D1"/>
    <w:rsid w:val="003B5883"/>
    <w:rsid w:val="003B65F5"/>
    <w:rsid w:val="003B6F01"/>
    <w:rsid w:val="003B73A5"/>
    <w:rsid w:val="003B7611"/>
    <w:rsid w:val="003C0348"/>
    <w:rsid w:val="003C0C6D"/>
    <w:rsid w:val="003C0E25"/>
    <w:rsid w:val="003C112D"/>
    <w:rsid w:val="003C1192"/>
    <w:rsid w:val="003C2C5D"/>
    <w:rsid w:val="003C2D2E"/>
    <w:rsid w:val="003C382E"/>
    <w:rsid w:val="003C3FA6"/>
    <w:rsid w:val="003C4244"/>
    <w:rsid w:val="003C4A66"/>
    <w:rsid w:val="003C6341"/>
    <w:rsid w:val="003C63EE"/>
    <w:rsid w:val="003C6B82"/>
    <w:rsid w:val="003C71A5"/>
    <w:rsid w:val="003D0CE8"/>
    <w:rsid w:val="003D4669"/>
    <w:rsid w:val="003D5B45"/>
    <w:rsid w:val="003D622C"/>
    <w:rsid w:val="003D6847"/>
    <w:rsid w:val="003D6C05"/>
    <w:rsid w:val="003D7B6C"/>
    <w:rsid w:val="003E0648"/>
    <w:rsid w:val="003E1EB6"/>
    <w:rsid w:val="003E2148"/>
    <w:rsid w:val="003E22B1"/>
    <w:rsid w:val="003E3949"/>
    <w:rsid w:val="003E395C"/>
    <w:rsid w:val="003E3E56"/>
    <w:rsid w:val="003E4D13"/>
    <w:rsid w:val="003E5BDF"/>
    <w:rsid w:val="003E5F2C"/>
    <w:rsid w:val="003E6732"/>
    <w:rsid w:val="003E787E"/>
    <w:rsid w:val="003F077F"/>
    <w:rsid w:val="003F1173"/>
    <w:rsid w:val="003F1FFE"/>
    <w:rsid w:val="003F21F3"/>
    <w:rsid w:val="003F2FD4"/>
    <w:rsid w:val="003F4040"/>
    <w:rsid w:val="003F40CD"/>
    <w:rsid w:val="003F42E1"/>
    <w:rsid w:val="003F6471"/>
    <w:rsid w:val="003F6664"/>
    <w:rsid w:val="00400B23"/>
    <w:rsid w:val="00400B76"/>
    <w:rsid w:val="00400DFA"/>
    <w:rsid w:val="00402071"/>
    <w:rsid w:val="00402B0B"/>
    <w:rsid w:val="004033AD"/>
    <w:rsid w:val="00403E0E"/>
    <w:rsid w:val="004055E1"/>
    <w:rsid w:val="00406169"/>
    <w:rsid w:val="00406C2D"/>
    <w:rsid w:val="00406C4A"/>
    <w:rsid w:val="00406DBC"/>
    <w:rsid w:val="004070F6"/>
    <w:rsid w:val="00407500"/>
    <w:rsid w:val="00407A6D"/>
    <w:rsid w:val="004105F5"/>
    <w:rsid w:val="00411CC5"/>
    <w:rsid w:val="00411EBB"/>
    <w:rsid w:val="00412D14"/>
    <w:rsid w:val="00414063"/>
    <w:rsid w:val="00414BEA"/>
    <w:rsid w:val="004173EC"/>
    <w:rsid w:val="00417C1E"/>
    <w:rsid w:val="004203B5"/>
    <w:rsid w:val="00420CD0"/>
    <w:rsid w:val="00421EE9"/>
    <w:rsid w:val="00422214"/>
    <w:rsid w:val="00422FBB"/>
    <w:rsid w:val="00423E3A"/>
    <w:rsid w:val="004243AD"/>
    <w:rsid w:val="00424CDF"/>
    <w:rsid w:val="00425D17"/>
    <w:rsid w:val="00425E6E"/>
    <w:rsid w:val="00426BEF"/>
    <w:rsid w:val="00427241"/>
    <w:rsid w:val="004309BC"/>
    <w:rsid w:val="00430D8B"/>
    <w:rsid w:val="00432C0B"/>
    <w:rsid w:val="00432DD7"/>
    <w:rsid w:val="00433455"/>
    <w:rsid w:val="004335C8"/>
    <w:rsid w:val="004337E0"/>
    <w:rsid w:val="00434540"/>
    <w:rsid w:val="00435D56"/>
    <w:rsid w:val="00435F70"/>
    <w:rsid w:val="00437BB3"/>
    <w:rsid w:val="0044030D"/>
    <w:rsid w:val="00440429"/>
    <w:rsid w:val="00440673"/>
    <w:rsid w:val="00440BC9"/>
    <w:rsid w:val="00440CB2"/>
    <w:rsid w:val="00442056"/>
    <w:rsid w:val="004423C8"/>
    <w:rsid w:val="00442595"/>
    <w:rsid w:val="00443674"/>
    <w:rsid w:val="004436DF"/>
    <w:rsid w:val="004440B2"/>
    <w:rsid w:val="00445CF5"/>
    <w:rsid w:val="0044617C"/>
    <w:rsid w:val="004467E7"/>
    <w:rsid w:val="00446904"/>
    <w:rsid w:val="00450811"/>
    <w:rsid w:val="00450911"/>
    <w:rsid w:val="00450C35"/>
    <w:rsid w:val="004518D4"/>
    <w:rsid w:val="004519B6"/>
    <w:rsid w:val="00451F77"/>
    <w:rsid w:val="00452CAA"/>
    <w:rsid w:val="0045300C"/>
    <w:rsid w:val="004540A3"/>
    <w:rsid w:val="00456213"/>
    <w:rsid w:val="00457749"/>
    <w:rsid w:val="00460033"/>
    <w:rsid w:val="00461C6C"/>
    <w:rsid w:val="00461FC7"/>
    <w:rsid w:val="0046230C"/>
    <w:rsid w:val="00462C7D"/>
    <w:rsid w:val="00462D22"/>
    <w:rsid w:val="00463903"/>
    <w:rsid w:val="00464042"/>
    <w:rsid w:val="004640B1"/>
    <w:rsid w:val="00464665"/>
    <w:rsid w:val="004646BA"/>
    <w:rsid w:val="0046580D"/>
    <w:rsid w:val="00470156"/>
    <w:rsid w:val="004702C9"/>
    <w:rsid w:val="0047056D"/>
    <w:rsid w:val="00470896"/>
    <w:rsid w:val="004734D3"/>
    <w:rsid w:val="0047378D"/>
    <w:rsid w:val="0047473A"/>
    <w:rsid w:val="00475D8E"/>
    <w:rsid w:val="00477B50"/>
    <w:rsid w:val="0048037B"/>
    <w:rsid w:val="004803ED"/>
    <w:rsid w:val="0048088A"/>
    <w:rsid w:val="004810ED"/>
    <w:rsid w:val="0048176E"/>
    <w:rsid w:val="00481CEA"/>
    <w:rsid w:val="00481D87"/>
    <w:rsid w:val="0048246B"/>
    <w:rsid w:val="0048382F"/>
    <w:rsid w:val="004841AA"/>
    <w:rsid w:val="004848FD"/>
    <w:rsid w:val="00485B4F"/>
    <w:rsid w:val="004868B1"/>
    <w:rsid w:val="004870A6"/>
    <w:rsid w:val="00487685"/>
    <w:rsid w:val="0048787E"/>
    <w:rsid w:val="00487A31"/>
    <w:rsid w:val="00487A6A"/>
    <w:rsid w:val="00490078"/>
    <w:rsid w:val="00492089"/>
    <w:rsid w:val="00492C22"/>
    <w:rsid w:val="00492CE0"/>
    <w:rsid w:val="00493194"/>
    <w:rsid w:val="00494E3B"/>
    <w:rsid w:val="00494E57"/>
    <w:rsid w:val="00497217"/>
    <w:rsid w:val="004A13D9"/>
    <w:rsid w:val="004A1C62"/>
    <w:rsid w:val="004A2C3B"/>
    <w:rsid w:val="004A39AC"/>
    <w:rsid w:val="004A7047"/>
    <w:rsid w:val="004B25F7"/>
    <w:rsid w:val="004B27E9"/>
    <w:rsid w:val="004B2DC4"/>
    <w:rsid w:val="004B4527"/>
    <w:rsid w:val="004B45C7"/>
    <w:rsid w:val="004B567A"/>
    <w:rsid w:val="004B5F95"/>
    <w:rsid w:val="004B75E5"/>
    <w:rsid w:val="004B7A2C"/>
    <w:rsid w:val="004C04B9"/>
    <w:rsid w:val="004C0507"/>
    <w:rsid w:val="004C208E"/>
    <w:rsid w:val="004C326A"/>
    <w:rsid w:val="004C3E9B"/>
    <w:rsid w:val="004C5186"/>
    <w:rsid w:val="004C51C8"/>
    <w:rsid w:val="004C5C29"/>
    <w:rsid w:val="004C6138"/>
    <w:rsid w:val="004C702D"/>
    <w:rsid w:val="004D0468"/>
    <w:rsid w:val="004D0EA1"/>
    <w:rsid w:val="004D1BAB"/>
    <w:rsid w:val="004D2292"/>
    <w:rsid w:val="004D320D"/>
    <w:rsid w:val="004D4B1F"/>
    <w:rsid w:val="004D6F93"/>
    <w:rsid w:val="004D7681"/>
    <w:rsid w:val="004E10C0"/>
    <w:rsid w:val="004E1E95"/>
    <w:rsid w:val="004E273E"/>
    <w:rsid w:val="004E2846"/>
    <w:rsid w:val="004E5E12"/>
    <w:rsid w:val="004E5EE1"/>
    <w:rsid w:val="004E5F30"/>
    <w:rsid w:val="004E6052"/>
    <w:rsid w:val="004E683F"/>
    <w:rsid w:val="004E6CAC"/>
    <w:rsid w:val="004E70ED"/>
    <w:rsid w:val="004E7157"/>
    <w:rsid w:val="004F04AB"/>
    <w:rsid w:val="004F0AC3"/>
    <w:rsid w:val="004F0C13"/>
    <w:rsid w:val="004F1217"/>
    <w:rsid w:val="004F1750"/>
    <w:rsid w:val="004F2D0E"/>
    <w:rsid w:val="004F32F7"/>
    <w:rsid w:val="004F3D10"/>
    <w:rsid w:val="004F4114"/>
    <w:rsid w:val="004F49B0"/>
    <w:rsid w:val="004F49E9"/>
    <w:rsid w:val="004F4B0A"/>
    <w:rsid w:val="004F5212"/>
    <w:rsid w:val="004F5BCA"/>
    <w:rsid w:val="004F6230"/>
    <w:rsid w:val="004F6531"/>
    <w:rsid w:val="004F73B6"/>
    <w:rsid w:val="004F7D7E"/>
    <w:rsid w:val="005004B0"/>
    <w:rsid w:val="00501EAD"/>
    <w:rsid w:val="005024FC"/>
    <w:rsid w:val="00502B9A"/>
    <w:rsid w:val="005040DF"/>
    <w:rsid w:val="005048D5"/>
    <w:rsid w:val="00504B5E"/>
    <w:rsid w:val="00505D1E"/>
    <w:rsid w:val="00505F5B"/>
    <w:rsid w:val="00507C6F"/>
    <w:rsid w:val="00510926"/>
    <w:rsid w:val="00511434"/>
    <w:rsid w:val="00512C97"/>
    <w:rsid w:val="00513045"/>
    <w:rsid w:val="005139AF"/>
    <w:rsid w:val="005147BE"/>
    <w:rsid w:val="00516873"/>
    <w:rsid w:val="00516BA3"/>
    <w:rsid w:val="00517D7F"/>
    <w:rsid w:val="00520CBE"/>
    <w:rsid w:val="0052139F"/>
    <w:rsid w:val="0052303D"/>
    <w:rsid w:val="00523292"/>
    <w:rsid w:val="0052389F"/>
    <w:rsid w:val="005243E3"/>
    <w:rsid w:val="00524464"/>
    <w:rsid w:val="005245AD"/>
    <w:rsid w:val="00524B19"/>
    <w:rsid w:val="0052763E"/>
    <w:rsid w:val="00527C57"/>
    <w:rsid w:val="00531F78"/>
    <w:rsid w:val="005326FE"/>
    <w:rsid w:val="00532B2B"/>
    <w:rsid w:val="00533642"/>
    <w:rsid w:val="005336D2"/>
    <w:rsid w:val="00534221"/>
    <w:rsid w:val="00535651"/>
    <w:rsid w:val="00536731"/>
    <w:rsid w:val="00536DE0"/>
    <w:rsid w:val="0054024A"/>
    <w:rsid w:val="00541737"/>
    <w:rsid w:val="0054188D"/>
    <w:rsid w:val="00541E3B"/>
    <w:rsid w:val="005425CC"/>
    <w:rsid w:val="005433AA"/>
    <w:rsid w:val="00544443"/>
    <w:rsid w:val="00545FB3"/>
    <w:rsid w:val="00550D87"/>
    <w:rsid w:val="00552503"/>
    <w:rsid w:val="00553D44"/>
    <w:rsid w:val="00554689"/>
    <w:rsid w:val="00554E12"/>
    <w:rsid w:val="00555A18"/>
    <w:rsid w:val="00555CDD"/>
    <w:rsid w:val="0055612F"/>
    <w:rsid w:val="005561FA"/>
    <w:rsid w:val="00556CB7"/>
    <w:rsid w:val="005573A3"/>
    <w:rsid w:val="00560833"/>
    <w:rsid w:val="00560F0D"/>
    <w:rsid w:val="00561BFE"/>
    <w:rsid w:val="005621FC"/>
    <w:rsid w:val="00563594"/>
    <w:rsid w:val="005637CC"/>
    <w:rsid w:val="00563CD3"/>
    <w:rsid w:val="0056468C"/>
    <w:rsid w:val="00564EC2"/>
    <w:rsid w:val="005651A1"/>
    <w:rsid w:val="005659C8"/>
    <w:rsid w:val="00565BFF"/>
    <w:rsid w:val="0056730E"/>
    <w:rsid w:val="00567C90"/>
    <w:rsid w:val="00570DA8"/>
    <w:rsid w:val="00570EF2"/>
    <w:rsid w:val="0057116B"/>
    <w:rsid w:val="005716A2"/>
    <w:rsid w:val="005717B6"/>
    <w:rsid w:val="00572A52"/>
    <w:rsid w:val="00572A9D"/>
    <w:rsid w:val="00573650"/>
    <w:rsid w:val="00574BD3"/>
    <w:rsid w:val="00575981"/>
    <w:rsid w:val="00576FB7"/>
    <w:rsid w:val="005774C1"/>
    <w:rsid w:val="005776E1"/>
    <w:rsid w:val="005800C7"/>
    <w:rsid w:val="00580F3E"/>
    <w:rsid w:val="00580FEF"/>
    <w:rsid w:val="0058140B"/>
    <w:rsid w:val="0058153C"/>
    <w:rsid w:val="005816BD"/>
    <w:rsid w:val="00582060"/>
    <w:rsid w:val="005827FD"/>
    <w:rsid w:val="00582D57"/>
    <w:rsid w:val="00583DB6"/>
    <w:rsid w:val="005842A7"/>
    <w:rsid w:val="00584A1A"/>
    <w:rsid w:val="0058774A"/>
    <w:rsid w:val="0058795A"/>
    <w:rsid w:val="005904AB"/>
    <w:rsid w:val="0059476C"/>
    <w:rsid w:val="00594C5A"/>
    <w:rsid w:val="00594E39"/>
    <w:rsid w:val="0059541C"/>
    <w:rsid w:val="0059578F"/>
    <w:rsid w:val="005966F7"/>
    <w:rsid w:val="005A0A9B"/>
    <w:rsid w:val="005A0E23"/>
    <w:rsid w:val="005A1833"/>
    <w:rsid w:val="005A317F"/>
    <w:rsid w:val="005A4107"/>
    <w:rsid w:val="005A49EA"/>
    <w:rsid w:val="005A4B9A"/>
    <w:rsid w:val="005A5F39"/>
    <w:rsid w:val="005A6169"/>
    <w:rsid w:val="005A6905"/>
    <w:rsid w:val="005A7164"/>
    <w:rsid w:val="005A7491"/>
    <w:rsid w:val="005A76DB"/>
    <w:rsid w:val="005A7F4F"/>
    <w:rsid w:val="005B2DCA"/>
    <w:rsid w:val="005B3198"/>
    <w:rsid w:val="005B3216"/>
    <w:rsid w:val="005B3D1E"/>
    <w:rsid w:val="005B432E"/>
    <w:rsid w:val="005B448F"/>
    <w:rsid w:val="005B4F35"/>
    <w:rsid w:val="005B5840"/>
    <w:rsid w:val="005B7241"/>
    <w:rsid w:val="005B7633"/>
    <w:rsid w:val="005C00D2"/>
    <w:rsid w:val="005C0B8C"/>
    <w:rsid w:val="005C1B7B"/>
    <w:rsid w:val="005C1C6F"/>
    <w:rsid w:val="005C2198"/>
    <w:rsid w:val="005C2974"/>
    <w:rsid w:val="005C3370"/>
    <w:rsid w:val="005C4078"/>
    <w:rsid w:val="005C4690"/>
    <w:rsid w:val="005C535A"/>
    <w:rsid w:val="005C5ABD"/>
    <w:rsid w:val="005C66A9"/>
    <w:rsid w:val="005C780F"/>
    <w:rsid w:val="005C788D"/>
    <w:rsid w:val="005C7C68"/>
    <w:rsid w:val="005D11DE"/>
    <w:rsid w:val="005D2CD2"/>
    <w:rsid w:val="005D3631"/>
    <w:rsid w:val="005D3A3E"/>
    <w:rsid w:val="005D4FAD"/>
    <w:rsid w:val="005D5552"/>
    <w:rsid w:val="005D561F"/>
    <w:rsid w:val="005D6083"/>
    <w:rsid w:val="005D62E4"/>
    <w:rsid w:val="005D7014"/>
    <w:rsid w:val="005E0752"/>
    <w:rsid w:val="005E08DF"/>
    <w:rsid w:val="005E10BC"/>
    <w:rsid w:val="005E4AD4"/>
    <w:rsid w:val="005E5A83"/>
    <w:rsid w:val="005E78C4"/>
    <w:rsid w:val="005F0342"/>
    <w:rsid w:val="005F043A"/>
    <w:rsid w:val="005F0850"/>
    <w:rsid w:val="005F2CCD"/>
    <w:rsid w:val="005F325A"/>
    <w:rsid w:val="005F35EF"/>
    <w:rsid w:val="005F3C9F"/>
    <w:rsid w:val="005F505C"/>
    <w:rsid w:val="005F522D"/>
    <w:rsid w:val="005F64D1"/>
    <w:rsid w:val="005F67EB"/>
    <w:rsid w:val="006015FE"/>
    <w:rsid w:val="00601BE6"/>
    <w:rsid w:val="00601D69"/>
    <w:rsid w:val="00601FE9"/>
    <w:rsid w:val="006023B6"/>
    <w:rsid w:val="00603DD8"/>
    <w:rsid w:val="0060430A"/>
    <w:rsid w:val="00604543"/>
    <w:rsid w:val="00604700"/>
    <w:rsid w:val="00604EDD"/>
    <w:rsid w:val="006054BA"/>
    <w:rsid w:val="00606520"/>
    <w:rsid w:val="00607887"/>
    <w:rsid w:val="00607FBB"/>
    <w:rsid w:val="0061025A"/>
    <w:rsid w:val="006103A8"/>
    <w:rsid w:val="00610CA0"/>
    <w:rsid w:val="006118D3"/>
    <w:rsid w:val="006120D5"/>
    <w:rsid w:val="0061259C"/>
    <w:rsid w:val="00613060"/>
    <w:rsid w:val="00614194"/>
    <w:rsid w:val="00614F1B"/>
    <w:rsid w:val="00615653"/>
    <w:rsid w:val="00615A8D"/>
    <w:rsid w:val="00616665"/>
    <w:rsid w:val="00616A03"/>
    <w:rsid w:val="00617A31"/>
    <w:rsid w:val="00620A63"/>
    <w:rsid w:val="00621ACB"/>
    <w:rsid w:val="00622EC6"/>
    <w:rsid w:val="00624F31"/>
    <w:rsid w:val="00625079"/>
    <w:rsid w:val="006251D6"/>
    <w:rsid w:val="006259B0"/>
    <w:rsid w:val="006262D9"/>
    <w:rsid w:val="006265D1"/>
    <w:rsid w:val="00630E7C"/>
    <w:rsid w:val="00632770"/>
    <w:rsid w:val="006330B1"/>
    <w:rsid w:val="006332B1"/>
    <w:rsid w:val="00633428"/>
    <w:rsid w:val="006376AA"/>
    <w:rsid w:val="006400F6"/>
    <w:rsid w:val="00640150"/>
    <w:rsid w:val="006411AF"/>
    <w:rsid w:val="00641786"/>
    <w:rsid w:val="00642339"/>
    <w:rsid w:val="00643DE2"/>
    <w:rsid w:val="00643DEA"/>
    <w:rsid w:val="00645F93"/>
    <w:rsid w:val="006464B1"/>
    <w:rsid w:val="00646ECE"/>
    <w:rsid w:val="006470A1"/>
    <w:rsid w:val="0065024F"/>
    <w:rsid w:val="00650D00"/>
    <w:rsid w:val="00651097"/>
    <w:rsid w:val="00651099"/>
    <w:rsid w:val="006511A4"/>
    <w:rsid w:val="006511C5"/>
    <w:rsid w:val="0065162E"/>
    <w:rsid w:val="00651C49"/>
    <w:rsid w:val="00652A36"/>
    <w:rsid w:val="00652E5D"/>
    <w:rsid w:val="00653327"/>
    <w:rsid w:val="00654023"/>
    <w:rsid w:val="0065439D"/>
    <w:rsid w:val="006558D4"/>
    <w:rsid w:val="00655D3A"/>
    <w:rsid w:val="00656B01"/>
    <w:rsid w:val="00656E73"/>
    <w:rsid w:val="00656FF6"/>
    <w:rsid w:val="00660480"/>
    <w:rsid w:val="00660689"/>
    <w:rsid w:val="006608FE"/>
    <w:rsid w:val="006614D4"/>
    <w:rsid w:val="00661E1F"/>
    <w:rsid w:val="00661F47"/>
    <w:rsid w:val="006658DB"/>
    <w:rsid w:val="00665CBE"/>
    <w:rsid w:val="00665DDB"/>
    <w:rsid w:val="006704F7"/>
    <w:rsid w:val="00670AE1"/>
    <w:rsid w:val="00670C10"/>
    <w:rsid w:val="006713C4"/>
    <w:rsid w:val="00671537"/>
    <w:rsid w:val="006716F7"/>
    <w:rsid w:val="0067227F"/>
    <w:rsid w:val="00673053"/>
    <w:rsid w:val="00674656"/>
    <w:rsid w:val="00675F80"/>
    <w:rsid w:val="00677529"/>
    <w:rsid w:val="00677C83"/>
    <w:rsid w:val="006800B2"/>
    <w:rsid w:val="00680784"/>
    <w:rsid w:val="0068097E"/>
    <w:rsid w:val="006829C6"/>
    <w:rsid w:val="00685721"/>
    <w:rsid w:val="00685D1D"/>
    <w:rsid w:val="0068694A"/>
    <w:rsid w:val="00686AB3"/>
    <w:rsid w:val="0068720B"/>
    <w:rsid w:val="00690A6C"/>
    <w:rsid w:val="00690B3C"/>
    <w:rsid w:val="0069143D"/>
    <w:rsid w:val="006915DF"/>
    <w:rsid w:val="006939B2"/>
    <w:rsid w:val="006942A0"/>
    <w:rsid w:val="00695A71"/>
    <w:rsid w:val="00697A04"/>
    <w:rsid w:val="00697B0C"/>
    <w:rsid w:val="006A09A0"/>
    <w:rsid w:val="006A1365"/>
    <w:rsid w:val="006A337B"/>
    <w:rsid w:val="006A340A"/>
    <w:rsid w:val="006A6D20"/>
    <w:rsid w:val="006A6EBF"/>
    <w:rsid w:val="006A76AE"/>
    <w:rsid w:val="006A7CA1"/>
    <w:rsid w:val="006B0E1F"/>
    <w:rsid w:val="006B1187"/>
    <w:rsid w:val="006B162D"/>
    <w:rsid w:val="006B2476"/>
    <w:rsid w:val="006B2849"/>
    <w:rsid w:val="006B3071"/>
    <w:rsid w:val="006B41CB"/>
    <w:rsid w:val="006B4799"/>
    <w:rsid w:val="006B5B44"/>
    <w:rsid w:val="006B6E4B"/>
    <w:rsid w:val="006B75B7"/>
    <w:rsid w:val="006C226A"/>
    <w:rsid w:val="006C2F51"/>
    <w:rsid w:val="006C33F0"/>
    <w:rsid w:val="006C3802"/>
    <w:rsid w:val="006C4E93"/>
    <w:rsid w:val="006C57EF"/>
    <w:rsid w:val="006C6A2B"/>
    <w:rsid w:val="006C6AAB"/>
    <w:rsid w:val="006C6F23"/>
    <w:rsid w:val="006D1204"/>
    <w:rsid w:val="006D1D24"/>
    <w:rsid w:val="006D2391"/>
    <w:rsid w:val="006D2ECF"/>
    <w:rsid w:val="006D33B6"/>
    <w:rsid w:val="006D4D4C"/>
    <w:rsid w:val="006D5307"/>
    <w:rsid w:val="006D69F7"/>
    <w:rsid w:val="006E004A"/>
    <w:rsid w:val="006E230C"/>
    <w:rsid w:val="006E28F8"/>
    <w:rsid w:val="006E29A8"/>
    <w:rsid w:val="006E2D0E"/>
    <w:rsid w:val="006E36C1"/>
    <w:rsid w:val="006E3BFB"/>
    <w:rsid w:val="006E3D71"/>
    <w:rsid w:val="006E46D9"/>
    <w:rsid w:val="006E5337"/>
    <w:rsid w:val="006E7251"/>
    <w:rsid w:val="006E7658"/>
    <w:rsid w:val="006F1240"/>
    <w:rsid w:val="006F2C46"/>
    <w:rsid w:val="006F330F"/>
    <w:rsid w:val="006F339D"/>
    <w:rsid w:val="006F3830"/>
    <w:rsid w:val="006F54FD"/>
    <w:rsid w:val="006F6563"/>
    <w:rsid w:val="006F6DD4"/>
    <w:rsid w:val="006F7C73"/>
    <w:rsid w:val="007001D8"/>
    <w:rsid w:val="00702559"/>
    <w:rsid w:val="00702CD4"/>
    <w:rsid w:val="00702ED4"/>
    <w:rsid w:val="00702F99"/>
    <w:rsid w:val="007030B7"/>
    <w:rsid w:val="0070449E"/>
    <w:rsid w:val="00705666"/>
    <w:rsid w:val="00705FD5"/>
    <w:rsid w:val="00706219"/>
    <w:rsid w:val="0070688C"/>
    <w:rsid w:val="00707400"/>
    <w:rsid w:val="00707BDE"/>
    <w:rsid w:val="00710109"/>
    <w:rsid w:val="007136AC"/>
    <w:rsid w:val="0071396B"/>
    <w:rsid w:val="00713B1B"/>
    <w:rsid w:val="00713EAA"/>
    <w:rsid w:val="007141A3"/>
    <w:rsid w:val="0071525E"/>
    <w:rsid w:val="00715CE0"/>
    <w:rsid w:val="00716573"/>
    <w:rsid w:val="00717956"/>
    <w:rsid w:val="00717CF8"/>
    <w:rsid w:val="0072014F"/>
    <w:rsid w:val="007208B1"/>
    <w:rsid w:val="007209E5"/>
    <w:rsid w:val="00720BFD"/>
    <w:rsid w:val="00721A1C"/>
    <w:rsid w:val="00721F85"/>
    <w:rsid w:val="0072295F"/>
    <w:rsid w:val="007233D0"/>
    <w:rsid w:val="0072392C"/>
    <w:rsid w:val="00723BE1"/>
    <w:rsid w:val="00723DE7"/>
    <w:rsid w:val="007242AE"/>
    <w:rsid w:val="00724518"/>
    <w:rsid w:val="00724644"/>
    <w:rsid w:val="0072468A"/>
    <w:rsid w:val="007257A4"/>
    <w:rsid w:val="00727696"/>
    <w:rsid w:val="00730BF0"/>
    <w:rsid w:val="00730D76"/>
    <w:rsid w:val="00731022"/>
    <w:rsid w:val="00731335"/>
    <w:rsid w:val="00732E1F"/>
    <w:rsid w:val="00734D74"/>
    <w:rsid w:val="0073587A"/>
    <w:rsid w:val="00735C52"/>
    <w:rsid w:val="007367BA"/>
    <w:rsid w:val="00741582"/>
    <w:rsid w:val="007417F3"/>
    <w:rsid w:val="007424B2"/>
    <w:rsid w:val="007428A2"/>
    <w:rsid w:val="00742EDA"/>
    <w:rsid w:val="0074433F"/>
    <w:rsid w:val="0074493F"/>
    <w:rsid w:val="007458CD"/>
    <w:rsid w:val="0074667C"/>
    <w:rsid w:val="00746B51"/>
    <w:rsid w:val="00747ED9"/>
    <w:rsid w:val="00750535"/>
    <w:rsid w:val="00750AE8"/>
    <w:rsid w:val="00750F12"/>
    <w:rsid w:val="00752CCE"/>
    <w:rsid w:val="00754D0E"/>
    <w:rsid w:val="00754E1E"/>
    <w:rsid w:val="0075562C"/>
    <w:rsid w:val="00756F0A"/>
    <w:rsid w:val="00757912"/>
    <w:rsid w:val="00761783"/>
    <w:rsid w:val="007622FF"/>
    <w:rsid w:val="00762A90"/>
    <w:rsid w:val="00762B27"/>
    <w:rsid w:val="00762B55"/>
    <w:rsid w:val="00763384"/>
    <w:rsid w:val="00764708"/>
    <w:rsid w:val="007652FE"/>
    <w:rsid w:val="0076579A"/>
    <w:rsid w:val="00765DC3"/>
    <w:rsid w:val="0076639B"/>
    <w:rsid w:val="007663C1"/>
    <w:rsid w:val="007665B5"/>
    <w:rsid w:val="00766D7C"/>
    <w:rsid w:val="00767CAA"/>
    <w:rsid w:val="00767FC3"/>
    <w:rsid w:val="0077024F"/>
    <w:rsid w:val="007708A8"/>
    <w:rsid w:val="0077095F"/>
    <w:rsid w:val="007718C5"/>
    <w:rsid w:val="007725A1"/>
    <w:rsid w:val="007739E6"/>
    <w:rsid w:val="00773E22"/>
    <w:rsid w:val="007744C7"/>
    <w:rsid w:val="00774751"/>
    <w:rsid w:val="00775496"/>
    <w:rsid w:val="007759C8"/>
    <w:rsid w:val="00775ADE"/>
    <w:rsid w:val="00775C67"/>
    <w:rsid w:val="00775FCA"/>
    <w:rsid w:val="007762E0"/>
    <w:rsid w:val="00776402"/>
    <w:rsid w:val="00776BB8"/>
    <w:rsid w:val="00776D33"/>
    <w:rsid w:val="00780222"/>
    <w:rsid w:val="00782981"/>
    <w:rsid w:val="0078382A"/>
    <w:rsid w:val="00784C27"/>
    <w:rsid w:val="00784C3A"/>
    <w:rsid w:val="007852B8"/>
    <w:rsid w:val="00785CD2"/>
    <w:rsid w:val="0078605A"/>
    <w:rsid w:val="0079165D"/>
    <w:rsid w:val="00791808"/>
    <w:rsid w:val="00791F39"/>
    <w:rsid w:val="0079583F"/>
    <w:rsid w:val="00796080"/>
    <w:rsid w:val="0079616C"/>
    <w:rsid w:val="0079698B"/>
    <w:rsid w:val="007A064A"/>
    <w:rsid w:val="007A0B64"/>
    <w:rsid w:val="007A0FED"/>
    <w:rsid w:val="007A1EAD"/>
    <w:rsid w:val="007A2A4A"/>
    <w:rsid w:val="007A2AF0"/>
    <w:rsid w:val="007A2B11"/>
    <w:rsid w:val="007A34FD"/>
    <w:rsid w:val="007A482B"/>
    <w:rsid w:val="007A55E9"/>
    <w:rsid w:val="007A6951"/>
    <w:rsid w:val="007A7414"/>
    <w:rsid w:val="007A7516"/>
    <w:rsid w:val="007A785E"/>
    <w:rsid w:val="007A7AC9"/>
    <w:rsid w:val="007A7F77"/>
    <w:rsid w:val="007B038C"/>
    <w:rsid w:val="007B05EC"/>
    <w:rsid w:val="007B19CD"/>
    <w:rsid w:val="007B19EC"/>
    <w:rsid w:val="007B1E80"/>
    <w:rsid w:val="007B2593"/>
    <w:rsid w:val="007B2B47"/>
    <w:rsid w:val="007B30F8"/>
    <w:rsid w:val="007B3229"/>
    <w:rsid w:val="007B3EBD"/>
    <w:rsid w:val="007B427B"/>
    <w:rsid w:val="007B4B27"/>
    <w:rsid w:val="007B59AB"/>
    <w:rsid w:val="007B6008"/>
    <w:rsid w:val="007B6C09"/>
    <w:rsid w:val="007B70EA"/>
    <w:rsid w:val="007B7174"/>
    <w:rsid w:val="007C02C5"/>
    <w:rsid w:val="007C07DA"/>
    <w:rsid w:val="007C142A"/>
    <w:rsid w:val="007C1D93"/>
    <w:rsid w:val="007C1F02"/>
    <w:rsid w:val="007C3DBA"/>
    <w:rsid w:val="007C4761"/>
    <w:rsid w:val="007C531A"/>
    <w:rsid w:val="007C74DA"/>
    <w:rsid w:val="007C7824"/>
    <w:rsid w:val="007D1310"/>
    <w:rsid w:val="007D2BB6"/>
    <w:rsid w:val="007D36C6"/>
    <w:rsid w:val="007D43D7"/>
    <w:rsid w:val="007D4B97"/>
    <w:rsid w:val="007D644B"/>
    <w:rsid w:val="007D6947"/>
    <w:rsid w:val="007D7EB0"/>
    <w:rsid w:val="007E0CF2"/>
    <w:rsid w:val="007E0D0D"/>
    <w:rsid w:val="007E238E"/>
    <w:rsid w:val="007E30D3"/>
    <w:rsid w:val="007E30E1"/>
    <w:rsid w:val="007E3CCC"/>
    <w:rsid w:val="007E4566"/>
    <w:rsid w:val="007E5B50"/>
    <w:rsid w:val="007E6AF1"/>
    <w:rsid w:val="007E765B"/>
    <w:rsid w:val="007F0B5A"/>
    <w:rsid w:val="007F14D0"/>
    <w:rsid w:val="007F309D"/>
    <w:rsid w:val="007F3569"/>
    <w:rsid w:val="007F3E03"/>
    <w:rsid w:val="007F4E4F"/>
    <w:rsid w:val="007F5729"/>
    <w:rsid w:val="007F57EB"/>
    <w:rsid w:val="007F5D40"/>
    <w:rsid w:val="007F6521"/>
    <w:rsid w:val="007F71F0"/>
    <w:rsid w:val="00800FAA"/>
    <w:rsid w:val="008026BB"/>
    <w:rsid w:val="008027D1"/>
    <w:rsid w:val="00803213"/>
    <w:rsid w:val="008045AF"/>
    <w:rsid w:val="0080542B"/>
    <w:rsid w:val="00806553"/>
    <w:rsid w:val="008074DC"/>
    <w:rsid w:val="008103A5"/>
    <w:rsid w:val="0081087D"/>
    <w:rsid w:val="00810A38"/>
    <w:rsid w:val="008117F4"/>
    <w:rsid w:val="008120C4"/>
    <w:rsid w:val="008132DD"/>
    <w:rsid w:val="00815186"/>
    <w:rsid w:val="00817380"/>
    <w:rsid w:val="008174C2"/>
    <w:rsid w:val="00817CBA"/>
    <w:rsid w:val="00822157"/>
    <w:rsid w:val="0082269F"/>
    <w:rsid w:val="00822CF7"/>
    <w:rsid w:val="00822E0D"/>
    <w:rsid w:val="008242E0"/>
    <w:rsid w:val="00824307"/>
    <w:rsid w:val="008254A7"/>
    <w:rsid w:val="008254CB"/>
    <w:rsid w:val="00826759"/>
    <w:rsid w:val="008277EC"/>
    <w:rsid w:val="00827F24"/>
    <w:rsid w:val="0083372F"/>
    <w:rsid w:val="00833E19"/>
    <w:rsid w:val="00834B3E"/>
    <w:rsid w:val="008356FD"/>
    <w:rsid w:val="00835D4E"/>
    <w:rsid w:val="00835EC7"/>
    <w:rsid w:val="0083743A"/>
    <w:rsid w:val="00837517"/>
    <w:rsid w:val="00837AEC"/>
    <w:rsid w:val="00840647"/>
    <w:rsid w:val="00841987"/>
    <w:rsid w:val="008427D7"/>
    <w:rsid w:val="008428EB"/>
    <w:rsid w:val="008433A2"/>
    <w:rsid w:val="008435C3"/>
    <w:rsid w:val="00843602"/>
    <w:rsid w:val="00843E76"/>
    <w:rsid w:val="0084473C"/>
    <w:rsid w:val="008449D2"/>
    <w:rsid w:val="00844DCE"/>
    <w:rsid w:val="008454A9"/>
    <w:rsid w:val="00846132"/>
    <w:rsid w:val="0084627E"/>
    <w:rsid w:val="0085160E"/>
    <w:rsid w:val="00851841"/>
    <w:rsid w:val="0085240D"/>
    <w:rsid w:val="00853FCA"/>
    <w:rsid w:val="0085474A"/>
    <w:rsid w:val="0085487B"/>
    <w:rsid w:val="008569B3"/>
    <w:rsid w:val="00857105"/>
    <w:rsid w:val="00860720"/>
    <w:rsid w:val="008608C4"/>
    <w:rsid w:val="00862B77"/>
    <w:rsid w:val="00863426"/>
    <w:rsid w:val="00863BD1"/>
    <w:rsid w:val="00864291"/>
    <w:rsid w:val="00864354"/>
    <w:rsid w:val="00864936"/>
    <w:rsid w:val="00864992"/>
    <w:rsid w:val="00865BBC"/>
    <w:rsid w:val="00866E47"/>
    <w:rsid w:val="00867015"/>
    <w:rsid w:val="00872868"/>
    <w:rsid w:val="00872C9E"/>
    <w:rsid w:val="00872D9D"/>
    <w:rsid w:val="008731D8"/>
    <w:rsid w:val="0087367A"/>
    <w:rsid w:val="008743B7"/>
    <w:rsid w:val="00875803"/>
    <w:rsid w:val="008772D5"/>
    <w:rsid w:val="00877814"/>
    <w:rsid w:val="00877963"/>
    <w:rsid w:val="00880C72"/>
    <w:rsid w:val="00880FCB"/>
    <w:rsid w:val="008814BA"/>
    <w:rsid w:val="008817A9"/>
    <w:rsid w:val="00882932"/>
    <w:rsid w:val="00882F72"/>
    <w:rsid w:val="0088317B"/>
    <w:rsid w:val="0088440E"/>
    <w:rsid w:val="008844D8"/>
    <w:rsid w:val="00884A7C"/>
    <w:rsid w:val="00884EF7"/>
    <w:rsid w:val="008862D5"/>
    <w:rsid w:val="0088772A"/>
    <w:rsid w:val="00887ABF"/>
    <w:rsid w:val="00890179"/>
    <w:rsid w:val="00890F23"/>
    <w:rsid w:val="0089174A"/>
    <w:rsid w:val="00892A0D"/>
    <w:rsid w:val="008930C9"/>
    <w:rsid w:val="008932A5"/>
    <w:rsid w:val="00895B5F"/>
    <w:rsid w:val="0089609B"/>
    <w:rsid w:val="008960A4"/>
    <w:rsid w:val="008965CB"/>
    <w:rsid w:val="00897585"/>
    <w:rsid w:val="00897CCE"/>
    <w:rsid w:val="008A286B"/>
    <w:rsid w:val="008A3141"/>
    <w:rsid w:val="008A4A50"/>
    <w:rsid w:val="008A53ED"/>
    <w:rsid w:val="008A54D3"/>
    <w:rsid w:val="008A5E63"/>
    <w:rsid w:val="008A6B15"/>
    <w:rsid w:val="008A6FFC"/>
    <w:rsid w:val="008A796E"/>
    <w:rsid w:val="008A7FE3"/>
    <w:rsid w:val="008B10A4"/>
    <w:rsid w:val="008B10D5"/>
    <w:rsid w:val="008B19D3"/>
    <w:rsid w:val="008B1B46"/>
    <w:rsid w:val="008B20A5"/>
    <w:rsid w:val="008B22A0"/>
    <w:rsid w:val="008B7313"/>
    <w:rsid w:val="008B771C"/>
    <w:rsid w:val="008B794B"/>
    <w:rsid w:val="008B7E80"/>
    <w:rsid w:val="008B7FD0"/>
    <w:rsid w:val="008C0EFC"/>
    <w:rsid w:val="008C23AC"/>
    <w:rsid w:val="008C5BDE"/>
    <w:rsid w:val="008C5E34"/>
    <w:rsid w:val="008C5EDD"/>
    <w:rsid w:val="008C727F"/>
    <w:rsid w:val="008C7C27"/>
    <w:rsid w:val="008D140F"/>
    <w:rsid w:val="008D1A69"/>
    <w:rsid w:val="008D30AB"/>
    <w:rsid w:val="008D33E6"/>
    <w:rsid w:val="008D3E87"/>
    <w:rsid w:val="008D4666"/>
    <w:rsid w:val="008D486B"/>
    <w:rsid w:val="008D5C68"/>
    <w:rsid w:val="008D64BA"/>
    <w:rsid w:val="008D6CA1"/>
    <w:rsid w:val="008D6DD3"/>
    <w:rsid w:val="008D6EAC"/>
    <w:rsid w:val="008D70D1"/>
    <w:rsid w:val="008E10BF"/>
    <w:rsid w:val="008E2DB7"/>
    <w:rsid w:val="008E38CE"/>
    <w:rsid w:val="008E38E0"/>
    <w:rsid w:val="008E3BEE"/>
    <w:rsid w:val="008E4505"/>
    <w:rsid w:val="008E4A28"/>
    <w:rsid w:val="008E63B9"/>
    <w:rsid w:val="008E753F"/>
    <w:rsid w:val="008E77EE"/>
    <w:rsid w:val="008F03B0"/>
    <w:rsid w:val="008F077E"/>
    <w:rsid w:val="008F0F23"/>
    <w:rsid w:val="008F0FAB"/>
    <w:rsid w:val="008F100D"/>
    <w:rsid w:val="008F101B"/>
    <w:rsid w:val="008F10C5"/>
    <w:rsid w:val="008F32D1"/>
    <w:rsid w:val="008F3D29"/>
    <w:rsid w:val="008F3F24"/>
    <w:rsid w:val="008F4A91"/>
    <w:rsid w:val="008F5783"/>
    <w:rsid w:val="008F6176"/>
    <w:rsid w:val="008F6279"/>
    <w:rsid w:val="008F62DE"/>
    <w:rsid w:val="008F6652"/>
    <w:rsid w:val="008F669C"/>
    <w:rsid w:val="008F683D"/>
    <w:rsid w:val="008F7322"/>
    <w:rsid w:val="008F7E5F"/>
    <w:rsid w:val="00900681"/>
    <w:rsid w:val="00900F8B"/>
    <w:rsid w:val="00900FC8"/>
    <w:rsid w:val="00901583"/>
    <w:rsid w:val="00901C5F"/>
    <w:rsid w:val="0090239D"/>
    <w:rsid w:val="00903C53"/>
    <w:rsid w:val="009048D1"/>
    <w:rsid w:val="009049B9"/>
    <w:rsid w:val="00907651"/>
    <w:rsid w:val="0091017A"/>
    <w:rsid w:val="00911292"/>
    <w:rsid w:val="00911B75"/>
    <w:rsid w:val="00912CB3"/>
    <w:rsid w:val="00912DA8"/>
    <w:rsid w:val="00912F54"/>
    <w:rsid w:val="009130F8"/>
    <w:rsid w:val="00913117"/>
    <w:rsid w:val="0091349A"/>
    <w:rsid w:val="009148DA"/>
    <w:rsid w:val="00914914"/>
    <w:rsid w:val="00914AE0"/>
    <w:rsid w:val="00915010"/>
    <w:rsid w:val="0091528F"/>
    <w:rsid w:val="00916917"/>
    <w:rsid w:val="009200BB"/>
    <w:rsid w:val="00921727"/>
    <w:rsid w:val="00921971"/>
    <w:rsid w:val="009222A9"/>
    <w:rsid w:val="009223CC"/>
    <w:rsid w:val="00923AF6"/>
    <w:rsid w:val="00924847"/>
    <w:rsid w:val="00924A6D"/>
    <w:rsid w:val="00924C86"/>
    <w:rsid w:val="00924F14"/>
    <w:rsid w:val="009258C2"/>
    <w:rsid w:val="00925A2B"/>
    <w:rsid w:val="00925D6F"/>
    <w:rsid w:val="0092748A"/>
    <w:rsid w:val="009279FF"/>
    <w:rsid w:val="00927A08"/>
    <w:rsid w:val="00927F55"/>
    <w:rsid w:val="00930DB4"/>
    <w:rsid w:val="00931918"/>
    <w:rsid w:val="00932124"/>
    <w:rsid w:val="0093436C"/>
    <w:rsid w:val="00934625"/>
    <w:rsid w:val="009352D5"/>
    <w:rsid w:val="0093576B"/>
    <w:rsid w:val="00935F23"/>
    <w:rsid w:val="00936197"/>
    <w:rsid w:val="009366E9"/>
    <w:rsid w:val="00937712"/>
    <w:rsid w:val="00937871"/>
    <w:rsid w:val="00943C3E"/>
    <w:rsid w:val="0094446F"/>
    <w:rsid w:val="00944487"/>
    <w:rsid w:val="0094497E"/>
    <w:rsid w:val="00946815"/>
    <w:rsid w:val="00947355"/>
    <w:rsid w:val="009500F6"/>
    <w:rsid w:val="00950927"/>
    <w:rsid w:val="0095097E"/>
    <w:rsid w:val="0095106B"/>
    <w:rsid w:val="00952543"/>
    <w:rsid w:val="009526C7"/>
    <w:rsid w:val="00953BEB"/>
    <w:rsid w:val="0095436B"/>
    <w:rsid w:val="009549DD"/>
    <w:rsid w:val="00955439"/>
    <w:rsid w:val="00955BFF"/>
    <w:rsid w:val="00957F12"/>
    <w:rsid w:val="0096042A"/>
    <w:rsid w:val="00961D4C"/>
    <w:rsid w:val="00961FD1"/>
    <w:rsid w:val="009626AE"/>
    <w:rsid w:val="00963A1B"/>
    <w:rsid w:val="0096493D"/>
    <w:rsid w:val="00964CF9"/>
    <w:rsid w:val="00965B0E"/>
    <w:rsid w:val="00965C9A"/>
    <w:rsid w:val="009703CF"/>
    <w:rsid w:val="00970FEC"/>
    <w:rsid w:val="00971CEF"/>
    <w:rsid w:val="0097284F"/>
    <w:rsid w:val="00973097"/>
    <w:rsid w:val="00973180"/>
    <w:rsid w:val="00973D24"/>
    <w:rsid w:val="009740B2"/>
    <w:rsid w:val="00974E77"/>
    <w:rsid w:val="00976614"/>
    <w:rsid w:val="00980018"/>
    <w:rsid w:val="0098177B"/>
    <w:rsid w:val="009834CE"/>
    <w:rsid w:val="0098439D"/>
    <w:rsid w:val="00984DF1"/>
    <w:rsid w:val="00985995"/>
    <w:rsid w:val="00985F05"/>
    <w:rsid w:val="009861C5"/>
    <w:rsid w:val="009868D7"/>
    <w:rsid w:val="00986B4A"/>
    <w:rsid w:val="00987416"/>
    <w:rsid w:val="0098745B"/>
    <w:rsid w:val="0098784E"/>
    <w:rsid w:val="00987A80"/>
    <w:rsid w:val="00990974"/>
    <w:rsid w:val="0099102B"/>
    <w:rsid w:val="009920A0"/>
    <w:rsid w:val="00992DA6"/>
    <w:rsid w:val="00992E66"/>
    <w:rsid w:val="00993195"/>
    <w:rsid w:val="009931E0"/>
    <w:rsid w:val="00993539"/>
    <w:rsid w:val="0099430D"/>
    <w:rsid w:val="00996AE2"/>
    <w:rsid w:val="00996C48"/>
    <w:rsid w:val="00996D0C"/>
    <w:rsid w:val="009A057F"/>
    <w:rsid w:val="009A1143"/>
    <w:rsid w:val="009A16CC"/>
    <w:rsid w:val="009A4C71"/>
    <w:rsid w:val="009A5163"/>
    <w:rsid w:val="009A564D"/>
    <w:rsid w:val="009A56DE"/>
    <w:rsid w:val="009A5BF0"/>
    <w:rsid w:val="009A6D3C"/>
    <w:rsid w:val="009A7B32"/>
    <w:rsid w:val="009B0759"/>
    <w:rsid w:val="009B0FB2"/>
    <w:rsid w:val="009B102B"/>
    <w:rsid w:val="009B327C"/>
    <w:rsid w:val="009B3689"/>
    <w:rsid w:val="009B3D58"/>
    <w:rsid w:val="009B56C6"/>
    <w:rsid w:val="009B5F3C"/>
    <w:rsid w:val="009B6B78"/>
    <w:rsid w:val="009B7E42"/>
    <w:rsid w:val="009C01C9"/>
    <w:rsid w:val="009C0D05"/>
    <w:rsid w:val="009C1225"/>
    <w:rsid w:val="009C2532"/>
    <w:rsid w:val="009C27F3"/>
    <w:rsid w:val="009C3DE7"/>
    <w:rsid w:val="009C425E"/>
    <w:rsid w:val="009C4A24"/>
    <w:rsid w:val="009C545A"/>
    <w:rsid w:val="009C5A2D"/>
    <w:rsid w:val="009C601D"/>
    <w:rsid w:val="009C627C"/>
    <w:rsid w:val="009D0318"/>
    <w:rsid w:val="009D0611"/>
    <w:rsid w:val="009D0BE5"/>
    <w:rsid w:val="009D0C4A"/>
    <w:rsid w:val="009D0E4D"/>
    <w:rsid w:val="009D156F"/>
    <w:rsid w:val="009D1EAE"/>
    <w:rsid w:val="009D2F03"/>
    <w:rsid w:val="009D306D"/>
    <w:rsid w:val="009D526C"/>
    <w:rsid w:val="009D603B"/>
    <w:rsid w:val="009D607A"/>
    <w:rsid w:val="009E03EA"/>
    <w:rsid w:val="009E21DA"/>
    <w:rsid w:val="009E364F"/>
    <w:rsid w:val="009E47AC"/>
    <w:rsid w:val="009E67D5"/>
    <w:rsid w:val="009E72BA"/>
    <w:rsid w:val="009F0675"/>
    <w:rsid w:val="009F06C5"/>
    <w:rsid w:val="009F0DB5"/>
    <w:rsid w:val="009F4356"/>
    <w:rsid w:val="009F4368"/>
    <w:rsid w:val="009F5498"/>
    <w:rsid w:val="009F5708"/>
    <w:rsid w:val="009F5E70"/>
    <w:rsid w:val="009F6413"/>
    <w:rsid w:val="009F68BD"/>
    <w:rsid w:val="00A0032A"/>
    <w:rsid w:val="00A02115"/>
    <w:rsid w:val="00A02E53"/>
    <w:rsid w:val="00A03734"/>
    <w:rsid w:val="00A03D6F"/>
    <w:rsid w:val="00A04BEE"/>
    <w:rsid w:val="00A0510D"/>
    <w:rsid w:val="00A0569B"/>
    <w:rsid w:val="00A06DFF"/>
    <w:rsid w:val="00A0763B"/>
    <w:rsid w:val="00A07A65"/>
    <w:rsid w:val="00A07BE7"/>
    <w:rsid w:val="00A1057C"/>
    <w:rsid w:val="00A10700"/>
    <w:rsid w:val="00A11655"/>
    <w:rsid w:val="00A1187F"/>
    <w:rsid w:val="00A11937"/>
    <w:rsid w:val="00A1313D"/>
    <w:rsid w:val="00A15464"/>
    <w:rsid w:val="00A158AA"/>
    <w:rsid w:val="00A15995"/>
    <w:rsid w:val="00A15E2A"/>
    <w:rsid w:val="00A17148"/>
    <w:rsid w:val="00A17CB0"/>
    <w:rsid w:val="00A22E1E"/>
    <w:rsid w:val="00A22FD1"/>
    <w:rsid w:val="00A23EC0"/>
    <w:rsid w:val="00A24AC4"/>
    <w:rsid w:val="00A25786"/>
    <w:rsid w:val="00A259E8"/>
    <w:rsid w:val="00A26129"/>
    <w:rsid w:val="00A2647F"/>
    <w:rsid w:val="00A272AC"/>
    <w:rsid w:val="00A27496"/>
    <w:rsid w:val="00A277F5"/>
    <w:rsid w:val="00A27CE0"/>
    <w:rsid w:val="00A3155C"/>
    <w:rsid w:val="00A346FA"/>
    <w:rsid w:val="00A34792"/>
    <w:rsid w:val="00A3598F"/>
    <w:rsid w:val="00A365D6"/>
    <w:rsid w:val="00A414E1"/>
    <w:rsid w:val="00A42D08"/>
    <w:rsid w:val="00A439F3"/>
    <w:rsid w:val="00A455A8"/>
    <w:rsid w:val="00A463EE"/>
    <w:rsid w:val="00A4737D"/>
    <w:rsid w:val="00A474CE"/>
    <w:rsid w:val="00A51B6D"/>
    <w:rsid w:val="00A52064"/>
    <w:rsid w:val="00A525EF"/>
    <w:rsid w:val="00A5270B"/>
    <w:rsid w:val="00A534F3"/>
    <w:rsid w:val="00A562BF"/>
    <w:rsid w:val="00A566AB"/>
    <w:rsid w:val="00A57A88"/>
    <w:rsid w:val="00A57DE0"/>
    <w:rsid w:val="00A60612"/>
    <w:rsid w:val="00A60F19"/>
    <w:rsid w:val="00A61B35"/>
    <w:rsid w:val="00A62443"/>
    <w:rsid w:val="00A62DA6"/>
    <w:rsid w:val="00A63EA8"/>
    <w:rsid w:val="00A643BD"/>
    <w:rsid w:val="00A6633F"/>
    <w:rsid w:val="00A66F1B"/>
    <w:rsid w:val="00A66F83"/>
    <w:rsid w:val="00A673FA"/>
    <w:rsid w:val="00A7075B"/>
    <w:rsid w:val="00A7099A"/>
    <w:rsid w:val="00A70BA6"/>
    <w:rsid w:val="00A7138A"/>
    <w:rsid w:val="00A7398C"/>
    <w:rsid w:val="00A777D7"/>
    <w:rsid w:val="00A778C6"/>
    <w:rsid w:val="00A80698"/>
    <w:rsid w:val="00A8095D"/>
    <w:rsid w:val="00A8097E"/>
    <w:rsid w:val="00A80DFD"/>
    <w:rsid w:val="00A81125"/>
    <w:rsid w:val="00A830CF"/>
    <w:rsid w:val="00A84DAC"/>
    <w:rsid w:val="00A85436"/>
    <w:rsid w:val="00A85DD9"/>
    <w:rsid w:val="00A85F24"/>
    <w:rsid w:val="00A86552"/>
    <w:rsid w:val="00A87574"/>
    <w:rsid w:val="00A87B4F"/>
    <w:rsid w:val="00A902E1"/>
    <w:rsid w:val="00A903AD"/>
    <w:rsid w:val="00A90CDB"/>
    <w:rsid w:val="00A92282"/>
    <w:rsid w:val="00A93850"/>
    <w:rsid w:val="00A94023"/>
    <w:rsid w:val="00A94478"/>
    <w:rsid w:val="00A9549F"/>
    <w:rsid w:val="00AA01FD"/>
    <w:rsid w:val="00AA0941"/>
    <w:rsid w:val="00AA0C4C"/>
    <w:rsid w:val="00AA0D0A"/>
    <w:rsid w:val="00AA11A1"/>
    <w:rsid w:val="00AA1520"/>
    <w:rsid w:val="00AA3DBD"/>
    <w:rsid w:val="00AA506D"/>
    <w:rsid w:val="00AA61D4"/>
    <w:rsid w:val="00AA6A5A"/>
    <w:rsid w:val="00AA6AF3"/>
    <w:rsid w:val="00AA72AD"/>
    <w:rsid w:val="00AA741F"/>
    <w:rsid w:val="00AB05F4"/>
    <w:rsid w:val="00AB09E1"/>
    <w:rsid w:val="00AB1512"/>
    <w:rsid w:val="00AB2BD8"/>
    <w:rsid w:val="00AB2DD7"/>
    <w:rsid w:val="00AB4679"/>
    <w:rsid w:val="00AB49C4"/>
    <w:rsid w:val="00AB4D99"/>
    <w:rsid w:val="00AB51DC"/>
    <w:rsid w:val="00AB6BB1"/>
    <w:rsid w:val="00AC2148"/>
    <w:rsid w:val="00AC3321"/>
    <w:rsid w:val="00AC3600"/>
    <w:rsid w:val="00AC39C6"/>
    <w:rsid w:val="00AC3ED8"/>
    <w:rsid w:val="00AC4A2B"/>
    <w:rsid w:val="00AC5C27"/>
    <w:rsid w:val="00AC61D8"/>
    <w:rsid w:val="00AC6880"/>
    <w:rsid w:val="00AC6CE3"/>
    <w:rsid w:val="00AC6F9D"/>
    <w:rsid w:val="00AC77FB"/>
    <w:rsid w:val="00AC7F37"/>
    <w:rsid w:val="00AD00AB"/>
    <w:rsid w:val="00AD169D"/>
    <w:rsid w:val="00AD20B4"/>
    <w:rsid w:val="00AD2CA0"/>
    <w:rsid w:val="00AD2CA4"/>
    <w:rsid w:val="00AD3AE2"/>
    <w:rsid w:val="00AD590E"/>
    <w:rsid w:val="00AE119F"/>
    <w:rsid w:val="00AE2A68"/>
    <w:rsid w:val="00AE30A2"/>
    <w:rsid w:val="00AE351E"/>
    <w:rsid w:val="00AE35FA"/>
    <w:rsid w:val="00AE3C8D"/>
    <w:rsid w:val="00AE42AD"/>
    <w:rsid w:val="00AE5759"/>
    <w:rsid w:val="00AF1651"/>
    <w:rsid w:val="00AF216B"/>
    <w:rsid w:val="00AF2ADA"/>
    <w:rsid w:val="00AF3003"/>
    <w:rsid w:val="00AF395B"/>
    <w:rsid w:val="00AF3E4F"/>
    <w:rsid w:val="00AF53F3"/>
    <w:rsid w:val="00AF55C1"/>
    <w:rsid w:val="00AF6882"/>
    <w:rsid w:val="00AF6AC9"/>
    <w:rsid w:val="00AF6C06"/>
    <w:rsid w:val="00AF788A"/>
    <w:rsid w:val="00B0091B"/>
    <w:rsid w:val="00B012B0"/>
    <w:rsid w:val="00B01D49"/>
    <w:rsid w:val="00B02E5B"/>
    <w:rsid w:val="00B055A4"/>
    <w:rsid w:val="00B06254"/>
    <w:rsid w:val="00B07931"/>
    <w:rsid w:val="00B113E2"/>
    <w:rsid w:val="00B1234D"/>
    <w:rsid w:val="00B12822"/>
    <w:rsid w:val="00B12DE8"/>
    <w:rsid w:val="00B13222"/>
    <w:rsid w:val="00B13473"/>
    <w:rsid w:val="00B137E3"/>
    <w:rsid w:val="00B14600"/>
    <w:rsid w:val="00B16C24"/>
    <w:rsid w:val="00B174F3"/>
    <w:rsid w:val="00B17882"/>
    <w:rsid w:val="00B210E8"/>
    <w:rsid w:val="00B21240"/>
    <w:rsid w:val="00B21D46"/>
    <w:rsid w:val="00B21F32"/>
    <w:rsid w:val="00B225A3"/>
    <w:rsid w:val="00B2306D"/>
    <w:rsid w:val="00B2396C"/>
    <w:rsid w:val="00B239D2"/>
    <w:rsid w:val="00B24252"/>
    <w:rsid w:val="00B25228"/>
    <w:rsid w:val="00B26C98"/>
    <w:rsid w:val="00B26FF5"/>
    <w:rsid w:val="00B2760A"/>
    <w:rsid w:val="00B30D27"/>
    <w:rsid w:val="00B31CA1"/>
    <w:rsid w:val="00B32066"/>
    <w:rsid w:val="00B329D4"/>
    <w:rsid w:val="00B34359"/>
    <w:rsid w:val="00B345AD"/>
    <w:rsid w:val="00B34BF9"/>
    <w:rsid w:val="00B368D3"/>
    <w:rsid w:val="00B36EDE"/>
    <w:rsid w:val="00B36F01"/>
    <w:rsid w:val="00B37E55"/>
    <w:rsid w:val="00B40257"/>
    <w:rsid w:val="00B407B5"/>
    <w:rsid w:val="00B43E5A"/>
    <w:rsid w:val="00B444F4"/>
    <w:rsid w:val="00B44F57"/>
    <w:rsid w:val="00B452B7"/>
    <w:rsid w:val="00B45B14"/>
    <w:rsid w:val="00B462D5"/>
    <w:rsid w:val="00B46452"/>
    <w:rsid w:val="00B5022E"/>
    <w:rsid w:val="00B50A8A"/>
    <w:rsid w:val="00B51075"/>
    <w:rsid w:val="00B52995"/>
    <w:rsid w:val="00B53B81"/>
    <w:rsid w:val="00B55713"/>
    <w:rsid w:val="00B564C7"/>
    <w:rsid w:val="00B56B1F"/>
    <w:rsid w:val="00B571D9"/>
    <w:rsid w:val="00B572CC"/>
    <w:rsid w:val="00B57E97"/>
    <w:rsid w:val="00B6018D"/>
    <w:rsid w:val="00B60C4E"/>
    <w:rsid w:val="00B6287C"/>
    <w:rsid w:val="00B62960"/>
    <w:rsid w:val="00B6317A"/>
    <w:rsid w:val="00B6603C"/>
    <w:rsid w:val="00B66DEF"/>
    <w:rsid w:val="00B6786F"/>
    <w:rsid w:val="00B70111"/>
    <w:rsid w:val="00B70633"/>
    <w:rsid w:val="00B70ECB"/>
    <w:rsid w:val="00B7117A"/>
    <w:rsid w:val="00B72E94"/>
    <w:rsid w:val="00B72FBB"/>
    <w:rsid w:val="00B737A2"/>
    <w:rsid w:val="00B73DD7"/>
    <w:rsid w:val="00B73E8F"/>
    <w:rsid w:val="00B74708"/>
    <w:rsid w:val="00B74A9A"/>
    <w:rsid w:val="00B74CB5"/>
    <w:rsid w:val="00B750D6"/>
    <w:rsid w:val="00B759CA"/>
    <w:rsid w:val="00B75B11"/>
    <w:rsid w:val="00B75FB6"/>
    <w:rsid w:val="00B7612A"/>
    <w:rsid w:val="00B764BE"/>
    <w:rsid w:val="00B76567"/>
    <w:rsid w:val="00B77809"/>
    <w:rsid w:val="00B807FD"/>
    <w:rsid w:val="00B808AD"/>
    <w:rsid w:val="00B81939"/>
    <w:rsid w:val="00B81FCB"/>
    <w:rsid w:val="00B82A6C"/>
    <w:rsid w:val="00B83530"/>
    <w:rsid w:val="00B83770"/>
    <w:rsid w:val="00B8409E"/>
    <w:rsid w:val="00B87DBA"/>
    <w:rsid w:val="00B90146"/>
    <w:rsid w:val="00B91C5A"/>
    <w:rsid w:val="00B91E74"/>
    <w:rsid w:val="00B92EDE"/>
    <w:rsid w:val="00B93B21"/>
    <w:rsid w:val="00B93C9D"/>
    <w:rsid w:val="00B93FDB"/>
    <w:rsid w:val="00B941C3"/>
    <w:rsid w:val="00B95116"/>
    <w:rsid w:val="00B953EA"/>
    <w:rsid w:val="00B95777"/>
    <w:rsid w:val="00B961D8"/>
    <w:rsid w:val="00B96CFE"/>
    <w:rsid w:val="00BA0668"/>
    <w:rsid w:val="00BA1046"/>
    <w:rsid w:val="00BA1189"/>
    <w:rsid w:val="00BA11BE"/>
    <w:rsid w:val="00BA1E7A"/>
    <w:rsid w:val="00BA1F56"/>
    <w:rsid w:val="00BA23E2"/>
    <w:rsid w:val="00BA27A7"/>
    <w:rsid w:val="00BA3AEF"/>
    <w:rsid w:val="00BA44FA"/>
    <w:rsid w:val="00BA4556"/>
    <w:rsid w:val="00BA4B20"/>
    <w:rsid w:val="00BA61A2"/>
    <w:rsid w:val="00BA6499"/>
    <w:rsid w:val="00BA6593"/>
    <w:rsid w:val="00BA65EF"/>
    <w:rsid w:val="00BA6992"/>
    <w:rsid w:val="00BA6A6B"/>
    <w:rsid w:val="00BA7262"/>
    <w:rsid w:val="00BA7CC9"/>
    <w:rsid w:val="00BB0B85"/>
    <w:rsid w:val="00BB1144"/>
    <w:rsid w:val="00BB156D"/>
    <w:rsid w:val="00BB2E33"/>
    <w:rsid w:val="00BB3559"/>
    <w:rsid w:val="00BB3DAD"/>
    <w:rsid w:val="00BB4676"/>
    <w:rsid w:val="00BB4E92"/>
    <w:rsid w:val="00BB6093"/>
    <w:rsid w:val="00BB727A"/>
    <w:rsid w:val="00BC16C6"/>
    <w:rsid w:val="00BC18DE"/>
    <w:rsid w:val="00BC1933"/>
    <w:rsid w:val="00BC1B28"/>
    <w:rsid w:val="00BC2043"/>
    <w:rsid w:val="00BC3442"/>
    <w:rsid w:val="00BC344E"/>
    <w:rsid w:val="00BC3B59"/>
    <w:rsid w:val="00BC4757"/>
    <w:rsid w:val="00BC487D"/>
    <w:rsid w:val="00BC4E98"/>
    <w:rsid w:val="00BC6A03"/>
    <w:rsid w:val="00BC6B42"/>
    <w:rsid w:val="00BD0CCD"/>
    <w:rsid w:val="00BD10D1"/>
    <w:rsid w:val="00BD1D08"/>
    <w:rsid w:val="00BD225F"/>
    <w:rsid w:val="00BD2E76"/>
    <w:rsid w:val="00BD3BC1"/>
    <w:rsid w:val="00BD3F31"/>
    <w:rsid w:val="00BD66CF"/>
    <w:rsid w:val="00BD75FA"/>
    <w:rsid w:val="00BD79A6"/>
    <w:rsid w:val="00BE201D"/>
    <w:rsid w:val="00BE2710"/>
    <w:rsid w:val="00BE3572"/>
    <w:rsid w:val="00BE3FF9"/>
    <w:rsid w:val="00BE5C67"/>
    <w:rsid w:val="00BE7D6C"/>
    <w:rsid w:val="00BF0C65"/>
    <w:rsid w:val="00BF0C75"/>
    <w:rsid w:val="00BF1C23"/>
    <w:rsid w:val="00BF3075"/>
    <w:rsid w:val="00BF3B40"/>
    <w:rsid w:val="00BF42F7"/>
    <w:rsid w:val="00BF433E"/>
    <w:rsid w:val="00BF4479"/>
    <w:rsid w:val="00BF5064"/>
    <w:rsid w:val="00BF6419"/>
    <w:rsid w:val="00BF710A"/>
    <w:rsid w:val="00BF78DD"/>
    <w:rsid w:val="00BF7949"/>
    <w:rsid w:val="00C00357"/>
    <w:rsid w:val="00C0044F"/>
    <w:rsid w:val="00C00973"/>
    <w:rsid w:val="00C03834"/>
    <w:rsid w:val="00C04C8F"/>
    <w:rsid w:val="00C05903"/>
    <w:rsid w:val="00C068F0"/>
    <w:rsid w:val="00C1074C"/>
    <w:rsid w:val="00C13AE8"/>
    <w:rsid w:val="00C142AD"/>
    <w:rsid w:val="00C14F56"/>
    <w:rsid w:val="00C1616B"/>
    <w:rsid w:val="00C20166"/>
    <w:rsid w:val="00C206E5"/>
    <w:rsid w:val="00C21477"/>
    <w:rsid w:val="00C21698"/>
    <w:rsid w:val="00C21823"/>
    <w:rsid w:val="00C21A32"/>
    <w:rsid w:val="00C21EBE"/>
    <w:rsid w:val="00C224D2"/>
    <w:rsid w:val="00C232C2"/>
    <w:rsid w:val="00C240D4"/>
    <w:rsid w:val="00C255B9"/>
    <w:rsid w:val="00C25D00"/>
    <w:rsid w:val="00C26389"/>
    <w:rsid w:val="00C2679E"/>
    <w:rsid w:val="00C2682E"/>
    <w:rsid w:val="00C274F9"/>
    <w:rsid w:val="00C302F5"/>
    <w:rsid w:val="00C30A85"/>
    <w:rsid w:val="00C315DF"/>
    <w:rsid w:val="00C31B63"/>
    <w:rsid w:val="00C342CA"/>
    <w:rsid w:val="00C34DDB"/>
    <w:rsid w:val="00C36626"/>
    <w:rsid w:val="00C36FD7"/>
    <w:rsid w:val="00C37C3A"/>
    <w:rsid w:val="00C40589"/>
    <w:rsid w:val="00C411C1"/>
    <w:rsid w:val="00C41DCE"/>
    <w:rsid w:val="00C42885"/>
    <w:rsid w:val="00C4377D"/>
    <w:rsid w:val="00C43AC6"/>
    <w:rsid w:val="00C45318"/>
    <w:rsid w:val="00C456EA"/>
    <w:rsid w:val="00C4678A"/>
    <w:rsid w:val="00C46A04"/>
    <w:rsid w:val="00C47AF1"/>
    <w:rsid w:val="00C5097B"/>
    <w:rsid w:val="00C51313"/>
    <w:rsid w:val="00C514F4"/>
    <w:rsid w:val="00C518C0"/>
    <w:rsid w:val="00C51D30"/>
    <w:rsid w:val="00C528B7"/>
    <w:rsid w:val="00C52B2D"/>
    <w:rsid w:val="00C5307E"/>
    <w:rsid w:val="00C53B82"/>
    <w:rsid w:val="00C54BA0"/>
    <w:rsid w:val="00C55EEA"/>
    <w:rsid w:val="00C563F4"/>
    <w:rsid w:val="00C6199A"/>
    <w:rsid w:val="00C61A56"/>
    <w:rsid w:val="00C62EB6"/>
    <w:rsid w:val="00C64827"/>
    <w:rsid w:val="00C64EB0"/>
    <w:rsid w:val="00C65699"/>
    <w:rsid w:val="00C65F89"/>
    <w:rsid w:val="00C71429"/>
    <w:rsid w:val="00C71A07"/>
    <w:rsid w:val="00C71C16"/>
    <w:rsid w:val="00C71C33"/>
    <w:rsid w:val="00C73E6D"/>
    <w:rsid w:val="00C745F5"/>
    <w:rsid w:val="00C76629"/>
    <w:rsid w:val="00C768C0"/>
    <w:rsid w:val="00C776C1"/>
    <w:rsid w:val="00C8003E"/>
    <w:rsid w:val="00C816A4"/>
    <w:rsid w:val="00C82425"/>
    <w:rsid w:val="00C82803"/>
    <w:rsid w:val="00C82B8A"/>
    <w:rsid w:val="00C83351"/>
    <w:rsid w:val="00C83393"/>
    <w:rsid w:val="00C84264"/>
    <w:rsid w:val="00C844A2"/>
    <w:rsid w:val="00C8521A"/>
    <w:rsid w:val="00C86988"/>
    <w:rsid w:val="00C87946"/>
    <w:rsid w:val="00C90592"/>
    <w:rsid w:val="00C921B5"/>
    <w:rsid w:val="00C92531"/>
    <w:rsid w:val="00C93102"/>
    <w:rsid w:val="00C940CC"/>
    <w:rsid w:val="00C943E7"/>
    <w:rsid w:val="00C9443C"/>
    <w:rsid w:val="00C94721"/>
    <w:rsid w:val="00C94D45"/>
    <w:rsid w:val="00C94DE9"/>
    <w:rsid w:val="00C94EDB"/>
    <w:rsid w:val="00C9617D"/>
    <w:rsid w:val="00C9653E"/>
    <w:rsid w:val="00C97E4E"/>
    <w:rsid w:val="00CA0FB2"/>
    <w:rsid w:val="00CA1342"/>
    <w:rsid w:val="00CA17A4"/>
    <w:rsid w:val="00CA1938"/>
    <w:rsid w:val="00CA2B70"/>
    <w:rsid w:val="00CA2B9C"/>
    <w:rsid w:val="00CA323F"/>
    <w:rsid w:val="00CA65C6"/>
    <w:rsid w:val="00CA70BF"/>
    <w:rsid w:val="00CB03E0"/>
    <w:rsid w:val="00CB119D"/>
    <w:rsid w:val="00CB2750"/>
    <w:rsid w:val="00CB2DDD"/>
    <w:rsid w:val="00CB2EEA"/>
    <w:rsid w:val="00CB3727"/>
    <w:rsid w:val="00CB4DBA"/>
    <w:rsid w:val="00CB697E"/>
    <w:rsid w:val="00CB6D25"/>
    <w:rsid w:val="00CB742E"/>
    <w:rsid w:val="00CC031D"/>
    <w:rsid w:val="00CC053E"/>
    <w:rsid w:val="00CC06BF"/>
    <w:rsid w:val="00CC14ED"/>
    <w:rsid w:val="00CC2334"/>
    <w:rsid w:val="00CC2478"/>
    <w:rsid w:val="00CC27BF"/>
    <w:rsid w:val="00CC37D1"/>
    <w:rsid w:val="00CC3EC1"/>
    <w:rsid w:val="00CC3F8A"/>
    <w:rsid w:val="00CC5631"/>
    <w:rsid w:val="00CD0060"/>
    <w:rsid w:val="00CD0C95"/>
    <w:rsid w:val="00CD0CB2"/>
    <w:rsid w:val="00CD3041"/>
    <w:rsid w:val="00CD4138"/>
    <w:rsid w:val="00CD5396"/>
    <w:rsid w:val="00CD58AD"/>
    <w:rsid w:val="00CD74FD"/>
    <w:rsid w:val="00CD7720"/>
    <w:rsid w:val="00CD79F5"/>
    <w:rsid w:val="00CD7A4A"/>
    <w:rsid w:val="00CE0208"/>
    <w:rsid w:val="00CE11A9"/>
    <w:rsid w:val="00CE142A"/>
    <w:rsid w:val="00CE2482"/>
    <w:rsid w:val="00CE6BA9"/>
    <w:rsid w:val="00CE6CD3"/>
    <w:rsid w:val="00CE6FE9"/>
    <w:rsid w:val="00CE7355"/>
    <w:rsid w:val="00CE79B5"/>
    <w:rsid w:val="00CE7B87"/>
    <w:rsid w:val="00CF05D4"/>
    <w:rsid w:val="00CF08C5"/>
    <w:rsid w:val="00CF1CDE"/>
    <w:rsid w:val="00CF2137"/>
    <w:rsid w:val="00CF235B"/>
    <w:rsid w:val="00CF452C"/>
    <w:rsid w:val="00CF4907"/>
    <w:rsid w:val="00CF50D6"/>
    <w:rsid w:val="00CF5790"/>
    <w:rsid w:val="00CF5B9C"/>
    <w:rsid w:val="00CF6123"/>
    <w:rsid w:val="00CF6431"/>
    <w:rsid w:val="00D00119"/>
    <w:rsid w:val="00D00D86"/>
    <w:rsid w:val="00D04943"/>
    <w:rsid w:val="00D04B74"/>
    <w:rsid w:val="00D055D8"/>
    <w:rsid w:val="00D06CAB"/>
    <w:rsid w:val="00D06F6C"/>
    <w:rsid w:val="00D070F7"/>
    <w:rsid w:val="00D07415"/>
    <w:rsid w:val="00D11FFD"/>
    <w:rsid w:val="00D12933"/>
    <w:rsid w:val="00D15B0B"/>
    <w:rsid w:val="00D1618A"/>
    <w:rsid w:val="00D16A23"/>
    <w:rsid w:val="00D17460"/>
    <w:rsid w:val="00D17751"/>
    <w:rsid w:val="00D17F65"/>
    <w:rsid w:val="00D21067"/>
    <w:rsid w:val="00D221FD"/>
    <w:rsid w:val="00D23184"/>
    <w:rsid w:val="00D239F5"/>
    <w:rsid w:val="00D2412C"/>
    <w:rsid w:val="00D24691"/>
    <w:rsid w:val="00D249B3"/>
    <w:rsid w:val="00D25DA4"/>
    <w:rsid w:val="00D2623F"/>
    <w:rsid w:val="00D26E3B"/>
    <w:rsid w:val="00D2707F"/>
    <w:rsid w:val="00D2799F"/>
    <w:rsid w:val="00D27CB7"/>
    <w:rsid w:val="00D323CE"/>
    <w:rsid w:val="00D323DC"/>
    <w:rsid w:val="00D32477"/>
    <w:rsid w:val="00D32DCE"/>
    <w:rsid w:val="00D356F5"/>
    <w:rsid w:val="00D35CB2"/>
    <w:rsid w:val="00D35CBB"/>
    <w:rsid w:val="00D35E62"/>
    <w:rsid w:val="00D3653B"/>
    <w:rsid w:val="00D36EFB"/>
    <w:rsid w:val="00D41D4E"/>
    <w:rsid w:val="00D4225C"/>
    <w:rsid w:val="00D42C23"/>
    <w:rsid w:val="00D4368B"/>
    <w:rsid w:val="00D438F6"/>
    <w:rsid w:val="00D441CA"/>
    <w:rsid w:val="00D4441C"/>
    <w:rsid w:val="00D447B6"/>
    <w:rsid w:val="00D4489F"/>
    <w:rsid w:val="00D45025"/>
    <w:rsid w:val="00D451DB"/>
    <w:rsid w:val="00D46714"/>
    <w:rsid w:val="00D46BBA"/>
    <w:rsid w:val="00D46E14"/>
    <w:rsid w:val="00D509B7"/>
    <w:rsid w:val="00D5227F"/>
    <w:rsid w:val="00D5251D"/>
    <w:rsid w:val="00D52586"/>
    <w:rsid w:val="00D52DC7"/>
    <w:rsid w:val="00D5372B"/>
    <w:rsid w:val="00D55302"/>
    <w:rsid w:val="00D56494"/>
    <w:rsid w:val="00D6007F"/>
    <w:rsid w:val="00D61D97"/>
    <w:rsid w:val="00D62729"/>
    <w:rsid w:val="00D62A35"/>
    <w:rsid w:val="00D62D13"/>
    <w:rsid w:val="00D63CC1"/>
    <w:rsid w:val="00D64CCC"/>
    <w:rsid w:val="00D65FDC"/>
    <w:rsid w:val="00D662AF"/>
    <w:rsid w:val="00D66598"/>
    <w:rsid w:val="00D673EE"/>
    <w:rsid w:val="00D712F4"/>
    <w:rsid w:val="00D714E8"/>
    <w:rsid w:val="00D73802"/>
    <w:rsid w:val="00D73A4A"/>
    <w:rsid w:val="00D73E02"/>
    <w:rsid w:val="00D743FB"/>
    <w:rsid w:val="00D75042"/>
    <w:rsid w:val="00D76F28"/>
    <w:rsid w:val="00D77106"/>
    <w:rsid w:val="00D814CD"/>
    <w:rsid w:val="00D81E3F"/>
    <w:rsid w:val="00D830E6"/>
    <w:rsid w:val="00D835C5"/>
    <w:rsid w:val="00D83EE3"/>
    <w:rsid w:val="00D83EEB"/>
    <w:rsid w:val="00D84547"/>
    <w:rsid w:val="00D84CFA"/>
    <w:rsid w:val="00D84EE1"/>
    <w:rsid w:val="00D853F1"/>
    <w:rsid w:val="00D85E7E"/>
    <w:rsid w:val="00D877B2"/>
    <w:rsid w:val="00D87CC0"/>
    <w:rsid w:val="00D9043C"/>
    <w:rsid w:val="00D906B2"/>
    <w:rsid w:val="00D91390"/>
    <w:rsid w:val="00D916B7"/>
    <w:rsid w:val="00D917D0"/>
    <w:rsid w:val="00D91E52"/>
    <w:rsid w:val="00D91F83"/>
    <w:rsid w:val="00D926ED"/>
    <w:rsid w:val="00D93E80"/>
    <w:rsid w:val="00D97171"/>
    <w:rsid w:val="00D97B32"/>
    <w:rsid w:val="00DA13E1"/>
    <w:rsid w:val="00DA5B75"/>
    <w:rsid w:val="00DA7209"/>
    <w:rsid w:val="00DB0180"/>
    <w:rsid w:val="00DB02C1"/>
    <w:rsid w:val="00DB0727"/>
    <w:rsid w:val="00DB1CEB"/>
    <w:rsid w:val="00DB20C7"/>
    <w:rsid w:val="00DB2323"/>
    <w:rsid w:val="00DB2620"/>
    <w:rsid w:val="00DB413F"/>
    <w:rsid w:val="00DB42A8"/>
    <w:rsid w:val="00DB4770"/>
    <w:rsid w:val="00DB481C"/>
    <w:rsid w:val="00DB491F"/>
    <w:rsid w:val="00DB4DFB"/>
    <w:rsid w:val="00DB54FC"/>
    <w:rsid w:val="00DB57F4"/>
    <w:rsid w:val="00DB62B2"/>
    <w:rsid w:val="00DB7A53"/>
    <w:rsid w:val="00DC0C0F"/>
    <w:rsid w:val="00DC0F50"/>
    <w:rsid w:val="00DC1439"/>
    <w:rsid w:val="00DC19A4"/>
    <w:rsid w:val="00DC2410"/>
    <w:rsid w:val="00DC36D5"/>
    <w:rsid w:val="00DC3CDE"/>
    <w:rsid w:val="00DC5C45"/>
    <w:rsid w:val="00DC6E13"/>
    <w:rsid w:val="00DD0291"/>
    <w:rsid w:val="00DD0585"/>
    <w:rsid w:val="00DD08AB"/>
    <w:rsid w:val="00DD2385"/>
    <w:rsid w:val="00DD269E"/>
    <w:rsid w:val="00DD3502"/>
    <w:rsid w:val="00DD3BE8"/>
    <w:rsid w:val="00DD3DF4"/>
    <w:rsid w:val="00DD438D"/>
    <w:rsid w:val="00DD460F"/>
    <w:rsid w:val="00DD62E3"/>
    <w:rsid w:val="00DD63FA"/>
    <w:rsid w:val="00DD6593"/>
    <w:rsid w:val="00DD7CFE"/>
    <w:rsid w:val="00DE006E"/>
    <w:rsid w:val="00DE0345"/>
    <w:rsid w:val="00DE1D48"/>
    <w:rsid w:val="00DE2918"/>
    <w:rsid w:val="00DE3931"/>
    <w:rsid w:val="00DE4573"/>
    <w:rsid w:val="00DE4D21"/>
    <w:rsid w:val="00DE50CB"/>
    <w:rsid w:val="00DE52C2"/>
    <w:rsid w:val="00DE5348"/>
    <w:rsid w:val="00DE55D7"/>
    <w:rsid w:val="00DE645E"/>
    <w:rsid w:val="00DE6548"/>
    <w:rsid w:val="00DE67AF"/>
    <w:rsid w:val="00DF0410"/>
    <w:rsid w:val="00DF0A24"/>
    <w:rsid w:val="00DF16FF"/>
    <w:rsid w:val="00DF1782"/>
    <w:rsid w:val="00DF22FC"/>
    <w:rsid w:val="00DF3C96"/>
    <w:rsid w:val="00DF3FBC"/>
    <w:rsid w:val="00DF4A98"/>
    <w:rsid w:val="00DF51BB"/>
    <w:rsid w:val="00DF66E8"/>
    <w:rsid w:val="00DF6A79"/>
    <w:rsid w:val="00DF7626"/>
    <w:rsid w:val="00E01F0E"/>
    <w:rsid w:val="00E02DE8"/>
    <w:rsid w:val="00E035F7"/>
    <w:rsid w:val="00E03D6E"/>
    <w:rsid w:val="00E048AF"/>
    <w:rsid w:val="00E052F1"/>
    <w:rsid w:val="00E05F99"/>
    <w:rsid w:val="00E0653A"/>
    <w:rsid w:val="00E069CF"/>
    <w:rsid w:val="00E07A33"/>
    <w:rsid w:val="00E07A37"/>
    <w:rsid w:val="00E07EB0"/>
    <w:rsid w:val="00E07F75"/>
    <w:rsid w:val="00E10B42"/>
    <w:rsid w:val="00E1107C"/>
    <w:rsid w:val="00E1193C"/>
    <w:rsid w:val="00E12440"/>
    <w:rsid w:val="00E14456"/>
    <w:rsid w:val="00E1473C"/>
    <w:rsid w:val="00E150C1"/>
    <w:rsid w:val="00E154B3"/>
    <w:rsid w:val="00E1605E"/>
    <w:rsid w:val="00E1658B"/>
    <w:rsid w:val="00E218C7"/>
    <w:rsid w:val="00E21B9F"/>
    <w:rsid w:val="00E2238E"/>
    <w:rsid w:val="00E23268"/>
    <w:rsid w:val="00E23BB7"/>
    <w:rsid w:val="00E26D5D"/>
    <w:rsid w:val="00E27869"/>
    <w:rsid w:val="00E3067A"/>
    <w:rsid w:val="00E30BE9"/>
    <w:rsid w:val="00E3145D"/>
    <w:rsid w:val="00E31D9F"/>
    <w:rsid w:val="00E3218C"/>
    <w:rsid w:val="00E3234D"/>
    <w:rsid w:val="00E32367"/>
    <w:rsid w:val="00E33983"/>
    <w:rsid w:val="00E33F62"/>
    <w:rsid w:val="00E34A38"/>
    <w:rsid w:val="00E34E2D"/>
    <w:rsid w:val="00E35958"/>
    <w:rsid w:val="00E35C1C"/>
    <w:rsid w:val="00E36649"/>
    <w:rsid w:val="00E36E5E"/>
    <w:rsid w:val="00E3710D"/>
    <w:rsid w:val="00E40C72"/>
    <w:rsid w:val="00E4108C"/>
    <w:rsid w:val="00E413BF"/>
    <w:rsid w:val="00E41925"/>
    <w:rsid w:val="00E420CA"/>
    <w:rsid w:val="00E42E15"/>
    <w:rsid w:val="00E43181"/>
    <w:rsid w:val="00E43DAE"/>
    <w:rsid w:val="00E443C7"/>
    <w:rsid w:val="00E45267"/>
    <w:rsid w:val="00E453B5"/>
    <w:rsid w:val="00E459DA"/>
    <w:rsid w:val="00E46D32"/>
    <w:rsid w:val="00E50AB0"/>
    <w:rsid w:val="00E50C57"/>
    <w:rsid w:val="00E50D28"/>
    <w:rsid w:val="00E51849"/>
    <w:rsid w:val="00E519C8"/>
    <w:rsid w:val="00E5226A"/>
    <w:rsid w:val="00E5238F"/>
    <w:rsid w:val="00E529D8"/>
    <w:rsid w:val="00E540E5"/>
    <w:rsid w:val="00E560BD"/>
    <w:rsid w:val="00E565C1"/>
    <w:rsid w:val="00E566E7"/>
    <w:rsid w:val="00E57ED7"/>
    <w:rsid w:val="00E62D01"/>
    <w:rsid w:val="00E63312"/>
    <w:rsid w:val="00E63B63"/>
    <w:rsid w:val="00E65EBE"/>
    <w:rsid w:val="00E6683D"/>
    <w:rsid w:val="00E67C5B"/>
    <w:rsid w:val="00E712B9"/>
    <w:rsid w:val="00E715BD"/>
    <w:rsid w:val="00E71661"/>
    <w:rsid w:val="00E71FCC"/>
    <w:rsid w:val="00E72A0D"/>
    <w:rsid w:val="00E7334F"/>
    <w:rsid w:val="00E74166"/>
    <w:rsid w:val="00E7497E"/>
    <w:rsid w:val="00E74D4D"/>
    <w:rsid w:val="00E751BA"/>
    <w:rsid w:val="00E7652E"/>
    <w:rsid w:val="00E80325"/>
    <w:rsid w:val="00E81972"/>
    <w:rsid w:val="00E81AA5"/>
    <w:rsid w:val="00E81E6E"/>
    <w:rsid w:val="00E82844"/>
    <w:rsid w:val="00E82D7B"/>
    <w:rsid w:val="00E840EF"/>
    <w:rsid w:val="00E85B08"/>
    <w:rsid w:val="00E860AC"/>
    <w:rsid w:val="00E905F2"/>
    <w:rsid w:val="00E90721"/>
    <w:rsid w:val="00E90C85"/>
    <w:rsid w:val="00E90DB4"/>
    <w:rsid w:val="00E9220E"/>
    <w:rsid w:val="00E926A1"/>
    <w:rsid w:val="00E92BD5"/>
    <w:rsid w:val="00E93735"/>
    <w:rsid w:val="00E93AFE"/>
    <w:rsid w:val="00E94587"/>
    <w:rsid w:val="00E97B87"/>
    <w:rsid w:val="00EA1E14"/>
    <w:rsid w:val="00EA2AEF"/>
    <w:rsid w:val="00EA3006"/>
    <w:rsid w:val="00EA35C5"/>
    <w:rsid w:val="00EA4451"/>
    <w:rsid w:val="00EA548A"/>
    <w:rsid w:val="00EA564B"/>
    <w:rsid w:val="00EA61DC"/>
    <w:rsid w:val="00EA66FA"/>
    <w:rsid w:val="00EA7EF0"/>
    <w:rsid w:val="00EB1E7A"/>
    <w:rsid w:val="00EB2A13"/>
    <w:rsid w:val="00EB338E"/>
    <w:rsid w:val="00EB494B"/>
    <w:rsid w:val="00EB51D6"/>
    <w:rsid w:val="00EB52D1"/>
    <w:rsid w:val="00EB557F"/>
    <w:rsid w:val="00EB58D8"/>
    <w:rsid w:val="00EB6215"/>
    <w:rsid w:val="00EB6685"/>
    <w:rsid w:val="00EB6767"/>
    <w:rsid w:val="00EB7002"/>
    <w:rsid w:val="00EB716F"/>
    <w:rsid w:val="00EB794F"/>
    <w:rsid w:val="00EB88AE"/>
    <w:rsid w:val="00EC07EB"/>
    <w:rsid w:val="00EC0DA4"/>
    <w:rsid w:val="00EC17B2"/>
    <w:rsid w:val="00EC248F"/>
    <w:rsid w:val="00EC33DD"/>
    <w:rsid w:val="00EC3B5A"/>
    <w:rsid w:val="00EC4743"/>
    <w:rsid w:val="00EC4BE7"/>
    <w:rsid w:val="00EC4C2C"/>
    <w:rsid w:val="00EC4CE4"/>
    <w:rsid w:val="00EC5804"/>
    <w:rsid w:val="00EC5A64"/>
    <w:rsid w:val="00EC6229"/>
    <w:rsid w:val="00EC7230"/>
    <w:rsid w:val="00EC7DA9"/>
    <w:rsid w:val="00ED01B5"/>
    <w:rsid w:val="00ED0469"/>
    <w:rsid w:val="00ED1243"/>
    <w:rsid w:val="00ED1F1D"/>
    <w:rsid w:val="00ED2269"/>
    <w:rsid w:val="00ED2543"/>
    <w:rsid w:val="00ED2784"/>
    <w:rsid w:val="00ED330D"/>
    <w:rsid w:val="00ED437E"/>
    <w:rsid w:val="00ED47AA"/>
    <w:rsid w:val="00ED4EAE"/>
    <w:rsid w:val="00ED50D3"/>
    <w:rsid w:val="00ED579C"/>
    <w:rsid w:val="00ED5924"/>
    <w:rsid w:val="00ED68AF"/>
    <w:rsid w:val="00ED7B02"/>
    <w:rsid w:val="00EE0144"/>
    <w:rsid w:val="00EE0361"/>
    <w:rsid w:val="00EE2312"/>
    <w:rsid w:val="00EE2C12"/>
    <w:rsid w:val="00EE3B8F"/>
    <w:rsid w:val="00EE5AB9"/>
    <w:rsid w:val="00EE5AD7"/>
    <w:rsid w:val="00EF04BD"/>
    <w:rsid w:val="00EF1711"/>
    <w:rsid w:val="00EF3B61"/>
    <w:rsid w:val="00EF433B"/>
    <w:rsid w:val="00EF46FE"/>
    <w:rsid w:val="00EF5606"/>
    <w:rsid w:val="00EF60E1"/>
    <w:rsid w:val="00EF69BB"/>
    <w:rsid w:val="00EF70BD"/>
    <w:rsid w:val="00F00E97"/>
    <w:rsid w:val="00F010B2"/>
    <w:rsid w:val="00F036E7"/>
    <w:rsid w:val="00F04260"/>
    <w:rsid w:val="00F0490D"/>
    <w:rsid w:val="00F04F7A"/>
    <w:rsid w:val="00F0517F"/>
    <w:rsid w:val="00F061BE"/>
    <w:rsid w:val="00F064B6"/>
    <w:rsid w:val="00F067A4"/>
    <w:rsid w:val="00F07190"/>
    <w:rsid w:val="00F106B9"/>
    <w:rsid w:val="00F112BA"/>
    <w:rsid w:val="00F14797"/>
    <w:rsid w:val="00F15578"/>
    <w:rsid w:val="00F1613E"/>
    <w:rsid w:val="00F164D1"/>
    <w:rsid w:val="00F167AD"/>
    <w:rsid w:val="00F204EF"/>
    <w:rsid w:val="00F20B9D"/>
    <w:rsid w:val="00F21B14"/>
    <w:rsid w:val="00F229DB"/>
    <w:rsid w:val="00F22C8C"/>
    <w:rsid w:val="00F23293"/>
    <w:rsid w:val="00F232E0"/>
    <w:rsid w:val="00F243C2"/>
    <w:rsid w:val="00F243E2"/>
    <w:rsid w:val="00F256BF"/>
    <w:rsid w:val="00F265D6"/>
    <w:rsid w:val="00F268EA"/>
    <w:rsid w:val="00F27211"/>
    <w:rsid w:val="00F2722D"/>
    <w:rsid w:val="00F27332"/>
    <w:rsid w:val="00F32F62"/>
    <w:rsid w:val="00F3446C"/>
    <w:rsid w:val="00F352AC"/>
    <w:rsid w:val="00F35A9F"/>
    <w:rsid w:val="00F364ED"/>
    <w:rsid w:val="00F36BBC"/>
    <w:rsid w:val="00F37190"/>
    <w:rsid w:val="00F3748A"/>
    <w:rsid w:val="00F37970"/>
    <w:rsid w:val="00F402D8"/>
    <w:rsid w:val="00F40A9D"/>
    <w:rsid w:val="00F40E07"/>
    <w:rsid w:val="00F431F9"/>
    <w:rsid w:val="00F458A6"/>
    <w:rsid w:val="00F45C28"/>
    <w:rsid w:val="00F475F6"/>
    <w:rsid w:val="00F50774"/>
    <w:rsid w:val="00F51573"/>
    <w:rsid w:val="00F51B96"/>
    <w:rsid w:val="00F539FB"/>
    <w:rsid w:val="00F53A49"/>
    <w:rsid w:val="00F54C04"/>
    <w:rsid w:val="00F54E55"/>
    <w:rsid w:val="00F555BD"/>
    <w:rsid w:val="00F562F5"/>
    <w:rsid w:val="00F56369"/>
    <w:rsid w:val="00F56F53"/>
    <w:rsid w:val="00F57192"/>
    <w:rsid w:val="00F60BC4"/>
    <w:rsid w:val="00F60BFF"/>
    <w:rsid w:val="00F610F0"/>
    <w:rsid w:val="00F61935"/>
    <w:rsid w:val="00F61C07"/>
    <w:rsid w:val="00F62484"/>
    <w:rsid w:val="00F62A2C"/>
    <w:rsid w:val="00F62AEF"/>
    <w:rsid w:val="00F63BF3"/>
    <w:rsid w:val="00F64308"/>
    <w:rsid w:val="00F64B1B"/>
    <w:rsid w:val="00F650BD"/>
    <w:rsid w:val="00F655CF"/>
    <w:rsid w:val="00F65C75"/>
    <w:rsid w:val="00F65FC4"/>
    <w:rsid w:val="00F662B1"/>
    <w:rsid w:val="00F674EC"/>
    <w:rsid w:val="00F676E8"/>
    <w:rsid w:val="00F67EFB"/>
    <w:rsid w:val="00F700E3"/>
    <w:rsid w:val="00F706C6"/>
    <w:rsid w:val="00F71118"/>
    <w:rsid w:val="00F71CDE"/>
    <w:rsid w:val="00F71E1A"/>
    <w:rsid w:val="00F727CC"/>
    <w:rsid w:val="00F7297E"/>
    <w:rsid w:val="00F72C8D"/>
    <w:rsid w:val="00F73794"/>
    <w:rsid w:val="00F741C5"/>
    <w:rsid w:val="00F757B7"/>
    <w:rsid w:val="00F7678E"/>
    <w:rsid w:val="00F77110"/>
    <w:rsid w:val="00F773D1"/>
    <w:rsid w:val="00F77D63"/>
    <w:rsid w:val="00F8069A"/>
    <w:rsid w:val="00F8105B"/>
    <w:rsid w:val="00F811C5"/>
    <w:rsid w:val="00F8175C"/>
    <w:rsid w:val="00F81F4C"/>
    <w:rsid w:val="00F824BF"/>
    <w:rsid w:val="00F8252C"/>
    <w:rsid w:val="00F8320C"/>
    <w:rsid w:val="00F83FD5"/>
    <w:rsid w:val="00F84199"/>
    <w:rsid w:val="00F84852"/>
    <w:rsid w:val="00F8695B"/>
    <w:rsid w:val="00F86BF1"/>
    <w:rsid w:val="00F8755F"/>
    <w:rsid w:val="00F87839"/>
    <w:rsid w:val="00F87ACF"/>
    <w:rsid w:val="00F87BC2"/>
    <w:rsid w:val="00F907A3"/>
    <w:rsid w:val="00F90920"/>
    <w:rsid w:val="00F90F29"/>
    <w:rsid w:val="00F9119E"/>
    <w:rsid w:val="00F94D2B"/>
    <w:rsid w:val="00F96D8A"/>
    <w:rsid w:val="00F97697"/>
    <w:rsid w:val="00FA059C"/>
    <w:rsid w:val="00FA0EC7"/>
    <w:rsid w:val="00FA182B"/>
    <w:rsid w:val="00FA1CE0"/>
    <w:rsid w:val="00FA354C"/>
    <w:rsid w:val="00FA35B2"/>
    <w:rsid w:val="00FA419E"/>
    <w:rsid w:val="00FA6C90"/>
    <w:rsid w:val="00FB0E22"/>
    <w:rsid w:val="00FB1264"/>
    <w:rsid w:val="00FB23D4"/>
    <w:rsid w:val="00FB2B81"/>
    <w:rsid w:val="00FB315E"/>
    <w:rsid w:val="00FB3922"/>
    <w:rsid w:val="00FB3EB9"/>
    <w:rsid w:val="00FB6758"/>
    <w:rsid w:val="00FB681E"/>
    <w:rsid w:val="00FB76AF"/>
    <w:rsid w:val="00FC0628"/>
    <w:rsid w:val="00FC1097"/>
    <w:rsid w:val="00FC1700"/>
    <w:rsid w:val="00FC1EA3"/>
    <w:rsid w:val="00FC379A"/>
    <w:rsid w:val="00FC4068"/>
    <w:rsid w:val="00FC493D"/>
    <w:rsid w:val="00FC533F"/>
    <w:rsid w:val="00FC5385"/>
    <w:rsid w:val="00FC7677"/>
    <w:rsid w:val="00FD1606"/>
    <w:rsid w:val="00FD1B37"/>
    <w:rsid w:val="00FD2507"/>
    <w:rsid w:val="00FD29DB"/>
    <w:rsid w:val="00FD3F8A"/>
    <w:rsid w:val="00FD4B6F"/>
    <w:rsid w:val="00FD4CC8"/>
    <w:rsid w:val="00FD53AA"/>
    <w:rsid w:val="00FD6007"/>
    <w:rsid w:val="00FD7186"/>
    <w:rsid w:val="00FD76D2"/>
    <w:rsid w:val="00FE0059"/>
    <w:rsid w:val="00FE148E"/>
    <w:rsid w:val="00FE2337"/>
    <w:rsid w:val="00FE460C"/>
    <w:rsid w:val="00FE50B5"/>
    <w:rsid w:val="00FE6852"/>
    <w:rsid w:val="00FF0C9C"/>
    <w:rsid w:val="00FF1AAC"/>
    <w:rsid w:val="00FF25C0"/>
    <w:rsid w:val="00FF2D3F"/>
    <w:rsid w:val="00FF2DBA"/>
    <w:rsid w:val="00FF34C0"/>
    <w:rsid w:val="00FF479A"/>
    <w:rsid w:val="00FF54C8"/>
    <w:rsid w:val="00FF5795"/>
    <w:rsid w:val="00FF5E6C"/>
    <w:rsid w:val="00FF6968"/>
    <w:rsid w:val="014FC3CD"/>
    <w:rsid w:val="0155205A"/>
    <w:rsid w:val="01593F9D"/>
    <w:rsid w:val="01AB2FAF"/>
    <w:rsid w:val="01E4C3CA"/>
    <w:rsid w:val="0269ECA2"/>
    <w:rsid w:val="02CA7EFE"/>
    <w:rsid w:val="02FED193"/>
    <w:rsid w:val="03059DE4"/>
    <w:rsid w:val="033E7645"/>
    <w:rsid w:val="035144B3"/>
    <w:rsid w:val="03B0D058"/>
    <w:rsid w:val="03D3F99B"/>
    <w:rsid w:val="03D40344"/>
    <w:rsid w:val="03E2BA75"/>
    <w:rsid w:val="0451B1F0"/>
    <w:rsid w:val="0467804E"/>
    <w:rsid w:val="04A1FCB9"/>
    <w:rsid w:val="04D6E3A9"/>
    <w:rsid w:val="04D8A877"/>
    <w:rsid w:val="04E934C9"/>
    <w:rsid w:val="050053BC"/>
    <w:rsid w:val="05154D39"/>
    <w:rsid w:val="0517080E"/>
    <w:rsid w:val="05E96AFC"/>
    <w:rsid w:val="061BB75C"/>
    <w:rsid w:val="064E071B"/>
    <w:rsid w:val="06D325A5"/>
    <w:rsid w:val="06DA2AA0"/>
    <w:rsid w:val="06E1A7EC"/>
    <w:rsid w:val="0704F27B"/>
    <w:rsid w:val="07485EEC"/>
    <w:rsid w:val="0771879F"/>
    <w:rsid w:val="07F26617"/>
    <w:rsid w:val="080FB1C1"/>
    <w:rsid w:val="08375D06"/>
    <w:rsid w:val="08CE2505"/>
    <w:rsid w:val="090AC9C7"/>
    <w:rsid w:val="090DC9B7"/>
    <w:rsid w:val="094FC0B6"/>
    <w:rsid w:val="09707B8F"/>
    <w:rsid w:val="09D18F38"/>
    <w:rsid w:val="09F93A7D"/>
    <w:rsid w:val="0A1BB663"/>
    <w:rsid w:val="0A3676B7"/>
    <w:rsid w:val="0ACFA72E"/>
    <w:rsid w:val="0AD7247A"/>
    <w:rsid w:val="0AF0C6AE"/>
    <w:rsid w:val="0B2B526F"/>
    <w:rsid w:val="0B3BAFE9"/>
    <w:rsid w:val="0B41D1A7"/>
    <w:rsid w:val="0B5751A2"/>
    <w:rsid w:val="0B6D9D02"/>
    <w:rsid w:val="0B819C97"/>
    <w:rsid w:val="0B83E18C"/>
    <w:rsid w:val="0B8B85C3"/>
    <w:rsid w:val="0C4409B3"/>
    <w:rsid w:val="0C5A09E7"/>
    <w:rsid w:val="0CA80626"/>
    <w:rsid w:val="0CBE4F56"/>
    <w:rsid w:val="0CD16A67"/>
    <w:rsid w:val="0CD67B94"/>
    <w:rsid w:val="0D037916"/>
    <w:rsid w:val="0D5121BC"/>
    <w:rsid w:val="0E05E72A"/>
    <w:rsid w:val="0E6828C8"/>
    <w:rsid w:val="0E7DF726"/>
    <w:rsid w:val="0E7EA434"/>
    <w:rsid w:val="0E8C3DB7"/>
    <w:rsid w:val="0EC523BC"/>
    <w:rsid w:val="0F1EB18A"/>
    <w:rsid w:val="0FC0AFEB"/>
    <w:rsid w:val="0FD4378F"/>
    <w:rsid w:val="0FF24D26"/>
    <w:rsid w:val="1011B2C3"/>
    <w:rsid w:val="101D8262"/>
    <w:rsid w:val="109B0833"/>
    <w:rsid w:val="10D11B67"/>
    <w:rsid w:val="112B1292"/>
    <w:rsid w:val="11700981"/>
    <w:rsid w:val="11CA4DA7"/>
    <w:rsid w:val="12502925"/>
    <w:rsid w:val="125DA556"/>
    <w:rsid w:val="134C160C"/>
    <w:rsid w:val="1357E795"/>
    <w:rsid w:val="13640F79"/>
    <w:rsid w:val="136961B6"/>
    <w:rsid w:val="13965F38"/>
    <w:rsid w:val="13C93AA3"/>
    <w:rsid w:val="13D3C2B0"/>
    <w:rsid w:val="143B47B0"/>
    <w:rsid w:val="143D7B1F"/>
    <w:rsid w:val="146CC056"/>
    <w:rsid w:val="147C4AF0"/>
    <w:rsid w:val="14DEC05A"/>
    <w:rsid w:val="1526F965"/>
    <w:rsid w:val="153F9A34"/>
    <w:rsid w:val="15AD9994"/>
    <w:rsid w:val="15F659C1"/>
    <w:rsid w:val="16167D22"/>
    <w:rsid w:val="16474F2C"/>
    <w:rsid w:val="16887193"/>
    <w:rsid w:val="1699D3A8"/>
    <w:rsid w:val="16A51A32"/>
    <w:rsid w:val="16F5DBEA"/>
    <w:rsid w:val="16FE3D72"/>
    <w:rsid w:val="17298E95"/>
    <w:rsid w:val="176C4FDD"/>
    <w:rsid w:val="177B102E"/>
    <w:rsid w:val="17A11155"/>
    <w:rsid w:val="17A63D31"/>
    <w:rsid w:val="1824CDAE"/>
    <w:rsid w:val="182CF8C8"/>
    <w:rsid w:val="184FA8A2"/>
    <w:rsid w:val="1871EFB7"/>
    <w:rsid w:val="18C773E9"/>
    <w:rsid w:val="18E89A8E"/>
    <w:rsid w:val="18F00A2B"/>
    <w:rsid w:val="19033D40"/>
    <w:rsid w:val="1999632F"/>
    <w:rsid w:val="19D6AA01"/>
    <w:rsid w:val="1A1ED3B1"/>
    <w:rsid w:val="1A2961F0"/>
    <w:rsid w:val="1B404E48"/>
    <w:rsid w:val="1B5ABDC1"/>
    <w:rsid w:val="1BD504FC"/>
    <w:rsid w:val="1D1D0177"/>
    <w:rsid w:val="1D20127A"/>
    <w:rsid w:val="1D31F549"/>
    <w:rsid w:val="1D3DB0BD"/>
    <w:rsid w:val="1E6E4B43"/>
    <w:rsid w:val="1EA703A0"/>
    <w:rsid w:val="1EB78B6B"/>
    <w:rsid w:val="1F1487B1"/>
    <w:rsid w:val="1F3304B8"/>
    <w:rsid w:val="1F642FFE"/>
    <w:rsid w:val="1FB63C3A"/>
    <w:rsid w:val="200F37D6"/>
    <w:rsid w:val="20315C77"/>
    <w:rsid w:val="204D4193"/>
    <w:rsid w:val="206FD631"/>
    <w:rsid w:val="20A0EE3B"/>
    <w:rsid w:val="20AC6796"/>
    <w:rsid w:val="20B1B9D3"/>
    <w:rsid w:val="211C1ACD"/>
    <w:rsid w:val="21714286"/>
    <w:rsid w:val="218BC789"/>
    <w:rsid w:val="219D848A"/>
    <w:rsid w:val="21A4586E"/>
    <w:rsid w:val="21C4A30D"/>
    <w:rsid w:val="21F1C8C8"/>
    <w:rsid w:val="22271877"/>
    <w:rsid w:val="229B428F"/>
    <w:rsid w:val="22B1C410"/>
    <w:rsid w:val="22B234C7"/>
    <w:rsid w:val="233EB1DE"/>
    <w:rsid w:val="23D0C9B0"/>
    <w:rsid w:val="240E2D28"/>
    <w:rsid w:val="24247658"/>
    <w:rsid w:val="245FEC24"/>
    <w:rsid w:val="2471E6B2"/>
    <w:rsid w:val="2493CBDC"/>
    <w:rsid w:val="24CD04BC"/>
    <w:rsid w:val="2516F2A6"/>
    <w:rsid w:val="253605B9"/>
    <w:rsid w:val="2538AC23"/>
    <w:rsid w:val="2554172C"/>
    <w:rsid w:val="256399D6"/>
    <w:rsid w:val="256CD77A"/>
    <w:rsid w:val="262FBD82"/>
    <w:rsid w:val="264B955D"/>
    <w:rsid w:val="267041AD"/>
    <w:rsid w:val="269E5F4B"/>
    <w:rsid w:val="26CF34B2"/>
    <w:rsid w:val="26E5B544"/>
    <w:rsid w:val="26EB6090"/>
    <w:rsid w:val="26EDCA17"/>
    <w:rsid w:val="26F05A48"/>
    <w:rsid w:val="2734D07C"/>
    <w:rsid w:val="279D3F3C"/>
    <w:rsid w:val="27A38EA2"/>
    <w:rsid w:val="28256C41"/>
    <w:rsid w:val="28691E15"/>
    <w:rsid w:val="289760B2"/>
    <w:rsid w:val="28F545EA"/>
    <w:rsid w:val="29567A52"/>
    <w:rsid w:val="29A01D22"/>
    <w:rsid w:val="29B1DA9A"/>
    <w:rsid w:val="29D4BEDB"/>
    <w:rsid w:val="2A297E20"/>
    <w:rsid w:val="2A413A24"/>
    <w:rsid w:val="2A548B97"/>
    <w:rsid w:val="2A868AC5"/>
    <w:rsid w:val="2A92109E"/>
    <w:rsid w:val="2AA30C83"/>
    <w:rsid w:val="2AADEE92"/>
    <w:rsid w:val="2ABA83A8"/>
    <w:rsid w:val="2AF733FD"/>
    <w:rsid w:val="2B2FAADA"/>
    <w:rsid w:val="2B447C1E"/>
    <w:rsid w:val="2B44A457"/>
    <w:rsid w:val="2B96A0DE"/>
    <w:rsid w:val="2BA16C7A"/>
    <w:rsid w:val="2BA5B66E"/>
    <w:rsid w:val="2BD7B47D"/>
    <w:rsid w:val="2C1AE8CF"/>
    <w:rsid w:val="2C203B0C"/>
    <w:rsid w:val="2CE49805"/>
    <w:rsid w:val="2CE6ED9B"/>
    <w:rsid w:val="2D0809D2"/>
    <w:rsid w:val="2D223794"/>
    <w:rsid w:val="2D23A53F"/>
    <w:rsid w:val="2D7373B0"/>
    <w:rsid w:val="2E00FF8E"/>
    <w:rsid w:val="2E0D6BBA"/>
    <w:rsid w:val="2E21BD35"/>
    <w:rsid w:val="2E36B6B2"/>
    <w:rsid w:val="2E8E493E"/>
    <w:rsid w:val="2E92BE48"/>
    <w:rsid w:val="2EC03732"/>
    <w:rsid w:val="2F0CFB2A"/>
    <w:rsid w:val="2F22F1C1"/>
    <w:rsid w:val="2F2C7B19"/>
    <w:rsid w:val="2F3D20D5"/>
    <w:rsid w:val="2F63DAD0"/>
    <w:rsid w:val="2F85F71A"/>
    <w:rsid w:val="2FAC1FEE"/>
    <w:rsid w:val="2FE66B4B"/>
    <w:rsid w:val="2FFA1C2D"/>
    <w:rsid w:val="2FFB9419"/>
    <w:rsid w:val="30108D96"/>
    <w:rsid w:val="3023D92E"/>
    <w:rsid w:val="30525C5C"/>
    <w:rsid w:val="30A4C392"/>
    <w:rsid w:val="30E6D20E"/>
    <w:rsid w:val="31226E79"/>
    <w:rsid w:val="312BFBCE"/>
    <w:rsid w:val="318EFEAF"/>
    <w:rsid w:val="32277FA9"/>
    <w:rsid w:val="326730E6"/>
    <w:rsid w:val="32853713"/>
    <w:rsid w:val="33169A98"/>
    <w:rsid w:val="3364ED22"/>
    <w:rsid w:val="3384A236"/>
    <w:rsid w:val="338737F6"/>
    <w:rsid w:val="33993FB7"/>
    <w:rsid w:val="33AC8B9F"/>
    <w:rsid w:val="33DD4E67"/>
    <w:rsid w:val="33F469AB"/>
    <w:rsid w:val="343007B6"/>
    <w:rsid w:val="3433123E"/>
    <w:rsid w:val="34600FC0"/>
    <w:rsid w:val="348515DF"/>
    <w:rsid w:val="35362749"/>
    <w:rsid w:val="355304C4"/>
    <w:rsid w:val="35A23F2C"/>
    <w:rsid w:val="35E50B0C"/>
    <w:rsid w:val="3600D84F"/>
    <w:rsid w:val="363ED537"/>
    <w:rsid w:val="36821F04"/>
    <w:rsid w:val="36E8753F"/>
    <w:rsid w:val="36EAA04E"/>
    <w:rsid w:val="36FFB07C"/>
    <w:rsid w:val="3725D8B7"/>
    <w:rsid w:val="373ECE43"/>
    <w:rsid w:val="37B74E79"/>
    <w:rsid w:val="38922678"/>
    <w:rsid w:val="38BAD245"/>
    <w:rsid w:val="38D1F363"/>
    <w:rsid w:val="3924F19B"/>
    <w:rsid w:val="393EA128"/>
    <w:rsid w:val="3940DBDE"/>
    <w:rsid w:val="39689329"/>
    <w:rsid w:val="3985F403"/>
    <w:rsid w:val="39A537EB"/>
    <w:rsid w:val="39DA879A"/>
    <w:rsid w:val="39EBE9AF"/>
    <w:rsid w:val="3A26A1C6"/>
    <w:rsid w:val="3A2E3442"/>
    <w:rsid w:val="3A5B31C4"/>
    <w:rsid w:val="3A7BA49C"/>
    <w:rsid w:val="3ABE65E4"/>
    <w:rsid w:val="3AC0A623"/>
    <w:rsid w:val="3AF08F66"/>
    <w:rsid w:val="3B04A0F3"/>
    <w:rsid w:val="3B5F9816"/>
    <w:rsid w:val="3B6A1552"/>
    <w:rsid w:val="3B94DD2D"/>
    <w:rsid w:val="3BAC0883"/>
    <w:rsid w:val="3BDC3C94"/>
    <w:rsid w:val="3C041FB6"/>
    <w:rsid w:val="3C77B92B"/>
    <w:rsid w:val="3CCB4F9A"/>
    <w:rsid w:val="3CEB7936"/>
    <w:rsid w:val="3CF4780B"/>
    <w:rsid w:val="3D0CA449"/>
    <w:rsid w:val="3D28C008"/>
    <w:rsid w:val="3D30FFCC"/>
    <w:rsid w:val="3D70E9B8"/>
    <w:rsid w:val="3D76E011"/>
    <w:rsid w:val="3D85BAFC"/>
    <w:rsid w:val="3DE81D77"/>
    <w:rsid w:val="3E5C27AD"/>
    <w:rsid w:val="3E63A4F9"/>
    <w:rsid w:val="3F0296EC"/>
    <w:rsid w:val="3F1E157A"/>
    <w:rsid w:val="3F60BB4F"/>
    <w:rsid w:val="3FA9DB0C"/>
    <w:rsid w:val="3FBA31BE"/>
    <w:rsid w:val="40594920"/>
    <w:rsid w:val="408FB4D4"/>
    <w:rsid w:val="408FC6C4"/>
    <w:rsid w:val="40B98146"/>
    <w:rsid w:val="414E6241"/>
    <w:rsid w:val="4172B387"/>
    <w:rsid w:val="424BFF65"/>
    <w:rsid w:val="42B38CC5"/>
    <w:rsid w:val="42B7BAAA"/>
    <w:rsid w:val="42EA9749"/>
    <w:rsid w:val="42F0962E"/>
    <w:rsid w:val="4341C9A7"/>
    <w:rsid w:val="4352D8C7"/>
    <w:rsid w:val="43550E6E"/>
    <w:rsid w:val="43E9D14A"/>
    <w:rsid w:val="440B1E00"/>
    <w:rsid w:val="44172F1E"/>
    <w:rsid w:val="446E30D4"/>
    <w:rsid w:val="44E7B8BC"/>
    <w:rsid w:val="44F66E75"/>
    <w:rsid w:val="450F95C4"/>
    <w:rsid w:val="459FDDA4"/>
    <w:rsid w:val="45AD5876"/>
    <w:rsid w:val="45AF40E1"/>
    <w:rsid w:val="45C9D168"/>
    <w:rsid w:val="45EA25D5"/>
    <w:rsid w:val="4672E505"/>
    <w:rsid w:val="4673222C"/>
    <w:rsid w:val="46B6D4FB"/>
    <w:rsid w:val="46B90AA2"/>
    <w:rsid w:val="46C199B6"/>
    <w:rsid w:val="4760432F"/>
    <w:rsid w:val="48264148"/>
    <w:rsid w:val="4863573A"/>
    <w:rsid w:val="48DF6AF1"/>
    <w:rsid w:val="490E18B0"/>
    <w:rsid w:val="496EAB0C"/>
    <w:rsid w:val="499624DA"/>
    <w:rsid w:val="499DAB64"/>
    <w:rsid w:val="49E2D524"/>
    <w:rsid w:val="4A074EA3"/>
    <w:rsid w:val="4A0F9FD5"/>
    <w:rsid w:val="4AA667D4"/>
    <w:rsid w:val="4AB9A861"/>
    <w:rsid w:val="4AEF2A96"/>
    <w:rsid w:val="4B3EB849"/>
    <w:rsid w:val="4B56B0D7"/>
    <w:rsid w:val="4B955792"/>
    <w:rsid w:val="4B96E22D"/>
    <w:rsid w:val="4BBB341C"/>
    <w:rsid w:val="4BBE51D8"/>
    <w:rsid w:val="4BCF47A5"/>
    <w:rsid w:val="4BE0A9BA"/>
    <w:rsid w:val="4BF0C174"/>
    <w:rsid w:val="4C122486"/>
    <w:rsid w:val="4C65354B"/>
    <w:rsid w:val="4C95C12B"/>
    <w:rsid w:val="4D2F96A1"/>
    <w:rsid w:val="4D85D3FA"/>
    <w:rsid w:val="4D93502B"/>
    <w:rsid w:val="4DA91E89"/>
    <w:rsid w:val="4DC10C63"/>
    <w:rsid w:val="4E0C99AF"/>
    <w:rsid w:val="4E245517"/>
    <w:rsid w:val="4E3A4229"/>
    <w:rsid w:val="4E4DD3A1"/>
    <w:rsid w:val="4E9BE462"/>
    <w:rsid w:val="4ECE2989"/>
    <w:rsid w:val="4F0650EF"/>
    <w:rsid w:val="4F0DD8D3"/>
    <w:rsid w:val="4F0E99EC"/>
    <w:rsid w:val="4F226311"/>
    <w:rsid w:val="4FBD73C9"/>
    <w:rsid w:val="4FBEA8A8"/>
    <w:rsid w:val="5012B901"/>
    <w:rsid w:val="505A1FD9"/>
    <w:rsid w:val="506F24E9"/>
    <w:rsid w:val="50B8FB4C"/>
    <w:rsid w:val="5162367D"/>
    <w:rsid w:val="5173D33C"/>
    <w:rsid w:val="51ED8FD9"/>
    <w:rsid w:val="51FAAA01"/>
    <w:rsid w:val="51FF491E"/>
    <w:rsid w:val="521E36DA"/>
    <w:rsid w:val="5254581F"/>
    <w:rsid w:val="528F36DC"/>
    <w:rsid w:val="52C468FA"/>
    <w:rsid w:val="52C7A33F"/>
    <w:rsid w:val="52F9ED3A"/>
    <w:rsid w:val="52FFFA97"/>
    <w:rsid w:val="53227CA3"/>
    <w:rsid w:val="53299FE0"/>
    <w:rsid w:val="5362A39D"/>
    <w:rsid w:val="536EC9A0"/>
    <w:rsid w:val="53EE545D"/>
    <w:rsid w:val="53F13FB6"/>
    <w:rsid w:val="54141EC3"/>
    <w:rsid w:val="54254884"/>
    <w:rsid w:val="544DEC2A"/>
    <w:rsid w:val="547E11D5"/>
    <w:rsid w:val="54969251"/>
    <w:rsid w:val="550C54D6"/>
    <w:rsid w:val="5541A485"/>
    <w:rsid w:val="558F1DBB"/>
    <w:rsid w:val="55D2773C"/>
    <w:rsid w:val="5602EEF1"/>
    <w:rsid w:val="565EB627"/>
    <w:rsid w:val="56B70329"/>
    <w:rsid w:val="572AFA70"/>
    <w:rsid w:val="573CB78F"/>
    <w:rsid w:val="573DC8DE"/>
    <w:rsid w:val="574326AE"/>
    <w:rsid w:val="574C9A39"/>
    <w:rsid w:val="57808777"/>
    <w:rsid w:val="57827743"/>
    <w:rsid w:val="57CF3EA0"/>
    <w:rsid w:val="57F71CB6"/>
    <w:rsid w:val="58166B36"/>
    <w:rsid w:val="5833B6E0"/>
    <w:rsid w:val="585117BA"/>
    <w:rsid w:val="585C4914"/>
    <w:rsid w:val="58814707"/>
    <w:rsid w:val="58C0A9D4"/>
    <w:rsid w:val="58C2323B"/>
    <w:rsid w:val="5913A4B5"/>
    <w:rsid w:val="59372113"/>
    <w:rsid w:val="594078EE"/>
    <w:rsid w:val="59A91584"/>
    <w:rsid w:val="59D1C00D"/>
    <w:rsid w:val="59DEDD40"/>
    <w:rsid w:val="59F0421A"/>
    <w:rsid w:val="5A10CC94"/>
    <w:rsid w:val="5A14EE6A"/>
    <w:rsid w:val="5A3A8B46"/>
    <w:rsid w:val="5A6203BA"/>
    <w:rsid w:val="5A77EEBE"/>
    <w:rsid w:val="5A80C172"/>
    <w:rsid w:val="5A90E44A"/>
    <w:rsid w:val="5A9E2EA5"/>
    <w:rsid w:val="5AF176A6"/>
    <w:rsid w:val="5B096480"/>
    <w:rsid w:val="5B38A33C"/>
    <w:rsid w:val="5B813A3A"/>
    <w:rsid w:val="5BAE4FCD"/>
    <w:rsid w:val="5BCA35A4"/>
    <w:rsid w:val="5BF3E3BF"/>
    <w:rsid w:val="5C30532B"/>
    <w:rsid w:val="5CF3F478"/>
    <w:rsid w:val="5D0BEDBE"/>
    <w:rsid w:val="5DF505B0"/>
    <w:rsid w:val="5DFDB815"/>
    <w:rsid w:val="5E685009"/>
    <w:rsid w:val="5ECF3DCA"/>
    <w:rsid w:val="5ED124D6"/>
    <w:rsid w:val="5EE6F334"/>
    <w:rsid w:val="5F0FDCF0"/>
    <w:rsid w:val="5F17D69A"/>
    <w:rsid w:val="5F221D7E"/>
    <w:rsid w:val="5FA7694E"/>
    <w:rsid w:val="5FD65320"/>
    <w:rsid w:val="605E99AB"/>
    <w:rsid w:val="60D7FD41"/>
    <w:rsid w:val="60EFCA70"/>
    <w:rsid w:val="6124453E"/>
    <w:rsid w:val="61395049"/>
    <w:rsid w:val="613FCC79"/>
    <w:rsid w:val="61948C26"/>
    <w:rsid w:val="61C33731"/>
    <w:rsid w:val="61C4EFE5"/>
    <w:rsid w:val="61C4F206"/>
    <w:rsid w:val="61C63721"/>
    <w:rsid w:val="61F5991F"/>
    <w:rsid w:val="625099FB"/>
    <w:rsid w:val="63493400"/>
    <w:rsid w:val="63825D20"/>
    <w:rsid w:val="63881498"/>
    <w:rsid w:val="639D0E15"/>
    <w:rsid w:val="63E332DF"/>
    <w:rsid w:val="63E965AA"/>
    <w:rsid w:val="646544AC"/>
    <w:rsid w:val="64A0500F"/>
    <w:rsid w:val="64B5498C"/>
    <w:rsid w:val="64D075BA"/>
    <w:rsid w:val="64FE24E4"/>
    <w:rsid w:val="6511F4AB"/>
    <w:rsid w:val="65567221"/>
    <w:rsid w:val="65996FD7"/>
    <w:rsid w:val="661BDBA6"/>
    <w:rsid w:val="6657F220"/>
    <w:rsid w:val="6677E5B9"/>
    <w:rsid w:val="66A72475"/>
    <w:rsid w:val="66F84854"/>
    <w:rsid w:val="675093A4"/>
    <w:rsid w:val="6756CB11"/>
    <w:rsid w:val="67EA1D2F"/>
    <w:rsid w:val="684DFDF7"/>
    <w:rsid w:val="684EA007"/>
    <w:rsid w:val="686D5B47"/>
    <w:rsid w:val="686E2158"/>
    <w:rsid w:val="68E2F765"/>
    <w:rsid w:val="68F33246"/>
    <w:rsid w:val="691F3403"/>
    <w:rsid w:val="69271080"/>
    <w:rsid w:val="695303AD"/>
    <w:rsid w:val="69646F96"/>
    <w:rsid w:val="696C394E"/>
    <w:rsid w:val="69A64287"/>
    <w:rsid w:val="69DFA1BF"/>
    <w:rsid w:val="6A28E12E"/>
    <w:rsid w:val="6A47F83C"/>
    <w:rsid w:val="6AB25936"/>
    <w:rsid w:val="6B0FFC02"/>
    <w:rsid w:val="6B10DD29"/>
    <w:rsid w:val="6B2BE11E"/>
    <w:rsid w:val="6B3458EB"/>
    <w:rsid w:val="6B6C7DA8"/>
    <w:rsid w:val="6BE421BC"/>
    <w:rsid w:val="6BE5FB0E"/>
    <w:rsid w:val="6C602EB7"/>
    <w:rsid w:val="6C92C677"/>
    <w:rsid w:val="6D46A6C6"/>
    <w:rsid w:val="6D8165CB"/>
    <w:rsid w:val="6D86B525"/>
    <w:rsid w:val="6DA6DF9C"/>
    <w:rsid w:val="6E3D8022"/>
    <w:rsid w:val="6E6C9D5B"/>
    <w:rsid w:val="6EC3A9CA"/>
    <w:rsid w:val="6F0B8F4E"/>
    <w:rsid w:val="6F50863D"/>
    <w:rsid w:val="6F56D722"/>
    <w:rsid w:val="6F61C007"/>
    <w:rsid w:val="6FCA89BB"/>
    <w:rsid w:val="6FDD198C"/>
    <w:rsid w:val="70174BAE"/>
    <w:rsid w:val="70444930"/>
    <w:rsid w:val="7081ACA8"/>
    <w:rsid w:val="70B185BE"/>
    <w:rsid w:val="70FB3490"/>
    <w:rsid w:val="7113226A"/>
    <w:rsid w:val="711F6788"/>
    <w:rsid w:val="715EAFB6"/>
    <w:rsid w:val="717DE841"/>
    <w:rsid w:val="718D6F8B"/>
    <w:rsid w:val="724062F1"/>
    <w:rsid w:val="73010BDC"/>
    <w:rsid w:val="734EEFA2"/>
    <w:rsid w:val="73934BE7"/>
    <w:rsid w:val="73A33090"/>
    <w:rsid w:val="741A39D5"/>
    <w:rsid w:val="749A3384"/>
    <w:rsid w:val="749E3DFE"/>
    <w:rsid w:val="74C5E943"/>
    <w:rsid w:val="74DAE2C0"/>
    <w:rsid w:val="74F0B11E"/>
    <w:rsid w:val="75089EF8"/>
    <w:rsid w:val="7510326F"/>
    <w:rsid w:val="751FE447"/>
    <w:rsid w:val="7532754C"/>
    <w:rsid w:val="7543B4A8"/>
    <w:rsid w:val="7568D745"/>
    <w:rsid w:val="7595422F"/>
    <w:rsid w:val="75BE56F2"/>
    <w:rsid w:val="75F8F6CC"/>
    <w:rsid w:val="761DDB7A"/>
    <w:rsid w:val="76474D27"/>
    <w:rsid w:val="769A6257"/>
    <w:rsid w:val="76AF873E"/>
    <w:rsid w:val="76E79EEF"/>
    <w:rsid w:val="770F4300"/>
    <w:rsid w:val="774BFB7A"/>
    <w:rsid w:val="775A9019"/>
    <w:rsid w:val="77A00231"/>
    <w:rsid w:val="77CEAFF0"/>
    <w:rsid w:val="78421C4D"/>
    <w:rsid w:val="78572062"/>
    <w:rsid w:val="78B5AF86"/>
    <w:rsid w:val="78D35F3E"/>
    <w:rsid w:val="7907DA0C"/>
    <w:rsid w:val="7964D500"/>
    <w:rsid w:val="797410F2"/>
    <w:rsid w:val="7A091930"/>
    <w:rsid w:val="7A32E30F"/>
    <w:rsid w:val="7A41EACB"/>
    <w:rsid w:val="7A4DAAC4"/>
    <w:rsid w:val="7A7A64BE"/>
    <w:rsid w:val="7A8FDEE5"/>
    <w:rsid w:val="7A953CB5"/>
    <w:rsid w:val="7AAA3632"/>
    <w:rsid w:val="7AD69C20"/>
    <w:rsid w:val="7AEDFE31"/>
    <w:rsid w:val="7B2154A7"/>
    <w:rsid w:val="7B517F0A"/>
    <w:rsid w:val="7BAC013B"/>
    <w:rsid w:val="7C1E85EF"/>
    <w:rsid w:val="7C44402B"/>
    <w:rsid w:val="7C466B3A"/>
    <w:rsid w:val="7D5A518E"/>
    <w:rsid w:val="7D5B8A7F"/>
    <w:rsid w:val="7D874F10"/>
    <w:rsid w:val="7D9C488D"/>
    <w:rsid w:val="7DCA04C5"/>
    <w:rsid w:val="7DCA28B6"/>
    <w:rsid w:val="7DD72405"/>
    <w:rsid w:val="7DE17CE5"/>
    <w:rsid w:val="7DE2FA51"/>
    <w:rsid w:val="7DF5D96B"/>
    <w:rsid w:val="7DF97652"/>
    <w:rsid w:val="7E45AEF7"/>
    <w:rsid w:val="7E72B53E"/>
    <w:rsid w:val="7E8AB943"/>
    <w:rsid w:val="7E9FB2C0"/>
    <w:rsid w:val="7EA3003B"/>
    <w:rsid w:val="7F45F9C6"/>
    <w:rsid w:val="7F648DF4"/>
    <w:rsid w:val="7FA23F43"/>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B324"/>
  <w15:docId w15:val="{5520D83D-EF81-4111-9FC5-DE1D6B88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styleId="Emphasis">
    <w:name w:val="Emphasis"/>
    <w:basedOn w:val="DefaultParagraphFont"/>
    <w:uiPriority w:val="20"/>
    <w:qFormat/>
    <w:rsid w:val="005F522D"/>
    <w:rPr>
      <w:i/>
      <w:iCs/>
    </w:rPr>
  </w:style>
  <w:style w:type="paragraph" w:customStyle="1" w:styleId="Default">
    <w:name w:val="Default"/>
    <w:rsid w:val="00C82425"/>
    <w:pPr>
      <w:autoSpaceDE w:val="0"/>
      <w:autoSpaceDN w:val="0"/>
      <w:adjustRightInd w:val="0"/>
      <w:spacing w:after="0" w:line="240" w:lineRule="auto"/>
    </w:pPr>
    <w:rPr>
      <w:rFonts w:ascii="Times New Roman" w:hAnsi="Times New Roman" w:cs="Times New Roman"/>
      <w:color w:val="000000"/>
      <w:sz w:val="24"/>
      <w:szCs w:val="24"/>
      <w:lang w:val="lt-LT"/>
    </w:rPr>
  </w:style>
  <w:style w:type="character" w:styleId="Mention">
    <w:name w:val="Mention"/>
    <w:basedOn w:val="DefaultParagraphFont"/>
    <w:uiPriority w:val="99"/>
    <w:unhideWhenUsed/>
    <w:rsid w:val="00A037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2879174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299726127">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48491360">
      <w:bodyDiv w:val="1"/>
      <w:marLeft w:val="0"/>
      <w:marRight w:val="0"/>
      <w:marTop w:val="0"/>
      <w:marBottom w:val="0"/>
      <w:divBdr>
        <w:top w:val="none" w:sz="0" w:space="0" w:color="auto"/>
        <w:left w:val="none" w:sz="0" w:space="0" w:color="auto"/>
        <w:bottom w:val="none" w:sz="0" w:space="0" w:color="auto"/>
        <w:right w:val="none" w:sz="0" w:space="0" w:color="auto"/>
      </w:divBdr>
      <w:divsChild>
        <w:div w:id="135415486">
          <w:marLeft w:val="0"/>
          <w:marRight w:val="0"/>
          <w:marTop w:val="0"/>
          <w:marBottom w:val="0"/>
          <w:divBdr>
            <w:top w:val="none" w:sz="0" w:space="0" w:color="auto"/>
            <w:left w:val="none" w:sz="0" w:space="0" w:color="auto"/>
            <w:bottom w:val="none" w:sz="0" w:space="0" w:color="auto"/>
            <w:right w:val="none" w:sz="0" w:space="0" w:color="auto"/>
          </w:divBdr>
        </w:div>
        <w:div w:id="151138270">
          <w:marLeft w:val="0"/>
          <w:marRight w:val="0"/>
          <w:marTop w:val="0"/>
          <w:marBottom w:val="0"/>
          <w:divBdr>
            <w:top w:val="none" w:sz="0" w:space="0" w:color="auto"/>
            <w:left w:val="none" w:sz="0" w:space="0" w:color="auto"/>
            <w:bottom w:val="none" w:sz="0" w:space="0" w:color="auto"/>
            <w:right w:val="none" w:sz="0" w:space="0" w:color="auto"/>
          </w:divBdr>
        </w:div>
        <w:div w:id="284627348">
          <w:marLeft w:val="0"/>
          <w:marRight w:val="0"/>
          <w:marTop w:val="0"/>
          <w:marBottom w:val="0"/>
          <w:divBdr>
            <w:top w:val="none" w:sz="0" w:space="0" w:color="auto"/>
            <w:left w:val="none" w:sz="0" w:space="0" w:color="auto"/>
            <w:bottom w:val="none" w:sz="0" w:space="0" w:color="auto"/>
            <w:right w:val="none" w:sz="0" w:space="0" w:color="auto"/>
          </w:divBdr>
        </w:div>
        <w:div w:id="319966466">
          <w:marLeft w:val="0"/>
          <w:marRight w:val="0"/>
          <w:marTop w:val="0"/>
          <w:marBottom w:val="0"/>
          <w:divBdr>
            <w:top w:val="none" w:sz="0" w:space="0" w:color="auto"/>
            <w:left w:val="none" w:sz="0" w:space="0" w:color="auto"/>
            <w:bottom w:val="none" w:sz="0" w:space="0" w:color="auto"/>
            <w:right w:val="none" w:sz="0" w:space="0" w:color="auto"/>
          </w:divBdr>
        </w:div>
        <w:div w:id="388387218">
          <w:marLeft w:val="0"/>
          <w:marRight w:val="0"/>
          <w:marTop w:val="0"/>
          <w:marBottom w:val="0"/>
          <w:divBdr>
            <w:top w:val="none" w:sz="0" w:space="0" w:color="auto"/>
            <w:left w:val="none" w:sz="0" w:space="0" w:color="auto"/>
            <w:bottom w:val="none" w:sz="0" w:space="0" w:color="auto"/>
            <w:right w:val="none" w:sz="0" w:space="0" w:color="auto"/>
          </w:divBdr>
        </w:div>
        <w:div w:id="453670668">
          <w:marLeft w:val="0"/>
          <w:marRight w:val="0"/>
          <w:marTop w:val="0"/>
          <w:marBottom w:val="0"/>
          <w:divBdr>
            <w:top w:val="none" w:sz="0" w:space="0" w:color="auto"/>
            <w:left w:val="none" w:sz="0" w:space="0" w:color="auto"/>
            <w:bottom w:val="none" w:sz="0" w:space="0" w:color="auto"/>
            <w:right w:val="none" w:sz="0" w:space="0" w:color="auto"/>
          </w:divBdr>
        </w:div>
        <w:div w:id="521557793">
          <w:marLeft w:val="0"/>
          <w:marRight w:val="0"/>
          <w:marTop w:val="0"/>
          <w:marBottom w:val="0"/>
          <w:divBdr>
            <w:top w:val="none" w:sz="0" w:space="0" w:color="auto"/>
            <w:left w:val="none" w:sz="0" w:space="0" w:color="auto"/>
            <w:bottom w:val="none" w:sz="0" w:space="0" w:color="auto"/>
            <w:right w:val="none" w:sz="0" w:space="0" w:color="auto"/>
          </w:divBdr>
        </w:div>
        <w:div w:id="547106857">
          <w:marLeft w:val="0"/>
          <w:marRight w:val="0"/>
          <w:marTop w:val="0"/>
          <w:marBottom w:val="0"/>
          <w:divBdr>
            <w:top w:val="none" w:sz="0" w:space="0" w:color="auto"/>
            <w:left w:val="none" w:sz="0" w:space="0" w:color="auto"/>
            <w:bottom w:val="none" w:sz="0" w:space="0" w:color="auto"/>
            <w:right w:val="none" w:sz="0" w:space="0" w:color="auto"/>
          </w:divBdr>
        </w:div>
        <w:div w:id="566262855">
          <w:marLeft w:val="0"/>
          <w:marRight w:val="0"/>
          <w:marTop w:val="0"/>
          <w:marBottom w:val="0"/>
          <w:divBdr>
            <w:top w:val="none" w:sz="0" w:space="0" w:color="auto"/>
            <w:left w:val="none" w:sz="0" w:space="0" w:color="auto"/>
            <w:bottom w:val="none" w:sz="0" w:space="0" w:color="auto"/>
            <w:right w:val="none" w:sz="0" w:space="0" w:color="auto"/>
          </w:divBdr>
        </w:div>
        <w:div w:id="620305660">
          <w:marLeft w:val="0"/>
          <w:marRight w:val="0"/>
          <w:marTop w:val="0"/>
          <w:marBottom w:val="0"/>
          <w:divBdr>
            <w:top w:val="none" w:sz="0" w:space="0" w:color="auto"/>
            <w:left w:val="none" w:sz="0" w:space="0" w:color="auto"/>
            <w:bottom w:val="none" w:sz="0" w:space="0" w:color="auto"/>
            <w:right w:val="none" w:sz="0" w:space="0" w:color="auto"/>
          </w:divBdr>
        </w:div>
        <w:div w:id="758410115">
          <w:marLeft w:val="0"/>
          <w:marRight w:val="0"/>
          <w:marTop w:val="0"/>
          <w:marBottom w:val="0"/>
          <w:divBdr>
            <w:top w:val="none" w:sz="0" w:space="0" w:color="auto"/>
            <w:left w:val="none" w:sz="0" w:space="0" w:color="auto"/>
            <w:bottom w:val="none" w:sz="0" w:space="0" w:color="auto"/>
            <w:right w:val="none" w:sz="0" w:space="0" w:color="auto"/>
          </w:divBdr>
        </w:div>
        <w:div w:id="843739102">
          <w:marLeft w:val="0"/>
          <w:marRight w:val="0"/>
          <w:marTop w:val="0"/>
          <w:marBottom w:val="0"/>
          <w:divBdr>
            <w:top w:val="none" w:sz="0" w:space="0" w:color="auto"/>
            <w:left w:val="none" w:sz="0" w:space="0" w:color="auto"/>
            <w:bottom w:val="none" w:sz="0" w:space="0" w:color="auto"/>
            <w:right w:val="none" w:sz="0" w:space="0" w:color="auto"/>
          </w:divBdr>
        </w:div>
        <w:div w:id="915940532">
          <w:marLeft w:val="0"/>
          <w:marRight w:val="0"/>
          <w:marTop w:val="0"/>
          <w:marBottom w:val="0"/>
          <w:divBdr>
            <w:top w:val="none" w:sz="0" w:space="0" w:color="auto"/>
            <w:left w:val="none" w:sz="0" w:space="0" w:color="auto"/>
            <w:bottom w:val="none" w:sz="0" w:space="0" w:color="auto"/>
            <w:right w:val="none" w:sz="0" w:space="0" w:color="auto"/>
          </w:divBdr>
        </w:div>
        <w:div w:id="973020763">
          <w:marLeft w:val="0"/>
          <w:marRight w:val="0"/>
          <w:marTop w:val="0"/>
          <w:marBottom w:val="0"/>
          <w:divBdr>
            <w:top w:val="none" w:sz="0" w:space="0" w:color="auto"/>
            <w:left w:val="none" w:sz="0" w:space="0" w:color="auto"/>
            <w:bottom w:val="none" w:sz="0" w:space="0" w:color="auto"/>
            <w:right w:val="none" w:sz="0" w:space="0" w:color="auto"/>
          </w:divBdr>
        </w:div>
        <w:div w:id="1157917671">
          <w:marLeft w:val="0"/>
          <w:marRight w:val="0"/>
          <w:marTop w:val="0"/>
          <w:marBottom w:val="0"/>
          <w:divBdr>
            <w:top w:val="none" w:sz="0" w:space="0" w:color="auto"/>
            <w:left w:val="none" w:sz="0" w:space="0" w:color="auto"/>
            <w:bottom w:val="none" w:sz="0" w:space="0" w:color="auto"/>
            <w:right w:val="none" w:sz="0" w:space="0" w:color="auto"/>
          </w:divBdr>
        </w:div>
        <w:div w:id="1307392525">
          <w:marLeft w:val="0"/>
          <w:marRight w:val="0"/>
          <w:marTop w:val="0"/>
          <w:marBottom w:val="0"/>
          <w:divBdr>
            <w:top w:val="none" w:sz="0" w:space="0" w:color="auto"/>
            <w:left w:val="none" w:sz="0" w:space="0" w:color="auto"/>
            <w:bottom w:val="none" w:sz="0" w:space="0" w:color="auto"/>
            <w:right w:val="none" w:sz="0" w:space="0" w:color="auto"/>
          </w:divBdr>
        </w:div>
        <w:div w:id="1335260661">
          <w:marLeft w:val="0"/>
          <w:marRight w:val="0"/>
          <w:marTop w:val="0"/>
          <w:marBottom w:val="0"/>
          <w:divBdr>
            <w:top w:val="none" w:sz="0" w:space="0" w:color="auto"/>
            <w:left w:val="none" w:sz="0" w:space="0" w:color="auto"/>
            <w:bottom w:val="none" w:sz="0" w:space="0" w:color="auto"/>
            <w:right w:val="none" w:sz="0" w:space="0" w:color="auto"/>
          </w:divBdr>
        </w:div>
        <w:div w:id="1352537301">
          <w:marLeft w:val="0"/>
          <w:marRight w:val="0"/>
          <w:marTop w:val="0"/>
          <w:marBottom w:val="0"/>
          <w:divBdr>
            <w:top w:val="none" w:sz="0" w:space="0" w:color="auto"/>
            <w:left w:val="none" w:sz="0" w:space="0" w:color="auto"/>
            <w:bottom w:val="none" w:sz="0" w:space="0" w:color="auto"/>
            <w:right w:val="none" w:sz="0" w:space="0" w:color="auto"/>
          </w:divBdr>
        </w:div>
        <w:div w:id="1397044168">
          <w:marLeft w:val="0"/>
          <w:marRight w:val="0"/>
          <w:marTop w:val="0"/>
          <w:marBottom w:val="0"/>
          <w:divBdr>
            <w:top w:val="none" w:sz="0" w:space="0" w:color="auto"/>
            <w:left w:val="none" w:sz="0" w:space="0" w:color="auto"/>
            <w:bottom w:val="none" w:sz="0" w:space="0" w:color="auto"/>
            <w:right w:val="none" w:sz="0" w:space="0" w:color="auto"/>
          </w:divBdr>
        </w:div>
        <w:div w:id="1451121260">
          <w:marLeft w:val="0"/>
          <w:marRight w:val="0"/>
          <w:marTop w:val="0"/>
          <w:marBottom w:val="0"/>
          <w:divBdr>
            <w:top w:val="none" w:sz="0" w:space="0" w:color="auto"/>
            <w:left w:val="none" w:sz="0" w:space="0" w:color="auto"/>
            <w:bottom w:val="none" w:sz="0" w:space="0" w:color="auto"/>
            <w:right w:val="none" w:sz="0" w:space="0" w:color="auto"/>
          </w:divBdr>
        </w:div>
        <w:div w:id="1491754402">
          <w:marLeft w:val="0"/>
          <w:marRight w:val="0"/>
          <w:marTop w:val="0"/>
          <w:marBottom w:val="0"/>
          <w:divBdr>
            <w:top w:val="none" w:sz="0" w:space="0" w:color="auto"/>
            <w:left w:val="none" w:sz="0" w:space="0" w:color="auto"/>
            <w:bottom w:val="none" w:sz="0" w:space="0" w:color="auto"/>
            <w:right w:val="none" w:sz="0" w:space="0" w:color="auto"/>
          </w:divBdr>
        </w:div>
        <w:div w:id="1604994579">
          <w:marLeft w:val="0"/>
          <w:marRight w:val="0"/>
          <w:marTop w:val="0"/>
          <w:marBottom w:val="0"/>
          <w:divBdr>
            <w:top w:val="none" w:sz="0" w:space="0" w:color="auto"/>
            <w:left w:val="none" w:sz="0" w:space="0" w:color="auto"/>
            <w:bottom w:val="none" w:sz="0" w:space="0" w:color="auto"/>
            <w:right w:val="none" w:sz="0" w:space="0" w:color="auto"/>
          </w:divBdr>
        </w:div>
        <w:div w:id="1627347863">
          <w:marLeft w:val="0"/>
          <w:marRight w:val="0"/>
          <w:marTop w:val="0"/>
          <w:marBottom w:val="0"/>
          <w:divBdr>
            <w:top w:val="none" w:sz="0" w:space="0" w:color="auto"/>
            <w:left w:val="none" w:sz="0" w:space="0" w:color="auto"/>
            <w:bottom w:val="none" w:sz="0" w:space="0" w:color="auto"/>
            <w:right w:val="none" w:sz="0" w:space="0" w:color="auto"/>
          </w:divBdr>
        </w:div>
        <w:div w:id="1655377068">
          <w:marLeft w:val="0"/>
          <w:marRight w:val="0"/>
          <w:marTop w:val="0"/>
          <w:marBottom w:val="0"/>
          <w:divBdr>
            <w:top w:val="none" w:sz="0" w:space="0" w:color="auto"/>
            <w:left w:val="none" w:sz="0" w:space="0" w:color="auto"/>
            <w:bottom w:val="none" w:sz="0" w:space="0" w:color="auto"/>
            <w:right w:val="none" w:sz="0" w:space="0" w:color="auto"/>
          </w:divBdr>
        </w:div>
        <w:div w:id="1850868351">
          <w:marLeft w:val="0"/>
          <w:marRight w:val="0"/>
          <w:marTop w:val="0"/>
          <w:marBottom w:val="0"/>
          <w:divBdr>
            <w:top w:val="none" w:sz="0" w:space="0" w:color="auto"/>
            <w:left w:val="none" w:sz="0" w:space="0" w:color="auto"/>
            <w:bottom w:val="none" w:sz="0" w:space="0" w:color="auto"/>
            <w:right w:val="none" w:sz="0" w:space="0" w:color="auto"/>
          </w:divBdr>
        </w:div>
        <w:div w:id="1931962895">
          <w:marLeft w:val="0"/>
          <w:marRight w:val="0"/>
          <w:marTop w:val="0"/>
          <w:marBottom w:val="0"/>
          <w:divBdr>
            <w:top w:val="none" w:sz="0" w:space="0" w:color="auto"/>
            <w:left w:val="none" w:sz="0" w:space="0" w:color="auto"/>
            <w:bottom w:val="none" w:sz="0" w:space="0" w:color="auto"/>
            <w:right w:val="none" w:sz="0" w:space="0" w:color="auto"/>
          </w:divBdr>
        </w:div>
        <w:div w:id="1966934007">
          <w:marLeft w:val="0"/>
          <w:marRight w:val="0"/>
          <w:marTop w:val="0"/>
          <w:marBottom w:val="0"/>
          <w:divBdr>
            <w:top w:val="none" w:sz="0" w:space="0" w:color="auto"/>
            <w:left w:val="none" w:sz="0" w:space="0" w:color="auto"/>
            <w:bottom w:val="none" w:sz="0" w:space="0" w:color="auto"/>
            <w:right w:val="none" w:sz="0" w:space="0" w:color="auto"/>
          </w:divBdr>
        </w:div>
        <w:div w:id="1982005637">
          <w:marLeft w:val="0"/>
          <w:marRight w:val="0"/>
          <w:marTop w:val="0"/>
          <w:marBottom w:val="0"/>
          <w:divBdr>
            <w:top w:val="none" w:sz="0" w:space="0" w:color="auto"/>
            <w:left w:val="none" w:sz="0" w:space="0" w:color="auto"/>
            <w:bottom w:val="none" w:sz="0" w:space="0" w:color="auto"/>
            <w:right w:val="none" w:sz="0" w:space="0" w:color="auto"/>
          </w:divBdr>
        </w:div>
        <w:div w:id="1993874970">
          <w:marLeft w:val="0"/>
          <w:marRight w:val="0"/>
          <w:marTop w:val="0"/>
          <w:marBottom w:val="0"/>
          <w:divBdr>
            <w:top w:val="none" w:sz="0" w:space="0" w:color="auto"/>
            <w:left w:val="none" w:sz="0" w:space="0" w:color="auto"/>
            <w:bottom w:val="none" w:sz="0" w:space="0" w:color="auto"/>
            <w:right w:val="none" w:sz="0" w:space="0" w:color="auto"/>
          </w:divBdr>
        </w:div>
      </w:divsChild>
    </w:div>
    <w:div w:id="552927731">
      <w:bodyDiv w:val="1"/>
      <w:marLeft w:val="0"/>
      <w:marRight w:val="0"/>
      <w:marTop w:val="0"/>
      <w:marBottom w:val="0"/>
      <w:divBdr>
        <w:top w:val="none" w:sz="0" w:space="0" w:color="auto"/>
        <w:left w:val="none" w:sz="0" w:space="0" w:color="auto"/>
        <w:bottom w:val="none" w:sz="0" w:space="0" w:color="auto"/>
        <w:right w:val="none" w:sz="0" w:space="0" w:color="auto"/>
      </w:divBdr>
      <w:divsChild>
        <w:div w:id="1088305660">
          <w:marLeft w:val="0"/>
          <w:marRight w:val="0"/>
          <w:marTop w:val="0"/>
          <w:marBottom w:val="0"/>
          <w:divBdr>
            <w:top w:val="none" w:sz="0" w:space="0" w:color="auto"/>
            <w:left w:val="none" w:sz="0" w:space="0" w:color="auto"/>
            <w:bottom w:val="none" w:sz="0" w:space="0" w:color="auto"/>
            <w:right w:val="none" w:sz="0" w:space="0" w:color="auto"/>
          </w:divBdr>
        </w:div>
      </w:divsChild>
    </w:div>
    <w:div w:id="614364257">
      <w:bodyDiv w:val="1"/>
      <w:marLeft w:val="0"/>
      <w:marRight w:val="0"/>
      <w:marTop w:val="0"/>
      <w:marBottom w:val="0"/>
      <w:divBdr>
        <w:top w:val="none" w:sz="0" w:space="0" w:color="auto"/>
        <w:left w:val="none" w:sz="0" w:space="0" w:color="auto"/>
        <w:bottom w:val="none" w:sz="0" w:space="0" w:color="auto"/>
        <w:right w:val="none" w:sz="0" w:space="0" w:color="auto"/>
      </w:divBdr>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67392192">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31406153">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253197224">
      <w:bodyDiv w:val="1"/>
      <w:marLeft w:val="0"/>
      <w:marRight w:val="0"/>
      <w:marTop w:val="0"/>
      <w:marBottom w:val="0"/>
      <w:divBdr>
        <w:top w:val="none" w:sz="0" w:space="0" w:color="auto"/>
        <w:left w:val="none" w:sz="0" w:space="0" w:color="auto"/>
        <w:bottom w:val="none" w:sz="0" w:space="0" w:color="auto"/>
        <w:right w:val="none" w:sz="0" w:space="0" w:color="auto"/>
      </w:divBdr>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38987409">
      <w:bodyDiv w:val="1"/>
      <w:marLeft w:val="0"/>
      <w:marRight w:val="0"/>
      <w:marTop w:val="0"/>
      <w:marBottom w:val="0"/>
      <w:divBdr>
        <w:top w:val="none" w:sz="0" w:space="0" w:color="auto"/>
        <w:left w:val="none" w:sz="0" w:space="0" w:color="auto"/>
        <w:bottom w:val="none" w:sz="0" w:space="0" w:color="auto"/>
        <w:right w:val="none" w:sz="0" w:space="0" w:color="auto"/>
      </w:divBdr>
      <w:divsChild>
        <w:div w:id="20299149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08416253">
      <w:bodyDiv w:val="1"/>
      <w:marLeft w:val="0"/>
      <w:marRight w:val="0"/>
      <w:marTop w:val="0"/>
      <w:marBottom w:val="0"/>
      <w:divBdr>
        <w:top w:val="none" w:sz="0" w:space="0" w:color="auto"/>
        <w:left w:val="none" w:sz="0" w:space="0" w:color="auto"/>
        <w:bottom w:val="none" w:sz="0" w:space="0" w:color="auto"/>
        <w:right w:val="none" w:sz="0" w:space="0" w:color="auto"/>
      </w:divBdr>
      <w:divsChild>
        <w:div w:id="2243643">
          <w:marLeft w:val="0"/>
          <w:marRight w:val="0"/>
          <w:marTop w:val="0"/>
          <w:marBottom w:val="0"/>
          <w:divBdr>
            <w:top w:val="none" w:sz="0" w:space="0" w:color="auto"/>
            <w:left w:val="none" w:sz="0" w:space="0" w:color="auto"/>
            <w:bottom w:val="none" w:sz="0" w:space="0" w:color="auto"/>
            <w:right w:val="none" w:sz="0" w:space="0" w:color="auto"/>
          </w:divBdr>
        </w:div>
        <w:div w:id="15472902">
          <w:marLeft w:val="0"/>
          <w:marRight w:val="0"/>
          <w:marTop w:val="0"/>
          <w:marBottom w:val="0"/>
          <w:divBdr>
            <w:top w:val="none" w:sz="0" w:space="0" w:color="auto"/>
            <w:left w:val="none" w:sz="0" w:space="0" w:color="auto"/>
            <w:bottom w:val="none" w:sz="0" w:space="0" w:color="auto"/>
            <w:right w:val="none" w:sz="0" w:space="0" w:color="auto"/>
          </w:divBdr>
        </w:div>
        <w:div w:id="31196249">
          <w:marLeft w:val="0"/>
          <w:marRight w:val="0"/>
          <w:marTop w:val="0"/>
          <w:marBottom w:val="0"/>
          <w:divBdr>
            <w:top w:val="none" w:sz="0" w:space="0" w:color="auto"/>
            <w:left w:val="none" w:sz="0" w:space="0" w:color="auto"/>
            <w:bottom w:val="none" w:sz="0" w:space="0" w:color="auto"/>
            <w:right w:val="none" w:sz="0" w:space="0" w:color="auto"/>
          </w:divBdr>
        </w:div>
        <w:div w:id="42677558">
          <w:marLeft w:val="0"/>
          <w:marRight w:val="0"/>
          <w:marTop w:val="0"/>
          <w:marBottom w:val="0"/>
          <w:divBdr>
            <w:top w:val="none" w:sz="0" w:space="0" w:color="auto"/>
            <w:left w:val="none" w:sz="0" w:space="0" w:color="auto"/>
            <w:bottom w:val="none" w:sz="0" w:space="0" w:color="auto"/>
            <w:right w:val="none" w:sz="0" w:space="0" w:color="auto"/>
          </w:divBdr>
        </w:div>
        <w:div w:id="105396996">
          <w:marLeft w:val="0"/>
          <w:marRight w:val="0"/>
          <w:marTop w:val="0"/>
          <w:marBottom w:val="0"/>
          <w:divBdr>
            <w:top w:val="none" w:sz="0" w:space="0" w:color="auto"/>
            <w:left w:val="none" w:sz="0" w:space="0" w:color="auto"/>
            <w:bottom w:val="none" w:sz="0" w:space="0" w:color="auto"/>
            <w:right w:val="none" w:sz="0" w:space="0" w:color="auto"/>
          </w:divBdr>
        </w:div>
        <w:div w:id="113142316">
          <w:marLeft w:val="0"/>
          <w:marRight w:val="0"/>
          <w:marTop w:val="0"/>
          <w:marBottom w:val="0"/>
          <w:divBdr>
            <w:top w:val="none" w:sz="0" w:space="0" w:color="auto"/>
            <w:left w:val="none" w:sz="0" w:space="0" w:color="auto"/>
            <w:bottom w:val="none" w:sz="0" w:space="0" w:color="auto"/>
            <w:right w:val="none" w:sz="0" w:space="0" w:color="auto"/>
          </w:divBdr>
        </w:div>
        <w:div w:id="130486869">
          <w:marLeft w:val="0"/>
          <w:marRight w:val="0"/>
          <w:marTop w:val="0"/>
          <w:marBottom w:val="0"/>
          <w:divBdr>
            <w:top w:val="none" w:sz="0" w:space="0" w:color="auto"/>
            <w:left w:val="none" w:sz="0" w:space="0" w:color="auto"/>
            <w:bottom w:val="none" w:sz="0" w:space="0" w:color="auto"/>
            <w:right w:val="none" w:sz="0" w:space="0" w:color="auto"/>
          </w:divBdr>
        </w:div>
        <w:div w:id="279148920">
          <w:marLeft w:val="0"/>
          <w:marRight w:val="0"/>
          <w:marTop w:val="0"/>
          <w:marBottom w:val="0"/>
          <w:divBdr>
            <w:top w:val="none" w:sz="0" w:space="0" w:color="auto"/>
            <w:left w:val="none" w:sz="0" w:space="0" w:color="auto"/>
            <w:bottom w:val="none" w:sz="0" w:space="0" w:color="auto"/>
            <w:right w:val="none" w:sz="0" w:space="0" w:color="auto"/>
          </w:divBdr>
        </w:div>
        <w:div w:id="326594868">
          <w:marLeft w:val="0"/>
          <w:marRight w:val="0"/>
          <w:marTop w:val="0"/>
          <w:marBottom w:val="0"/>
          <w:divBdr>
            <w:top w:val="none" w:sz="0" w:space="0" w:color="auto"/>
            <w:left w:val="none" w:sz="0" w:space="0" w:color="auto"/>
            <w:bottom w:val="none" w:sz="0" w:space="0" w:color="auto"/>
            <w:right w:val="none" w:sz="0" w:space="0" w:color="auto"/>
          </w:divBdr>
        </w:div>
        <w:div w:id="555094537">
          <w:marLeft w:val="0"/>
          <w:marRight w:val="0"/>
          <w:marTop w:val="0"/>
          <w:marBottom w:val="0"/>
          <w:divBdr>
            <w:top w:val="none" w:sz="0" w:space="0" w:color="auto"/>
            <w:left w:val="none" w:sz="0" w:space="0" w:color="auto"/>
            <w:bottom w:val="none" w:sz="0" w:space="0" w:color="auto"/>
            <w:right w:val="none" w:sz="0" w:space="0" w:color="auto"/>
          </w:divBdr>
        </w:div>
        <w:div w:id="568267721">
          <w:marLeft w:val="0"/>
          <w:marRight w:val="0"/>
          <w:marTop w:val="0"/>
          <w:marBottom w:val="0"/>
          <w:divBdr>
            <w:top w:val="none" w:sz="0" w:space="0" w:color="auto"/>
            <w:left w:val="none" w:sz="0" w:space="0" w:color="auto"/>
            <w:bottom w:val="none" w:sz="0" w:space="0" w:color="auto"/>
            <w:right w:val="none" w:sz="0" w:space="0" w:color="auto"/>
          </w:divBdr>
        </w:div>
        <w:div w:id="624384525">
          <w:marLeft w:val="0"/>
          <w:marRight w:val="0"/>
          <w:marTop w:val="0"/>
          <w:marBottom w:val="0"/>
          <w:divBdr>
            <w:top w:val="none" w:sz="0" w:space="0" w:color="auto"/>
            <w:left w:val="none" w:sz="0" w:space="0" w:color="auto"/>
            <w:bottom w:val="none" w:sz="0" w:space="0" w:color="auto"/>
            <w:right w:val="none" w:sz="0" w:space="0" w:color="auto"/>
          </w:divBdr>
        </w:div>
        <w:div w:id="831414689">
          <w:marLeft w:val="0"/>
          <w:marRight w:val="0"/>
          <w:marTop w:val="0"/>
          <w:marBottom w:val="0"/>
          <w:divBdr>
            <w:top w:val="none" w:sz="0" w:space="0" w:color="auto"/>
            <w:left w:val="none" w:sz="0" w:space="0" w:color="auto"/>
            <w:bottom w:val="none" w:sz="0" w:space="0" w:color="auto"/>
            <w:right w:val="none" w:sz="0" w:space="0" w:color="auto"/>
          </w:divBdr>
        </w:div>
        <w:div w:id="841625712">
          <w:marLeft w:val="0"/>
          <w:marRight w:val="0"/>
          <w:marTop w:val="0"/>
          <w:marBottom w:val="0"/>
          <w:divBdr>
            <w:top w:val="none" w:sz="0" w:space="0" w:color="auto"/>
            <w:left w:val="none" w:sz="0" w:space="0" w:color="auto"/>
            <w:bottom w:val="none" w:sz="0" w:space="0" w:color="auto"/>
            <w:right w:val="none" w:sz="0" w:space="0" w:color="auto"/>
          </w:divBdr>
        </w:div>
        <w:div w:id="975793350">
          <w:marLeft w:val="0"/>
          <w:marRight w:val="0"/>
          <w:marTop w:val="0"/>
          <w:marBottom w:val="0"/>
          <w:divBdr>
            <w:top w:val="none" w:sz="0" w:space="0" w:color="auto"/>
            <w:left w:val="none" w:sz="0" w:space="0" w:color="auto"/>
            <w:bottom w:val="none" w:sz="0" w:space="0" w:color="auto"/>
            <w:right w:val="none" w:sz="0" w:space="0" w:color="auto"/>
          </w:divBdr>
        </w:div>
        <w:div w:id="1089935466">
          <w:marLeft w:val="0"/>
          <w:marRight w:val="0"/>
          <w:marTop w:val="0"/>
          <w:marBottom w:val="0"/>
          <w:divBdr>
            <w:top w:val="none" w:sz="0" w:space="0" w:color="auto"/>
            <w:left w:val="none" w:sz="0" w:space="0" w:color="auto"/>
            <w:bottom w:val="none" w:sz="0" w:space="0" w:color="auto"/>
            <w:right w:val="none" w:sz="0" w:space="0" w:color="auto"/>
          </w:divBdr>
        </w:div>
        <w:div w:id="1090345977">
          <w:marLeft w:val="0"/>
          <w:marRight w:val="0"/>
          <w:marTop w:val="0"/>
          <w:marBottom w:val="0"/>
          <w:divBdr>
            <w:top w:val="none" w:sz="0" w:space="0" w:color="auto"/>
            <w:left w:val="none" w:sz="0" w:space="0" w:color="auto"/>
            <w:bottom w:val="none" w:sz="0" w:space="0" w:color="auto"/>
            <w:right w:val="none" w:sz="0" w:space="0" w:color="auto"/>
          </w:divBdr>
        </w:div>
        <w:div w:id="1187670735">
          <w:marLeft w:val="0"/>
          <w:marRight w:val="0"/>
          <w:marTop w:val="0"/>
          <w:marBottom w:val="0"/>
          <w:divBdr>
            <w:top w:val="none" w:sz="0" w:space="0" w:color="auto"/>
            <w:left w:val="none" w:sz="0" w:space="0" w:color="auto"/>
            <w:bottom w:val="none" w:sz="0" w:space="0" w:color="auto"/>
            <w:right w:val="none" w:sz="0" w:space="0" w:color="auto"/>
          </w:divBdr>
        </w:div>
        <w:div w:id="1232735108">
          <w:marLeft w:val="0"/>
          <w:marRight w:val="0"/>
          <w:marTop w:val="0"/>
          <w:marBottom w:val="0"/>
          <w:divBdr>
            <w:top w:val="none" w:sz="0" w:space="0" w:color="auto"/>
            <w:left w:val="none" w:sz="0" w:space="0" w:color="auto"/>
            <w:bottom w:val="none" w:sz="0" w:space="0" w:color="auto"/>
            <w:right w:val="none" w:sz="0" w:space="0" w:color="auto"/>
          </w:divBdr>
        </w:div>
        <w:div w:id="1313490068">
          <w:marLeft w:val="0"/>
          <w:marRight w:val="0"/>
          <w:marTop w:val="0"/>
          <w:marBottom w:val="0"/>
          <w:divBdr>
            <w:top w:val="none" w:sz="0" w:space="0" w:color="auto"/>
            <w:left w:val="none" w:sz="0" w:space="0" w:color="auto"/>
            <w:bottom w:val="none" w:sz="0" w:space="0" w:color="auto"/>
            <w:right w:val="none" w:sz="0" w:space="0" w:color="auto"/>
          </w:divBdr>
        </w:div>
        <w:div w:id="1369649037">
          <w:marLeft w:val="0"/>
          <w:marRight w:val="0"/>
          <w:marTop w:val="0"/>
          <w:marBottom w:val="0"/>
          <w:divBdr>
            <w:top w:val="none" w:sz="0" w:space="0" w:color="auto"/>
            <w:left w:val="none" w:sz="0" w:space="0" w:color="auto"/>
            <w:bottom w:val="none" w:sz="0" w:space="0" w:color="auto"/>
            <w:right w:val="none" w:sz="0" w:space="0" w:color="auto"/>
          </w:divBdr>
        </w:div>
        <w:div w:id="1394425050">
          <w:marLeft w:val="0"/>
          <w:marRight w:val="0"/>
          <w:marTop w:val="0"/>
          <w:marBottom w:val="0"/>
          <w:divBdr>
            <w:top w:val="none" w:sz="0" w:space="0" w:color="auto"/>
            <w:left w:val="none" w:sz="0" w:space="0" w:color="auto"/>
            <w:bottom w:val="none" w:sz="0" w:space="0" w:color="auto"/>
            <w:right w:val="none" w:sz="0" w:space="0" w:color="auto"/>
          </w:divBdr>
        </w:div>
        <w:div w:id="1410812255">
          <w:marLeft w:val="0"/>
          <w:marRight w:val="0"/>
          <w:marTop w:val="0"/>
          <w:marBottom w:val="0"/>
          <w:divBdr>
            <w:top w:val="none" w:sz="0" w:space="0" w:color="auto"/>
            <w:left w:val="none" w:sz="0" w:space="0" w:color="auto"/>
            <w:bottom w:val="none" w:sz="0" w:space="0" w:color="auto"/>
            <w:right w:val="none" w:sz="0" w:space="0" w:color="auto"/>
          </w:divBdr>
        </w:div>
        <w:div w:id="1460535329">
          <w:marLeft w:val="0"/>
          <w:marRight w:val="0"/>
          <w:marTop w:val="0"/>
          <w:marBottom w:val="0"/>
          <w:divBdr>
            <w:top w:val="none" w:sz="0" w:space="0" w:color="auto"/>
            <w:left w:val="none" w:sz="0" w:space="0" w:color="auto"/>
            <w:bottom w:val="none" w:sz="0" w:space="0" w:color="auto"/>
            <w:right w:val="none" w:sz="0" w:space="0" w:color="auto"/>
          </w:divBdr>
        </w:div>
        <w:div w:id="1723165268">
          <w:marLeft w:val="0"/>
          <w:marRight w:val="0"/>
          <w:marTop w:val="0"/>
          <w:marBottom w:val="0"/>
          <w:divBdr>
            <w:top w:val="none" w:sz="0" w:space="0" w:color="auto"/>
            <w:left w:val="none" w:sz="0" w:space="0" w:color="auto"/>
            <w:bottom w:val="none" w:sz="0" w:space="0" w:color="auto"/>
            <w:right w:val="none" w:sz="0" w:space="0" w:color="auto"/>
          </w:divBdr>
        </w:div>
        <w:div w:id="1824468491">
          <w:marLeft w:val="0"/>
          <w:marRight w:val="0"/>
          <w:marTop w:val="0"/>
          <w:marBottom w:val="0"/>
          <w:divBdr>
            <w:top w:val="none" w:sz="0" w:space="0" w:color="auto"/>
            <w:left w:val="none" w:sz="0" w:space="0" w:color="auto"/>
            <w:bottom w:val="none" w:sz="0" w:space="0" w:color="auto"/>
            <w:right w:val="none" w:sz="0" w:space="0" w:color="auto"/>
          </w:divBdr>
        </w:div>
        <w:div w:id="1991473381">
          <w:marLeft w:val="0"/>
          <w:marRight w:val="0"/>
          <w:marTop w:val="0"/>
          <w:marBottom w:val="0"/>
          <w:divBdr>
            <w:top w:val="none" w:sz="0" w:space="0" w:color="auto"/>
            <w:left w:val="none" w:sz="0" w:space="0" w:color="auto"/>
            <w:bottom w:val="none" w:sz="0" w:space="0" w:color="auto"/>
            <w:right w:val="none" w:sz="0" w:space="0" w:color="auto"/>
          </w:divBdr>
        </w:div>
        <w:div w:id="2068382132">
          <w:marLeft w:val="0"/>
          <w:marRight w:val="0"/>
          <w:marTop w:val="0"/>
          <w:marBottom w:val="0"/>
          <w:divBdr>
            <w:top w:val="none" w:sz="0" w:space="0" w:color="auto"/>
            <w:left w:val="none" w:sz="0" w:space="0" w:color="auto"/>
            <w:bottom w:val="none" w:sz="0" w:space="0" w:color="auto"/>
            <w:right w:val="none" w:sz="0" w:space="0" w:color="auto"/>
          </w:divBdr>
        </w:div>
        <w:div w:id="2142185683">
          <w:marLeft w:val="0"/>
          <w:marRight w:val="0"/>
          <w:marTop w:val="0"/>
          <w:marBottom w:val="0"/>
          <w:divBdr>
            <w:top w:val="none" w:sz="0" w:space="0" w:color="auto"/>
            <w:left w:val="none" w:sz="0" w:space="0" w:color="auto"/>
            <w:bottom w:val="none" w:sz="0" w:space="0" w:color="auto"/>
            <w:right w:val="none" w:sz="0" w:space="0" w:color="auto"/>
          </w:divBdr>
        </w:div>
      </w:divsChild>
    </w:div>
    <w:div w:id="1965039361">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Jurga Eivaitė</DisplayName>
        <AccountId>12</AccountId>
        <AccountType/>
      </UserInfo>
      <UserInfo>
        <DisplayName>Matas Noreika</DisplayName>
        <AccountId>108</AccountId>
        <AccountType/>
      </UserInfo>
      <UserInfo>
        <DisplayName>Tomas Maldeikis</DisplayName>
        <AccountId>144</AccountId>
        <AccountType/>
      </UserInfo>
      <UserInfo>
        <DisplayName>Darius Zagorskis</DisplayName>
        <AccountId>145</AccountId>
        <AccountType/>
      </UserInfo>
      <UserInfo>
        <DisplayName>Vytautas Tauras</DisplayName>
        <AccountId>146</AccountId>
        <AccountType/>
      </UserInfo>
      <UserInfo>
        <DisplayName>Mantas Bieliauskas</DisplayName>
        <AccountId>21</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6" ma:contentTypeDescription="Kurkite naują dokumentą." ma:contentTypeScope="" ma:versionID="884912ff9a7cfbc7d9d9c04d33a57fb6">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7d35bc1f6e4f0b99aba6fea7f3d1a05f"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C2027-23EA-4DD4-802E-AE8DCBEE4F43}">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customXml/itemProps2.xml><?xml version="1.0" encoding="utf-8"?>
<ds:datastoreItem xmlns:ds="http://schemas.openxmlformats.org/officeDocument/2006/customXml" ds:itemID="{7B4F8256-5BAA-4A49-BB55-767830F4D058}">
  <ds:schemaRefs>
    <ds:schemaRef ds:uri="http://schemas.microsoft.com/sharepoint/v3/contenttype/forms"/>
  </ds:schemaRefs>
</ds:datastoreItem>
</file>

<file path=customXml/itemProps3.xml><?xml version="1.0" encoding="utf-8"?>
<ds:datastoreItem xmlns:ds="http://schemas.openxmlformats.org/officeDocument/2006/customXml" ds:itemID="{6516D483-F533-43B5-95A6-A892D0B9620D}">
  <ds:schemaRefs>
    <ds:schemaRef ds:uri="http://schemas.openxmlformats.org/officeDocument/2006/bibliography"/>
  </ds:schemaRefs>
</ds:datastoreItem>
</file>

<file path=customXml/itemProps4.xml><?xml version="1.0" encoding="utf-8"?>
<ds:datastoreItem xmlns:ds="http://schemas.openxmlformats.org/officeDocument/2006/customXml" ds:itemID="{E92F9B97-51C8-4FF2-BF9A-A84DAFD27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Jurga Eivaitė</cp:lastModifiedBy>
  <cp:revision>2</cp:revision>
  <dcterms:created xsi:type="dcterms:W3CDTF">2023-02-06T14:44:00Z</dcterms:created>
  <dcterms:modified xsi:type="dcterms:W3CDTF">2023-02-06T14:44:00Z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2021-11-15T07:20:54Z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f146e647-1e1b-4d5c-8500-d75d46ed79fc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