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8665"/>
      </w:tblGrid>
      <w:tr w:rsidR="00FC307F" w:rsidRPr="008C147B" w14:paraId="1D54DAC9" w14:textId="77777777" w:rsidTr="00B40D8E">
        <w:tc>
          <w:tcPr>
            <w:tcW w:w="803" w:type="dxa"/>
          </w:tcPr>
          <w:p w14:paraId="31DB8168" w14:textId="77777777" w:rsidR="00FC307F" w:rsidRPr="008C147B" w:rsidRDefault="00FC307F" w:rsidP="00B40D8E">
            <w:pPr>
              <w:spacing w:line="240" w:lineRule="exact"/>
              <w:jc w:val="center"/>
              <w:rPr>
                <w:b/>
                <w:lang w:val="en-US"/>
              </w:rPr>
            </w:pPr>
          </w:p>
        </w:tc>
        <w:tc>
          <w:tcPr>
            <w:tcW w:w="8665" w:type="dxa"/>
          </w:tcPr>
          <w:p w14:paraId="4D003DEF" w14:textId="77777777" w:rsidR="00FC307F" w:rsidRPr="008C147B" w:rsidRDefault="00FC307F" w:rsidP="00B40D8E">
            <w:pPr>
              <w:spacing w:line="240" w:lineRule="exact"/>
              <w:jc w:val="center"/>
            </w:pPr>
          </w:p>
        </w:tc>
      </w:tr>
    </w:tbl>
    <w:p w14:paraId="5B5A0624" w14:textId="77777777" w:rsidR="00FC307F" w:rsidRPr="008C147B" w:rsidRDefault="00FC307F" w:rsidP="00FC307F">
      <w:pPr>
        <w:jc w:val="both"/>
      </w:pPr>
    </w:p>
    <w:p w14:paraId="27AA8AF7" w14:textId="4F349A6D" w:rsidR="00FC307F" w:rsidRPr="008C147B" w:rsidRDefault="00FC307F" w:rsidP="00FC307F">
      <w:pPr>
        <w:jc w:val="both"/>
        <w:rPr>
          <w:b/>
          <w:bCs/>
        </w:rPr>
      </w:pPr>
      <w:r w:rsidRPr="008C147B">
        <w:rPr>
          <w:b/>
          <w:bCs/>
        </w:rPr>
        <w:t>NESKIRTA TIESIOGIAI ARBA NETIESIOGIAI PLATINTI ARBA SKELBTI VISA APIMTIMI ARBA IŠ DALIES JUNGTINĖSE AMERIKOS VALSTIJOSE, KANADOJE, AUSTRALIJOJE ARBA JAPONIJOJE ARBA BET KURIOJE KITOJE JURISDIKCIJOJE, KURIOJE TOKS PLATINIMAS ARBA PASKELBIMAS BŪTŲ NETEISĖTAS. TAIKOMI IR KITI APRIBOJIMAI. ŽR. SVARBŲ ĮSPĖJIMĄ LAIŠKO PABAIGOJE</w:t>
      </w:r>
    </w:p>
    <w:p w14:paraId="3CDF72E7" w14:textId="77777777" w:rsidR="00455131" w:rsidRPr="008C147B" w:rsidRDefault="00455131" w:rsidP="00FC307F">
      <w:pPr>
        <w:jc w:val="both"/>
      </w:pPr>
    </w:p>
    <w:p w14:paraId="54A1F12F" w14:textId="77777777" w:rsidR="00FC307F" w:rsidRPr="008C147B" w:rsidRDefault="00FC307F" w:rsidP="00FC307F">
      <w:pPr>
        <w:jc w:val="center"/>
      </w:pPr>
    </w:p>
    <w:p w14:paraId="63AE6E8A" w14:textId="309D6306" w:rsidR="00FC307F" w:rsidRPr="008C147B" w:rsidRDefault="00FC307F" w:rsidP="00FC307F">
      <w:pPr>
        <w:jc w:val="right"/>
      </w:pPr>
      <w:r w:rsidRPr="008C147B" w:rsidDel="00027068">
        <w:t xml:space="preserve"> </w:t>
      </w:r>
      <w:r w:rsidRPr="008C147B">
        <w:t xml:space="preserve">2019 m. lapkričio </w:t>
      </w:r>
      <w:r w:rsidR="005E0747" w:rsidRPr="00A02DAC">
        <w:t>22</w:t>
      </w:r>
      <w:r w:rsidR="005E0747" w:rsidRPr="008C147B">
        <w:t xml:space="preserve"> </w:t>
      </w:r>
      <w:r w:rsidRPr="008C147B">
        <w:t>d.</w:t>
      </w:r>
      <w:r w:rsidRPr="008C147B" w:rsidDel="00FC227E">
        <w:t xml:space="preserve"> </w:t>
      </w:r>
    </w:p>
    <w:p w14:paraId="35D39580" w14:textId="77777777" w:rsidR="00FC307F" w:rsidRPr="008C147B" w:rsidRDefault="00FC307F" w:rsidP="00FC307F">
      <w:pPr>
        <w:rPr>
          <w:b/>
          <w:bCs/>
        </w:rPr>
      </w:pPr>
    </w:p>
    <w:p w14:paraId="111B2286" w14:textId="17095787" w:rsidR="00FC307F" w:rsidRPr="008C147B" w:rsidRDefault="005E0747" w:rsidP="00FC307F">
      <w:pPr>
        <w:jc w:val="both"/>
        <w:rPr>
          <w:b/>
          <w:bCs/>
        </w:rPr>
      </w:pPr>
      <w:r w:rsidRPr="008C147B">
        <w:rPr>
          <w:b/>
          <w:bCs/>
        </w:rPr>
        <w:t xml:space="preserve">Dėl </w:t>
      </w:r>
      <w:r w:rsidR="00FA08AA">
        <w:rPr>
          <w:b/>
          <w:bCs/>
        </w:rPr>
        <w:t xml:space="preserve">dalies </w:t>
      </w:r>
      <w:r w:rsidR="00FC307F" w:rsidRPr="008C147B">
        <w:rPr>
          <w:b/>
          <w:bCs/>
        </w:rPr>
        <w:t>AB “Novaturas”</w:t>
      </w:r>
      <w:r w:rsidR="00FA08AA">
        <w:rPr>
          <w:b/>
          <w:bCs/>
        </w:rPr>
        <w:t xml:space="preserve"> </w:t>
      </w:r>
      <w:r w:rsidR="00FC307F" w:rsidRPr="008C147B">
        <w:rPr>
          <w:b/>
          <w:bCs/>
        </w:rPr>
        <w:t>akcijų pardavimo rezultat</w:t>
      </w:r>
      <w:r w:rsidRPr="008C147B">
        <w:rPr>
          <w:b/>
          <w:bCs/>
        </w:rPr>
        <w:t>ų</w:t>
      </w:r>
    </w:p>
    <w:p w14:paraId="59082C0B" w14:textId="77777777" w:rsidR="00FC307F" w:rsidRPr="008C147B" w:rsidRDefault="00FC307F" w:rsidP="00FC307F"/>
    <w:p w14:paraId="298E9922" w14:textId="50AA4247" w:rsidR="00FC307F" w:rsidRPr="008C147B" w:rsidRDefault="00FC307F" w:rsidP="00FC307F">
      <w:pPr>
        <w:jc w:val="both"/>
      </w:pPr>
      <w:r w:rsidRPr="008C147B">
        <w:t xml:space="preserve">Atsižvelgdami į 2019 m. lapkričio 20 d. pateiktą pranešimą </w:t>
      </w:r>
      <w:r w:rsidRPr="008C147B">
        <w:rPr>
          <w:i/>
          <w:iCs/>
        </w:rPr>
        <w:t>Dėl Central European Tour Operator S.a.r.l.  turimų AB „Novaturas“ akcijų pardavimo proceso pradžios</w:t>
      </w:r>
      <w:r w:rsidRPr="008C147B">
        <w:t>, informuojame, kad Central European Tour Operator S.a.r.l</w:t>
      </w:r>
      <w:r w:rsidR="00FD5B18" w:rsidRPr="008C147B">
        <w:t>.</w:t>
      </w:r>
      <w:r w:rsidRPr="008C147B">
        <w:t xml:space="preserve"> </w:t>
      </w:r>
      <w:r w:rsidR="005E0747" w:rsidRPr="008C147B">
        <w:t xml:space="preserve">išplatino </w:t>
      </w:r>
      <w:r w:rsidR="00D42540">
        <w:t>904</w:t>
      </w:r>
      <w:r w:rsidR="00A02DAC">
        <w:t> </w:t>
      </w:r>
      <w:r w:rsidR="00D42540">
        <w:t>745</w:t>
      </w:r>
      <w:r w:rsidR="00CA0942" w:rsidRPr="008C147B">
        <w:t xml:space="preserve"> vienetus</w:t>
      </w:r>
      <w:r w:rsidR="005E0747" w:rsidRPr="008C147B">
        <w:t xml:space="preserve"> </w:t>
      </w:r>
      <w:r w:rsidRPr="008C147B">
        <w:t xml:space="preserve">AB „Novaturas“, juridinio asmens kodas 135567698, registruotos adresu A. Mickevičiaus g. 27, Kaunas, Lietuva (toliau – </w:t>
      </w:r>
      <w:r w:rsidRPr="008C147B">
        <w:rPr>
          <w:b/>
          <w:bCs/>
        </w:rPr>
        <w:t>Bendrovė</w:t>
      </w:r>
      <w:r w:rsidRPr="008C147B">
        <w:t>) akcij</w:t>
      </w:r>
      <w:r w:rsidR="001A01B9" w:rsidRPr="008C147B">
        <w:t>ų</w:t>
      </w:r>
      <w:r w:rsidR="00454B1D" w:rsidRPr="008C147B">
        <w:t>,</w:t>
      </w:r>
      <w:r w:rsidR="00025BEB" w:rsidRPr="008C147B">
        <w:t xml:space="preserve"> </w:t>
      </w:r>
      <w:r w:rsidR="005E0747" w:rsidRPr="008C147B">
        <w:t xml:space="preserve">kurios sudaro </w:t>
      </w:r>
      <w:r w:rsidR="00D42540">
        <w:t>11,59</w:t>
      </w:r>
      <w:bookmarkStart w:id="0" w:name="_GoBack"/>
      <w:bookmarkEnd w:id="0"/>
      <w:r w:rsidR="005E0747" w:rsidRPr="008C147B">
        <w:t>% Bendrovės įstatinio kapitalo</w:t>
      </w:r>
      <w:r w:rsidR="008C147B" w:rsidRPr="008C147B">
        <w:t xml:space="preserve"> (toliau – </w:t>
      </w:r>
      <w:r w:rsidR="008C147B" w:rsidRPr="008C147B">
        <w:rPr>
          <w:b/>
          <w:bCs/>
        </w:rPr>
        <w:t>Akcijos</w:t>
      </w:r>
      <w:r w:rsidR="008C147B" w:rsidRPr="008C147B">
        <w:t>)</w:t>
      </w:r>
      <w:r w:rsidR="005E0747" w:rsidRPr="008C147B">
        <w:t xml:space="preserve">, </w:t>
      </w:r>
      <w:r w:rsidR="008C147B" w:rsidRPr="008C147B">
        <w:t>A</w:t>
      </w:r>
      <w:r w:rsidR="00025BEB" w:rsidRPr="008C147B">
        <w:t>kcij</w:t>
      </w:r>
      <w:r w:rsidR="0097428E" w:rsidRPr="008C147B">
        <w:t>os</w:t>
      </w:r>
      <w:r w:rsidR="00454B1D" w:rsidRPr="008C147B">
        <w:t xml:space="preserve"> vieneto kaina </w:t>
      </w:r>
      <w:r w:rsidR="00A02DAC">
        <w:t>4</w:t>
      </w:r>
      <w:r w:rsidR="00A02DAC" w:rsidRPr="008C147B">
        <w:t xml:space="preserve"> </w:t>
      </w:r>
      <w:r w:rsidR="00454B1D" w:rsidRPr="008C147B">
        <w:t>E</w:t>
      </w:r>
      <w:r w:rsidR="005E0747" w:rsidRPr="008C147B">
        <w:t>UR</w:t>
      </w:r>
      <w:r w:rsidR="00BC0EE2">
        <w:t xml:space="preserve"> (keturi eurai)</w:t>
      </w:r>
      <w:r w:rsidR="00025BEB" w:rsidRPr="008C147B">
        <w:t>,</w:t>
      </w:r>
      <w:r w:rsidR="00454B1D" w:rsidRPr="008C147B">
        <w:t xml:space="preserve"> </w:t>
      </w:r>
      <w:r w:rsidR="00367C69" w:rsidRPr="008C147B">
        <w:t xml:space="preserve">už </w:t>
      </w:r>
      <w:r w:rsidR="001A01B9" w:rsidRPr="008C147B">
        <w:t xml:space="preserve">apytiksliai bendrą </w:t>
      </w:r>
      <w:r w:rsidR="00A02DAC">
        <w:t>3</w:t>
      </w:r>
      <w:r w:rsidR="00BC0EE2">
        <w:t>,</w:t>
      </w:r>
      <w:r w:rsidR="00A02DAC">
        <w:t>6</w:t>
      </w:r>
      <w:r w:rsidR="00BC0EE2">
        <w:t xml:space="preserve"> milijono</w:t>
      </w:r>
      <w:r w:rsidR="00A02DAC" w:rsidRPr="008C147B">
        <w:t xml:space="preserve"> </w:t>
      </w:r>
      <w:r w:rsidR="00BC0EE2">
        <w:t>eurų</w:t>
      </w:r>
      <w:r w:rsidR="001A01B9" w:rsidRPr="008C147B">
        <w:t xml:space="preserve"> sumą</w:t>
      </w:r>
      <w:r w:rsidR="00EB081E" w:rsidRPr="008C147B">
        <w:t>.</w:t>
      </w:r>
    </w:p>
    <w:p w14:paraId="69E2FA1B" w14:textId="43A1C536" w:rsidR="00EB081E" w:rsidRPr="008C147B" w:rsidRDefault="00EB081E" w:rsidP="00FC307F">
      <w:pPr>
        <w:jc w:val="both"/>
      </w:pPr>
    </w:p>
    <w:p w14:paraId="0F062A6C" w14:textId="0772113C" w:rsidR="00EB081E" w:rsidRPr="008C147B" w:rsidRDefault="007743C9" w:rsidP="006A0F25">
      <w:pPr>
        <w:pStyle w:val="Default"/>
        <w:jc w:val="both"/>
        <w:rPr>
          <w:sz w:val="20"/>
          <w:szCs w:val="20"/>
        </w:rPr>
      </w:pPr>
      <w:r>
        <w:rPr>
          <w:sz w:val="20"/>
          <w:szCs w:val="20"/>
        </w:rPr>
        <w:t>P</w:t>
      </w:r>
      <w:r w:rsidR="00EB081E" w:rsidRPr="008C147B">
        <w:rPr>
          <w:sz w:val="20"/>
          <w:szCs w:val="20"/>
        </w:rPr>
        <w:t xml:space="preserve">latinimas buvo vykdomas pagreitinto investuotojų paraiškų portfelio sudarymo (angl. </w:t>
      </w:r>
      <w:r w:rsidR="00EB081E" w:rsidRPr="008C147B">
        <w:rPr>
          <w:i/>
          <w:iCs/>
          <w:sz w:val="20"/>
          <w:szCs w:val="20"/>
        </w:rPr>
        <w:t>accelerated bookbuilding</w:t>
      </w:r>
      <w:r w:rsidR="00EB081E" w:rsidRPr="008C147B">
        <w:rPr>
          <w:sz w:val="20"/>
          <w:szCs w:val="20"/>
        </w:rPr>
        <w:t xml:space="preserve">, toliau – </w:t>
      </w:r>
      <w:r w:rsidR="00EB081E" w:rsidRPr="008C147B">
        <w:rPr>
          <w:b/>
          <w:bCs/>
          <w:sz w:val="20"/>
          <w:szCs w:val="20"/>
        </w:rPr>
        <w:t>ABB</w:t>
      </w:r>
      <w:r w:rsidR="00EB081E" w:rsidRPr="008C147B">
        <w:rPr>
          <w:sz w:val="20"/>
          <w:szCs w:val="20"/>
        </w:rPr>
        <w:t xml:space="preserve">) būdu, </w:t>
      </w:r>
      <w:r w:rsidR="006A0F25" w:rsidRPr="008C147B">
        <w:rPr>
          <w:sz w:val="20"/>
          <w:szCs w:val="20"/>
        </w:rPr>
        <w:t xml:space="preserve">Akcijas </w:t>
      </w:r>
      <w:r w:rsidR="00EB081E" w:rsidRPr="008C147B">
        <w:rPr>
          <w:sz w:val="20"/>
          <w:szCs w:val="20"/>
        </w:rPr>
        <w:t>siūlant profesionaliesiems investuotojams ir / arba mažiau</w:t>
      </w:r>
      <w:r w:rsidR="006D5B6C" w:rsidRPr="008C147B">
        <w:rPr>
          <w:sz w:val="20"/>
          <w:szCs w:val="20"/>
        </w:rPr>
        <w:t xml:space="preserve"> kaip</w:t>
      </w:r>
      <w:r w:rsidR="00EB081E" w:rsidRPr="008C147B">
        <w:rPr>
          <w:sz w:val="20"/>
          <w:szCs w:val="20"/>
        </w:rPr>
        <w:t xml:space="preserve"> 150 fizinių ar juridinių asmenų</w:t>
      </w:r>
      <w:r w:rsidR="0097428E" w:rsidRPr="008C147B">
        <w:rPr>
          <w:sz w:val="20"/>
          <w:szCs w:val="20"/>
        </w:rPr>
        <w:t>, kurie nėra laikomi profesionaliaisiais investuotojais,</w:t>
      </w:r>
      <w:r w:rsidR="006D5B6C" w:rsidRPr="008C147B">
        <w:rPr>
          <w:sz w:val="20"/>
          <w:szCs w:val="20"/>
        </w:rPr>
        <w:t xml:space="preserve"> kiekvienoje </w:t>
      </w:r>
      <w:r w:rsidR="0097428E" w:rsidRPr="008C147B">
        <w:rPr>
          <w:sz w:val="20"/>
          <w:szCs w:val="20"/>
        </w:rPr>
        <w:t>Europos ekonominės erdvės valstybėje narėje.</w:t>
      </w:r>
      <w:r w:rsidR="008C147B" w:rsidRPr="008C147B">
        <w:rPr>
          <w:sz w:val="20"/>
          <w:szCs w:val="20"/>
        </w:rPr>
        <w:t xml:space="preserve"> Sandorį ketinama užbaigti 2019 m. lapkričio </w:t>
      </w:r>
      <w:r w:rsidR="00A02DAC">
        <w:rPr>
          <w:sz w:val="20"/>
          <w:szCs w:val="20"/>
        </w:rPr>
        <w:t>26</w:t>
      </w:r>
      <w:r w:rsidR="00A02DAC" w:rsidRPr="008C147B">
        <w:rPr>
          <w:sz w:val="20"/>
          <w:szCs w:val="20"/>
        </w:rPr>
        <w:t xml:space="preserve"> </w:t>
      </w:r>
      <w:r w:rsidR="008C147B" w:rsidRPr="008C147B">
        <w:rPr>
          <w:sz w:val="20"/>
          <w:szCs w:val="20"/>
        </w:rPr>
        <w:t>d.</w:t>
      </w:r>
      <w:r w:rsidR="008C147B">
        <w:rPr>
          <w:sz w:val="20"/>
          <w:szCs w:val="20"/>
        </w:rPr>
        <w:t>, p</w:t>
      </w:r>
      <w:r>
        <w:rPr>
          <w:sz w:val="20"/>
          <w:szCs w:val="20"/>
        </w:rPr>
        <w:t>ristatant</w:t>
      </w:r>
      <w:r w:rsidR="008C147B">
        <w:rPr>
          <w:sz w:val="20"/>
          <w:szCs w:val="20"/>
        </w:rPr>
        <w:t xml:space="preserve"> Akcijas bei už jas atsiskai</w:t>
      </w:r>
      <w:r>
        <w:rPr>
          <w:sz w:val="20"/>
          <w:szCs w:val="20"/>
        </w:rPr>
        <w:t>tant</w:t>
      </w:r>
      <w:r w:rsidR="008C147B">
        <w:rPr>
          <w:sz w:val="20"/>
          <w:szCs w:val="20"/>
        </w:rPr>
        <w:t xml:space="preserve">. </w:t>
      </w:r>
    </w:p>
    <w:p w14:paraId="7205018F" w14:textId="4519B3B3" w:rsidR="00CA0942" w:rsidRPr="008C147B" w:rsidRDefault="00CA0942" w:rsidP="006A0F25">
      <w:pPr>
        <w:pStyle w:val="Default"/>
        <w:jc w:val="both"/>
        <w:rPr>
          <w:sz w:val="20"/>
          <w:szCs w:val="20"/>
        </w:rPr>
      </w:pPr>
    </w:p>
    <w:p w14:paraId="76E373AF" w14:textId="60EF7460" w:rsidR="00FC307F" w:rsidRPr="008C147B" w:rsidRDefault="00FC307F" w:rsidP="00D0519A">
      <w:pPr>
        <w:pStyle w:val="Default"/>
      </w:pPr>
      <w:r w:rsidRPr="008C147B">
        <w:rPr>
          <w:sz w:val="20"/>
          <w:szCs w:val="20"/>
        </w:rPr>
        <w:t xml:space="preserve">AS LHV Pank veikė kaip pagrindinis </w:t>
      </w:r>
      <w:r w:rsidR="00D0519A" w:rsidRPr="008C147B">
        <w:rPr>
          <w:sz w:val="20"/>
          <w:szCs w:val="20"/>
        </w:rPr>
        <w:t>paraiškų portfelio sudarytojas</w:t>
      </w:r>
      <w:r w:rsidR="00C76ED3" w:rsidRPr="008C147B">
        <w:rPr>
          <w:sz w:val="20"/>
          <w:szCs w:val="20"/>
        </w:rPr>
        <w:t>.</w:t>
      </w:r>
    </w:p>
    <w:p w14:paraId="0ED9F28B" w14:textId="77777777" w:rsidR="00FC307F" w:rsidRPr="008C147B" w:rsidRDefault="00FC307F" w:rsidP="00FC307F">
      <w:pPr>
        <w:jc w:val="both"/>
        <w:rPr>
          <w:i/>
        </w:rPr>
      </w:pPr>
    </w:p>
    <w:p w14:paraId="5A3A7C9C" w14:textId="77777777" w:rsidR="00FC307F" w:rsidRPr="008C147B" w:rsidRDefault="00FC307F" w:rsidP="00FC307F">
      <w:pPr>
        <w:jc w:val="both"/>
        <w:rPr>
          <w:b/>
          <w:bCs/>
        </w:rPr>
      </w:pPr>
      <w:r w:rsidRPr="008C147B">
        <w:rPr>
          <w:b/>
          <w:bCs/>
        </w:rPr>
        <w:t>SVARBUS ĮSPĖJIMAS:</w:t>
      </w:r>
    </w:p>
    <w:p w14:paraId="10CB5CC5" w14:textId="77777777" w:rsidR="00FC307F" w:rsidRPr="008C147B" w:rsidRDefault="00FC307F" w:rsidP="00FC307F">
      <w:pPr>
        <w:jc w:val="both"/>
      </w:pPr>
    </w:p>
    <w:p w14:paraId="64B29ADA" w14:textId="21998DA0" w:rsidR="00FC307F" w:rsidRPr="008C147B" w:rsidRDefault="00FC307F" w:rsidP="00FC307F">
      <w:pPr>
        <w:jc w:val="both"/>
      </w:pPr>
      <w:r w:rsidRPr="008C147B">
        <w:t>Šis pranešimas nėra siūlymas parduoti vertybinius popierius Jungtinėse Amerikos Valstijose arba bet kurioje kitoje jurisdikcijoje. Vertybiniai popieriai negali būti siūlomi arba parduodami Jungtinėse Amerikos Valstijose, jei jie nėra registruoti pagal 1933 m. JAV vertybinių popierių įstatymą (su pakeitimais) (toliau – Vertybinių popierių įstatymas) arba jei jiems netaikoma registracijos išimtis. Central European Tour Operator S.a.r.l. neketina registruoti kurios nors</w:t>
      </w:r>
      <w:r w:rsidR="00EB081E" w:rsidRPr="008C147B">
        <w:t xml:space="preserve"> ABB</w:t>
      </w:r>
      <w:r w:rsidRPr="008C147B">
        <w:t xml:space="preserve"> dalies Jungtinėse Amerikos Valstijose ir neketina vykdyti viešo vertybinių popierių siūlymo Jungtinėse Amerikos Valstijose ir (ar) bet kurioje kitoje jurisdikcijoje.</w:t>
      </w:r>
    </w:p>
    <w:p w14:paraId="32EB7A42" w14:textId="77777777" w:rsidR="00FC307F" w:rsidRPr="008C147B" w:rsidRDefault="00FC307F" w:rsidP="00FC307F">
      <w:pPr>
        <w:jc w:val="both"/>
      </w:pPr>
    </w:p>
    <w:p w14:paraId="0EBE0062" w14:textId="77777777" w:rsidR="00FC307F" w:rsidRPr="008C147B" w:rsidRDefault="00FC307F" w:rsidP="00FC307F">
      <w:pPr>
        <w:jc w:val="both"/>
      </w:pPr>
      <w:r w:rsidRPr="008C147B">
        <w:t>Šis pranešimas Jungtinėse Amerikos Valstijose yra skirtas tik kvalifikuotiems instituciniams pirkėjams (toliau – KIP) ir, priimdami šį Jungtinėse Amerikos Valstijose teikiamą pranešimą, patvirtinate, kad esate KIP. Šiame laiške minimi vertybiniai popieriai gali būti parduodami JAV tik pagal Vertybinių popierių įstatymo S reglamentą ir pagal išimtį iš Vertybinių popierių įstatymo griežtai tik ribotam KIP skaičiui (kaip apibrėžta Vertybinių popierių įstatymo 144A taisyklėje), o tam tikrose kitose šalyse tik įgaliotiems profesionaliems instituciniams investuotojams. Vertybiniai popieriai yra „apriboti vertybiniai popieriai“, kaip ši sąvoka apibrėžta Vertybinių popierių įstatymo 144A taisyklėje, ir bet koks paskirstymas buvo atliekamas, tik jei pirkėjas pasirašys investuotojų atstovavimo raštą.</w:t>
      </w:r>
    </w:p>
    <w:p w14:paraId="2A21713E" w14:textId="77777777" w:rsidR="00FC307F" w:rsidRPr="008C147B" w:rsidRDefault="00FC307F" w:rsidP="00FC307F">
      <w:pPr>
        <w:jc w:val="both"/>
      </w:pPr>
    </w:p>
    <w:p w14:paraId="60020F7E" w14:textId="77777777" w:rsidR="00FC307F" w:rsidRPr="008C147B" w:rsidRDefault="00FC307F" w:rsidP="00FC307F">
      <w:pPr>
        <w:jc w:val="both"/>
      </w:pPr>
      <w:r w:rsidRPr="008C147B">
        <w:t>Šiame pranešime pateikiama medžiaga yra skirta tik informaciniais tikslais ir nėra siūlymas parduoti arba kvietimas teikti siūlymą pirkti kokius nors vertybinius popierius bet kurioje jurisdikcijoje, kurioje toks pasiūlymas, kvietimas arba pardavimas būtų neteisėti, ir ypač nėra skirta skelbti, publikuoti arba platinti Jungtinėse Amerikos Valstijose, Australijoje, Kanadoje arba Japonijoje.</w:t>
      </w:r>
    </w:p>
    <w:p w14:paraId="4A1948E9" w14:textId="77777777" w:rsidR="00FC307F" w:rsidRPr="008C147B" w:rsidRDefault="00FC307F" w:rsidP="00FC307F">
      <w:pPr>
        <w:jc w:val="both"/>
      </w:pPr>
    </w:p>
    <w:p w14:paraId="470F0150" w14:textId="7B53BFE3" w:rsidR="00FC307F" w:rsidRPr="008C147B" w:rsidRDefault="00FC307F" w:rsidP="00FC307F">
      <w:pPr>
        <w:jc w:val="both"/>
      </w:pPr>
      <w:r w:rsidRPr="008C147B">
        <w:t xml:space="preserve">Šis pranešimas ir bet koks vėlesnis vertybinių popierių siūlymas tam tikrose jurisdikcijose gali būti ribojami įstatymo ir šį pranešimą arba bet kokį vėlesnį siūlymą gaunantys asmenys patys turėtų susipažinti su tokiais apribojimais ir jų laikytis ir jokiomis aplinkybėmis negali persiųsti šio pranešimo kokiam nors kitam asmeniui. Šių apribojimų nesilaikymas gali reikšti kurios nors tokios jurisdikcijos vertybinių popierių įstatymų pažeidimą. </w:t>
      </w:r>
      <w:r w:rsidR="00C660F5" w:rsidRPr="008C147B">
        <w:t>ABB</w:t>
      </w:r>
      <w:r w:rsidRPr="008C147B">
        <w:t xml:space="preserve"> yra adresuojamas ir skiriamas tik (i) Europos ekonominės erdvės valstybėse narėse esantiems asmenims, kurie yra „kvalifikuoti investuotojai“, kaip ši sąvoka apibrėžta 2017 m. birželio 14 d. Europos Parlamento ir Tarybos reglamento (ES) 2017/1129 dėl prospekto, kuris turi būti skelbiamas, kai vertybiniai popieriai siūlomi viešai arba įtraukiami į prekybos reguliuojamoje rinkoje sąrašą, ir kuriuo panaikinama Direktyva 2003/71/EB, 2 straipsnio 1 dalies e punkte, taip pat (ii) mažiau nei 150 vienos </w:t>
      </w:r>
      <w:r w:rsidRPr="008C147B">
        <w:lastRenderedPageBreak/>
        <w:t>valstybės narės fizinių ar juridinių asmenų, kurie nėra profesionalieji investuotojai, kaip numatyta minėto reglamento 1 straipsnio 4 dalies b punkte. Be to, Jungtinėje Karalystėje šis pranešimas platinimas ir skiriamas tik kvalifikuotiems investuotojams, kurie: (i) yra investavimo profesionalai, kaip šią sąvoką apibrėžia 2000 m. Finansinių paslaugų ir rinkų įstatymą (Finansinė reklama) papildančio 2005 m. įsakymo (toliau – Įsakymas dėl finansinės reklamos) 19 straipsnio 5 punktas; (ii) asmenys, patenkantys į vieną iš Įsakymo dėl finansinės reklamos 49 straipsnyje nurodytų asmenų kategorijų; ir (iii)  bet kurie kiti asmenys, kuriems toks pranešimas gali būti teisėtai pateiktas dėl kitų priežasčių (visi tokie asmenys kartu vadinami „atitinkamais asmenimis“).</w:t>
      </w:r>
    </w:p>
    <w:p w14:paraId="25B23EC5" w14:textId="77777777" w:rsidR="00FC307F" w:rsidRPr="008C147B" w:rsidRDefault="00FC307F" w:rsidP="00FC307F">
      <w:pPr>
        <w:jc w:val="both"/>
      </w:pPr>
    </w:p>
    <w:p w14:paraId="421EC3D6" w14:textId="77777777" w:rsidR="00FC307F" w:rsidRPr="008C147B" w:rsidRDefault="00FC307F" w:rsidP="00FC307F">
      <w:pPr>
        <w:jc w:val="both"/>
      </w:pPr>
      <w:r w:rsidRPr="008C147B">
        <w:t>Bet kuri su šia medžiaga susijusi investicija arba investavimo veikla yra prieinama tik atitinkamiems asmenims Jungtinėje Karalystėje ir bet kurios Europos ekonominės erdvės valstybės narės, išskyrus Jungtinę Karalystę, kvalifikuotiems investuotojams ir tokia veikla gali užsiimti tik tokie asmenys.</w:t>
      </w:r>
    </w:p>
    <w:p w14:paraId="314BD264" w14:textId="77777777" w:rsidR="00FC307F" w:rsidRPr="008C147B" w:rsidRDefault="00FC307F" w:rsidP="00FC307F">
      <w:pPr>
        <w:jc w:val="both"/>
      </w:pPr>
    </w:p>
    <w:p w14:paraId="44D32483" w14:textId="08D87865" w:rsidR="00FC307F" w:rsidRPr="008C147B" w:rsidRDefault="00FC307F" w:rsidP="00FC307F">
      <w:pPr>
        <w:jc w:val="both"/>
      </w:pPr>
      <w:r w:rsidRPr="008C147B">
        <w:t>Bet koks investicinis sprendimas pirkti Akcijas turi būti priimamas remiantis vien tik viešai pateikiama AB „Novaturas“ informacija. Nei Central European Tour Operator S.a.r.l., nei LHV Pank</w:t>
      </w:r>
      <w:r w:rsidR="008C147B" w:rsidRPr="008C147B">
        <w:t xml:space="preserve"> </w:t>
      </w:r>
      <w:r w:rsidRPr="008C147B">
        <w:t>už tokią informaciją neatsako ir nė vienas iš jų tokios informacijos savarankiškai netikrino.</w:t>
      </w:r>
    </w:p>
    <w:p w14:paraId="732C9BCA" w14:textId="77777777" w:rsidR="00FC307F" w:rsidRPr="008C147B" w:rsidRDefault="00FC307F" w:rsidP="00FC307F">
      <w:pPr>
        <w:jc w:val="both"/>
      </w:pPr>
    </w:p>
    <w:p w14:paraId="11618B4C" w14:textId="0480EDBF" w:rsidR="00FC307F" w:rsidRPr="008C147B" w:rsidRDefault="00FC307F" w:rsidP="00FC307F">
      <w:pPr>
        <w:jc w:val="both"/>
      </w:pPr>
      <w:r w:rsidRPr="008C147B">
        <w:t xml:space="preserve">LHV Pank veikia tik Central European Tour Operator S.a.r.l. ir jokių kitų asmenų vardu dėl tokio </w:t>
      </w:r>
      <w:r w:rsidR="00CA0942" w:rsidRPr="008C147B">
        <w:t>ABB</w:t>
      </w:r>
      <w:r w:rsidRPr="008C147B">
        <w:t xml:space="preserve"> proceso ir nėra kam nors, išskyrus Central European Tour Operator S.a.r.l., atsakinga už konsultacijas arba klientams teikiamą apsaugą dėl kokio nors šiame pranešime minimo sandorio arba bet kokių kitų klausimų.</w:t>
      </w:r>
    </w:p>
    <w:p w14:paraId="65F68A13" w14:textId="2F5C03FF" w:rsidR="00FC307F" w:rsidRPr="008C147B" w:rsidRDefault="00FC307F" w:rsidP="00FC307F">
      <w:pPr>
        <w:jc w:val="both"/>
      </w:pPr>
    </w:p>
    <w:p w14:paraId="3E1BE347" w14:textId="77777777" w:rsidR="00FC307F" w:rsidRPr="008C147B" w:rsidRDefault="00FC307F" w:rsidP="00FC307F">
      <w:pPr>
        <w:jc w:val="both"/>
      </w:pPr>
    </w:p>
    <w:p w14:paraId="4EEAF59B" w14:textId="77777777" w:rsidR="00FC307F" w:rsidRPr="008C147B" w:rsidRDefault="00FC307F" w:rsidP="00FC307F">
      <w:pPr>
        <w:jc w:val="both"/>
      </w:pPr>
    </w:p>
    <w:p w14:paraId="26DD1AD8" w14:textId="77777777" w:rsidR="00FC307F" w:rsidRPr="008C147B" w:rsidRDefault="00FC307F" w:rsidP="00FC307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62"/>
      </w:tblGrid>
      <w:tr w:rsidR="00FC307F" w:rsidRPr="008C147B" w14:paraId="01FE24C2" w14:textId="77777777" w:rsidTr="00B40D8E">
        <w:tc>
          <w:tcPr>
            <w:tcW w:w="6096" w:type="dxa"/>
          </w:tcPr>
          <w:p w14:paraId="0B5B9AA7" w14:textId="214238D8" w:rsidR="00FC307F" w:rsidRPr="008C147B" w:rsidRDefault="00FC307F" w:rsidP="00B40D8E">
            <w:pPr>
              <w:spacing w:line="240" w:lineRule="exact"/>
            </w:pPr>
            <w:r w:rsidRPr="008C147B">
              <w:rPr>
                <w:b/>
                <w:bCs/>
              </w:rPr>
              <w:t>Central European Tour Operator S.a.r.l</w:t>
            </w:r>
            <w:r w:rsidRPr="008C147B">
              <w:rPr>
                <w:b/>
              </w:rPr>
              <w:t>. vardu:</w:t>
            </w:r>
          </w:p>
        </w:tc>
        <w:tc>
          <w:tcPr>
            <w:tcW w:w="3362" w:type="dxa"/>
          </w:tcPr>
          <w:p w14:paraId="5448A566" w14:textId="77777777" w:rsidR="00FC307F" w:rsidRPr="008C147B" w:rsidRDefault="00FC307F" w:rsidP="00B40D8E">
            <w:pPr>
              <w:spacing w:line="240" w:lineRule="exact"/>
              <w:jc w:val="both"/>
            </w:pPr>
          </w:p>
        </w:tc>
      </w:tr>
      <w:tr w:rsidR="00FC307F" w:rsidRPr="008C147B" w14:paraId="67801BB2" w14:textId="77777777" w:rsidTr="00B40D8E">
        <w:tc>
          <w:tcPr>
            <w:tcW w:w="6096" w:type="dxa"/>
          </w:tcPr>
          <w:p w14:paraId="0DD4CCC5" w14:textId="77777777" w:rsidR="00FC307F" w:rsidRPr="008C147B" w:rsidRDefault="00FC307F" w:rsidP="00B40D8E">
            <w:pPr>
              <w:spacing w:line="240" w:lineRule="exact"/>
              <w:jc w:val="both"/>
            </w:pPr>
          </w:p>
        </w:tc>
        <w:tc>
          <w:tcPr>
            <w:tcW w:w="3362" w:type="dxa"/>
          </w:tcPr>
          <w:p w14:paraId="37C04E14" w14:textId="77777777" w:rsidR="00FC307F" w:rsidRPr="008C147B" w:rsidRDefault="00FC307F" w:rsidP="00B40D8E">
            <w:pPr>
              <w:spacing w:line="240" w:lineRule="exact"/>
              <w:jc w:val="both"/>
            </w:pPr>
          </w:p>
        </w:tc>
      </w:tr>
      <w:tr w:rsidR="00FC307F" w:rsidRPr="008C147B" w14:paraId="41871A9C" w14:textId="77777777" w:rsidTr="00B40D8E">
        <w:tc>
          <w:tcPr>
            <w:tcW w:w="6096" w:type="dxa"/>
          </w:tcPr>
          <w:p w14:paraId="38B371FA" w14:textId="77777777" w:rsidR="00FC307F" w:rsidRPr="008C147B" w:rsidRDefault="00FC307F" w:rsidP="00B40D8E">
            <w:pPr>
              <w:spacing w:line="240" w:lineRule="exact"/>
              <w:jc w:val="both"/>
            </w:pPr>
          </w:p>
        </w:tc>
        <w:tc>
          <w:tcPr>
            <w:tcW w:w="3362" w:type="dxa"/>
          </w:tcPr>
          <w:p w14:paraId="57285664" w14:textId="77777777" w:rsidR="00FC307F" w:rsidRPr="008C147B" w:rsidRDefault="00FC307F" w:rsidP="00B40D8E">
            <w:pPr>
              <w:spacing w:line="240" w:lineRule="exact"/>
              <w:jc w:val="both"/>
            </w:pPr>
          </w:p>
        </w:tc>
      </w:tr>
      <w:tr w:rsidR="00FC307F" w:rsidRPr="008C147B" w14:paraId="64A629F3" w14:textId="77777777" w:rsidTr="00B40D8E">
        <w:tc>
          <w:tcPr>
            <w:tcW w:w="6096" w:type="dxa"/>
          </w:tcPr>
          <w:p w14:paraId="7714BC2B" w14:textId="77777777" w:rsidR="00FC307F" w:rsidRPr="008C147B" w:rsidRDefault="00FC307F" w:rsidP="00B40D8E">
            <w:pPr>
              <w:spacing w:line="240" w:lineRule="exact"/>
              <w:jc w:val="both"/>
            </w:pPr>
          </w:p>
        </w:tc>
        <w:tc>
          <w:tcPr>
            <w:tcW w:w="3362" w:type="dxa"/>
          </w:tcPr>
          <w:p w14:paraId="7183B43B" w14:textId="77777777" w:rsidR="00FC307F" w:rsidRPr="008C147B" w:rsidRDefault="00FC307F" w:rsidP="00B40D8E">
            <w:pPr>
              <w:spacing w:line="240" w:lineRule="exact"/>
              <w:jc w:val="both"/>
            </w:pPr>
          </w:p>
        </w:tc>
      </w:tr>
      <w:tr w:rsidR="00FC307F" w:rsidRPr="008C147B" w14:paraId="1B16F888" w14:textId="77777777" w:rsidTr="00B40D8E">
        <w:trPr>
          <w:gridAfter w:val="1"/>
          <w:wAfter w:w="3362" w:type="dxa"/>
        </w:trPr>
        <w:tc>
          <w:tcPr>
            <w:tcW w:w="6096" w:type="dxa"/>
          </w:tcPr>
          <w:p w14:paraId="55A44C7B" w14:textId="77777777" w:rsidR="00FC307F" w:rsidRPr="008C147B" w:rsidRDefault="00FC307F" w:rsidP="00B40D8E">
            <w:pPr>
              <w:spacing w:line="240" w:lineRule="exact"/>
              <w:jc w:val="both"/>
            </w:pPr>
            <w:r w:rsidRPr="008C147B">
              <w:t>______________________________</w:t>
            </w:r>
          </w:p>
        </w:tc>
      </w:tr>
      <w:tr w:rsidR="00FC307F" w:rsidRPr="008C147B" w14:paraId="22EF58E5" w14:textId="77777777" w:rsidTr="00B40D8E">
        <w:trPr>
          <w:gridAfter w:val="1"/>
          <w:wAfter w:w="3362" w:type="dxa"/>
        </w:trPr>
        <w:tc>
          <w:tcPr>
            <w:tcW w:w="6096" w:type="dxa"/>
          </w:tcPr>
          <w:p w14:paraId="5B4937D2" w14:textId="77777777" w:rsidR="00FC307F" w:rsidRPr="008C147B" w:rsidRDefault="00FC307F" w:rsidP="00B40D8E">
            <w:pPr>
              <w:spacing w:line="240" w:lineRule="exact"/>
              <w:jc w:val="both"/>
              <w:rPr>
                <w:i/>
                <w:iCs/>
              </w:rPr>
            </w:pPr>
            <w:r w:rsidRPr="008C147B">
              <w:rPr>
                <w:i/>
                <w:iCs/>
              </w:rPr>
              <w:t>(pareigos, vardas, pavardė, parašas)</w:t>
            </w:r>
          </w:p>
        </w:tc>
      </w:tr>
      <w:tr w:rsidR="00FC307F" w:rsidRPr="008C147B" w14:paraId="4177699E" w14:textId="77777777" w:rsidTr="00B40D8E">
        <w:trPr>
          <w:gridAfter w:val="1"/>
          <w:wAfter w:w="3362" w:type="dxa"/>
        </w:trPr>
        <w:tc>
          <w:tcPr>
            <w:tcW w:w="6096" w:type="dxa"/>
          </w:tcPr>
          <w:p w14:paraId="5332085B" w14:textId="77777777" w:rsidR="00FC307F" w:rsidRPr="008C147B" w:rsidRDefault="00FC307F" w:rsidP="00B40D8E">
            <w:pPr>
              <w:spacing w:line="240" w:lineRule="exact"/>
              <w:jc w:val="both"/>
            </w:pPr>
          </w:p>
        </w:tc>
      </w:tr>
      <w:tr w:rsidR="00FC307F" w:rsidRPr="008C147B" w14:paraId="4AFEA292" w14:textId="77777777" w:rsidTr="00B40D8E">
        <w:trPr>
          <w:gridAfter w:val="1"/>
          <w:wAfter w:w="3362" w:type="dxa"/>
        </w:trPr>
        <w:tc>
          <w:tcPr>
            <w:tcW w:w="6096" w:type="dxa"/>
          </w:tcPr>
          <w:p w14:paraId="1D1BB515" w14:textId="77777777" w:rsidR="00FC307F" w:rsidRPr="008C147B" w:rsidRDefault="00FC307F" w:rsidP="00B40D8E">
            <w:pPr>
              <w:spacing w:line="240" w:lineRule="exact"/>
              <w:jc w:val="both"/>
            </w:pPr>
          </w:p>
        </w:tc>
      </w:tr>
    </w:tbl>
    <w:p w14:paraId="12FE154A" w14:textId="77777777" w:rsidR="00FC307F" w:rsidRPr="008C147B" w:rsidRDefault="00FC307F" w:rsidP="00FC307F">
      <w:pPr>
        <w:jc w:val="both"/>
      </w:pPr>
    </w:p>
    <w:p w14:paraId="388363B7" w14:textId="77777777" w:rsidR="00FC307F" w:rsidRPr="008C147B" w:rsidRDefault="00FC307F" w:rsidP="00FC307F"/>
    <w:p w14:paraId="0B21A36E" w14:textId="77777777" w:rsidR="00EC61ED" w:rsidRPr="008C147B" w:rsidRDefault="00EC61ED" w:rsidP="00FC307F"/>
    <w:sectPr w:rsidR="00EC61ED" w:rsidRPr="008C147B" w:rsidSect="00225A15">
      <w:pgSz w:w="11906" w:h="16838"/>
      <w:pgMar w:top="1134" w:right="1134" w:bottom="1134" w:left="130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F32"/>
    <w:multiLevelType w:val="hybridMultilevel"/>
    <w:tmpl w:val="CB2CDB8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15"/>
    <w:rsid w:val="00010465"/>
    <w:rsid w:val="00025BEB"/>
    <w:rsid w:val="00027068"/>
    <w:rsid w:val="00027F5E"/>
    <w:rsid w:val="000315D2"/>
    <w:rsid w:val="00043438"/>
    <w:rsid w:val="000B0E26"/>
    <w:rsid w:val="000D7A66"/>
    <w:rsid w:val="000F1982"/>
    <w:rsid w:val="001445EE"/>
    <w:rsid w:val="001A01B9"/>
    <w:rsid w:val="00225A15"/>
    <w:rsid w:val="002264BC"/>
    <w:rsid w:val="00280EFA"/>
    <w:rsid w:val="002C690F"/>
    <w:rsid w:val="002D44EC"/>
    <w:rsid w:val="00367C69"/>
    <w:rsid w:val="003C22F4"/>
    <w:rsid w:val="004340EC"/>
    <w:rsid w:val="00445D88"/>
    <w:rsid w:val="00454B1D"/>
    <w:rsid w:val="00455131"/>
    <w:rsid w:val="00457352"/>
    <w:rsid w:val="004D6160"/>
    <w:rsid w:val="004E58E6"/>
    <w:rsid w:val="0052375E"/>
    <w:rsid w:val="00565D2F"/>
    <w:rsid w:val="005D7BB5"/>
    <w:rsid w:val="005E0747"/>
    <w:rsid w:val="005E31B1"/>
    <w:rsid w:val="005E6E13"/>
    <w:rsid w:val="006825C8"/>
    <w:rsid w:val="006A0F25"/>
    <w:rsid w:val="006A7AAF"/>
    <w:rsid w:val="006B581F"/>
    <w:rsid w:val="006D5B6C"/>
    <w:rsid w:val="006E2A13"/>
    <w:rsid w:val="006E2AA8"/>
    <w:rsid w:val="006E5DCE"/>
    <w:rsid w:val="007303EB"/>
    <w:rsid w:val="007743C9"/>
    <w:rsid w:val="007B0B1E"/>
    <w:rsid w:val="00853FFA"/>
    <w:rsid w:val="008C147B"/>
    <w:rsid w:val="008E53A2"/>
    <w:rsid w:val="008F73EC"/>
    <w:rsid w:val="009370A0"/>
    <w:rsid w:val="00952EFB"/>
    <w:rsid w:val="0097428E"/>
    <w:rsid w:val="009814EE"/>
    <w:rsid w:val="00997B17"/>
    <w:rsid w:val="009B4074"/>
    <w:rsid w:val="009D009F"/>
    <w:rsid w:val="00A02DAC"/>
    <w:rsid w:val="00A06137"/>
    <w:rsid w:val="00A20D9F"/>
    <w:rsid w:val="00A665B6"/>
    <w:rsid w:val="00AF63D1"/>
    <w:rsid w:val="00B77B89"/>
    <w:rsid w:val="00BA54AA"/>
    <w:rsid w:val="00BC0EE2"/>
    <w:rsid w:val="00BC3439"/>
    <w:rsid w:val="00BE4E21"/>
    <w:rsid w:val="00C12364"/>
    <w:rsid w:val="00C660F5"/>
    <w:rsid w:val="00C76ED3"/>
    <w:rsid w:val="00C85AD8"/>
    <w:rsid w:val="00CA0942"/>
    <w:rsid w:val="00CD0640"/>
    <w:rsid w:val="00CE1C27"/>
    <w:rsid w:val="00CE5D9A"/>
    <w:rsid w:val="00CF524A"/>
    <w:rsid w:val="00D0519A"/>
    <w:rsid w:val="00D42540"/>
    <w:rsid w:val="00DA39EB"/>
    <w:rsid w:val="00DC76E1"/>
    <w:rsid w:val="00DE46BD"/>
    <w:rsid w:val="00E508E7"/>
    <w:rsid w:val="00EA2BCC"/>
    <w:rsid w:val="00EA7F6B"/>
    <w:rsid w:val="00EB081E"/>
    <w:rsid w:val="00EC5050"/>
    <w:rsid w:val="00EC61ED"/>
    <w:rsid w:val="00EE6311"/>
    <w:rsid w:val="00F114A6"/>
    <w:rsid w:val="00F54F7F"/>
    <w:rsid w:val="00F76048"/>
    <w:rsid w:val="00F9653D"/>
    <w:rsid w:val="00FA08AA"/>
    <w:rsid w:val="00FC227E"/>
    <w:rsid w:val="00FC307F"/>
    <w:rsid w:val="00FD30B6"/>
    <w:rsid w:val="00FD5B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lt-LT"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AAF"/>
    <w:pPr>
      <w:ind w:left="720"/>
      <w:contextualSpacing/>
    </w:pPr>
  </w:style>
  <w:style w:type="paragraph" w:styleId="BalloonText">
    <w:name w:val="Balloon Text"/>
    <w:basedOn w:val="Normal"/>
    <w:link w:val="BalloonTextChar"/>
    <w:uiPriority w:val="99"/>
    <w:semiHidden/>
    <w:unhideWhenUsed/>
    <w:rsid w:val="00A66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B6"/>
    <w:rPr>
      <w:rFonts w:ascii="Segoe UI" w:hAnsi="Segoe UI" w:cs="Segoe UI"/>
      <w:sz w:val="18"/>
      <w:szCs w:val="18"/>
    </w:rPr>
  </w:style>
  <w:style w:type="character" w:styleId="CommentReference">
    <w:name w:val="annotation reference"/>
    <w:basedOn w:val="DefaultParagraphFont"/>
    <w:uiPriority w:val="99"/>
    <w:semiHidden/>
    <w:unhideWhenUsed/>
    <w:rsid w:val="00EA7F6B"/>
    <w:rPr>
      <w:sz w:val="16"/>
      <w:szCs w:val="16"/>
    </w:rPr>
  </w:style>
  <w:style w:type="paragraph" w:styleId="CommentText">
    <w:name w:val="annotation text"/>
    <w:basedOn w:val="Normal"/>
    <w:link w:val="CommentTextChar"/>
    <w:uiPriority w:val="99"/>
    <w:semiHidden/>
    <w:unhideWhenUsed/>
    <w:rsid w:val="00EA7F6B"/>
    <w:pPr>
      <w:spacing w:line="240" w:lineRule="auto"/>
    </w:pPr>
  </w:style>
  <w:style w:type="character" w:customStyle="1" w:styleId="CommentTextChar">
    <w:name w:val="Comment Text Char"/>
    <w:basedOn w:val="DefaultParagraphFont"/>
    <w:link w:val="CommentText"/>
    <w:uiPriority w:val="99"/>
    <w:semiHidden/>
    <w:rsid w:val="00EA7F6B"/>
  </w:style>
  <w:style w:type="paragraph" w:styleId="CommentSubject">
    <w:name w:val="annotation subject"/>
    <w:basedOn w:val="CommentText"/>
    <w:next w:val="CommentText"/>
    <w:link w:val="CommentSubjectChar"/>
    <w:uiPriority w:val="99"/>
    <w:semiHidden/>
    <w:unhideWhenUsed/>
    <w:rsid w:val="00EA7F6B"/>
    <w:rPr>
      <w:b/>
      <w:bCs/>
    </w:rPr>
  </w:style>
  <w:style w:type="character" w:customStyle="1" w:styleId="CommentSubjectChar">
    <w:name w:val="Comment Subject Char"/>
    <w:basedOn w:val="CommentTextChar"/>
    <w:link w:val="CommentSubject"/>
    <w:uiPriority w:val="99"/>
    <w:semiHidden/>
    <w:rsid w:val="00EA7F6B"/>
    <w:rPr>
      <w:b/>
      <w:bCs/>
    </w:rPr>
  </w:style>
  <w:style w:type="paragraph" w:customStyle="1" w:styleId="Default">
    <w:name w:val="Default"/>
    <w:rsid w:val="005E0747"/>
    <w:pPr>
      <w:autoSpaceDE w:val="0"/>
      <w:autoSpaceDN w:val="0"/>
      <w:adjustRightInd w:val="0"/>
      <w:spacing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lt-LT"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AAF"/>
    <w:pPr>
      <w:ind w:left="720"/>
      <w:contextualSpacing/>
    </w:pPr>
  </w:style>
  <w:style w:type="paragraph" w:styleId="BalloonText">
    <w:name w:val="Balloon Text"/>
    <w:basedOn w:val="Normal"/>
    <w:link w:val="BalloonTextChar"/>
    <w:uiPriority w:val="99"/>
    <w:semiHidden/>
    <w:unhideWhenUsed/>
    <w:rsid w:val="00A66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B6"/>
    <w:rPr>
      <w:rFonts w:ascii="Segoe UI" w:hAnsi="Segoe UI" w:cs="Segoe UI"/>
      <w:sz w:val="18"/>
      <w:szCs w:val="18"/>
    </w:rPr>
  </w:style>
  <w:style w:type="character" w:styleId="CommentReference">
    <w:name w:val="annotation reference"/>
    <w:basedOn w:val="DefaultParagraphFont"/>
    <w:uiPriority w:val="99"/>
    <w:semiHidden/>
    <w:unhideWhenUsed/>
    <w:rsid w:val="00EA7F6B"/>
    <w:rPr>
      <w:sz w:val="16"/>
      <w:szCs w:val="16"/>
    </w:rPr>
  </w:style>
  <w:style w:type="paragraph" w:styleId="CommentText">
    <w:name w:val="annotation text"/>
    <w:basedOn w:val="Normal"/>
    <w:link w:val="CommentTextChar"/>
    <w:uiPriority w:val="99"/>
    <w:semiHidden/>
    <w:unhideWhenUsed/>
    <w:rsid w:val="00EA7F6B"/>
    <w:pPr>
      <w:spacing w:line="240" w:lineRule="auto"/>
    </w:pPr>
  </w:style>
  <w:style w:type="character" w:customStyle="1" w:styleId="CommentTextChar">
    <w:name w:val="Comment Text Char"/>
    <w:basedOn w:val="DefaultParagraphFont"/>
    <w:link w:val="CommentText"/>
    <w:uiPriority w:val="99"/>
    <w:semiHidden/>
    <w:rsid w:val="00EA7F6B"/>
  </w:style>
  <w:style w:type="paragraph" w:styleId="CommentSubject">
    <w:name w:val="annotation subject"/>
    <w:basedOn w:val="CommentText"/>
    <w:next w:val="CommentText"/>
    <w:link w:val="CommentSubjectChar"/>
    <w:uiPriority w:val="99"/>
    <w:semiHidden/>
    <w:unhideWhenUsed/>
    <w:rsid w:val="00EA7F6B"/>
    <w:rPr>
      <w:b/>
      <w:bCs/>
    </w:rPr>
  </w:style>
  <w:style w:type="character" w:customStyle="1" w:styleId="CommentSubjectChar">
    <w:name w:val="Comment Subject Char"/>
    <w:basedOn w:val="CommentTextChar"/>
    <w:link w:val="CommentSubject"/>
    <w:uiPriority w:val="99"/>
    <w:semiHidden/>
    <w:rsid w:val="00EA7F6B"/>
    <w:rPr>
      <w:b/>
      <w:bCs/>
    </w:rPr>
  </w:style>
  <w:style w:type="paragraph" w:customStyle="1" w:styleId="Default">
    <w:name w:val="Default"/>
    <w:rsid w:val="005E0747"/>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Enterprise Investors</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Tomasz Ciborowski</cp:lastModifiedBy>
  <cp:revision>6</cp:revision>
  <cp:lastPrinted>2019-11-22T16:13:00Z</cp:lastPrinted>
  <dcterms:created xsi:type="dcterms:W3CDTF">2019-11-22T15:07:00Z</dcterms:created>
  <dcterms:modified xsi:type="dcterms:W3CDTF">2019-11-22T16:13:00Z</dcterms:modified>
</cp:coreProperties>
</file>