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7D1D5" w14:textId="77777777" w:rsidR="00141330" w:rsidRPr="00F96817" w:rsidRDefault="00141330" w:rsidP="00141330">
      <w:pPr>
        <w:pStyle w:val="Heading7"/>
        <w:spacing w:line="300" w:lineRule="atLeast"/>
        <w:ind w:left="4320" w:hanging="4320"/>
        <w:rPr>
          <w:rFonts w:asciiTheme="minorHAnsi" w:hAnsiTheme="minorHAnsi" w:cstheme="minorHAnsi" w:hint="eastAsia"/>
          <w:b/>
          <w:i w:val="0"/>
          <w:color w:val="000000" w:themeColor="text1"/>
          <w:sz w:val="32"/>
          <w:szCs w:val="32"/>
        </w:rPr>
      </w:pPr>
    </w:p>
    <w:p w14:paraId="49C9BA03" w14:textId="77777777" w:rsidR="00F96817" w:rsidRPr="00895EC2" w:rsidRDefault="00F96817" w:rsidP="00F96817">
      <w:pPr>
        <w:pStyle w:val="Heading7"/>
        <w:spacing w:line="300" w:lineRule="atLeast"/>
        <w:ind w:left="4320" w:hanging="4320"/>
        <w:rPr>
          <w:rFonts w:asciiTheme="minorHAnsi" w:hAnsiTheme="minorHAnsi" w:cstheme="minorHAnsi" w:hint="eastAsia"/>
          <w:b/>
          <w:i w:val="0"/>
        </w:rPr>
      </w:pPr>
      <w:r w:rsidRPr="00895EC2">
        <w:rPr>
          <w:rFonts w:asciiTheme="minorHAnsi" w:hAnsiTheme="minorHAnsi" w:cstheme="minorHAnsi"/>
          <w:b/>
          <w:i w:val="0"/>
          <w:color w:val="auto"/>
          <w:sz w:val="32"/>
        </w:rPr>
        <w:t>Selskabsmeddelelse</w:t>
      </w:r>
      <w:r w:rsidRPr="00895EC2">
        <w:rPr>
          <w:rFonts w:asciiTheme="minorHAnsi" w:hAnsiTheme="minorHAnsi" w:cstheme="minorHAnsi"/>
          <w:b/>
          <w:i w:val="0"/>
        </w:rPr>
        <w:tab/>
      </w:r>
    </w:p>
    <w:p w14:paraId="5AF1D290" w14:textId="77777777" w:rsidR="00F96817" w:rsidRPr="00F96817" w:rsidRDefault="00F96817" w:rsidP="00F96817">
      <w:pPr>
        <w:spacing w:line="300" w:lineRule="atLeast"/>
        <w:outlineLvl w:val="0"/>
        <w:rPr>
          <w:rFonts w:asciiTheme="minorHAnsi" w:hAnsiTheme="minorHAnsi" w:cstheme="minorHAnsi"/>
          <w:sz w:val="32"/>
        </w:rPr>
      </w:pPr>
      <w:r w:rsidRPr="00F96817">
        <w:rPr>
          <w:rFonts w:asciiTheme="minorHAnsi" w:hAnsiTheme="minorHAnsi" w:cstheme="minorHAnsi"/>
          <w:sz w:val="32"/>
        </w:rPr>
        <w:t>Til Nasdaq Copenhagen A/S og pressen</w:t>
      </w:r>
    </w:p>
    <w:p w14:paraId="0A27D77A" w14:textId="77777777" w:rsidR="00F96817" w:rsidRPr="00F96817" w:rsidRDefault="00F96817" w:rsidP="00F96817">
      <w:pPr>
        <w:spacing w:line="300" w:lineRule="atLeast"/>
        <w:rPr>
          <w:rFonts w:asciiTheme="minorHAnsi" w:hAnsiTheme="minorHAnsi" w:cstheme="minorHAnsi"/>
          <w:b/>
          <w:bCs/>
          <w:sz w:val="32"/>
        </w:rPr>
      </w:pPr>
    </w:p>
    <w:p w14:paraId="35820BC8" w14:textId="5495F046" w:rsidR="00F96817" w:rsidRPr="00F96817" w:rsidRDefault="00F96817" w:rsidP="00F96817">
      <w:pPr>
        <w:spacing w:line="320" w:lineRule="atLeast"/>
        <w:ind w:left="-1701" w:right="113"/>
        <w:jc w:val="right"/>
        <w:outlineLvl w:val="0"/>
        <w:rPr>
          <w:rFonts w:asciiTheme="minorHAnsi" w:hAnsiTheme="minorHAnsi" w:cstheme="minorHAnsi"/>
          <w:i/>
          <w:sz w:val="21"/>
          <w:szCs w:val="21"/>
        </w:rPr>
      </w:pPr>
      <w:r w:rsidRPr="00F96817">
        <w:rPr>
          <w:rFonts w:asciiTheme="minorHAnsi" w:hAnsiTheme="minorHAnsi" w:cstheme="minorHAnsi"/>
          <w:i/>
          <w:sz w:val="21"/>
          <w:szCs w:val="21"/>
        </w:rPr>
        <w:t xml:space="preserve">Nørresundby, den </w:t>
      </w:r>
      <w:r w:rsidR="00B75A2A">
        <w:rPr>
          <w:rFonts w:asciiTheme="minorHAnsi" w:hAnsiTheme="minorHAnsi" w:cstheme="minorHAnsi"/>
          <w:i/>
          <w:sz w:val="21"/>
          <w:szCs w:val="21"/>
        </w:rPr>
        <w:t>23</w:t>
      </w:r>
      <w:r w:rsidRPr="00F96817">
        <w:rPr>
          <w:rFonts w:asciiTheme="minorHAnsi" w:hAnsiTheme="minorHAnsi" w:cstheme="minorHAnsi"/>
          <w:i/>
          <w:sz w:val="21"/>
          <w:szCs w:val="21"/>
        </w:rPr>
        <w:t xml:space="preserve">. </w:t>
      </w:r>
      <w:r w:rsidR="00897DB6">
        <w:rPr>
          <w:rFonts w:asciiTheme="minorHAnsi" w:hAnsiTheme="minorHAnsi" w:cstheme="minorHAnsi"/>
          <w:i/>
          <w:sz w:val="21"/>
          <w:szCs w:val="21"/>
        </w:rPr>
        <w:t>november</w:t>
      </w:r>
      <w:r w:rsidRPr="00F96817">
        <w:rPr>
          <w:rFonts w:asciiTheme="minorHAnsi" w:hAnsiTheme="minorHAnsi" w:cstheme="minorHAnsi"/>
          <w:i/>
          <w:sz w:val="21"/>
          <w:szCs w:val="21"/>
        </w:rPr>
        <w:t xml:space="preserve"> 20</w:t>
      </w:r>
      <w:r w:rsidR="00CB5938">
        <w:rPr>
          <w:rFonts w:asciiTheme="minorHAnsi" w:hAnsiTheme="minorHAnsi" w:cstheme="minorHAnsi"/>
          <w:i/>
          <w:sz w:val="21"/>
          <w:szCs w:val="21"/>
        </w:rPr>
        <w:t>20</w:t>
      </w:r>
    </w:p>
    <w:p w14:paraId="590AD4CA" w14:textId="165C9978" w:rsidR="00F96817" w:rsidRPr="00F96817" w:rsidRDefault="00F96817" w:rsidP="00F96817">
      <w:pPr>
        <w:spacing w:line="320" w:lineRule="atLeast"/>
        <w:ind w:left="-1701" w:right="113"/>
        <w:jc w:val="right"/>
        <w:rPr>
          <w:rFonts w:asciiTheme="minorHAnsi" w:hAnsiTheme="minorHAnsi" w:cstheme="minorHAnsi"/>
          <w:i/>
          <w:sz w:val="21"/>
          <w:szCs w:val="21"/>
        </w:rPr>
      </w:pPr>
      <w:r w:rsidRPr="00F96817">
        <w:rPr>
          <w:rFonts w:asciiTheme="minorHAnsi" w:hAnsiTheme="minorHAnsi" w:cstheme="minorHAnsi"/>
          <w:i/>
          <w:sz w:val="21"/>
          <w:szCs w:val="21"/>
        </w:rPr>
        <w:t xml:space="preserve">Selskabsmeddelelse nr. </w:t>
      </w:r>
      <w:r w:rsidR="008A3B8B">
        <w:rPr>
          <w:rFonts w:asciiTheme="minorHAnsi" w:hAnsiTheme="minorHAnsi" w:cstheme="minorHAnsi"/>
          <w:i/>
          <w:sz w:val="21"/>
          <w:szCs w:val="21"/>
        </w:rPr>
        <w:t>08</w:t>
      </w:r>
      <w:bookmarkStart w:id="0" w:name="_GoBack"/>
      <w:bookmarkEnd w:id="0"/>
      <w:r w:rsidRPr="00F96817">
        <w:rPr>
          <w:rFonts w:asciiTheme="minorHAnsi" w:hAnsiTheme="minorHAnsi" w:cstheme="minorHAnsi"/>
          <w:i/>
          <w:sz w:val="21"/>
          <w:szCs w:val="21"/>
        </w:rPr>
        <w:t>/20</w:t>
      </w:r>
      <w:r w:rsidR="00CB5938">
        <w:rPr>
          <w:rFonts w:asciiTheme="minorHAnsi" w:hAnsiTheme="minorHAnsi" w:cstheme="minorHAnsi"/>
          <w:i/>
          <w:sz w:val="21"/>
          <w:szCs w:val="21"/>
        </w:rPr>
        <w:t>20</w:t>
      </w:r>
    </w:p>
    <w:p w14:paraId="0F92411F" w14:textId="0D5DF55E" w:rsidR="00F96817" w:rsidRPr="00F96817" w:rsidRDefault="00F96817" w:rsidP="00F96817">
      <w:pPr>
        <w:spacing w:line="320" w:lineRule="atLeast"/>
        <w:ind w:left="-1701" w:right="113"/>
        <w:jc w:val="right"/>
        <w:rPr>
          <w:rFonts w:asciiTheme="minorHAnsi" w:hAnsiTheme="minorHAnsi" w:cstheme="minorHAnsi"/>
          <w:i/>
          <w:sz w:val="21"/>
          <w:szCs w:val="21"/>
        </w:rPr>
      </w:pPr>
      <w:r w:rsidRPr="00F96817">
        <w:rPr>
          <w:rFonts w:asciiTheme="minorHAnsi" w:hAnsiTheme="minorHAnsi" w:cstheme="minorHAnsi"/>
          <w:i/>
          <w:sz w:val="21"/>
          <w:szCs w:val="21"/>
        </w:rPr>
        <w:t xml:space="preserve">Antal sider: </w:t>
      </w:r>
      <w:r w:rsidR="003737B6">
        <w:rPr>
          <w:rFonts w:asciiTheme="minorHAnsi" w:hAnsiTheme="minorHAnsi" w:cstheme="minorHAnsi"/>
          <w:i/>
          <w:sz w:val="21"/>
          <w:szCs w:val="21"/>
        </w:rPr>
        <w:t>2</w:t>
      </w:r>
    </w:p>
    <w:p w14:paraId="49B4DA75" w14:textId="77777777" w:rsidR="004E1CE7" w:rsidRDefault="004E1CE7" w:rsidP="00F96817">
      <w:pPr>
        <w:rPr>
          <w:rFonts w:asciiTheme="minorHAnsi" w:hAnsiTheme="minorHAnsi" w:cstheme="minorHAnsi"/>
          <w:b/>
          <w:sz w:val="28"/>
        </w:rPr>
      </w:pPr>
    </w:p>
    <w:p w14:paraId="78D8FFC6" w14:textId="7B346740" w:rsidR="00F96817" w:rsidRPr="00F96817" w:rsidRDefault="00CB5938" w:rsidP="00F96817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Forøgelse og modifikation af igangværende aktietilbagekøbsprogram i </w:t>
      </w:r>
      <w:r w:rsidR="00F96817" w:rsidRPr="00F96817">
        <w:rPr>
          <w:rFonts w:asciiTheme="minorHAnsi" w:hAnsiTheme="minorHAnsi" w:cstheme="minorHAnsi"/>
          <w:b/>
          <w:sz w:val="28"/>
        </w:rPr>
        <w:t>RTX A/S</w:t>
      </w:r>
    </w:p>
    <w:p w14:paraId="37D95401" w14:textId="77777777" w:rsidR="00F96817" w:rsidRPr="00F96817" w:rsidRDefault="00F96817" w:rsidP="00F96817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 w:val="21"/>
          <w:szCs w:val="21"/>
        </w:rPr>
      </w:pPr>
    </w:p>
    <w:p w14:paraId="35C93537" w14:textId="146CA15C" w:rsidR="00EC321C" w:rsidRPr="00B75A2A" w:rsidRDefault="00CB5938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Som meddelt i selskabsmeddelelse nr. 61/2019 har RTX A/S iværksat et aktietilbagekøbsprogram </w:t>
      </w:r>
      <w:r w:rsidR="00A44AD1">
        <w:rPr>
          <w:rFonts w:asciiTheme="minorHAnsi" w:hAnsiTheme="minorHAnsi" w:cstheme="minorHAnsi"/>
          <w:szCs w:val="22"/>
        </w:rPr>
        <w:t>på op til</w:t>
      </w:r>
      <w:r w:rsidR="00EC321C" w:rsidRPr="00A44AD1">
        <w:rPr>
          <w:rFonts w:asciiTheme="minorHAnsi" w:hAnsiTheme="minorHAnsi" w:cstheme="minorHAnsi"/>
          <w:szCs w:val="22"/>
        </w:rPr>
        <w:t xml:space="preserve"> DKK 20 mio</w:t>
      </w:r>
      <w:r w:rsidR="00A44AD1">
        <w:rPr>
          <w:rFonts w:asciiTheme="minorHAnsi" w:hAnsiTheme="minorHAnsi" w:cstheme="minorHAnsi"/>
          <w:szCs w:val="22"/>
        </w:rPr>
        <w:t xml:space="preserve">. som løber fra den </w:t>
      </w:r>
      <w:r w:rsidR="007E263F">
        <w:rPr>
          <w:rFonts w:asciiTheme="minorHAnsi" w:hAnsiTheme="minorHAnsi" w:cstheme="minorHAnsi"/>
          <w:szCs w:val="22"/>
        </w:rPr>
        <w:t>1</w:t>
      </w:r>
      <w:r w:rsidR="00A44AD1">
        <w:rPr>
          <w:rFonts w:asciiTheme="minorHAnsi" w:hAnsiTheme="minorHAnsi" w:cstheme="minorHAnsi"/>
          <w:szCs w:val="22"/>
        </w:rPr>
        <w:t xml:space="preserve">. </w:t>
      </w:r>
      <w:r w:rsidR="00897DB6">
        <w:rPr>
          <w:rFonts w:asciiTheme="minorHAnsi" w:hAnsiTheme="minorHAnsi" w:cstheme="minorHAnsi"/>
          <w:szCs w:val="22"/>
        </w:rPr>
        <w:t>januar</w:t>
      </w:r>
      <w:r w:rsidR="00EC321C" w:rsidRPr="00A44AD1">
        <w:rPr>
          <w:rFonts w:asciiTheme="minorHAnsi" w:hAnsiTheme="minorHAnsi" w:cstheme="minorHAnsi"/>
          <w:szCs w:val="22"/>
        </w:rPr>
        <w:t xml:space="preserve"> 20</w:t>
      </w:r>
      <w:r w:rsidR="00897DB6">
        <w:rPr>
          <w:rFonts w:asciiTheme="minorHAnsi" w:hAnsiTheme="minorHAnsi" w:cstheme="minorHAnsi"/>
          <w:szCs w:val="22"/>
        </w:rPr>
        <w:t>20</w:t>
      </w:r>
      <w:r w:rsidR="00EC321C" w:rsidRPr="00A44AD1">
        <w:rPr>
          <w:rFonts w:asciiTheme="minorHAnsi" w:hAnsiTheme="minorHAnsi" w:cstheme="minorHAnsi"/>
          <w:szCs w:val="22"/>
        </w:rPr>
        <w:t xml:space="preserve"> </w:t>
      </w:r>
      <w:r w:rsidR="00A44AD1">
        <w:rPr>
          <w:rFonts w:asciiTheme="minorHAnsi" w:hAnsiTheme="minorHAnsi" w:cstheme="minorHAnsi"/>
          <w:szCs w:val="22"/>
        </w:rPr>
        <w:t>til 3</w:t>
      </w:r>
      <w:r w:rsidR="00897DB6">
        <w:rPr>
          <w:rFonts w:asciiTheme="minorHAnsi" w:hAnsiTheme="minorHAnsi" w:cstheme="minorHAnsi"/>
          <w:szCs w:val="22"/>
        </w:rPr>
        <w:t>0</w:t>
      </w:r>
      <w:r w:rsidR="00A44AD1">
        <w:rPr>
          <w:rFonts w:asciiTheme="minorHAnsi" w:hAnsiTheme="minorHAnsi" w:cstheme="minorHAnsi"/>
          <w:szCs w:val="22"/>
        </w:rPr>
        <w:t xml:space="preserve">. </w:t>
      </w:r>
      <w:r w:rsidR="00897DB6">
        <w:rPr>
          <w:rFonts w:asciiTheme="minorHAnsi" w:hAnsiTheme="minorHAnsi" w:cstheme="minorHAnsi"/>
          <w:szCs w:val="22"/>
        </w:rPr>
        <w:t>juni</w:t>
      </w:r>
      <w:r w:rsidR="00EC321C" w:rsidRPr="00A44AD1">
        <w:rPr>
          <w:rFonts w:asciiTheme="minorHAnsi" w:hAnsiTheme="minorHAnsi" w:cstheme="minorHAnsi"/>
          <w:szCs w:val="22"/>
        </w:rPr>
        <w:t xml:space="preserve"> 20</w:t>
      </w:r>
      <w:r w:rsidR="00897DB6">
        <w:rPr>
          <w:rFonts w:asciiTheme="minorHAnsi" w:hAnsiTheme="minorHAnsi" w:cstheme="minorHAnsi"/>
          <w:szCs w:val="22"/>
        </w:rPr>
        <w:t>20</w:t>
      </w:r>
      <w:r w:rsidR="00EC321C" w:rsidRPr="00A44AD1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På selskabets ordinære </w:t>
      </w:r>
      <w:r w:rsidRPr="00B75A2A">
        <w:rPr>
          <w:rFonts w:asciiTheme="minorHAnsi" w:hAnsiTheme="minorHAnsi" w:cstheme="minorHAnsi"/>
          <w:szCs w:val="22"/>
        </w:rPr>
        <w:t xml:space="preserve">generalforsamling den 23. januar 2020 har bestyrelsen i RTX A/S modtaget en opfordring fra generalforsamlingen om at forøge det igangværende </w:t>
      </w:r>
      <w:r w:rsidR="00A327BF" w:rsidRPr="00B75A2A">
        <w:rPr>
          <w:rFonts w:asciiTheme="minorHAnsi" w:hAnsiTheme="minorHAnsi" w:cstheme="minorHAnsi"/>
          <w:szCs w:val="22"/>
        </w:rPr>
        <w:t>aktietilbagekøbs</w:t>
      </w:r>
      <w:r w:rsidRPr="00B75A2A">
        <w:rPr>
          <w:rFonts w:asciiTheme="minorHAnsi" w:hAnsiTheme="minorHAnsi" w:cstheme="minorHAnsi"/>
          <w:szCs w:val="22"/>
        </w:rPr>
        <w:t>program. Bestyrelsen i RTX A/S har vurderet denne opfordring</w:t>
      </w:r>
      <w:r w:rsidR="009F7E87" w:rsidRPr="00B75A2A">
        <w:rPr>
          <w:rFonts w:asciiTheme="minorHAnsi" w:hAnsiTheme="minorHAnsi" w:cstheme="minorHAnsi"/>
          <w:szCs w:val="22"/>
        </w:rPr>
        <w:t xml:space="preserve"> og har herunder konsulteret selskabets rådgivere. På denne baggrund</w:t>
      </w:r>
      <w:r w:rsidRPr="00B75A2A">
        <w:rPr>
          <w:rFonts w:asciiTheme="minorHAnsi" w:hAnsiTheme="minorHAnsi" w:cstheme="minorHAnsi"/>
          <w:szCs w:val="22"/>
        </w:rPr>
        <w:t xml:space="preserve"> har </w:t>
      </w:r>
      <w:r w:rsidR="009F7E87" w:rsidRPr="00B75A2A">
        <w:rPr>
          <w:rFonts w:asciiTheme="minorHAnsi" w:hAnsiTheme="minorHAnsi" w:cstheme="minorHAnsi"/>
          <w:szCs w:val="22"/>
        </w:rPr>
        <w:t xml:space="preserve">bestyrelsen </w:t>
      </w:r>
      <w:r w:rsidRPr="00B75A2A">
        <w:rPr>
          <w:rFonts w:asciiTheme="minorHAnsi" w:hAnsiTheme="minorHAnsi" w:cstheme="minorHAnsi"/>
          <w:szCs w:val="22"/>
        </w:rPr>
        <w:t>besluttet at forøge og mod</w:t>
      </w:r>
      <w:r w:rsidR="00A93AFF" w:rsidRPr="00B75A2A">
        <w:rPr>
          <w:rFonts w:asciiTheme="minorHAnsi" w:hAnsiTheme="minorHAnsi" w:cstheme="minorHAnsi"/>
          <w:szCs w:val="22"/>
        </w:rPr>
        <w:t>i</w:t>
      </w:r>
      <w:r w:rsidRPr="00B75A2A">
        <w:rPr>
          <w:rFonts w:asciiTheme="minorHAnsi" w:hAnsiTheme="minorHAnsi" w:cstheme="minorHAnsi"/>
          <w:szCs w:val="22"/>
        </w:rPr>
        <w:t>ficere det igangværende aktietilbagekøbs</w:t>
      </w:r>
      <w:r w:rsidR="00F23A57" w:rsidRPr="00B75A2A">
        <w:rPr>
          <w:rFonts w:asciiTheme="minorHAnsi" w:hAnsiTheme="minorHAnsi" w:cstheme="minorHAnsi"/>
          <w:szCs w:val="22"/>
        </w:rPr>
        <w:softHyphen/>
      </w:r>
      <w:r w:rsidRPr="00B75A2A">
        <w:rPr>
          <w:rFonts w:asciiTheme="minorHAnsi" w:hAnsiTheme="minorHAnsi" w:cstheme="minorHAnsi"/>
          <w:szCs w:val="22"/>
        </w:rPr>
        <w:t>program som beskrevet nedenfor.</w:t>
      </w:r>
    </w:p>
    <w:p w14:paraId="030B3E73" w14:textId="5C2722D2" w:rsidR="00EC321C" w:rsidRPr="00B75A2A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646FB20C" w14:textId="7CF7940D" w:rsidR="00CB5938" w:rsidRPr="00B75A2A" w:rsidRDefault="00CB5938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 xml:space="preserve">Bestyrelsen i RTX har </w:t>
      </w:r>
      <w:r w:rsidR="00A327BF" w:rsidRPr="00B75A2A">
        <w:rPr>
          <w:rFonts w:asciiTheme="minorHAnsi" w:hAnsiTheme="minorHAnsi" w:cstheme="minorHAnsi"/>
          <w:szCs w:val="22"/>
        </w:rPr>
        <w:t>således</w:t>
      </w:r>
      <w:r w:rsidRPr="00B75A2A">
        <w:rPr>
          <w:rFonts w:asciiTheme="minorHAnsi" w:hAnsiTheme="minorHAnsi" w:cstheme="minorHAnsi"/>
          <w:szCs w:val="22"/>
        </w:rPr>
        <w:t xml:space="preserve"> instrueret selskabets </w:t>
      </w:r>
      <w:r w:rsidR="009F7E87" w:rsidRPr="00B75A2A">
        <w:rPr>
          <w:rFonts w:asciiTheme="minorHAnsi" w:hAnsiTheme="minorHAnsi" w:cstheme="minorHAnsi"/>
          <w:szCs w:val="22"/>
        </w:rPr>
        <w:t>l</w:t>
      </w:r>
      <w:r w:rsidRPr="00B75A2A">
        <w:rPr>
          <w:rFonts w:asciiTheme="minorHAnsi" w:hAnsiTheme="minorHAnsi" w:cstheme="minorHAnsi"/>
          <w:szCs w:val="22"/>
        </w:rPr>
        <w:t xml:space="preserve">ead </w:t>
      </w:r>
      <w:r w:rsidR="009F7E87" w:rsidRPr="00B75A2A">
        <w:rPr>
          <w:rFonts w:asciiTheme="minorHAnsi" w:hAnsiTheme="minorHAnsi" w:cstheme="minorHAnsi"/>
          <w:szCs w:val="22"/>
        </w:rPr>
        <w:t>m</w:t>
      </w:r>
      <w:r w:rsidRPr="00B75A2A">
        <w:rPr>
          <w:rFonts w:asciiTheme="minorHAnsi" w:hAnsiTheme="minorHAnsi" w:cstheme="minorHAnsi"/>
          <w:szCs w:val="22"/>
        </w:rPr>
        <w:t>anager for aktietilbagekøbet, Danske Bank, om at forøge og modificere aktietilbagekøbsprogrammet som følger:</w:t>
      </w:r>
    </w:p>
    <w:p w14:paraId="7307A03C" w14:textId="3A40FE04" w:rsidR="00CB5938" w:rsidRPr="00B75A2A" w:rsidRDefault="00A327BF" w:rsidP="00CB5938">
      <w:pPr>
        <w:pStyle w:val="underskrift"/>
        <w:numPr>
          <w:ilvl w:val="0"/>
          <w:numId w:val="6"/>
        </w:numPr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 xml:space="preserve">Bemyndigelsen til opkøb under programmet forøges til i alt </w:t>
      </w:r>
      <w:r w:rsidR="009F7E87" w:rsidRPr="00B75A2A">
        <w:rPr>
          <w:rFonts w:asciiTheme="minorHAnsi" w:hAnsiTheme="minorHAnsi" w:cstheme="minorHAnsi"/>
          <w:szCs w:val="22"/>
        </w:rPr>
        <w:t>maksimalt</w:t>
      </w:r>
      <w:r w:rsidRPr="00B75A2A">
        <w:rPr>
          <w:rFonts w:asciiTheme="minorHAnsi" w:hAnsiTheme="minorHAnsi" w:cstheme="minorHAnsi"/>
          <w:szCs w:val="22"/>
        </w:rPr>
        <w:t xml:space="preserve"> DKK 60 mio. og ikke mere end 600.000 aktier (tidligere </w:t>
      </w:r>
      <w:r w:rsidR="009F7E87" w:rsidRPr="00B75A2A">
        <w:rPr>
          <w:rFonts w:asciiTheme="minorHAnsi" w:hAnsiTheme="minorHAnsi" w:cstheme="minorHAnsi"/>
          <w:szCs w:val="22"/>
        </w:rPr>
        <w:t xml:space="preserve">maksimalt </w:t>
      </w:r>
      <w:r w:rsidRPr="00B75A2A">
        <w:rPr>
          <w:rFonts w:asciiTheme="minorHAnsi" w:hAnsiTheme="minorHAnsi" w:cstheme="minorHAnsi"/>
          <w:szCs w:val="22"/>
        </w:rPr>
        <w:t>DKK 20 mio. og ikke mere end 200.000 aktier).</w:t>
      </w:r>
    </w:p>
    <w:p w14:paraId="11E5BE11" w14:textId="0C6FC5EC" w:rsidR="00CB5938" w:rsidRPr="00B75A2A" w:rsidRDefault="009F7E87" w:rsidP="00CB5938">
      <w:pPr>
        <w:pStyle w:val="underskrift"/>
        <w:numPr>
          <w:ilvl w:val="0"/>
          <w:numId w:val="6"/>
        </w:numPr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>Under hensyntagen til</w:t>
      </w:r>
      <w:r w:rsidR="00A327BF" w:rsidRPr="00B75A2A">
        <w:rPr>
          <w:rFonts w:asciiTheme="minorHAnsi" w:hAnsiTheme="minorHAnsi" w:cstheme="minorHAnsi"/>
          <w:szCs w:val="22"/>
        </w:rPr>
        <w:t xml:space="preserve"> det forøgede tilbagekøbsbeløb samt en vurdering af den hensigtsmæssige eksekvering af programmet</w:t>
      </w:r>
      <w:r w:rsidR="000875C7" w:rsidRPr="00B75A2A">
        <w:rPr>
          <w:rFonts w:asciiTheme="minorHAnsi" w:hAnsiTheme="minorHAnsi" w:cstheme="minorHAnsi"/>
          <w:szCs w:val="22"/>
        </w:rPr>
        <w:t xml:space="preserve"> indføres – udover begrænsningen på daglig volumen købt under programmet jf. ”Safe Harbour”-reglerne – en yderligere</w:t>
      </w:r>
      <w:r w:rsidR="00A327BF" w:rsidRPr="00B75A2A">
        <w:rPr>
          <w:rFonts w:asciiTheme="minorHAnsi" w:hAnsiTheme="minorHAnsi" w:cstheme="minorHAnsi"/>
          <w:szCs w:val="22"/>
        </w:rPr>
        <w:t xml:space="preserve"> begrænsning af den </w:t>
      </w:r>
      <w:r w:rsidR="000875C7" w:rsidRPr="00B75A2A">
        <w:rPr>
          <w:rFonts w:asciiTheme="minorHAnsi" w:hAnsiTheme="minorHAnsi" w:cstheme="minorHAnsi"/>
          <w:szCs w:val="22"/>
        </w:rPr>
        <w:t>samlede</w:t>
      </w:r>
      <w:r w:rsidR="00A327BF" w:rsidRPr="00B75A2A">
        <w:rPr>
          <w:rFonts w:asciiTheme="minorHAnsi" w:hAnsiTheme="minorHAnsi" w:cstheme="minorHAnsi"/>
          <w:szCs w:val="22"/>
        </w:rPr>
        <w:t xml:space="preserve"> volumen</w:t>
      </w:r>
      <w:r w:rsidR="000875C7" w:rsidRPr="00B75A2A">
        <w:rPr>
          <w:rFonts w:asciiTheme="minorHAnsi" w:hAnsiTheme="minorHAnsi" w:cstheme="minorHAnsi"/>
          <w:szCs w:val="22"/>
        </w:rPr>
        <w:t xml:space="preserve"> tilbagekøbt under programmet relativt til den samlede markedsvolumen i perioden for programmets gennemførelse. </w:t>
      </w:r>
      <w:r w:rsidR="00A327BF" w:rsidRPr="00B75A2A">
        <w:rPr>
          <w:rFonts w:asciiTheme="minorHAnsi" w:hAnsiTheme="minorHAnsi" w:cstheme="minorHAnsi"/>
          <w:szCs w:val="22"/>
        </w:rPr>
        <w:t xml:space="preserve">Således må der </w:t>
      </w:r>
      <w:r w:rsidR="000875C7" w:rsidRPr="00B75A2A">
        <w:rPr>
          <w:rFonts w:asciiTheme="minorHAnsi" w:hAnsiTheme="minorHAnsi" w:cstheme="minorHAnsi"/>
          <w:szCs w:val="22"/>
        </w:rPr>
        <w:t>set over perioden for programmets gennemførelse ikke tilbagekøbes mere end 15% af den samlede volumen af selskabets aktier, der er blevet handlet på Nasdaq Copenhagen over denne periode</w:t>
      </w:r>
      <w:r w:rsidR="00A327BF" w:rsidRPr="00B75A2A">
        <w:rPr>
          <w:rFonts w:asciiTheme="minorHAnsi" w:hAnsiTheme="minorHAnsi" w:cstheme="minorHAnsi"/>
          <w:szCs w:val="22"/>
        </w:rPr>
        <w:t>.</w:t>
      </w:r>
    </w:p>
    <w:p w14:paraId="1198672A" w14:textId="01ACF1DB" w:rsidR="00CB5938" w:rsidRPr="00B75A2A" w:rsidRDefault="00A327BF" w:rsidP="00763F62">
      <w:pPr>
        <w:pStyle w:val="underskrift"/>
        <w:numPr>
          <w:ilvl w:val="0"/>
          <w:numId w:val="6"/>
        </w:numPr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 xml:space="preserve">Henset til likviditeten af </w:t>
      </w:r>
      <w:r w:rsidR="00F23A57" w:rsidRPr="00B75A2A">
        <w:rPr>
          <w:rFonts w:asciiTheme="minorHAnsi" w:hAnsiTheme="minorHAnsi" w:cstheme="minorHAnsi"/>
          <w:szCs w:val="22"/>
        </w:rPr>
        <w:t xml:space="preserve">selskabets </w:t>
      </w:r>
      <w:r w:rsidRPr="00B75A2A">
        <w:rPr>
          <w:rFonts w:asciiTheme="minorHAnsi" w:hAnsiTheme="minorHAnsi" w:cstheme="minorHAnsi"/>
          <w:szCs w:val="22"/>
        </w:rPr>
        <w:t>aktie justeres perioden for programmets gennemførelse, således at programmet nu løber fra 1. januar 2020 til 30. september 2020 (tidligere 1. januar 2020 til 30. juni 2020).</w:t>
      </w:r>
    </w:p>
    <w:p w14:paraId="3CF0BD26" w14:textId="77E53BB9" w:rsidR="00CB5938" w:rsidRPr="00B75A2A" w:rsidRDefault="00CB5938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30312B7C" w14:textId="0AE994E4" w:rsidR="003500A8" w:rsidRPr="00763F62" w:rsidRDefault="003500A8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b/>
          <w:szCs w:val="22"/>
        </w:rPr>
      </w:pPr>
      <w:r w:rsidRPr="00B75A2A">
        <w:rPr>
          <w:rFonts w:asciiTheme="minorHAnsi" w:hAnsiTheme="minorHAnsi" w:cstheme="minorHAnsi"/>
          <w:b/>
          <w:szCs w:val="22"/>
        </w:rPr>
        <w:t>Baggrund og formål</w:t>
      </w:r>
    </w:p>
    <w:p w14:paraId="61676F7B" w14:textId="1BF63198" w:rsidR="00EC321C" w:rsidRPr="00A44AD1" w:rsidRDefault="00A44AD1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A44AD1">
        <w:rPr>
          <w:rFonts w:asciiTheme="minorHAnsi" w:hAnsiTheme="minorHAnsi" w:cstheme="minorHAnsi"/>
          <w:szCs w:val="22"/>
        </w:rPr>
        <w:t xml:space="preserve">Tilbagekøbsprogrammet </w:t>
      </w:r>
      <w:r w:rsidR="00CB5938">
        <w:rPr>
          <w:rFonts w:asciiTheme="minorHAnsi" w:hAnsiTheme="minorHAnsi" w:cstheme="minorHAnsi"/>
          <w:szCs w:val="22"/>
        </w:rPr>
        <w:t>er iværksat</w:t>
      </w:r>
      <w:r w:rsidR="00CB5938" w:rsidRPr="00A44AD1">
        <w:rPr>
          <w:rFonts w:asciiTheme="minorHAnsi" w:hAnsiTheme="minorHAnsi" w:cstheme="minorHAnsi"/>
          <w:szCs w:val="22"/>
        </w:rPr>
        <w:t xml:space="preserve"> </w:t>
      </w:r>
      <w:r w:rsidRPr="00A44AD1">
        <w:rPr>
          <w:rFonts w:asciiTheme="minorHAnsi" w:hAnsiTheme="minorHAnsi" w:cstheme="minorHAnsi"/>
          <w:szCs w:val="22"/>
        </w:rPr>
        <w:t>i forlængelse af bemyndigelsen</w:t>
      </w:r>
      <w:r w:rsidR="00EC321C" w:rsidRPr="00A44AD1">
        <w:rPr>
          <w:rFonts w:asciiTheme="minorHAnsi" w:hAnsiTheme="minorHAnsi" w:cstheme="minorHAnsi"/>
          <w:szCs w:val="22"/>
        </w:rPr>
        <w:t xml:space="preserve"> </w:t>
      </w:r>
      <w:r w:rsidRPr="00A44AD1">
        <w:rPr>
          <w:rFonts w:asciiTheme="minorHAnsi" w:hAnsiTheme="minorHAnsi" w:cstheme="minorHAnsi"/>
          <w:szCs w:val="22"/>
        </w:rPr>
        <w:t>givet til bestyrelsen på generalforsamlingen de</w:t>
      </w:r>
      <w:r>
        <w:rPr>
          <w:rFonts w:asciiTheme="minorHAnsi" w:hAnsiTheme="minorHAnsi" w:cstheme="minorHAnsi"/>
          <w:szCs w:val="22"/>
        </w:rPr>
        <w:t>n</w:t>
      </w:r>
      <w:r w:rsidR="00EC321C" w:rsidRPr="00A44AD1">
        <w:rPr>
          <w:rFonts w:asciiTheme="minorHAnsi" w:hAnsiTheme="minorHAnsi" w:cstheme="minorHAnsi"/>
          <w:szCs w:val="22"/>
        </w:rPr>
        <w:t xml:space="preserve"> 25</w:t>
      </w:r>
      <w:r>
        <w:rPr>
          <w:rFonts w:asciiTheme="minorHAnsi" w:hAnsiTheme="minorHAnsi" w:cstheme="minorHAnsi"/>
          <w:szCs w:val="22"/>
        </w:rPr>
        <w:t>. j</w:t>
      </w:r>
      <w:r w:rsidR="00EC321C" w:rsidRPr="00A44AD1">
        <w:rPr>
          <w:rFonts w:asciiTheme="minorHAnsi" w:hAnsiTheme="minorHAnsi" w:cstheme="minorHAnsi"/>
          <w:szCs w:val="22"/>
        </w:rPr>
        <w:t xml:space="preserve">anuar 2018, </w:t>
      </w:r>
      <w:r w:rsidRPr="00A44AD1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om bemyndiger</w:t>
      </w:r>
      <w:r w:rsidR="00EC321C" w:rsidRPr="00A44AD1">
        <w:rPr>
          <w:rFonts w:asciiTheme="minorHAnsi" w:hAnsiTheme="minorHAnsi" w:cstheme="minorHAnsi"/>
          <w:szCs w:val="22"/>
        </w:rPr>
        <w:t xml:space="preserve"> RTX t</w:t>
      </w:r>
      <w:r>
        <w:rPr>
          <w:rFonts w:asciiTheme="minorHAnsi" w:hAnsiTheme="minorHAnsi" w:cstheme="minorHAnsi"/>
          <w:szCs w:val="22"/>
        </w:rPr>
        <w:t xml:space="preserve">il at købe egne aktier for en </w:t>
      </w:r>
      <w:r w:rsidR="00EC321C" w:rsidRPr="00A44AD1">
        <w:rPr>
          <w:rFonts w:asciiTheme="minorHAnsi" w:hAnsiTheme="minorHAnsi" w:cstheme="minorHAnsi"/>
          <w:szCs w:val="22"/>
        </w:rPr>
        <w:t>nomin</w:t>
      </w:r>
      <w:r>
        <w:rPr>
          <w:rFonts w:asciiTheme="minorHAnsi" w:hAnsiTheme="minorHAnsi" w:cstheme="minorHAnsi"/>
          <w:szCs w:val="22"/>
        </w:rPr>
        <w:t>e</w:t>
      </w:r>
      <w:r w:rsidR="00EC321C" w:rsidRPr="00A44AD1">
        <w:rPr>
          <w:rFonts w:asciiTheme="minorHAnsi" w:hAnsiTheme="minorHAnsi" w:cstheme="minorHAnsi"/>
          <w:szCs w:val="22"/>
        </w:rPr>
        <w:t>l v</w:t>
      </w:r>
      <w:r>
        <w:rPr>
          <w:rFonts w:asciiTheme="minorHAnsi" w:hAnsiTheme="minorHAnsi" w:cstheme="minorHAnsi"/>
          <w:szCs w:val="22"/>
        </w:rPr>
        <w:t>ærdi, som ikke overstiger</w:t>
      </w:r>
      <w:r w:rsidR="00EC321C" w:rsidRPr="00A44AD1">
        <w:rPr>
          <w:rFonts w:asciiTheme="minorHAnsi" w:hAnsiTheme="minorHAnsi" w:cstheme="minorHAnsi"/>
          <w:szCs w:val="22"/>
        </w:rPr>
        <w:t xml:space="preserve"> 10 p</w:t>
      </w:r>
      <w:r>
        <w:rPr>
          <w:rFonts w:asciiTheme="minorHAnsi" w:hAnsiTheme="minorHAnsi" w:cstheme="minorHAnsi"/>
          <w:szCs w:val="22"/>
        </w:rPr>
        <w:t>ro</w:t>
      </w:r>
      <w:r w:rsidR="00EC321C" w:rsidRPr="00A44AD1">
        <w:rPr>
          <w:rFonts w:asciiTheme="minorHAnsi" w:hAnsiTheme="minorHAnsi" w:cstheme="minorHAnsi"/>
          <w:szCs w:val="22"/>
        </w:rPr>
        <w:t xml:space="preserve">cent </w:t>
      </w:r>
      <w:r>
        <w:rPr>
          <w:rFonts w:asciiTheme="minorHAnsi" w:hAnsiTheme="minorHAnsi" w:cstheme="minorHAnsi"/>
          <w:szCs w:val="22"/>
        </w:rPr>
        <w:t>a</w:t>
      </w:r>
      <w:r w:rsidR="00EC321C" w:rsidRPr="00A44AD1">
        <w:rPr>
          <w:rFonts w:asciiTheme="minorHAnsi" w:hAnsiTheme="minorHAnsi" w:cstheme="minorHAnsi"/>
          <w:szCs w:val="22"/>
        </w:rPr>
        <w:t xml:space="preserve">f </w:t>
      </w:r>
      <w:r>
        <w:rPr>
          <w:rFonts w:asciiTheme="minorHAnsi" w:hAnsiTheme="minorHAnsi" w:cstheme="minorHAnsi"/>
          <w:szCs w:val="22"/>
        </w:rPr>
        <w:t>aktiekapitalen</w:t>
      </w:r>
      <w:r w:rsidR="00EC321C" w:rsidRPr="00A44AD1">
        <w:rPr>
          <w:rFonts w:asciiTheme="minorHAnsi" w:hAnsiTheme="minorHAnsi" w:cstheme="minorHAnsi"/>
          <w:szCs w:val="22"/>
        </w:rPr>
        <w:t xml:space="preserve">. </w:t>
      </w:r>
    </w:p>
    <w:p w14:paraId="582CBA3F" w14:textId="77777777" w:rsidR="00EC321C" w:rsidRPr="00A44AD1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46F1D755" w14:textId="2D529A59" w:rsidR="00EC321C" w:rsidRPr="00BF7739" w:rsidRDefault="00B34FC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F7739">
        <w:rPr>
          <w:rFonts w:asciiTheme="minorHAnsi" w:hAnsiTheme="minorHAnsi" w:cstheme="minorHAnsi"/>
          <w:szCs w:val="22"/>
        </w:rPr>
        <w:t>Aktietilbagekøbet</w:t>
      </w:r>
      <w:r w:rsidR="00BF7739" w:rsidRPr="00BF7739">
        <w:rPr>
          <w:rFonts w:asciiTheme="minorHAnsi" w:hAnsiTheme="minorHAnsi" w:cstheme="minorHAnsi"/>
          <w:szCs w:val="22"/>
        </w:rPr>
        <w:t xml:space="preserve"> sker </w:t>
      </w:r>
      <w:r w:rsidR="00CB5938">
        <w:rPr>
          <w:rFonts w:asciiTheme="minorHAnsi" w:hAnsiTheme="minorHAnsi" w:cstheme="minorHAnsi"/>
          <w:szCs w:val="22"/>
        </w:rPr>
        <w:t xml:space="preserve">uændret </w:t>
      </w:r>
      <w:r w:rsidR="00BF7739">
        <w:rPr>
          <w:rFonts w:asciiTheme="minorHAnsi" w:hAnsiTheme="minorHAnsi" w:cstheme="minorHAnsi"/>
          <w:szCs w:val="22"/>
        </w:rPr>
        <w:t>i</w:t>
      </w:r>
      <w:r w:rsidR="00BF7739" w:rsidRPr="00BF7739">
        <w:rPr>
          <w:rFonts w:asciiTheme="minorHAnsi" w:hAnsiTheme="minorHAnsi" w:cstheme="minorHAnsi"/>
          <w:szCs w:val="22"/>
        </w:rPr>
        <w:t xml:space="preserve"> overensstemmelse med </w:t>
      </w:r>
      <w:r w:rsidR="00BF7739">
        <w:rPr>
          <w:rFonts w:asciiTheme="minorHAnsi" w:hAnsiTheme="minorHAnsi" w:cstheme="minorHAnsi"/>
          <w:szCs w:val="22"/>
        </w:rPr>
        <w:t xml:space="preserve">EU’s </w:t>
      </w:r>
      <w:r w:rsidR="00BF7739" w:rsidRPr="00BF7739">
        <w:rPr>
          <w:rFonts w:asciiTheme="minorHAnsi" w:hAnsiTheme="minorHAnsi" w:cstheme="minorHAnsi"/>
          <w:szCs w:val="22"/>
        </w:rPr>
        <w:t>markedsmisbrugsforordning nr. 596/2014 af 16. april 2014 og EU</w:t>
      </w:r>
      <w:r w:rsidR="00BF7739">
        <w:rPr>
          <w:rFonts w:asciiTheme="minorHAnsi" w:hAnsiTheme="minorHAnsi" w:cstheme="minorHAnsi"/>
          <w:szCs w:val="22"/>
        </w:rPr>
        <w:t>’</w:t>
      </w:r>
      <w:r w:rsidR="00BF7739" w:rsidRPr="00BF7739">
        <w:rPr>
          <w:rFonts w:asciiTheme="minorHAnsi" w:hAnsiTheme="minorHAnsi" w:cstheme="minorHAnsi"/>
          <w:szCs w:val="22"/>
        </w:rPr>
        <w:t>s forordning 2016/1052 af 8. marts 2016 (</w:t>
      </w:r>
      <w:r w:rsidR="004E1CE7">
        <w:rPr>
          <w:rFonts w:asciiTheme="minorHAnsi" w:hAnsiTheme="minorHAnsi" w:cstheme="minorHAnsi"/>
          <w:szCs w:val="22"/>
        </w:rPr>
        <w:t xml:space="preserve">kaldet </w:t>
      </w:r>
      <w:r w:rsidR="00BF7739" w:rsidRPr="00BF7739">
        <w:rPr>
          <w:rFonts w:asciiTheme="minorHAnsi" w:hAnsiTheme="minorHAnsi" w:cstheme="minorHAnsi"/>
          <w:szCs w:val="22"/>
        </w:rPr>
        <w:t>"Safe Harbour</w:t>
      </w:r>
      <w:r w:rsidR="005437C4">
        <w:rPr>
          <w:rFonts w:asciiTheme="minorHAnsi" w:hAnsiTheme="minorHAnsi" w:cstheme="minorHAnsi"/>
          <w:szCs w:val="22"/>
        </w:rPr>
        <w:t>”-reglerne</w:t>
      </w:r>
      <w:r w:rsidR="00BF7739" w:rsidRPr="00BF7739">
        <w:rPr>
          <w:rFonts w:asciiTheme="minorHAnsi" w:hAnsiTheme="minorHAnsi" w:cstheme="minorHAnsi"/>
          <w:szCs w:val="22"/>
        </w:rPr>
        <w:t>)</w:t>
      </w:r>
      <w:r w:rsidR="00EC321C" w:rsidRPr="00BF7739">
        <w:rPr>
          <w:rFonts w:asciiTheme="minorHAnsi" w:hAnsiTheme="minorHAnsi" w:cstheme="minorHAnsi"/>
          <w:szCs w:val="22"/>
        </w:rPr>
        <w:t>.</w:t>
      </w:r>
    </w:p>
    <w:p w14:paraId="46DEA68E" w14:textId="77777777" w:rsidR="00EC321C" w:rsidRPr="00BF7739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652F4CA2" w14:textId="303D1EE1" w:rsidR="00EC321C" w:rsidRPr="00B75A2A" w:rsidRDefault="00BF7739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F7739">
        <w:rPr>
          <w:rFonts w:asciiTheme="minorHAnsi" w:hAnsiTheme="minorHAnsi" w:cstheme="minorHAnsi"/>
          <w:szCs w:val="22"/>
        </w:rPr>
        <w:lastRenderedPageBreak/>
        <w:t>Formålet med aktietilbagekøbet er</w:t>
      </w:r>
      <w:r w:rsidR="00CB5938">
        <w:rPr>
          <w:rFonts w:asciiTheme="minorHAnsi" w:hAnsiTheme="minorHAnsi" w:cstheme="minorHAnsi"/>
          <w:szCs w:val="22"/>
        </w:rPr>
        <w:t xml:space="preserve"> uændret</w:t>
      </w:r>
      <w:r w:rsidRPr="00BF7739">
        <w:rPr>
          <w:rFonts w:asciiTheme="minorHAnsi" w:hAnsiTheme="minorHAnsi" w:cstheme="minorHAnsi"/>
          <w:szCs w:val="22"/>
        </w:rPr>
        <w:t xml:space="preserve"> at </w:t>
      </w:r>
      <w:r w:rsidR="00F145C9">
        <w:rPr>
          <w:rFonts w:asciiTheme="minorHAnsi" w:hAnsiTheme="minorHAnsi" w:cstheme="minorHAnsi"/>
          <w:szCs w:val="22"/>
        </w:rPr>
        <w:t>fortsætte tilpasningen af</w:t>
      </w:r>
      <w:r w:rsidR="00F145C9" w:rsidRPr="00BF7739">
        <w:rPr>
          <w:rFonts w:asciiTheme="minorHAnsi" w:hAnsiTheme="minorHAnsi" w:cstheme="minorHAnsi"/>
          <w:szCs w:val="22"/>
        </w:rPr>
        <w:t xml:space="preserve"> </w:t>
      </w:r>
      <w:r w:rsidR="00EC321C" w:rsidRPr="00BF7739">
        <w:rPr>
          <w:rFonts w:asciiTheme="minorHAnsi" w:hAnsiTheme="minorHAnsi" w:cstheme="minorHAnsi"/>
          <w:szCs w:val="22"/>
        </w:rPr>
        <w:t>RTX’</w:t>
      </w:r>
      <w:r w:rsidRPr="00BF7739">
        <w:rPr>
          <w:rFonts w:asciiTheme="minorHAnsi" w:hAnsiTheme="minorHAnsi" w:cstheme="minorHAnsi"/>
          <w:szCs w:val="22"/>
        </w:rPr>
        <w:t>s</w:t>
      </w:r>
      <w:r w:rsidR="00EC321C" w:rsidRPr="00BF7739">
        <w:rPr>
          <w:rFonts w:asciiTheme="minorHAnsi" w:hAnsiTheme="minorHAnsi" w:cstheme="minorHAnsi"/>
          <w:szCs w:val="22"/>
        </w:rPr>
        <w:t xml:space="preserve"> </w:t>
      </w:r>
      <w:r w:rsidRPr="00BF7739">
        <w:rPr>
          <w:rFonts w:asciiTheme="minorHAnsi" w:hAnsiTheme="minorHAnsi" w:cstheme="minorHAnsi"/>
          <w:szCs w:val="22"/>
        </w:rPr>
        <w:t>k</w:t>
      </w:r>
      <w:r w:rsidR="00EC321C" w:rsidRPr="00BF7739">
        <w:rPr>
          <w:rFonts w:asciiTheme="minorHAnsi" w:hAnsiTheme="minorHAnsi" w:cstheme="minorHAnsi"/>
          <w:szCs w:val="22"/>
        </w:rPr>
        <w:t>apitalstru</w:t>
      </w:r>
      <w:r w:rsidRPr="00BF7739">
        <w:rPr>
          <w:rFonts w:asciiTheme="minorHAnsi" w:hAnsiTheme="minorHAnsi" w:cstheme="minorHAnsi"/>
          <w:szCs w:val="22"/>
        </w:rPr>
        <w:t>k</w:t>
      </w:r>
      <w:r w:rsidR="00EC321C" w:rsidRPr="00BF7739">
        <w:rPr>
          <w:rFonts w:asciiTheme="minorHAnsi" w:hAnsiTheme="minorHAnsi" w:cstheme="minorHAnsi"/>
          <w:szCs w:val="22"/>
        </w:rPr>
        <w:t>tur</w:t>
      </w:r>
      <w:r w:rsidRPr="00BF7739">
        <w:rPr>
          <w:rFonts w:asciiTheme="minorHAnsi" w:hAnsiTheme="minorHAnsi" w:cstheme="minorHAnsi"/>
          <w:szCs w:val="22"/>
        </w:rPr>
        <w:t xml:space="preserve"> samt imødekomme forpligtelser </w:t>
      </w:r>
      <w:r w:rsidRPr="00B75A2A">
        <w:rPr>
          <w:rFonts w:asciiTheme="minorHAnsi" w:hAnsiTheme="minorHAnsi" w:cstheme="minorHAnsi"/>
          <w:szCs w:val="22"/>
        </w:rPr>
        <w:t>relateret til aktiebaserede aflønningsprogrammer til medarbejdere</w:t>
      </w:r>
      <w:r w:rsidR="00EC321C" w:rsidRPr="00B75A2A">
        <w:rPr>
          <w:rFonts w:asciiTheme="minorHAnsi" w:hAnsiTheme="minorHAnsi" w:cstheme="minorHAnsi"/>
          <w:szCs w:val="22"/>
        </w:rPr>
        <w:t xml:space="preserve"> </w:t>
      </w:r>
      <w:r w:rsidRPr="00B75A2A">
        <w:rPr>
          <w:rFonts w:asciiTheme="minorHAnsi" w:hAnsiTheme="minorHAnsi" w:cstheme="minorHAnsi"/>
          <w:szCs w:val="22"/>
        </w:rPr>
        <w:t xml:space="preserve">eller andre aktietildelinger til ansatte i </w:t>
      </w:r>
      <w:r w:rsidR="00EC321C" w:rsidRPr="00B75A2A">
        <w:rPr>
          <w:rFonts w:asciiTheme="minorHAnsi" w:hAnsiTheme="minorHAnsi" w:cstheme="minorHAnsi"/>
          <w:szCs w:val="22"/>
        </w:rPr>
        <w:t xml:space="preserve">RTX. </w:t>
      </w:r>
    </w:p>
    <w:p w14:paraId="629BC5FB" w14:textId="77777777" w:rsidR="00EC321C" w:rsidRPr="00B75A2A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0D0713F1" w14:textId="01883F50" w:rsidR="00EC321C" w:rsidRPr="00B75A2A" w:rsidRDefault="00BF7739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b/>
          <w:szCs w:val="22"/>
        </w:rPr>
      </w:pPr>
      <w:r w:rsidRPr="00B75A2A">
        <w:rPr>
          <w:rFonts w:asciiTheme="minorHAnsi" w:hAnsiTheme="minorHAnsi" w:cstheme="minorHAnsi"/>
          <w:b/>
          <w:szCs w:val="22"/>
        </w:rPr>
        <w:t>Periode</w:t>
      </w:r>
    </w:p>
    <w:p w14:paraId="6394AB49" w14:textId="6C719974" w:rsidR="00EC321C" w:rsidRPr="00B75A2A" w:rsidRDefault="00BF7739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 xml:space="preserve">Aktietilbagekøbet løber </w:t>
      </w:r>
      <w:r w:rsidR="003500A8" w:rsidRPr="00B75A2A">
        <w:rPr>
          <w:rFonts w:asciiTheme="minorHAnsi" w:hAnsiTheme="minorHAnsi" w:cstheme="minorHAnsi"/>
          <w:szCs w:val="22"/>
        </w:rPr>
        <w:t xml:space="preserve">nu </w:t>
      </w:r>
      <w:r w:rsidRPr="00B75A2A">
        <w:rPr>
          <w:rFonts w:asciiTheme="minorHAnsi" w:hAnsiTheme="minorHAnsi" w:cstheme="minorHAnsi"/>
          <w:szCs w:val="22"/>
        </w:rPr>
        <w:t xml:space="preserve">fra den </w:t>
      </w:r>
      <w:r w:rsidR="007E263F" w:rsidRPr="00B75A2A">
        <w:rPr>
          <w:rFonts w:asciiTheme="minorHAnsi" w:hAnsiTheme="minorHAnsi" w:cstheme="minorHAnsi"/>
          <w:szCs w:val="22"/>
        </w:rPr>
        <w:t>1</w:t>
      </w:r>
      <w:r w:rsidRPr="00B75A2A">
        <w:rPr>
          <w:rFonts w:asciiTheme="minorHAnsi" w:hAnsiTheme="minorHAnsi" w:cstheme="minorHAnsi"/>
          <w:szCs w:val="22"/>
        </w:rPr>
        <w:t xml:space="preserve">. </w:t>
      </w:r>
      <w:r w:rsidR="008F31B5" w:rsidRPr="00B75A2A">
        <w:rPr>
          <w:rFonts w:asciiTheme="minorHAnsi" w:hAnsiTheme="minorHAnsi" w:cstheme="minorHAnsi"/>
          <w:szCs w:val="22"/>
        </w:rPr>
        <w:t>januar</w:t>
      </w:r>
      <w:r w:rsidR="00EC321C" w:rsidRPr="00B75A2A">
        <w:rPr>
          <w:rFonts w:asciiTheme="minorHAnsi" w:hAnsiTheme="minorHAnsi" w:cstheme="minorHAnsi"/>
          <w:szCs w:val="22"/>
        </w:rPr>
        <w:t xml:space="preserve"> 20</w:t>
      </w:r>
      <w:r w:rsidR="008F31B5" w:rsidRPr="00B75A2A">
        <w:rPr>
          <w:rFonts w:asciiTheme="minorHAnsi" w:hAnsiTheme="minorHAnsi" w:cstheme="minorHAnsi"/>
          <w:szCs w:val="22"/>
        </w:rPr>
        <w:t>20</w:t>
      </w:r>
      <w:r w:rsidR="00EC321C" w:rsidRPr="00B75A2A">
        <w:rPr>
          <w:rFonts w:asciiTheme="minorHAnsi" w:hAnsiTheme="minorHAnsi" w:cstheme="minorHAnsi"/>
          <w:szCs w:val="22"/>
        </w:rPr>
        <w:t xml:space="preserve"> t</w:t>
      </w:r>
      <w:r w:rsidRPr="00B75A2A">
        <w:rPr>
          <w:rFonts w:asciiTheme="minorHAnsi" w:hAnsiTheme="minorHAnsi" w:cstheme="minorHAnsi"/>
          <w:szCs w:val="22"/>
        </w:rPr>
        <w:t>il</w:t>
      </w:r>
      <w:r w:rsidR="00EC321C" w:rsidRPr="00B75A2A">
        <w:rPr>
          <w:rFonts w:asciiTheme="minorHAnsi" w:hAnsiTheme="minorHAnsi" w:cstheme="minorHAnsi"/>
          <w:szCs w:val="22"/>
        </w:rPr>
        <w:t xml:space="preserve"> 3</w:t>
      </w:r>
      <w:r w:rsidR="008F31B5" w:rsidRPr="00B75A2A">
        <w:rPr>
          <w:rFonts w:asciiTheme="minorHAnsi" w:hAnsiTheme="minorHAnsi" w:cstheme="minorHAnsi"/>
          <w:szCs w:val="22"/>
        </w:rPr>
        <w:t>0</w:t>
      </w:r>
      <w:r w:rsidRPr="00B75A2A">
        <w:rPr>
          <w:rFonts w:asciiTheme="minorHAnsi" w:hAnsiTheme="minorHAnsi" w:cstheme="minorHAnsi"/>
          <w:szCs w:val="22"/>
        </w:rPr>
        <w:t xml:space="preserve">. </w:t>
      </w:r>
      <w:r w:rsidR="003500A8" w:rsidRPr="00B75A2A">
        <w:rPr>
          <w:rFonts w:asciiTheme="minorHAnsi" w:hAnsiTheme="minorHAnsi" w:cstheme="minorHAnsi"/>
          <w:szCs w:val="22"/>
        </w:rPr>
        <w:t xml:space="preserve">september </w:t>
      </w:r>
      <w:r w:rsidR="00EC321C" w:rsidRPr="00B75A2A">
        <w:rPr>
          <w:rFonts w:asciiTheme="minorHAnsi" w:hAnsiTheme="minorHAnsi" w:cstheme="minorHAnsi"/>
          <w:szCs w:val="22"/>
        </w:rPr>
        <w:t>20</w:t>
      </w:r>
      <w:r w:rsidR="008F31B5" w:rsidRPr="00B75A2A">
        <w:rPr>
          <w:rFonts w:asciiTheme="minorHAnsi" w:hAnsiTheme="minorHAnsi" w:cstheme="minorHAnsi"/>
          <w:szCs w:val="22"/>
        </w:rPr>
        <w:t>20</w:t>
      </w:r>
      <w:r w:rsidR="00EC321C" w:rsidRPr="00B75A2A">
        <w:rPr>
          <w:rFonts w:asciiTheme="minorHAnsi" w:hAnsiTheme="minorHAnsi" w:cstheme="minorHAnsi"/>
          <w:szCs w:val="22"/>
        </w:rPr>
        <w:t>.</w:t>
      </w:r>
      <w:r w:rsidR="00CB5938" w:rsidRPr="00B75A2A">
        <w:rPr>
          <w:rFonts w:asciiTheme="minorHAnsi" w:hAnsiTheme="minorHAnsi" w:cstheme="minorHAnsi"/>
          <w:szCs w:val="22"/>
        </w:rPr>
        <w:t xml:space="preserve"> De i denne selskabsmeddelelse </w:t>
      </w:r>
      <w:r w:rsidR="00A327BF" w:rsidRPr="00B75A2A">
        <w:rPr>
          <w:rFonts w:asciiTheme="minorHAnsi" w:hAnsiTheme="minorHAnsi" w:cstheme="minorHAnsi"/>
          <w:szCs w:val="22"/>
        </w:rPr>
        <w:t xml:space="preserve">beskrevne </w:t>
      </w:r>
      <w:r w:rsidR="00CB5938" w:rsidRPr="00B75A2A">
        <w:rPr>
          <w:rFonts w:asciiTheme="minorHAnsi" w:hAnsiTheme="minorHAnsi" w:cstheme="minorHAnsi"/>
          <w:szCs w:val="22"/>
        </w:rPr>
        <w:t xml:space="preserve">modifikationer af programmet har virkning fra den </w:t>
      </w:r>
      <w:r w:rsidR="00B75A2A" w:rsidRPr="00B75A2A">
        <w:rPr>
          <w:rFonts w:asciiTheme="minorHAnsi" w:hAnsiTheme="minorHAnsi" w:cstheme="minorHAnsi"/>
          <w:szCs w:val="22"/>
        </w:rPr>
        <w:t>27</w:t>
      </w:r>
      <w:r w:rsidR="00CB5938" w:rsidRPr="00B75A2A">
        <w:rPr>
          <w:rFonts w:asciiTheme="minorHAnsi" w:hAnsiTheme="minorHAnsi" w:cstheme="minorHAnsi"/>
          <w:szCs w:val="22"/>
        </w:rPr>
        <w:t>. januar 2020.</w:t>
      </w:r>
    </w:p>
    <w:p w14:paraId="597C0C33" w14:textId="77777777" w:rsidR="00EC321C" w:rsidRPr="00B75A2A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06ECE3F6" w14:textId="27F22386" w:rsidR="00EC321C" w:rsidRPr="00B75A2A" w:rsidRDefault="00BF7739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b/>
          <w:szCs w:val="22"/>
        </w:rPr>
      </w:pPr>
      <w:r w:rsidRPr="00B75A2A">
        <w:rPr>
          <w:rFonts w:asciiTheme="minorHAnsi" w:hAnsiTheme="minorHAnsi" w:cstheme="minorHAnsi"/>
          <w:b/>
          <w:szCs w:val="22"/>
        </w:rPr>
        <w:t>Betingelser</w:t>
      </w:r>
      <w:r w:rsidR="00EC321C" w:rsidRPr="00B75A2A">
        <w:rPr>
          <w:rFonts w:asciiTheme="minorHAnsi" w:hAnsiTheme="minorHAnsi" w:cstheme="minorHAnsi"/>
          <w:b/>
          <w:szCs w:val="22"/>
        </w:rPr>
        <w:t xml:space="preserve"> </w:t>
      </w:r>
    </w:p>
    <w:p w14:paraId="48F20944" w14:textId="44C3A506" w:rsidR="00EC321C" w:rsidRPr="00B75A2A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>RTX ha</w:t>
      </w:r>
      <w:r w:rsidR="00BF7739" w:rsidRPr="00B75A2A">
        <w:rPr>
          <w:rFonts w:asciiTheme="minorHAnsi" w:hAnsiTheme="minorHAnsi" w:cstheme="minorHAnsi"/>
          <w:szCs w:val="22"/>
        </w:rPr>
        <w:t>r udpeget</w:t>
      </w:r>
      <w:r w:rsidRPr="00B75A2A">
        <w:rPr>
          <w:rFonts w:asciiTheme="minorHAnsi" w:hAnsiTheme="minorHAnsi" w:cstheme="minorHAnsi"/>
          <w:szCs w:val="22"/>
        </w:rPr>
        <w:t xml:space="preserve"> Danske Bank </w:t>
      </w:r>
      <w:r w:rsidR="00BF7739" w:rsidRPr="00B75A2A">
        <w:rPr>
          <w:rFonts w:asciiTheme="minorHAnsi" w:hAnsiTheme="minorHAnsi" w:cstheme="minorHAnsi"/>
          <w:szCs w:val="22"/>
        </w:rPr>
        <w:t>som</w:t>
      </w:r>
      <w:r w:rsidRPr="00B75A2A">
        <w:rPr>
          <w:rFonts w:asciiTheme="minorHAnsi" w:hAnsiTheme="minorHAnsi" w:cstheme="minorHAnsi"/>
          <w:szCs w:val="22"/>
        </w:rPr>
        <w:t xml:space="preserve"> lead manager for </w:t>
      </w:r>
      <w:r w:rsidR="00BF7739" w:rsidRPr="00B75A2A">
        <w:rPr>
          <w:rFonts w:asciiTheme="minorHAnsi" w:hAnsiTheme="minorHAnsi" w:cstheme="minorHAnsi"/>
          <w:szCs w:val="22"/>
        </w:rPr>
        <w:t>aktietilbagekøbet</w:t>
      </w:r>
      <w:r w:rsidRPr="00B75A2A">
        <w:rPr>
          <w:rFonts w:asciiTheme="minorHAnsi" w:hAnsiTheme="minorHAnsi" w:cstheme="minorHAnsi"/>
          <w:szCs w:val="22"/>
        </w:rPr>
        <w:t xml:space="preserve">. Danske Bank </w:t>
      </w:r>
      <w:r w:rsidR="00BF7739" w:rsidRPr="00B75A2A">
        <w:rPr>
          <w:rFonts w:asciiTheme="minorHAnsi" w:hAnsiTheme="minorHAnsi" w:cstheme="minorHAnsi"/>
          <w:szCs w:val="22"/>
        </w:rPr>
        <w:t xml:space="preserve">træffer uafhængigt </w:t>
      </w:r>
      <w:r w:rsidR="00E10D91" w:rsidRPr="00B75A2A">
        <w:rPr>
          <w:rFonts w:asciiTheme="minorHAnsi" w:hAnsiTheme="minorHAnsi" w:cstheme="minorHAnsi"/>
          <w:szCs w:val="22"/>
        </w:rPr>
        <w:t xml:space="preserve">og uden indflydelse eller involvering fra RTX </w:t>
      </w:r>
      <w:r w:rsidR="00BF7739" w:rsidRPr="00B75A2A">
        <w:rPr>
          <w:rFonts w:asciiTheme="minorHAnsi" w:hAnsiTheme="minorHAnsi" w:cstheme="minorHAnsi"/>
          <w:szCs w:val="22"/>
        </w:rPr>
        <w:t xml:space="preserve">sine </w:t>
      </w:r>
      <w:r w:rsidR="00E10D91" w:rsidRPr="00B75A2A">
        <w:rPr>
          <w:rFonts w:asciiTheme="minorHAnsi" w:hAnsiTheme="minorHAnsi" w:cstheme="minorHAnsi"/>
          <w:szCs w:val="22"/>
        </w:rPr>
        <w:t>handelsbeslutninger</w:t>
      </w:r>
      <w:r w:rsidRPr="00B75A2A">
        <w:rPr>
          <w:rFonts w:asciiTheme="minorHAnsi" w:hAnsiTheme="minorHAnsi" w:cstheme="minorHAnsi"/>
          <w:szCs w:val="22"/>
        </w:rPr>
        <w:t>.</w:t>
      </w:r>
    </w:p>
    <w:p w14:paraId="085A58B0" w14:textId="77777777" w:rsidR="00EC321C" w:rsidRPr="00B75A2A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0D090965" w14:textId="5A09A9CC" w:rsidR="00EC321C" w:rsidRPr="00B75A2A" w:rsidRDefault="00E10D91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>I dette aktietilbagekøbsprogram har</w:t>
      </w:r>
      <w:r w:rsidR="00EC321C" w:rsidRPr="00B75A2A">
        <w:rPr>
          <w:rFonts w:asciiTheme="minorHAnsi" w:hAnsiTheme="minorHAnsi" w:cstheme="minorHAnsi"/>
          <w:szCs w:val="22"/>
        </w:rPr>
        <w:t xml:space="preserve"> RTX </w:t>
      </w:r>
      <w:r w:rsidR="003500A8" w:rsidRPr="00B75A2A">
        <w:rPr>
          <w:rFonts w:asciiTheme="minorHAnsi" w:hAnsiTheme="minorHAnsi" w:cstheme="minorHAnsi"/>
          <w:szCs w:val="22"/>
        </w:rPr>
        <w:t xml:space="preserve">nu </w:t>
      </w:r>
      <w:r w:rsidRPr="00B75A2A">
        <w:rPr>
          <w:rFonts w:asciiTheme="minorHAnsi" w:hAnsiTheme="minorHAnsi" w:cstheme="minorHAnsi"/>
          <w:szCs w:val="22"/>
        </w:rPr>
        <w:t>bemyndigelse til at købe for maksimalt</w:t>
      </w:r>
      <w:r w:rsidR="00EC321C" w:rsidRPr="00B75A2A">
        <w:rPr>
          <w:rFonts w:asciiTheme="minorHAnsi" w:hAnsiTheme="minorHAnsi" w:cstheme="minorHAnsi"/>
          <w:szCs w:val="22"/>
        </w:rPr>
        <w:t xml:space="preserve"> DKK </w:t>
      </w:r>
      <w:r w:rsidR="003500A8" w:rsidRPr="00B75A2A">
        <w:rPr>
          <w:rFonts w:asciiTheme="minorHAnsi" w:hAnsiTheme="minorHAnsi" w:cstheme="minorHAnsi"/>
          <w:szCs w:val="22"/>
        </w:rPr>
        <w:t xml:space="preserve">60 </w:t>
      </w:r>
      <w:r w:rsidR="00EC321C" w:rsidRPr="00B75A2A">
        <w:rPr>
          <w:rFonts w:asciiTheme="minorHAnsi" w:hAnsiTheme="minorHAnsi" w:cstheme="minorHAnsi"/>
          <w:szCs w:val="22"/>
        </w:rPr>
        <w:t>mio</w:t>
      </w:r>
      <w:r w:rsidRPr="00B75A2A">
        <w:rPr>
          <w:rFonts w:asciiTheme="minorHAnsi" w:hAnsiTheme="minorHAnsi" w:cstheme="minorHAnsi"/>
          <w:szCs w:val="22"/>
        </w:rPr>
        <w:t xml:space="preserve">., og ikke mere end </w:t>
      </w:r>
      <w:r w:rsidR="008D23ED" w:rsidRPr="00B75A2A">
        <w:rPr>
          <w:rFonts w:asciiTheme="minorHAnsi" w:hAnsiTheme="minorHAnsi" w:cstheme="minorHAnsi"/>
          <w:szCs w:val="22"/>
        </w:rPr>
        <w:t>6</w:t>
      </w:r>
      <w:r w:rsidR="00EC321C" w:rsidRPr="00B75A2A">
        <w:rPr>
          <w:rFonts w:asciiTheme="minorHAnsi" w:hAnsiTheme="minorHAnsi" w:cstheme="minorHAnsi"/>
          <w:szCs w:val="22"/>
        </w:rPr>
        <w:t>00</w:t>
      </w:r>
      <w:r w:rsidRPr="00B75A2A">
        <w:rPr>
          <w:rFonts w:asciiTheme="minorHAnsi" w:hAnsiTheme="minorHAnsi" w:cstheme="minorHAnsi"/>
          <w:szCs w:val="22"/>
        </w:rPr>
        <w:t>.</w:t>
      </w:r>
      <w:r w:rsidR="00EC321C" w:rsidRPr="00B75A2A">
        <w:rPr>
          <w:rFonts w:asciiTheme="minorHAnsi" w:hAnsiTheme="minorHAnsi" w:cstheme="minorHAnsi"/>
          <w:szCs w:val="22"/>
        </w:rPr>
        <w:t xml:space="preserve">000 </w:t>
      </w:r>
      <w:r w:rsidRPr="00B75A2A">
        <w:rPr>
          <w:rFonts w:asciiTheme="minorHAnsi" w:hAnsiTheme="minorHAnsi" w:cstheme="minorHAnsi"/>
          <w:szCs w:val="22"/>
        </w:rPr>
        <w:t>aktier</w:t>
      </w:r>
      <w:r w:rsidR="00EC321C" w:rsidRPr="00B75A2A">
        <w:rPr>
          <w:rFonts w:asciiTheme="minorHAnsi" w:hAnsiTheme="minorHAnsi" w:cstheme="minorHAnsi"/>
          <w:szCs w:val="22"/>
        </w:rPr>
        <w:t xml:space="preserve">, </w:t>
      </w:r>
      <w:r w:rsidRPr="00B75A2A">
        <w:rPr>
          <w:rFonts w:asciiTheme="minorHAnsi" w:hAnsiTheme="minorHAnsi" w:cstheme="minorHAnsi"/>
          <w:szCs w:val="22"/>
        </w:rPr>
        <w:t xml:space="preserve">hvilket svarer til </w:t>
      </w:r>
      <w:r w:rsidR="009F7E87" w:rsidRPr="00B75A2A">
        <w:rPr>
          <w:rFonts w:asciiTheme="minorHAnsi" w:hAnsiTheme="minorHAnsi" w:cstheme="minorHAnsi"/>
          <w:szCs w:val="22"/>
        </w:rPr>
        <w:t>6,7</w:t>
      </w:r>
      <w:r w:rsidR="00EC321C" w:rsidRPr="00B75A2A">
        <w:rPr>
          <w:rFonts w:asciiTheme="minorHAnsi" w:hAnsiTheme="minorHAnsi" w:cstheme="minorHAnsi"/>
          <w:szCs w:val="22"/>
        </w:rPr>
        <w:t xml:space="preserve">% </w:t>
      </w:r>
      <w:r w:rsidRPr="00B75A2A">
        <w:rPr>
          <w:rFonts w:asciiTheme="minorHAnsi" w:hAnsiTheme="minorHAnsi" w:cstheme="minorHAnsi"/>
          <w:szCs w:val="22"/>
        </w:rPr>
        <w:t>af aktiekapitalen i</w:t>
      </w:r>
      <w:r w:rsidR="00EC321C" w:rsidRPr="00B75A2A">
        <w:rPr>
          <w:rFonts w:asciiTheme="minorHAnsi" w:hAnsiTheme="minorHAnsi" w:cstheme="minorHAnsi"/>
          <w:szCs w:val="22"/>
        </w:rPr>
        <w:t xml:space="preserve"> RTX A/S.</w:t>
      </w:r>
      <w:r w:rsidR="003500A8" w:rsidRPr="00B75A2A">
        <w:rPr>
          <w:rFonts w:asciiTheme="minorHAnsi" w:hAnsiTheme="minorHAnsi" w:cstheme="minorHAnsi"/>
          <w:szCs w:val="22"/>
        </w:rPr>
        <w:t xml:space="preserve"> Siden aktietilbagekøbsprogrammets begyndelse den 1. januar 2020 har RTX pr. den </w:t>
      </w:r>
      <w:r w:rsidR="00983E5F" w:rsidRPr="00B75A2A">
        <w:rPr>
          <w:rFonts w:asciiTheme="minorHAnsi" w:hAnsiTheme="minorHAnsi" w:cstheme="minorHAnsi"/>
          <w:szCs w:val="22"/>
        </w:rPr>
        <w:t>23</w:t>
      </w:r>
      <w:r w:rsidR="003500A8" w:rsidRPr="00B75A2A">
        <w:rPr>
          <w:rFonts w:asciiTheme="minorHAnsi" w:hAnsiTheme="minorHAnsi" w:cstheme="minorHAnsi"/>
          <w:szCs w:val="22"/>
        </w:rPr>
        <w:t xml:space="preserve">. januar 2020 købt </w:t>
      </w:r>
      <w:r w:rsidR="00983E5F" w:rsidRPr="00B75A2A">
        <w:rPr>
          <w:rFonts w:asciiTheme="minorHAnsi" w:hAnsiTheme="minorHAnsi" w:cstheme="minorHAnsi"/>
          <w:szCs w:val="22"/>
        </w:rPr>
        <w:t>14</w:t>
      </w:r>
      <w:r w:rsidR="003500A8" w:rsidRPr="00B75A2A">
        <w:rPr>
          <w:rFonts w:asciiTheme="minorHAnsi" w:hAnsiTheme="minorHAnsi" w:cstheme="minorHAnsi"/>
          <w:szCs w:val="22"/>
        </w:rPr>
        <w:t>.</w:t>
      </w:r>
      <w:r w:rsidR="00983E5F" w:rsidRPr="00B75A2A">
        <w:rPr>
          <w:rFonts w:asciiTheme="minorHAnsi" w:hAnsiTheme="minorHAnsi" w:cstheme="minorHAnsi"/>
          <w:szCs w:val="22"/>
        </w:rPr>
        <w:t>600</w:t>
      </w:r>
      <w:r w:rsidR="003500A8" w:rsidRPr="00B75A2A">
        <w:rPr>
          <w:rFonts w:asciiTheme="minorHAnsi" w:hAnsiTheme="minorHAnsi" w:cstheme="minorHAnsi"/>
          <w:szCs w:val="22"/>
        </w:rPr>
        <w:t xml:space="preserve"> aktier til </w:t>
      </w:r>
      <w:r w:rsidR="00983E5F" w:rsidRPr="00B75A2A">
        <w:rPr>
          <w:rFonts w:asciiTheme="minorHAnsi" w:hAnsiTheme="minorHAnsi" w:cstheme="minorHAnsi"/>
          <w:szCs w:val="22"/>
        </w:rPr>
        <w:t>et</w:t>
      </w:r>
      <w:r w:rsidR="003500A8" w:rsidRPr="00B75A2A">
        <w:rPr>
          <w:rFonts w:asciiTheme="minorHAnsi" w:hAnsiTheme="minorHAnsi" w:cstheme="minorHAnsi"/>
          <w:szCs w:val="22"/>
        </w:rPr>
        <w:t xml:space="preserve"> samlet </w:t>
      </w:r>
      <w:r w:rsidR="00983E5F" w:rsidRPr="00B75A2A">
        <w:rPr>
          <w:rFonts w:asciiTheme="minorHAnsi" w:hAnsiTheme="minorHAnsi" w:cstheme="minorHAnsi"/>
          <w:szCs w:val="22"/>
        </w:rPr>
        <w:t>beløb</w:t>
      </w:r>
      <w:r w:rsidR="003500A8" w:rsidRPr="00B75A2A">
        <w:rPr>
          <w:rFonts w:asciiTheme="minorHAnsi" w:hAnsiTheme="minorHAnsi" w:cstheme="minorHAnsi"/>
          <w:szCs w:val="22"/>
        </w:rPr>
        <w:t xml:space="preserve"> af</w:t>
      </w:r>
      <w:r w:rsidR="00983E5F" w:rsidRPr="00B75A2A">
        <w:rPr>
          <w:rFonts w:asciiTheme="minorHAnsi" w:hAnsiTheme="minorHAnsi" w:cstheme="minorHAnsi"/>
          <w:szCs w:val="22"/>
        </w:rPr>
        <w:t xml:space="preserve"> 2</w:t>
      </w:r>
      <w:r w:rsidR="001B23BD" w:rsidRPr="00B75A2A">
        <w:rPr>
          <w:rFonts w:asciiTheme="minorHAnsi" w:hAnsiTheme="minorHAnsi" w:cstheme="minorHAnsi"/>
          <w:szCs w:val="22"/>
        </w:rPr>
        <w:t xml:space="preserve">.960.043 </w:t>
      </w:r>
      <w:r w:rsidR="003500A8" w:rsidRPr="00B75A2A">
        <w:rPr>
          <w:rFonts w:asciiTheme="minorHAnsi" w:hAnsiTheme="minorHAnsi" w:cstheme="minorHAnsi"/>
          <w:szCs w:val="22"/>
        </w:rPr>
        <w:t>DKK.</w:t>
      </w:r>
    </w:p>
    <w:p w14:paraId="2EBA16AC" w14:textId="77777777" w:rsidR="00EC321C" w:rsidRPr="00B75A2A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34049A0E" w14:textId="1370F039" w:rsidR="00EC321C" w:rsidRPr="00B75A2A" w:rsidRDefault="00E10D91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>Aktierne må ikke</w:t>
      </w:r>
      <w:r w:rsidR="00EC321C" w:rsidRPr="00B75A2A">
        <w:rPr>
          <w:rFonts w:asciiTheme="minorHAnsi" w:hAnsiTheme="minorHAnsi" w:cstheme="minorHAnsi"/>
          <w:szCs w:val="22"/>
        </w:rPr>
        <w:t xml:space="preserve"> </w:t>
      </w:r>
      <w:r w:rsidRPr="00B75A2A">
        <w:rPr>
          <w:rFonts w:asciiTheme="minorHAnsi" w:hAnsiTheme="minorHAnsi" w:cstheme="minorHAnsi"/>
          <w:szCs w:val="22"/>
        </w:rPr>
        <w:t xml:space="preserve">købes til en aktiekurs, der overstiger den højeste af </w:t>
      </w:r>
      <w:r w:rsidR="00EC321C" w:rsidRPr="00B75A2A">
        <w:rPr>
          <w:rFonts w:asciiTheme="minorHAnsi" w:hAnsiTheme="minorHAnsi" w:cstheme="minorHAnsi"/>
          <w:szCs w:val="22"/>
        </w:rPr>
        <w:t xml:space="preserve">(i) </w:t>
      </w:r>
      <w:r w:rsidRPr="00B75A2A">
        <w:rPr>
          <w:rFonts w:asciiTheme="minorHAnsi" w:hAnsiTheme="minorHAnsi" w:cstheme="minorHAnsi"/>
          <w:szCs w:val="22"/>
        </w:rPr>
        <w:t>aktiekursen på den seneste uafhængige handel og</w:t>
      </w:r>
      <w:r w:rsidR="00EC321C" w:rsidRPr="00B75A2A">
        <w:rPr>
          <w:rFonts w:asciiTheme="minorHAnsi" w:hAnsiTheme="minorHAnsi" w:cstheme="minorHAnsi"/>
          <w:szCs w:val="22"/>
        </w:rPr>
        <w:t xml:space="preserve"> (ii) </w:t>
      </w:r>
      <w:r w:rsidRPr="00B75A2A">
        <w:rPr>
          <w:rFonts w:asciiTheme="minorHAnsi" w:hAnsiTheme="minorHAnsi" w:cstheme="minorHAnsi"/>
          <w:szCs w:val="22"/>
        </w:rPr>
        <w:t xml:space="preserve">den højeste foreliggende uafhængige tilbudskurs på </w:t>
      </w:r>
      <w:r w:rsidR="00EC321C" w:rsidRPr="00B75A2A">
        <w:rPr>
          <w:rFonts w:asciiTheme="minorHAnsi" w:hAnsiTheme="minorHAnsi" w:cstheme="minorHAnsi"/>
          <w:szCs w:val="22"/>
        </w:rPr>
        <w:t>Nasdaq Copenhagen</w:t>
      </w:r>
      <w:r w:rsidRPr="00B75A2A">
        <w:rPr>
          <w:rFonts w:asciiTheme="minorHAnsi" w:hAnsiTheme="minorHAnsi" w:cstheme="minorHAnsi"/>
          <w:szCs w:val="22"/>
        </w:rPr>
        <w:t xml:space="preserve"> på handelstidspunktet</w:t>
      </w:r>
      <w:r w:rsidR="00EC321C" w:rsidRPr="00B75A2A">
        <w:rPr>
          <w:rFonts w:asciiTheme="minorHAnsi" w:hAnsiTheme="minorHAnsi" w:cstheme="minorHAnsi"/>
          <w:szCs w:val="22"/>
        </w:rPr>
        <w:t xml:space="preserve">. </w:t>
      </w:r>
    </w:p>
    <w:p w14:paraId="2F96CF32" w14:textId="77777777" w:rsidR="00EC321C" w:rsidRPr="00B75A2A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5437FB5C" w14:textId="346B2DB7" w:rsidR="004E1CE7" w:rsidRPr="00B75A2A" w:rsidRDefault="00E10D91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 xml:space="preserve">På en enkelt dag må der ikke købes mere end 25% af den gennemsnitlige daglige volumen af selskabets aktier, der er blevet handlet på Nasdaq Copenhagen de foregående </w:t>
      </w:r>
      <w:r w:rsidR="00EC321C" w:rsidRPr="00B75A2A">
        <w:rPr>
          <w:rFonts w:asciiTheme="minorHAnsi" w:hAnsiTheme="minorHAnsi" w:cstheme="minorHAnsi"/>
          <w:szCs w:val="22"/>
        </w:rPr>
        <w:t xml:space="preserve">20 </w:t>
      </w:r>
      <w:r w:rsidRPr="00B75A2A">
        <w:rPr>
          <w:rFonts w:asciiTheme="minorHAnsi" w:hAnsiTheme="minorHAnsi" w:cstheme="minorHAnsi"/>
          <w:szCs w:val="22"/>
        </w:rPr>
        <w:t>handelsdage</w:t>
      </w:r>
      <w:r w:rsidR="00EC321C" w:rsidRPr="00B75A2A">
        <w:rPr>
          <w:rFonts w:asciiTheme="minorHAnsi" w:hAnsiTheme="minorHAnsi" w:cstheme="minorHAnsi"/>
          <w:szCs w:val="22"/>
        </w:rPr>
        <w:t xml:space="preserve">. </w:t>
      </w:r>
      <w:r w:rsidR="000875C7" w:rsidRPr="00B75A2A">
        <w:rPr>
          <w:rFonts w:asciiTheme="minorHAnsi" w:hAnsiTheme="minorHAnsi" w:cstheme="minorHAnsi"/>
          <w:szCs w:val="22"/>
        </w:rPr>
        <w:t>Herudover må der set over perioden for programmets gennemførelse ikke tilbagekøbes mere end 15% af den samlede volumen af selskabets aktier, der er blevet handlet på Nasdaq Copenhagen over denne periode.</w:t>
      </w:r>
    </w:p>
    <w:p w14:paraId="0B7E6CE2" w14:textId="77777777" w:rsidR="004E1CE7" w:rsidRPr="00B75A2A" w:rsidRDefault="004E1CE7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1C604FAB" w14:textId="32669F54" w:rsidR="00EC321C" w:rsidRPr="00B75A2A" w:rsidRDefault="00E10D91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>Pr.</w:t>
      </w:r>
      <w:r w:rsidR="00EC321C" w:rsidRPr="00B75A2A">
        <w:rPr>
          <w:rFonts w:asciiTheme="minorHAnsi" w:hAnsiTheme="minorHAnsi" w:cstheme="minorHAnsi"/>
          <w:szCs w:val="22"/>
        </w:rPr>
        <w:t xml:space="preserve"> </w:t>
      </w:r>
      <w:r w:rsidR="001B23BD" w:rsidRPr="00B75A2A">
        <w:rPr>
          <w:rFonts w:asciiTheme="minorHAnsi" w:hAnsiTheme="minorHAnsi" w:cstheme="minorHAnsi"/>
          <w:szCs w:val="22"/>
        </w:rPr>
        <w:t>23</w:t>
      </w:r>
      <w:r w:rsidRPr="00B75A2A">
        <w:rPr>
          <w:rFonts w:asciiTheme="minorHAnsi" w:hAnsiTheme="minorHAnsi" w:cstheme="minorHAnsi"/>
          <w:szCs w:val="22"/>
        </w:rPr>
        <w:t xml:space="preserve">. </w:t>
      </w:r>
      <w:r w:rsidR="003500A8" w:rsidRPr="00B75A2A">
        <w:rPr>
          <w:rFonts w:asciiTheme="minorHAnsi" w:hAnsiTheme="minorHAnsi" w:cstheme="minorHAnsi"/>
          <w:szCs w:val="22"/>
        </w:rPr>
        <w:t xml:space="preserve">januar </w:t>
      </w:r>
      <w:r w:rsidR="00EC321C" w:rsidRPr="00B75A2A">
        <w:rPr>
          <w:rFonts w:asciiTheme="minorHAnsi" w:hAnsiTheme="minorHAnsi" w:cstheme="minorHAnsi"/>
          <w:szCs w:val="22"/>
        </w:rPr>
        <w:t>20</w:t>
      </w:r>
      <w:r w:rsidR="003500A8" w:rsidRPr="00B75A2A">
        <w:rPr>
          <w:rFonts w:asciiTheme="minorHAnsi" w:hAnsiTheme="minorHAnsi" w:cstheme="minorHAnsi"/>
          <w:szCs w:val="22"/>
        </w:rPr>
        <w:t>20</w:t>
      </w:r>
      <w:r w:rsidRPr="00B75A2A">
        <w:rPr>
          <w:rFonts w:asciiTheme="minorHAnsi" w:hAnsiTheme="minorHAnsi" w:cstheme="minorHAnsi"/>
          <w:szCs w:val="22"/>
        </w:rPr>
        <w:t xml:space="preserve"> </w:t>
      </w:r>
      <w:r w:rsidR="00F145C9" w:rsidRPr="00B75A2A">
        <w:rPr>
          <w:rFonts w:asciiTheme="minorHAnsi" w:hAnsiTheme="minorHAnsi" w:cstheme="minorHAnsi"/>
          <w:szCs w:val="22"/>
        </w:rPr>
        <w:t xml:space="preserve">ejer </w:t>
      </w:r>
      <w:r w:rsidR="00EC321C" w:rsidRPr="00B75A2A">
        <w:rPr>
          <w:rFonts w:asciiTheme="minorHAnsi" w:hAnsiTheme="minorHAnsi" w:cstheme="minorHAnsi"/>
          <w:szCs w:val="22"/>
        </w:rPr>
        <w:t>RTX</w:t>
      </w:r>
      <w:r w:rsidR="001B23BD" w:rsidRPr="00B75A2A">
        <w:rPr>
          <w:rFonts w:asciiTheme="minorHAnsi" w:hAnsiTheme="minorHAnsi" w:cstheme="minorHAnsi"/>
          <w:szCs w:val="22"/>
        </w:rPr>
        <w:t xml:space="preserve"> 558.243 </w:t>
      </w:r>
      <w:r w:rsidRPr="00B75A2A">
        <w:rPr>
          <w:rFonts w:asciiTheme="minorHAnsi" w:hAnsiTheme="minorHAnsi" w:cstheme="minorHAnsi"/>
          <w:szCs w:val="22"/>
        </w:rPr>
        <w:t xml:space="preserve">egne aktier til en </w:t>
      </w:r>
      <w:r w:rsidR="00EC321C" w:rsidRPr="00B75A2A">
        <w:rPr>
          <w:rFonts w:asciiTheme="minorHAnsi" w:hAnsiTheme="minorHAnsi" w:cstheme="minorHAnsi"/>
          <w:szCs w:val="22"/>
        </w:rPr>
        <w:t>nomin</w:t>
      </w:r>
      <w:r w:rsidRPr="00B75A2A">
        <w:rPr>
          <w:rFonts w:asciiTheme="minorHAnsi" w:hAnsiTheme="minorHAnsi" w:cstheme="minorHAnsi"/>
          <w:szCs w:val="22"/>
        </w:rPr>
        <w:t>e</w:t>
      </w:r>
      <w:r w:rsidR="00EC321C" w:rsidRPr="00B75A2A">
        <w:rPr>
          <w:rFonts w:asciiTheme="minorHAnsi" w:hAnsiTheme="minorHAnsi" w:cstheme="minorHAnsi"/>
          <w:szCs w:val="22"/>
        </w:rPr>
        <w:t>l v</w:t>
      </w:r>
      <w:r w:rsidRPr="00B75A2A">
        <w:rPr>
          <w:rFonts w:asciiTheme="minorHAnsi" w:hAnsiTheme="minorHAnsi" w:cstheme="minorHAnsi"/>
          <w:szCs w:val="22"/>
        </w:rPr>
        <w:t>ærdi af</w:t>
      </w:r>
      <w:r w:rsidR="00EC321C" w:rsidRPr="00B75A2A">
        <w:rPr>
          <w:rFonts w:asciiTheme="minorHAnsi" w:hAnsiTheme="minorHAnsi" w:cstheme="minorHAnsi"/>
          <w:szCs w:val="22"/>
        </w:rPr>
        <w:t xml:space="preserve"> DKK 5, </w:t>
      </w:r>
      <w:r w:rsidRPr="00B75A2A">
        <w:rPr>
          <w:rFonts w:asciiTheme="minorHAnsi" w:hAnsiTheme="minorHAnsi" w:cstheme="minorHAnsi"/>
          <w:szCs w:val="22"/>
        </w:rPr>
        <w:t>svarende til</w:t>
      </w:r>
      <w:r w:rsidR="00EC321C" w:rsidRPr="00B75A2A">
        <w:rPr>
          <w:rFonts w:asciiTheme="minorHAnsi" w:hAnsiTheme="minorHAnsi" w:cstheme="minorHAnsi"/>
          <w:szCs w:val="22"/>
        </w:rPr>
        <w:t xml:space="preserve"> </w:t>
      </w:r>
      <w:r w:rsidR="001B23BD" w:rsidRPr="00B75A2A">
        <w:rPr>
          <w:rFonts w:asciiTheme="minorHAnsi" w:hAnsiTheme="minorHAnsi" w:cstheme="minorHAnsi"/>
          <w:szCs w:val="22"/>
        </w:rPr>
        <w:t>6,24</w:t>
      </w:r>
      <w:r w:rsidR="00EC321C" w:rsidRPr="00B75A2A">
        <w:rPr>
          <w:rFonts w:asciiTheme="minorHAnsi" w:hAnsiTheme="minorHAnsi" w:cstheme="minorHAnsi"/>
          <w:szCs w:val="22"/>
        </w:rPr>
        <w:t xml:space="preserve">% </w:t>
      </w:r>
      <w:r w:rsidRPr="00B75A2A">
        <w:rPr>
          <w:rFonts w:asciiTheme="minorHAnsi" w:hAnsiTheme="minorHAnsi" w:cstheme="minorHAnsi"/>
          <w:szCs w:val="22"/>
        </w:rPr>
        <w:t>a</w:t>
      </w:r>
      <w:r w:rsidR="00EC321C" w:rsidRPr="00B75A2A">
        <w:rPr>
          <w:rFonts w:asciiTheme="minorHAnsi" w:hAnsiTheme="minorHAnsi" w:cstheme="minorHAnsi"/>
          <w:szCs w:val="22"/>
        </w:rPr>
        <w:t xml:space="preserve">f </w:t>
      </w:r>
      <w:r w:rsidRPr="00B75A2A">
        <w:rPr>
          <w:rFonts w:asciiTheme="minorHAnsi" w:hAnsiTheme="minorHAnsi" w:cstheme="minorHAnsi"/>
          <w:szCs w:val="22"/>
        </w:rPr>
        <w:t>aktiekapitalen</w:t>
      </w:r>
      <w:r w:rsidR="00EC321C" w:rsidRPr="00B75A2A">
        <w:rPr>
          <w:rFonts w:asciiTheme="minorHAnsi" w:hAnsiTheme="minorHAnsi" w:cstheme="minorHAnsi"/>
          <w:szCs w:val="22"/>
        </w:rPr>
        <w:t xml:space="preserve">.  </w:t>
      </w:r>
    </w:p>
    <w:p w14:paraId="35DD016D" w14:textId="77777777" w:rsidR="00EC321C" w:rsidRPr="00B75A2A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7E6A258B" w14:textId="35BD7A71" w:rsidR="00EC321C" w:rsidRPr="00B75A2A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 xml:space="preserve">RTX </w:t>
      </w:r>
      <w:r w:rsidR="00E10D91" w:rsidRPr="00B75A2A">
        <w:rPr>
          <w:rFonts w:asciiTheme="minorHAnsi" w:hAnsiTheme="minorHAnsi" w:cstheme="minorHAnsi"/>
          <w:szCs w:val="22"/>
        </w:rPr>
        <w:t xml:space="preserve">er berettiget til midlertidigt eller helt at stoppe tilbagekøbet på ethvert tidspunkt, betinget af at dette meddeles til </w:t>
      </w:r>
      <w:r w:rsidRPr="00B75A2A">
        <w:rPr>
          <w:rFonts w:asciiTheme="minorHAnsi" w:hAnsiTheme="minorHAnsi" w:cstheme="minorHAnsi"/>
          <w:szCs w:val="22"/>
        </w:rPr>
        <w:t>Nasdaq Copenhagen.</w:t>
      </w:r>
    </w:p>
    <w:p w14:paraId="492F4699" w14:textId="77777777" w:rsidR="00EC321C" w:rsidRPr="00B75A2A" w:rsidRDefault="00EC321C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</w:p>
    <w:p w14:paraId="35B43439" w14:textId="5935B34E" w:rsidR="00EC321C" w:rsidRPr="00B75A2A" w:rsidRDefault="00E10D91" w:rsidP="00EC321C">
      <w:pPr>
        <w:pStyle w:val="underskrift"/>
        <w:tabs>
          <w:tab w:val="clear" w:pos="0"/>
          <w:tab w:val="clear" w:pos="2552"/>
          <w:tab w:val="clear" w:pos="5103"/>
          <w:tab w:val="clear" w:pos="7655"/>
          <w:tab w:val="clear" w:pos="9356"/>
        </w:tabs>
        <w:spacing w:line="300" w:lineRule="atLeast"/>
        <w:rPr>
          <w:rFonts w:asciiTheme="minorHAnsi" w:hAnsiTheme="minorHAnsi" w:cstheme="minorHAnsi"/>
          <w:szCs w:val="22"/>
        </w:rPr>
      </w:pPr>
      <w:r w:rsidRPr="00B75A2A">
        <w:rPr>
          <w:rFonts w:asciiTheme="minorHAnsi" w:hAnsiTheme="minorHAnsi" w:cstheme="minorHAnsi"/>
          <w:szCs w:val="22"/>
        </w:rPr>
        <w:t xml:space="preserve">RTX </w:t>
      </w:r>
      <w:r w:rsidR="00CB5938" w:rsidRPr="00B75A2A">
        <w:rPr>
          <w:rFonts w:asciiTheme="minorHAnsi" w:hAnsiTheme="minorHAnsi" w:cstheme="minorHAnsi"/>
          <w:szCs w:val="22"/>
        </w:rPr>
        <w:t xml:space="preserve">vil fortsat </w:t>
      </w:r>
      <w:r w:rsidRPr="00B75A2A">
        <w:rPr>
          <w:rFonts w:asciiTheme="minorHAnsi" w:hAnsiTheme="minorHAnsi" w:cstheme="minorHAnsi"/>
          <w:szCs w:val="22"/>
        </w:rPr>
        <w:t xml:space="preserve">ugentligt offentliggøre en separat meddelelse om </w:t>
      </w:r>
      <w:r w:rsidR="004E1CE7" w:rsidRPr="00B75A2A">
        <w:rPr>
          <w:rFonts w:asciiTheme="minorHAnsi" w:hAnsiTheme="minorHAnsi" w:cstheme="minorHAnsi"/>
          <w:szCs w:val="22"/>
        </w:rPr>
        <w:t>transaktionerne i dette program</w:t>
      </w:r>
      <w:r w:rsidR="00EC321C" w:rsidRPr="00B75A2A">
        <w:rPr>
          <w:rFonts w:asciiTheme="minorHAnsi" w:hAnsiTheme="minorHAnsi" w:cstheme="minorHAnsi"/>
          <w:szCs w:val="22"/>
        </w:rPr>
        <w:t xml:space="preserve">. </w:t>
      </w:r>
    </w:p>
    <w:p w14:paraId="5D4443F9" w14:textId="77777777" w:rsidR="00EC321C" w:rsidRPr="00B75A2A" w:rsidRDefault="00EC321C" w:rsidP="00EC321C">
      <w:pPr>
        <w:spacing w:line="320" w:lineRule="atLeast"/>
        <w:jc w:val="both"/>
        <w:rPr>
          <w:rFonts w:ascii="Arial" w:hAnsi="Arial" w:cs="Arial"/>
          <w:sz w:val="21"/>
          <w:szCs w:val="21"/>
        </w:rPr>
      </w:pPr>
      <w:bookmarkStart w:id="1" w:name="OLE_LINK1"/>
    </w:p>
    <w:bookmarkEnd w:id="1"/>
    <w:p w14:paraId="1EF09C6C" w14:textId="77777777" w:rsidR="00EC321C" w:rsidRPr="00B75A2A" w:rsidRDefault="00EC321C" w:rsidP="00EC321C">
      <w:pPr>
        <w:spacing w:line="32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0FADA378" w14:textId="4D6A95A7" w:rsidR="00EC321C" w:rsidRPr="00B75A2A" w:rsidRDefault="004E1CE7" w:rsidP="00EC321C">
      <w:pPr>
        <w:spacing w:line="320" w:lineRule="atLeast"/>
        <w:rPr>
          <w:rFonts w:asciiTheme="minorHAnsi" w:hAnsiTheme="minorHAnsi" w:cstheme="minorHAnsi"/>
          <w:b/>
          <w:sz w:val="22"/>
          <w:szCs w:val="22"/>
        </w:rPr>
      </w:pPr>
      <w:r w:rsidRPr="00B75A2A">
        <w:rPr>
          <w:rFonts w:asciiTheme="minorHAnsi" w:hAnsiTheme="minorHAnsi" w:cstheme="minorHAnsi"/>
          <w:b/>
          <w:sz w:val="22"/>
          <w:szCs w:val="22"/>
        </w:rPr>
        <w:t>Spørgsmål og yderligere oplysninger:</w:t>
      </w:r>
      <w:r w:rsidR="00EC321C" w:rsidRPr="00B75A2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364E9F8" w14:textId="3C1D3B07" w:rsidR="00EC321C" w:rsidRPr="004E1CE7" w:rsidRDefault="00EC321C" w:rsidP="00EC321C">
      <w:pPr>
        <w:tabs>
          <w:tab w:val="left" w:pos="2520"/>
        </w:tabs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75A2A">
        <w:rPr>
          <w:rFonts w:asciiTheme="minorHAnsi" w:hAnsiTheme="minorHAnsi" w:cstheme="minorHAnsi"/>
          <w:sz w:val="22"/>
          <w:szCs w:val="22"/>
        </w:rPr>
        <w:t>CEO Peter Røpke, t</w:t>
      </w:r>
      <w:r w:rsidR="004E1CE7" w:rsidRPr="00B75A2A">
        <w:rPr>
          <w:rFonts w:asciiTheme="minorHAnsi" w:hAnsiTheme="minorHAnsi" w:cstheme="minorHAnsi"/>
          <w:sz w:val="22"/>
          <w:szCs w:val="22"/>
        </w:rPr>
        <w:t>e</w:t>
      </w:r>
      <w:r w:rsidRPr="00B75A2A">
        <w:rPr>
          <w:rFonts w:asciiTheme="minorHAnsi" w:hAnsiTheme="minorHAnsi" w:cstheme="minorHAnsi"/>
          <w:sz w:val="22"/>
          <w:szCs w:val="22"/>
        </w:rPr>
        <w:t>l: +45 96 32 23 00.</w:t>
      </w:r>
    </w:p>
    <w:p w14:paraId="0907F3EF" w14:textId="7961BE29" w:rsidR="009B0A3E" w:rsidRPr="004E1CE7" w:rsidRDefault="009B0A3E" w:rsidP="00EC321C">
      <w:pPr>
        <w:spacing w:line="276" w:lineRule="auto"/>
        <w:jc w:val="both"/>
        <w:rPr>
          <w:rStyle w:val="Emphasis"/>
        </w:rPr>
      </w:pPr>
    </w:p>
    <w:sectPr w:rsidR="009B0A3E" w:rsidRPr="004E1CE7" w:rsidSect="0056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1D9EE" w14:textId="77777777" w:rsidR="00A92B30" w:rsidRDefault="00A92B30">
      <w:r>
        <w:separator/>
      </w:r>
    </w:p>
  </w:endnote>
  <w:endnote w:type="continuationSeparator" w:id="0">
    <w:p w14:paraId="028362E2" w14:textId="77777777" w:rsidR="00A92B30" w:rsidRDefault="00A9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">
    <w:altName w:val="Segoe UI"/>
    <w:charset w:val="00"/>
    <w:family w:val="auto"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62D0C" w14:textId="77777777" w:rsidR="00F145C9" w:rsidRDefault="00F14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EB466" w14:textId="77777777" w:rsidR="00141330" w:rsidRPr="00141330" w:rsidRDefault="00141330" w:rsidP="00141330">
    <w:pPr>
      <w:pStyle w:val="Footer"/>
      <w:tabs>
        <w:tab w:val="left" w:pos="7002"/>
        <w:tab w:val="left" w:pos="7142"/>
        <w:tab w:val="left" w:pos="7365"/>
        <w:tab w:val="left" w:pos="7513"/>
      </w:tabs>
      <w:ind w:right="-710"/>
      <w:rPr>
        <w:rFonts w:asciiTheme="majorHAnsi" w:hAnsiTheme="majorHAnsi" w:cstheme="majorHAnsi"/>
        <w:color w:val="0070B7"/>
        <w:sz w:val="18"/>
        <w:lang w:val="en-GB"/>
      </w:rPr>
    </w:pPr>
    <w:bookmarkStart w:id="2" w:name="Ref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A803" w14:textId="77777777" w:rsidR="00141330" w:rsidRPr="00FD1B8D" w:rsidRDefault="00141330" w:rsidP="00E1628E">
    <w:pPr>
      <w:pStyle w:val="Footer"/>
      <w:tabs>
        <w:tab w:val="left" w:pos="7002"/>
        <w:tab w:val="left" w:pos="7142"/>
        <w:tab w:val="left" w:pos="7365"/>
        <w:tab w:val="left" w:pos="7513"/>
      </w:tabs>
      <w:ind w:left="6974" w:right="-710"/>
      <w:rPr>
        <w:rFonts w:asciiTheme="majorHAnsi" w:hAnsiTheme="majorHAnsi" w:cstheme="majorHAnsi"/>
        <w:sz w:val="14"/>
      </w:rPr>
    </w:pPr>
    <w:r w:rsidRPr="00FD1B8D">
      <w:rPr>
        <w:rFonts w:asciiTheme="majorHAnsi" w:hAnsiTheme="majorHAnsi" w:cstheme="majorHAnsi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11D17" w14:textId="77777777" w:rsidR="00A92B30" w:rsidRDefault="00A92B30">
      <w:r>
        <w:separator/>
      </w:r>
    </w:p>
  </w:footnote>
  <w:footnote w:type="continuationSeparator" w:id="0">
    <w:p w14:paraId="030D6B4C" w14:textId="77777777" w:rsidR="00A92B30" w:rsidRDefault="00A9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18D4D" w14:textId="77777777" w:rsidR="00F145C9" w:rsidRDefault="00F14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5FE4" w14:textId="1DD720F1" w:rsidR="00141330" w:rsidRDefault="00141330" w:rsidP="0072509D">
    <w:pPr>
      <w:tabs>
        <w:tab w:val="left" w:pos="5245"/>
        <w:tab w:val="left" w:pos="7002"/>
        <w:tab w:val="left" w:pos="7142"/>
        <w:tab w:val="left" w:pos="7513"/>
      </w:tabs>
    </w:pPr>
  </w:p>
  <w:p w14:paraId="75A56AAB" w14:textId="77777777" w:rsidR="00141330" w:rsidRDefault="00141330" w:rsidP="0072509D">
    <w:pPr>
      <w:tabs>
        <w:tab w:val="left" w:pos="5245"/>
        <w:tab w:val="left" w:pos="7002"/>
        <w:tab w:val="left" w:pos="7142"/>
        <w:tab w:val="left" w:pos="7513"/>
      </w:tabs>
    </w:pPr>
  </w:p>
  <w:p w14:paraId="65FA0ED7" w14:textId="77777777" w:rsidR="00141330" w:rsidRPr="0072509D" w:rsidRDefault="00141330" w:rsidP="0072509D">
    <w:pPr>
      <w:tabs>
        <w:tab w:val="left" w:pos="5245"/>
        <w:tab w:val="left" w:pos="7002"/>
        <w:tab w:val="left" w:pos="7142"/>
        <w:tab w:val="left" w:pos="7513"/>
      </w:tabs>
      <w:rPr>
        <w:rFonts w:ascii="Arial" w:hAnsi="Arial"/>
        <w:color w:val="000000"/>
        <w:sz w:val="16"/>
      </w:rPr>
    </w:pPr>
  </w:p>
  <w:p w14:paraId="45183D86" w14:textId="77777777" w:rsidR="00141330" w:rsidRDefault="00141330" w:rsidP="00CB7DB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1938A" w14:textId="4541564B" w:rsidR="00141330" w:rsidRDefault="00141330" w:rsidP="005637D5">
    <w:pPr>
      <w:tabs>
        <w:tab w:val="left" w:pos="5245"/>
        <w:tab w:val="left" w:pos="7002"/>
        <w:tab w:val="left" w:pos="7142"/>
        <w:tab w:val="left" w:pos="7513"/>
      </w:tabs>
    </w:pPr>
    <w:r>
      <w:rPr>
        <w:rFonts w:ascii="Arial" w:hAnsi="Arial"/>
        <w:noProof/>
        <w:color w:val="000000"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FAC50" wp14:editId="2772347C">
              <wp:simplePos x="0" y="0"/>
              <wp:positionH relativeFrom="column">
                <wp:posOffset>5101709</wp:posOffset>
              </wp:positionH>
              <wp:positionV relativeFrom="paragraph">
                <wp:posOffset>122361</wp:posOffset>
              </wp:positionV>
              <wp:extent cx="1154474" cy="5156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74" cy="515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E83CD9" w14:textId="77777777" w:rsidR="00141330" w:rsidRPr="00F97389" w:rsidRDefault="00141330" w:rsidP="005637D5">
                          <w:pPr>
                            <w:rPr>
                              <w:rFonts w:cs="Calibri"/>
                              <w:color w:val="0070B7"/>
                              <w:sz w:val="16"/>
                              <w:lang w:val="en-US"/>
                            </w:rPr>
                          </w:pPr>
                          <w:r w:rsidRPr="00F97389">
                            <w:rPr>
                              <w:rFonts w:cs="Calibri"/>
                              <w:color w:val="0070B7"/>
                              <w:sz w:val="16"/>
                              <w:lang w:val="en-US"/>
                            </w:rPr>
                            <w:t>RTX A/S | www.rtx.dk</w:t>
                          </w:r>
                        </w:p>
                        <w:p w14:paraId="5C731218" w14:textId="77777777" w:rsidR="00141330" w:rsidRPr="00F97389" w:rsidRDefault="00141330" w:rsidP="005637D5">
                          <w:pPr>
                            <w:rPr>
                              <w:rFonts w:cs="Calibri"/>
                              <w:color w:val="0070B7"/>
                              <w:sz w:val="16"/>
                              <w:lang w:val="en-US"/>
                            </w:rPr>
                          </w:pPr>
                          <w:r w:rsidRPr="00F97389">
                            <w:rPr>
                              <w:rFonts w:cs="Calibri"/>
                              <w:color w:val="0070B7"/>
                              <w:sz w:val="16"/>
                              <w:lang w:val="en-US"/>
                            </w:rPr>
                            <w:t>Strømmen 6</w:t>
                          </w:r>
                        </w:p>
                        <w:p w14:paraId="458A0493" w14:textId="77777777" w:rsidR="00141330" w:rsidRPr="00F97389" w:rsidRDefault="00141330" w:rsidP="005637D5">
                          <w:pPr>
                            <w:rPr>
                              <w:rFonts w:cs="Calibri"/>
                              <w:color w:val="0070B7"/>
                              <w:sz w:val="16"/>
                              <w:lang w:val="en-US"/>
                            </w:rPr>
                          </w:pPr>
                          <w:r w:rsidRPr="00F97389">
                            <w:rPr>
                              <w:rFonts w:cs="Calibri"/>
                              <w:color w:val="0070B7"/>
                              <w:sz w:val="16"/>
                              <w:lang w:val="en-US"/>
                            </w:rPr>
                            <w:t>9400 Nørresundby, 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FAC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7pt;margin-top:9.65pt;width:90.9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" filled="f" stroked="f" strokeweight=".5pt">
              <v:textbox>
                <w:txbxContent>
                  <w:p w14:paraId="04E83CD9" w14:textId="77777777" w:rsidR="00141330" w:rsidRPr="00F97389" w:rsidRDefault="00141330" w:rsidP="005637D5">
                    <w:pPr>
                      <w:rPr>
                        <w:rFonts w:cs="Calibri"/>
                        <w:color w:val="0070B7"/>
                        <w:sz w:val="16"/>
                        <w:lang w:val="en-US"/>
                      </w:rPr>
                    </w:pPr>
                    <w:r w:rsidRPr="00F97389">
                      <w:rPr>
                        <w:rFonts w:cs="Calibri"/>
                        <w:color w:val="0070B7"/>
                        <w:sz w:val="16"/>
                        <w:lang w:val="en-US"/>
                      </w:rPr>
                      <w:t>RTX A/S | www.rtx.dk</w:t>
                    </w:r>
                  </w:p>
                  <w:p w14:paraId="5C731218" w14:textId="77777777" w:rsidR="00141330" w:rsidRPr="00F97389" w:rsidRDefault="00141330" w:rsidP="005637D5">
                    <w:pPr>
                      <w:rPr>
                        <w:rFonts w:cs="Calibri"/>
                        <w:color w:val="0070B7"/>
                        <w:sz w:val="16"/>
                        <w:lang w:val="en-US"/>
                      </w:rPr>
                    </w:pPr>
                    <w:r w:rsidRPr="00F97389">
                      <w:rPr>
                        <w:rFonts w:cs="Calibri"/>
                        <w:color w:val="0070B7"/>
                        <w:sz w:val="16"/>
                        <w:lang w:val="en-US"/>
                      </w:rPr>
                      <w:t>Strømmen 6</w:t>
                    </w:r>
                  </w:p>
                  <w:p w14:paraId="458A0493" w14:textId="77777777" w:rsidR="00141330" w:rsidRPr="00F97389" w:rsidRDefault="00141330" w:rsidP="005637D5">
                    <w:pPr>
                      <w:rPr>
                        <w:rFonts w:cs="Calibri"/>
                        <w:color w:val="0070B7"/>
                        <w:sz w:val="16"/>
                        <w:lang w:val="en-US"/>
                      </w:rPr>
                    </w:pPr>
                    <w:r w:rsidRPr="00F97389">
                      <w:rPr>
                        <w:rFonts w:cs="Calibri"/>
                        <w:color w:val="0070B7"/>
                        <w:sz w:val="16"/>
                        <w:lang w:val="en-US"/>
                      </w:rPr>
                      <w:t>9400 Nørresundby, DK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000000"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42E18" wp14:editId="2F793FA3">
              <wp:simplePos x="0" y="0"/>
              <wp:positionH relativeFrom="margin">
                <wp:posOffset>5070475</wp:posOffset>
              </wp:positionH>
              <wp:positionV relativeFrom="paragraph">
                <wp:posOffset>169545</wp:posOffset>
              </wp:positionV>
              <wp:extent cx="0" cy="414020"/>
              <wp:effectExtent l="0" t="0" r="38100" b="241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40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F667DD" id="Straight Connector 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99.25pt,13.35pt" to="399.2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" strokecolor="#4579b8 [3044]" strokeweight="1pt">
              <w10:wrap anchorx="margin"/>
            </v:line>
          </w:pict>
        </mc:Fallback>
      </mc:AlternateContent>
    </w:r>
  </w:p>
  <w:p w14:paraId="1D960418" w14:textId="77777777" w:rsidR="00141330" w:rsidRDefault="00141330" w:rsidP="005637D5">
    <w:pPr>
      <w:tabs>
        <w:tab w:val="left" w:pos="5245"/>
        <w:tab w:val="left" w:pos="7002"/>
        <w:tab w:val="left" w:pos="7142"/>
        <w:tab w:val="left" w:pos="7513"/>
      </w:tabs>
    </w:pPr>
    <w:r>
      <w:rPr>
        <w:rFonts w:ascii="Arial" w:hAnsi="Arial"/>
        <w:noProof/>
        <w:color w:val="000000"/>
        <w:sz w:val="16"/>
      </w:rPr>
      <w:drawing>
        <wp:anchor distT="0" distB="0" distL="114300" distR="114300" simplePos="0" relativeHeight="251656192" behindDoc="0" locked="0" layoutInCell="1" allowOverlap="1" wp14:anchorId="598B1FCA" wp14:editId="494F5E7A">
          <wp:simplePos x="0" y="0"/>
          <wp:positionH relativeFrom="column">
            <wp:posOffset>3691255</wp:posOffset>
          </wp:positionH>
          <wp:positionV relativeFrom="paragraph">
            <wp:posOffset>10795</wp:posOffset>
          </wp:positionV>
          <wp:extent cx="1288111" cy="382448"/>
          <wp:effectExtent l="0" t="0" r="7620" b="0"/>
          <wp:wrapNone/>
          <wp:docPr id="3" name="Picture 3" descr="C:\Users\vra\AppData\Local\Microsoft\Windows\INetCache\Content.Word\rtx-logo-blå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vra\AppData\Local\Microsoft\Windows\INetCache\Content.Word\rtx-logo-blå-transparen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111" cy="382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27D7A6" w14:textId="77777777" w:rsidR="00141330" w:rsidRPr="0072509D" w:rsidRDefault="00141330" w:rsidP="005637D5">
    <w:pPr>
      <w:tabs>
        <w:tab w:val="left" w:pos="5245"/>
        <w:tab w:val="left" w:pos="7002"/>
        <w:tab w:val="left" w:pos="7142"/>
        <w:tab w:val="left" w:pos="7513"/>
      </w:tabs>
      <w:rPr>
        <w:rFonts w:ascii="Arial" w:hAnsi="Arial"/>
        <w:color w:val="000000"/>
        <w:sz w:val="16"/>
      </w:rPr>
    </w:pPr>
  </w:p>
  <w:p w14:paraId="5688C75B" w14:textId="77777777" w:rsidR="00141330" w:rsidRDefault="00141330" w:rsidP="005637D5">
    <w:pPr>
      <w:pStyle w:val="Header"/>
      <w:jc w:val="right"/>
    </w:pPr>
  </w:p>
  <w:p w14:paraId="5854D5E8" w14:textId="77777777" w:rsidR="00141330" w:rsidRDefault="00141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055C"/>
    <w:multiLevelType w:val="hybridMultilevel"/>
    <w:tmpl w:val="976EE5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458A6"/>
    <w:multiLevelType w:val="hybridMultilevel"/>
    <w:tmpl w:val="32900F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58CE"/>
    <w:multiLevelType w:val="hybridMultilevel"/>
    <w:tmpl w:val="70E0A988"/>
    <w:lvl w:ilvl="0" w:tplc="CE2AE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011BD"/>
    <w:multiLevelType w:val="hybridMultilevel"/>
    <w:tmpl w:val="4E1AA6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03A6"/>
    <w:multiLevelType w:val="hybridMultilevel"/>
    <w:tmpl w:val="3FAC0C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B33F52"/>
    <w:multiLevelType w:val="hybridMultilevel"/>
    <w:tmpl w:val="E38AE8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5B"/>
    <w:rsid w:val="000137E2"/>
    <w:rsid w:val="00015C65"/>
    <w:rsid w:val="00050744"/>
    <w:rsid w:val="000875C7"/>
    <w:rsid w:val="000A445D"/>
    <w:rsid w:val="000B18EE"/>
    <w:rsid w:val="000B4B98"/>
    <w:rsid w:val="000B79EF"/>
    <w:rsid w:val="000C10E6"/>
    <w:rsid w:val="000F68EE"/>
    <w:rsid w:val="001078BC"/>
    <w:rsid w:val="00121A69"/>
    <w:rsid w:val="0012294D"/>
    <w:rsid w:val="00135D5E"/>
    <w:rsid w:val="00136B41"/>
    <w:rsid w:val="00141330"/>
    <w:rsid w:val="00145CE6"/>
    <w:rsid w:val="001471E8"/>
    <w:rsid w:val="00164D2F"/>
    <w:rsid w:val="00170151"/>
    <w:rsid w:val="0017574D"/>
    <w:rsid w:val="00176E34"/>
    <w:rsid w:val="001A43DA"/>
    <w:rsid w:val="001B23BD"/>
    <w:rsid w:val="001C7A5A"/>
    <w:rsid w:val="001E7A93"/>
    <w:rsid w:val="001F387B"/>
    <w:rsid w:val="001F525C"/>
    <w:rsid w:val="00211FD3"/>
    <w:rsid w:val="00220238"/>
    <w:rsid w:val="00235979"/>
    <w:rsid w:val="00236EFD"/>
    <w:rsid w:val="002519E9"/>
    <w:rsid w:val="00263FF4"/>
    <w:rsid w:val="002726A5"/>
    <w:rsid w:val="00272B28"/>
    <w:rsid w:val="002931A5"/>
    <w:rsid w:val="00294C28"/>
    <w:rsid w:val="002E50B2"/>
    <w:rsid w:val="002E6FF1"/>
    <w:rsid w:val="00306725"/>
    <w:rsid w:val="003176D3"/>
    <w:rsid w:val="003367D0"/>
    <w:rsid w:val="00344F1A"/>
    <w:rsid w:val="00345753"/>
    <w:rsid w:val="003500A8"/>
    <w:rsid w:val="003732F5"/>
    <w:rsid w:val="003737B6"/>
    <w:rsid w:val="00374D0A"/>
    <w:rsid w:val="00386412"/>
    <w:rsid w:val="00393DDD"/>
    <w:rsid w:val="003A6541"/>
    <w:rsid w:val="003B28B1"/>
    <w:rsid w:val="003E6E29"/>
    <w:rsid w:val="003F15F4"/>
    <w:rsid w:val="004051E4"/>
    <w:rsid w:val="00412B2C"/>
    <w:rsid w:val="00416E0A"/>
    <w:rsid w:val="00470A23"/>
    <w:rsid w:val="00491EDB"/>
    <w:rsid w:val="004C2213"/>
    <w:rsid w:val="004D4104"/>
    <w:rsid w:val="004E1CE7"/>
    <w:rsid w:val="004E30FF"/>
    <w:rsid w:val="0052043B"/>
    <w:rsid w:val="00537CA7"/>
    <w:rsid w:val="005437C4"/>
    <w:rsid w:val="00543981"/>
    <w:rsid w:val="005474B7"/>
    <w:rsid w:val="005637D5"/>
    <w:rsid w:val="005757F0"/>
    <w:rsid w:val="00587DFE"/>
    <w:rsid w:val="005E521A"/>
    <w:rsid w:val="006125CD"/>
    <w:rsid w:val="00613A84"/>
    <w:rsid w:val="00620E3E"/>
    <w:rsid w:val="00635F90"/>
    <w:rsid w:val="00645D9F"/>
    <w:rsid w:val="00651D01"/>
    <w:rsid w:val="0065304D"/>
    <w:rsid w:val="00667310"/>
    <w:rsid w:val="00671CE6"/>
    <w:rsid w:val="006969FA"/>
    <w:rsid w:val="006B3843"/>
    <w:rsid w:val="006B3979"/>
    <w:rsid w:val="006F5A5B"/>
    <w:rsid w:val="00721A33"/>
    <w:rsid w:val="00721E71"/>
    <w:rsid w:val="0072509D"/>
    <w:rsid w:val="00732F5B"/>
    <w:rsid w:val="007453D7"/>
    <w:rsid w:val="0075369B"/>
    <w:rsid w:val="007552A0"/>
    <w:rsid w:val="007563E1"/>
    <w:rsid w:val="00763F62"/>
    <w:rsid w:val="007651CC"/>
    <w:rsid w:val="00777CA5"/>
    <w:rsid w:val="00786F4B"/>
    <w:rsid w:val="00794059"/>
    <w:rsid w:val="007A49A0"/>
    <w:rsid w:val="007D0014"/>
    <w:rsid w:val="007D1E2F"/>
    <w:rsid w:val="007E263F"/>
    <w:rsid w:val="007F5173"/>
    <w:rsid w:val="007F55B6"/>
    <w:rsid w:val="00826915"/>
    <w:rsid w:val="008344C0"/>
    <w:rsid w:val="00835216"/>
    <w:rsid w:val="00861C46"/>
    <w:rsid w:val="008653A8"/>
    <w:rsid w:val="008659EB"/>
    <w:rsid w:val="00866138"/>
    <w:rsid w:val="008672A3"/>
    <w:rsid w:val="00870561"/>
    <w:rsid w:val="008822E5"/>
    <w:rsid w:val="008854B9"/>
    <w:rsid w:val="0088713F"/>
    <w:rsid w:val="00891FA4"/>
    <w:rsid w:val="0089371F"/>
    <w:rsid w:val="00895EC2"/>
    <w:rsid w:val="00897DB6"/>
    <w:rsid w:val="008A3B8B"/>
    <w:rsid w:val="008A43DF"/>
    <w:rsid w:val="008A5E1D"/>
    <w:rsid w:val="008B0B6D"/>
    <w:rsid w:val="008B693A"/>
    <w:rsid w:val="008D23ED"/>
    <w:rsid w:val="008E5272"/>
    <w:rsid w:val="008F31B5"/>
    <w:rsid w:val="008F33F6"/>
    <w:rsid w:val="00905C47"/>
    <w:rsid w:val="00920F68"/>
    <w:rsid w:val="00940699"/>
    <w:rsid w:val="009448C2"/>
    <w:rsid w:val="00955053"/>
    <w:rsid w:val="00955F13"/>
    <w:rsid w:val="00960B2C"/>
    <w:rsid w:val="00983E5F"/>
    <w:rsid w:val="009B0A3E"/>
    <w:rsid w:val="009B7C5B"/>
    <w:rsid w:val="009C23F3"/>
    <w:rsid w:val="009D3DC0"/>
    <w:rsid w:val="009E1696"/>
    <w:rsid w:val="009F70B6"/>
    <w:rsid w:val="009F7E87"/>
    <w:rsid w:val="00A024E0"/>
    <w:rsid w:val="00A2461D"/>
    <w:rsid w:val="00A31BB6"/>
    <w:rsid w:val="00A327BF"/>
    <w:rsid w:val="00A44AD1"/>
    <w:rsid w:val="00A600C0"/>
    <w:rsid w:val="00A641A3"/>
    <w:rsid w:val="00A66DE4"/>
    <w:rsid w:val="00A675B4"/>
    <w:rsid w:val="00A92B30"/>
    <w:rsid w:val="00A93548"/>
    <w:rsid w:val="00A93AFF"/>
    <w:rsid w:val="00A967EC"/>
    <w:rsid w:val="00AB193F"/>
    <w:rsid w:val="00AB5C61"/>
    <w:rsid w:val="00AD1187"/>
    <w:rsid w:val="00AD1C0C"/>
    <w:rsid w:val="00AE57FE"/>
    <w:rsid w:val="00AE6CCB"/>
    <w:rsid w:val="00AF140B"/>
    <w:rsid w:val="00B13E6E"/>
    <w:rsid w:val="00B24BCB"/>
    <w:rsid w:val="00B34FCC"/>
    <w:rsid w:val="00B45841"/>
    <w:rsid w:val="00B60EBA"/>
    <w:rsid w:val="00B6506E"/>
    <w:rsid w:val="00B75A2A"/>
    <w:rsid w:val="00B7684A"/>
    <w:rsid w:val="00BA4BFA"/>
    <w:rsid w:val="00BA54D0"/>
    <w:rsid w:val="00BB73FA"/>
    <w:rsid w:val="00BE293C"/>
    <w:rsid w:val="00BF540C"/>
    <w:rsid w:val="00BF7739"/>
    <w:rsid w:val="00C060DD"/>
    <w:rsid w:val="00C11999"/>
    <w:rsid w:val="00C13190"/>
    <w:rsid w:val="00C13EB9"/>
    <w:rsid w:val="00C17F8D"/>
    <w:rsid w:val="00C270A5"/>
    <w:rsid w:val="00C8495B"/>
    <w:rsid w:val="00C86B8C"/>
    <w:rsid w:val="00C942B7"/>
    <w:rsid w:val="00CB5938"/>
    <w:rsid w:val="00CB7DBA"/>
    <w:rsid w:val="00CD2D81"/>
    <w:rsid w:val="00CD651E"/>
    <w:rsid w:val="00CD7656"/>
    <w:rsid w:val="00CE0063"/>
    <w:rsid w:val="00CE3A61"/>
    <w:rsid w:val="00D12635"/>
    <w:rsid w:val="00D31055"/>
    <w:rsid w:val="00D44FB2"/>
    <w:rsid w:val="00D53B58"/>
    <w:rsid w:val="00D66DF5"/>
    <w:rsid w:val="00D87F0A"/>
    <w:rsid w:val="00D901D8"/>
    <w:rsid w:val="00D974FE"/>
    <w:rsid w:val="00DA2CFA"/>
    <w:rsid w:val="00DB5221"/>
    <w:rsid w:val="00E04193"/>
    <w:rsid w:val="00E10D91"/>
    <w:rsid w:val="00E13CD5"/>
    <w:rsid w:val="00E1628E"/>
    <w:rsid w:val="00E2690E"/>
    <w:rsid w:val="00E438A2"/>
    <w:rsid w:val="00E454E9"/>
    <w:rsid w:val="00E64130"/>
    <w:rsid w:val="00E90327"/>
    <w:rsid w:val="00E97BC1"/>
    <w:rsid w:val="00EC321C"/>
    <w:rsid w:val="00ED4296"/>
    <w:rsid w:val="00EF73F0"/>
    <w:rsid w:val="00F06505"/>
    <w:rsid w:val="00F07016"/>
    <w:rsid w:val="00F145C9"/>
    <w:rsid w:val="00F23A57"/>
    <w:rsid w:val="00F24F73"/>
    <w:rsid w:val="00F25FB7"/>
    <w:rsid w:val="00F324D4"/>
    <w:rsid w:val="00F3505B"/>
    <w:rsid w:val="00F3773A"/>
    <w:rsid w:val="00F51685"/>
    <w:rsid w:val="00F96817"/>
    <w:rsid w:val="00F97389"/>
    <w:rsid w:val="00FA4703"/>
    <w:rsid w:val="00FB010E"/>
    <w:rsid w:val="00FB6AC9"/>
    <w:rsid w:val="00FB7F3B"/>
    <w:rsid w:val="00FD1B8D"/>
    <w:rsid w:val="00FD593B"/>
    <w:rsid w:val="00FE2E74"/>
    <w:rsid w:val="00FE705E"/>
    <w:rsid w:val="1BBDE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1330CEC"/>
  <w15:docId w15:val="{F54FBEE8-C39D-459D-B5AA-CEF27B31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97389"/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F97389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97389"/>
    <w:pPr>
      <w:spacing w:before="40"/>
      <w:outlineLvl w:val="1"/>
    </w:pPr>
    <w:rPr>
      <w:color w:val="0070B7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7389"/>
    <w:pPr>
      <w:keepNext/>
      <w:keepLines/>
      <w:spacing w:before="40"/>
      <w:outlineLvl w:val="2"/>
    </w:pPr>
    <w:rPr>
      <w:rFonts w:eastAsiaTheme="majorEastAsia" w:cstheme="majorBidi"/>
      <w:b/>
      <w:color w:val="225074"/>
      <w:sz w:val="24"/>
    </w:rPr>
  </w:style>
  <w:style w:type="paragraph" w:styleId="Heading4">
    <w:name w:val="heading 4"/>
    <w:basedOn w:val="Normal"/>
    <w:next w:val="Normal"/>
    <w:link w:val="Heading4Char"/>
    <w:qFormat/>
    <w:rsid w:val="00F97389"/>
    <w:pPr>
      <w:keepNext/>
      <w:keepLines/>
      <w:spacing w:before="40"/>
      <w:outlineLvl w:val="3"/>
    </w:pPr>
    <w:rPr>
      <w:rFonts w:eastAsiaTheme="majorEastAsia" w:cstheme="majorBidi"/>
      <w:i/>
      <w:iCs/>
      <w:color w:val="009DE0"/>
    </w:rPr>
  </w:style>
  <w:style w:type="paragraph" w:styleId="Heading7">
    <w:name w:val="heading 7"/>
    <w:basedOn w:val="Normal"/>
    <w:next w:val="Normal"/>
    <w:link w:val="Heading7Char"/>
    <w:unhideWhenUsed/>
    <w:qFormat/>
    <w:rsid w:val="001413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3FF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63FF4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rsid w:val="004E3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0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E3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30F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E30FF"/>
  </w:style>
  <w:style w:type="paragraph" w:styleId="CommentSubject">
    <w:name w:val="annotation subject"/>
    <w:basedOn w:val="CommentText"/>
    <w:next w:val="CommentText"/>
    <w:link w:val="CommentSubjectChar"/>
    <w:rsid w:val="004E3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0FF"/>
    <w:rPr>
      <w:b/>
      <w:bCs/>
    </w:rPr>
  </w:style>
  <w:style w:type="paragraph" w:styleId="ListParagraph">
    <w:name w:val="List Paragraph"/>
    <w:basedOn w:val="Normal"/>
    <w:uiPriority w:val="34"/>
    <w:qFormat/>
    <w:rsid w:val="005E521A"/>
    <w:pPr>
      <w:ind w:left="720"/>
      <w:contextualSpacing/>
    </w:pPr>
  </w:style>
  <w:style w:type="paragraph" w:styleId="Revision">
    <w:name w:val="Revision"/>
    <w:hidden/>
    <w:uiPriority w:val="99"/>
    <w:semiHidden/>
    <w:rsid w:val="00F51685"/>
    <w:rPr>
      <w:sz w:val="24"/>
      <w:szCs w:val="24"/>
    </w:rPr>
  </w:style>
  <w:style w:type="character" w:styleId="Hyperlink">
    <w:name w:val="Hyperlink"/>
    <w:basedOn w:val="DefaultParagraphFont"/>
    <w:unhideWhenUsed/>
    <w:rsid w:val="00CB7D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DBA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050744"/>
    <w:pPr>
      <w:jc w:val="both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0744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97389"/>
    <w:rPr>
      <w:rFonts w:ascii="Calibri" w:eastAsiaTheme="majorEastAsia" w:hAnsi="Calibri" w:cstheme="majorBidi"/>
      <w:color w:val="365F91" w:themeColor="accent1" w:themeShade="BF"/>
      <w:sz w:val="28"/>
      <w:szCs w:val="32"/>
    </w:rPr>
  </w:style>
  <w:style w:type="paragraph" w:styleId="Title">
    <w:name w:val="Title"/>
    <w:basedOn w:val="Normal"/>
    <w:next w:val="Normal"/>
    <w:link w:val="TitleChar"/>
    <w:qFormat/>
    <w:rsid w:val="00F9738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97389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qFormat/>
    <w:rsid w:val="005E521A"/>
    <w:rPr>
      <w:b/>
      <w:bCs/>
    </w:rPr>
  </w:style>
  <w:style w:type="character" w:styleId="Emphasis">
    <w:name w:val="Emphasis"/>
    <w:basedOn w:val="DefaultParagraphFont"/>
    <w:qFormat/>
    <w:rsid w:val="005E521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F97389"/>
    <w:rPr>
      <w:rFonts w:ascii="Calibri" w:eastAsiaTheme="majorEastAsia" w:hAnsi="Calibri" w:cstheme="majorBidi"/>
      <w:color w:val="0070B7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97389"/>
    <w:rPr>
      <w:rFonts w:ascii="Calibri" w:eastAsiaTheme="majorEastAsia" w:hAnsi="Calibri" w:cstheme="majorBidi"/>
      <w:b/>
      <w:color w:val="22507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97389"/>
    <w:rPr>
      <w:rFonts w:ascii="Calibri" w:eastAsiaTheme="majorEastAsia" w:hAnsi="Calibri" w:cstheme="majorBidi"/>
      <w:i/>
      <w:iCs/>
      <w:color w:val="009DE0"/>
      <w:szCs w:val="24"/>
    </w:rPr>
  </w:style>
  <w:style w:type="paragraph" w:styleId="Subtitle">
    <w:name w:val="Subtitle"/>
    <w:basedOn w:val="Normal"/>
    <w:next w:val="Normal"/>
    <w:link w:val="SubtitleChar"/>
    <w:qFormat/>
    <w:rsid w:val="00F9738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97389"/>
    <w:rPr>
      <w:rFonts w:ascii="Calibri" w:eastAsiaTheme="minorEastAsia" w:hAnsi="Calibri" w:cstheme="minorBidi"/>
      <w:color w:val="5A5A5A" w:themeColor="text1" w:themeTint="A5"/>
      <w:spacing w:val="15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41330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customStyle="1" w:styleId="underskrift">
    <w:name w:val="underskrift"/>
    <w:aliases w:val="u"/>
    <w:basedOn w:val="Normal"/>
    <w:rsid w:val="00141330"/>
    <w:pPr>
      <w:tabs>
        <w:tab w:val="left" w:pos="0"/>
        <w:tab w:val="left" w:pos="2552"/>
        <w:tab w:val="left" w:pos="5103"/>
        <w:tab w:val="left" w:pos="7655"/>
        <w:tab w:val="left" w:pos="9356"/>
      </w:tabs>
      <w:spacing w:line="240" w:lineRule="atLeast"/>
      <w:jc w:val="both"/>
    </w:pPr>
    <w:rPr>
      <w:rFonts w:ascii="Times New Roman" w:hAnsi="Times New Roman"/>
      <w:sz w:val="22"/>
      <w:lang w:eastAsia="en-US"/>
    </w:rPr>
  </w:style>
  <w:style w:type="paragraph" w:customStyle="1" w:styleId="Default">
    <w:name w:val="Default"/>
    <w:rsid w:val="001413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paragraph" w:customStyle="1" w:styleId="nttover">
    <w:name w:val="ntt_over"/>
    <w:basedOn w:val="Normal"/>
    <w:next w:val="Normal"/>
    <w:rsid w:val="00F96817"/>
    <w:pPr>
      <w:tabs>
        <w:tab w:val="left" w:pos="0"/>
        <w:tab w:val="decimal" w:pos="7371"/>
        <w:tab w:val="center" w:pos="8131"/>
        <w:tab w:val="center" w:pos="9265"/>
        <w:tab w:val="decimal" w:pos="9639"/>
      </w:tabs>
      <w:spacing w:line="240" w:lineRule="atLeast"/>
    </w:pPr>
    <w:rPr>
      <w:rFonts w:ascii="Times New Roman" w:hAnsi="Times New Roman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TX font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436E-36EC-40CC-828E-0942A793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627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RTX Telecom A/S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Vanja Radonic</dc:creator>
  <cp:lastModifiedBy>RTX</cp:lastModifiedBy>
  <cp:revision>6</cp:revision>
  <cp:lastPrinted>2020-01-22T15:48:00Z</cp:lastPrinted>
  <dcterms:created xsi:type="dcterms:W3CDTF">2020-01-22T08:51:00Z</dcterms:created>
  <dcterms:modified xsi:type="dcterms:W3CDTF">2020-01-23T16:04:00Z</dcterms:modified>
</cp:coreProperties>
</file>