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C36" w:rsidRDefault="004B7C36" w:rsidP="004B7C36">
      <w:pPr>
        <w:pStyle w:val="CM14"/>
        <w:spacing w:line="280" w:lineRule="atLeast"/>
        <w:jc w:val="center"/>
        <w:rPr>
          <w:b/>
          <w:bCs/>
          <w:color w:val="000000"/>
          <w:sz w:val="28"/>
          <w:szCs w:val="28"/>
        </w:rPr>
      </w:pPr>
    </w:p>
    <w:p w:rsidR="00C001A7" w:rsidRDefault="00C001A7" w:rsidP="00C001A7">
      <w:pPr>
        <w:pStyle w:val="CM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2"/>
          <w:szCs w:val="22"/>
        </w:rPr>
        <w:t xml:space="preserve">TANDARD </w:t>
      </w:r>
      <w:r>
        <w:rPr>
          <w:b/>
          <w:bCs/>
          <w:color w:val="000000"/>
          <w:sz w:val="28"/>
          <w:szCs w:val="28"/>
        </w:rPr>
        <w:t>F</w:t>
      </w:r>
      <w:r>
        <w:rPr>
          <w:b/>
          <w:bCs/>
          <w:color w:val="000000"/>
          <w:sz w:val="22"/>
          <w:szCs w:val="22"/>
        </w:rPr>
        <w:t>ORM – NOTIFICATION OF THE ACQUISITION OR DISPOSAL OF MAJOR PROPORTIONS OF VOTING RIGHTS</w:t>
      </w:r>
    </w:p>
    <w:p w:rsidR="00C001A7" w:rsidRPr="00950B88" w:rsidRDefault="00C001A7" w:rsidP="00C001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</w:pPr>
      <w:r>
        <w:tab/>
      </w:r>
    </w:p>
    <w:p w:rsidR="004B7C36" w:rsidRDefault="00C001A7" w:rsidP="00C001A7">
      <w:pPr>
        <w:pStyle w:val="CM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>V</w:t>
      </w:r>
      <w:r>
        <w:rPr>
          <w:b/>
          <w:bCs/>
          <w:color w:val="000000"/>
          <w:sz w:val="18"/>
          <w:szCs w:val="18"/>
        </w:rPr>
        <w:t>OTING RIGHTS ATTACHED TO SHARES</w:t>
      </w:r>
      <w:r>
        <w:rPr>
          <w:b/>
          <w:bCs/>
          <w:color w:val="000000"/>
          <w:sz w:val="22"/>
          <w:szCs w:val="22"/>
        </w:rPr>
        <w:t>– A</w:t>
      </w:r>
      <w:r>
        <w:rPr>
          <w:b/>
          <w:bCs/>
          <w:color w:val="000000"/>
          <w:sz w:val="18"/>
          <w:szCs w:val="18"/>
        </w:rPr>
        <w:t>RTICLE 85 OF  THE ACT ON SECURITIES TRANSACTIONS NO. 108/2007</w:t>
      </w:r>
    </w:p>
    <w:p w:rsidR="00C001A7" w:rsidRPr="00C001A7" w:rsidRDefault="00C001A7" w:rsidP="00C001A7">
      <w:pPr>
        <w:pStyle w:val="Default"/>
      </w:pPr>
    </w:p>
    <w:p w:rsidR="00E21A0D" w:rsidRDefault="00E21A0D" w:rsidP="00B618D6">
      <w:pPr>
        <w:pStyle w:val="Default"/>
        <w:ind w:left="705" w:hanging="705"/>
        <w:rPr>
          <w:sz w:val="23"/>
          <w:szCs w:val="23"/>
        </w:rPr>
      </w:pPr>
    </w:p>
    <w:p w:rsidR="004B7C36" w:rsidRDefault="004B7C36" w:rsidP="00B618D6">
      <w:pPr>
        <w:pStyle w:val="Default"/>
        <w:ind w:left="705" w:hanging="705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B618D6">
        <w:rPr>
          <w:sz w:val="23"/>
          <w:szCs w:val="23"/>
        </w:rPr>
        <w:tab/>
      </w:r>
      <w:r>
        <w:rPr>
          <w:sz w:val="23"/>
          <w:szCs w:val="23"/>
        </w:rPr>
        <w:t>Identity of the issuer or the underlying issuer of existing shares to which voting rights are attache</w:t>
      </w:r>
      <w:r w:rsidR="00503242">
        <w:rPr>
          <w:sz w:val="23"/>
          <w:szCs w:val="23"/>
        </w:rPr>
        <w:t>d</w:t>
      </w:r>
      <w:r w:rsidR="00C001A7">
        <w:rPr>
          <w:sz w:val="23"/>
          <w:szCs w:val="23"/>
        </w:rPr>
        <w:t xml:space="preserve"> </w:t>
      </w:r>
      <w:r w:rsidR="00503242" w:rsidRPr="00503242">
        <w:rPr>
          <w:sz w:val="23"/>
          <w:szCs w:val="23"/>
          <w:vertAlign w:val="superscript"/>
        </w:rPr>
        <w:t>i</w:t>
      </w:r>
      <w:r>
        <w:rPr>
          <w:sz w:val="23"/>
          <w:szCs w:val="23"/>
        </w:rPr>
        <w:t xml:space="preserve">: </w:t>
      </w:r>
      <w:r w:rsidR="00E06758">
        <w:rPr>
          <w:sz w:val="23"/>
          <w:szCs w:val="23"/>
        </w:rPr>
        <w:t xml:space="preserve"> </w:t>
      </w:r>
      <w:r w:rsidR="00E06758" w:rsidRPr="00E06758">
        <w:rPr>
          <w:b/>
          <w:sz w:val="23"/>
          <w:szCs w:val="23"/>
        </w:rPr>
        <w:t>REITIR FASTEIGNAFELAG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503242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sz w:val="23"/>
          <w:szCs w:val="23"/>
        </w:rPr>
        <w:tab/>
        <w:t xml:space="preserve">Reason for the notification (please tick the appropriate box or boxes): </w:t>
      </w:r>
    </w:p>
    <w:p w:rsidR="00503242" w:rsidRDefault="004B7C36" w:rsidP="00503242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[</w:t>
      </w:r>
      <w:r w:rsidR="00E06758" w:rsidRPr="00E06758">
        <w:rPr>
          <w:b/>
          <w:sz w:val="23"/>
          <w:szCs w:val="23"/>
        </w:rPr>
        <w:t>X</w:t>
      </w:r>
      <w:r>
        <w:rPr>
          <w:sz w:val="23"/>
          <w:szCs w:val="23"/>
        </w:rPr>
        <w:t xml:space="preserve">] an acquisition or disposal of voting rights  </w:t>
      </w:r>
    </w:p>
    <w:p w:rsidR="00503242" w:rsidRDefault="00503242" w:rsidP="00503242">
      <w:pPr>
        <w:pStyle w:val="Default"/>
        <w:ind w:left="708"/>
        <w:rPr>
          <w:sz w:val="23"/>
          <w:szCs w:val="23"/>
        </w:rPr>
      </w:pPr>
    </w:p>
    <w:p w:rsidR="00503242" w:rsidRDefault="004B7C36" w:rsidP="00503242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[ ] an acquisition or disposal of financial instruments which may result in the </w:t>
      </w:r>
      <w:r w:rsidR="00503242">
        <w:rPr>
          <w:sz w:val="23"/>
          <w:szCs w:val="23"/>
        </w:rPr>
        <w:t xml:space="preserve">acquisition </w:t>
      </w:r>
      <w:r>
        <w:rPr>
          <w:sz w:val="23"/>
          <w:szCs w:val="23"/>
        </w:rPr>
        <w:t xml:space="preserve">of shares already issued to which voting rights are attached </w:t>
      </w:r>
    </w:p>
    <w:p w:rsidR="00503242" w:rsidRDefault="00503242" w:rsidP="00503242">
      <w:pPr>
        <w:pStyle w:val="Default"/>
        <w:ind w:left="708"/>
        <w:rPr>
          <w:sz w:val="23"/>
          <w:szCs w:val="23"/>
        </w:rPr>
      </w:pPr>
    </w:p>
    <w:p w:rsidR="004B7C36" w:rsidRDefault="004B7C36" w:rsidP="00503242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[ ] an event changing the breakdown of voting rights  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Full name of person(s) subject to the notification obligatio</w:t>
      </w:r>
      <w:r w:rsidR="00503242">
        <w:rPr>
          <w:sz w:val="23"/>
          <w:szCs w:val="23"/>
        </w:rPr>
        <w:t>n</w:t>
      </w:r>
      <w:r w:rsidR="00C001A7">
        <w:rPr>
          <w:sz w:val="23"/>
          <w:szCs w:val="23"/>
        </w:rPr>
        <w:t xml:space="preserve"> </w:t>
      </w:r>
      <w:r w:rsidR="00503242" w:rsidRPr="00503242">
        <w:rPr>
          <w:sz w:val="23"/>
          <w:szCs w:val="23"/>
          <w:vertAlign w:val="superscript"/>
        </w:rPr>
        <w:t>ii</w:t>
      </w:r>
      <w:r w:rsidR="00E06758">
        <w:rPr>
          <w:sz w:val="23"/>
          <w:szCs w:val="23"/>
        </w:rPr>
        <w:t xml:space="preserve">:  </w:t>
      </w:r>
      <w:r w:rsidR="00E06758" w:rsidRPr="00E06758">
        <w:rPr>
          <w:b/>
          <w:sz w:val="23"/>
          <w:szCs w:val="23"/>
        </w:rPr>
        <w:t>Eaton Vance Corporation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Full name of shareholder(s) (if different from the person mentioned in point 3.</w:t>
      </w:r>
      <w:r w:rsidR="00503242">
        <w:rPr>
          <w:sz w:val="23"/>
          <w:szCs w:val="23"/>
        </w:rPr>
        <w:t>)</w:t>
      </w:r>
      <w:r w:rsidR="00C001A7">
        <w:rPr>
          <w:sz w:val="23"/>
          <w:szCs w:val="23"/>
        </w:rPr>
        <w:t xml:space="preserve"> </w:t>
      </w:r>
      <w:r w:rsidR="00503242" w:rsidRPr="00503242">
        <w:rPr>
          <w:sz w:val="23"/>
          <w:szCs w:val="23"/>
          <w:vertAlign w:val="superscript"/>
        </w:rPr>
        <w:t>iii</w:t>
      </w:r>
      <w:r w:rsidR="00E06758">
        <w:rPr>
          <w:sz w:val="23"/>
          <w:szCs w:val="23"/>
        </w:rPr>
        <w:t xml:space="preserve">:  </w:t>
      </w:r>
      <w:r w:rsidR="00E06758" w:rsidRPr="00E06758">
        <w:rPr>
          <w:b/>
          <w:sz w:val="23"/>
          <w:szCs w:val="23"/>
        </w:rPr>
        <w:t>Not Applicable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Date of the transaction and date on which the threshold is crossed or reach</w:t>
      </w:r>
      <w:r w:rsidR="00503242">
        <w:rPr>
          <w:sz w:val="23"/>
          <w:szCs w:val="23"/>
        </w:rPr>
        <w:t>ed</w:t>
      </w:r>
      <w:r w:rsidR="00C001A7">
        <w:rPr>
          <w:sz w:val="23"/>
          <w:szCs w:val="23"/>
        </w:rPr>
        <w:t xml:space="preserve"> </w:t>
      </w:r>
      <w:r w:rsidR="00503242" w:rsidRPr="00503242">
        <w:rPr>
          <w:sz w:val="23"/>
          <w:szCs w:val="23"/>
          <w:vertAlign w:val="superscript"/>
        </w:rPr>
        <w:t>iv</w:t>
      </w:r>
      <w:r w:rsidR="00E06758">
        <w:rPr>
          <w:sz w:val="23"/>
          <w:szCs w:val="23"/>
        </w:rPr>
        <w:t xml:space="preserve">:  </w:t>
      </w:r>
      <w:r w:rsidR="00E06758" w:rsidRPr="00E06758">
        <w:rPr>
          <w:b/>
          <w:sz w:val="23"/>
          <w:szCs w:val="23"/>
        </w:rPr>
        <w:t>5th April 2019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E21A0D" w:rsidRDefault="00E21A0D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Threshold(s) that is/are crossed or reached:</w:t>
      </w:r>
      <w:r w:rsidR="00E06758">
        <w:rPr>
          <w:sz w:val="23"/>
          <w:szCs w:val="23"/>
        </w:rPr>
        <w:t xml:space="preserve">  </w:t>
      </w:r>
      <w:r w:rsidR="00E06758" w:rsidRPr="00E06758">
        <w:rPr>
          <w:b/>
          <w:sz w:val="23"/>
          <w:szCs w:val="23"/>
        </w:rPr>
        <w:t>5%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BA2754" w:rsidRDefault="00BA2754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Notified details:  </w:t>
      </w:r>
    </w:p>
    <w:p w:rsidR="004B7C36" w:rsidRDefault="004B7C36" w:rsidP="004B7C36">
      <w:pPr>
        <w:pStyle w:val="Default"/>
        <w:rPr>
          <w:sz w:val="23"/>
          <w:szCs w:val="23"/>
        </w:rPr>
      </w:pPr>
    </w:p>
    <w:p w:rsidR="004B7C36" w:rsidRDefault="004B7C36" w:rsidP="004B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350"/>
        <w:gridCol w:w="957"/>
        <w:gridCol w:w="393"/>
        <w:gridCol w:w="1350"/>
        <w:gridCol w:w="1350"/>
        <w:gridCol w:w="990"/>
        <w:gridCol w:w="900"/>
        <w:gridCol w:w="900"/>
      </w:tblGrid>
      <w:tr w:rsidR="004B7C36" w:rsidRPr="004B7C36" w:rsidTr="00BA27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0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b/>
                <w:bCs/>
                <w:sz w:val="20"/>
                <w:szCs w:val="20"/>
              </w:rPr>
              <w:t xml:space="preserve">A) Voting rights attached to shares </w:t>
            </w:r>
          </w:p>
        </w:tc>
        <w:tc>
          <w:tcPr>
            <w:tcW w:w="5883" w:type="dxa"/>
            <w:gridSpan w:val="6"/>
            <w:tcBorders>
              <w:top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  <w:tr w:rsidR="004B7C36" w:rsidRPr="004B7C36" w:rsidTr="00BA275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Class/type of shares (if possible using the ISIN CODE)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Situation previous to the Triggering transaction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Resulting situation after the triggering transaction</w:t>
            </w:r>
            <w:r w:rsidR="00C001A7">
              <w:rPr>
                <w:sz w:val="20"/>
                <w:szCs w:val="20"/>
              </w:rPr>
              <w:t xml:space="preserve"> </w:t>
            </w:r>
            <w:r w:rsidR="00503242" w:rsidRPr="00503242">
              <w:rPr>
                <w:sz w:val="20"/>
                <w:szCs w:val="20"/>
                <w:vertAlign w:val="superscript"/>
              </w:rPr>
              <w:t>vi</w:t>
            </w:r>
          </w:p>
        </w:tc>
      </w:tr>
      <w:tr w:rsidR="004B7C36" w:rsidRPr="004B7C36" w:rsidTr="00FB478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Number of Shares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Number of Voting right</w:t>
            </w:r>
            <w:r w:rsidR="00503242">
              <w:rPr>
                <w:sz w:val="20"/>
                <w:szCs w:val="20"/>
              </w:rPr>
              <w:t>s</w:t>
            </w:r>
            <w:r w:rsidR="00C001A7">
              <w:rPr>
                <w:sz w:val="20"/>
                <w:szCs w:val="20"/>
              </w:rPr>
              <w:t xml:space="preserve"> </w:t>
            </w:r>
            <w:r w:rsidR="00503242" w:rsidRPr="00503242">
              <w:rPr>
                <w:sz w:val="20"/>
                <w:szCs w:val="20"/>
                <w:vertAlign w:val="superscript"/>
              </w:rPr>
              <w:t>vii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Number of shares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Number of voting right</w:t>
            </w:r>
            <w:r w:rsidR="00503242">
              <w:rPr>
                <w:sz w:val="20"/>
                <w:szCs w:val="20"/>
              </w:rPr>
              <w:t>s</w:t>
            </w:r>
            <w:r w:rsidR="00C001A7">
              <w:rPr>
                <w:sz w:val="20"/>
                <w:szCs w:val="20"/>
              </w:rPr>
              <w:t xml:space="preserve"> </w:t>
            </w:r>
            <w:r w:rsidR="00503242" w:rsidRPr="00503242">
              <w:rPr>
                <w:sz w:val="20"/>
                <w:szCs w:val="20"/>
                <w:vertAlign w:val="superscript"/>
              </w:rPr>
              <w:t>viii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% of voting rights </w:t>
            </w:r>
          </w:p>
        </w:tc>
      </w:tr>
      <w:tr w:rsidR="00BA2754" w:rsidRPr="004B7C36" w:rsidTr="00FB478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7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Direct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Direc</w:t>
            </w:r>
            <w:r>
              <w:rPr>
                <w:sz w:val="20"/>
                <w:szCs w:val="20"/>
              </w:rPr>
              <w:t>t</w:t>
            </w:r>
            <w:r w:rsidR="00C001A7">
              <w:rPr>
                <w:sz w:val="20"/>
                <w:szCs w:val="20"/>
              </w:rPr>
              <w:t xml:space="preserve"> </w:t>
            </w:r>
            <w:r w:rsidRPr="00503242">
              <w:rPr>
                <w:sz w:val="20"/>
                <w:szCs w:val="20"/>
                <w:vertAlign w:val="superscript"/>
              </w:rPr>
              <w:t>ix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>Indirect</w:t>
            </w:r>
            <w:r w:rsidR="00C001A7">
              <w:rPr>
                <w:sz w:val="20"/>
                <w:szCs w:val="20"/>
              </w:rPr>
              <w:t xml:space="preserve"> </w:t>
            </w:r>
            <w:r w:rsidRPr="00503242">
              <w:rPr>
                <w:sz w:val="20"/>
                <w:szCs w:val="20"/>
                <w:vertAlign w:val="superscript"/>
              </w:rPr>
              <w:t>x</w:t>
            </w:r>
            <w:r w:rsidRPr="004B7C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Direct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Indirect </w:t>
            </w:r>
          </w:p>
        </w:tc>
      </w:tr>
      <w:tr w:rsidR="00BA2754" w:rsidRPr="004B7C36" w:rsidTr="00FB478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E21A0D" w:rsidRDefault="00E06758" w:rsidP="00B618D6">
            <w:pPr>
              <w:pStyle w:val="Default"/>
              <w:rPr>
                <w:b/>
                <w:color w:val="auto"/>
              </w:rPr>
            </w:pPr>
            <w:r w:rsidRPr="00E21A0D">
              <w:rPr>
                <w:b/>
                <w:color w:val="auto"/>
              </w:rPr>
              <w:t>IS0000020352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A2754" w:rsidRPr="00BA2754" w:rsidRDefault="00BA2754" w:rsidP="00BA27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36,733,506</w:t>
            </w:r>
          </w:p>
          <w:p w:rsidR="00503242" w:rsidRPr="00BA2754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A2754" w:rsidRPr="00BA2754" w:rsidRDefault="00BA2754" w:rsidP="00BA27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36,733,506</w:t>
            </w:r>
          </w:p>
          <w:p w:rsidR="00503242" w:rsidRPr="00BA2754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A2754" w:rsidRPr="00BA2754" w:rsidRDefault="00BA2754" w:rsidP="00BA27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33,733,506</w:t>
            </w:r>
          </w:p>
          <w:p w:rsidR="00503242" w:rsidRPr="00BA2754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2754" w:rsidRPr="00BA2754" w:rsidRDefault="00BA2754" w:rsidP="00BA27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33,733,506</w:t>
            </w:r>
          </w:p>
          <w:p w:rsidR="00503242" w:rsidRPr="00BA2754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BA2754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3242" w:rsidRPr="00E21A0D" w:rsidRDefault="00BA2754" w:rsidP="00B618D6">
            <w:pPr>
              <w:pStyle w:val="Default"/>
              <w:rPr>
                <w:b/>
                <w:color w:val="auto"/>
              </w:rPr>
            </w:pPr>
            <w:r w:rsidRPr="00E21A0D">
              <w:rPr>
                <w:b/>
                <w:color w:val="auto"/>
              </w:rPr>
              <w:t>4.78%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</w:tr>
      <w:tr w:rsidR="00BA2754" w:rsidRPr="004B7C36" w:rsidTr="00FB478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</w:tr>
      <w:tr w:rsidR="00503242" w:rsidRPr="004B7C36" w:rsidTr="00FB478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03242" w:rsidRPr="004B7C36" w:rsidRDefault="00503242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b/>
                <w:bCs/>
                <w:sz w:val="20"/>
                <w:szCs w:val="20"/>
              </w:rPr>
              <w:t xml:space="preserve">SUBTOTAL A </w:t>
            </w:r>
            <w:r w:rsidRPr="004B7C36">
              <w:rPr>
                <w:sz w:val="20"/>
                <w:szCs w:val="20"/>
              </w:rPr>
              <w:t xml:space="preserve">(based on aggregate voting rights)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503242" w:rsidRPr="004B7C36" w:rsidRDefault="00503242" w:rsidP="00B618D6">
            <w:pPr>
              <w:pStyle w:val="Default"/>
              <w:rPr>
                <w:color w:val="auto"/>
              </w:rPr>
            </w:pPr>
          </w:p>
        </w:tc>
      </w:tr>
    </w:tbl>
    <w:p w:rsidR="004B7C36" w:rsidRDefault="004B7C36" w:rsidP="004B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732"/>
        <w:gridCol w:w="1813"/>
        <w:gridCol w:w="33"/>
        <w:gridCol w:w="1854"/>
        <w:gridCol w:w="33"/>
        <w:gridCol w:w="1937"/>
      </w:tblGrid>
      <w:tr w:rsidR="004B7C36" w:rsidRPr="004B7C36" w:rsidTr="00BF1768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53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b/>
                <w:bCs/>
                <w:sz w:val="20"/>
                <w:szCs w:val="20"/>
              </w:rPr>
              <w:t xml:space="preserve">B) Financial Instruments 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937" w:type="dxa"/>
            <w:tcBorders>
              <w:top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  <w:tr w:rsidR="004B7C36" w:rsidRPr="004B7C36" w:rsidTr="00BF176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Resulting situation after the triggering transactio</w:t>
            </w:r>
            <w:r w:rsidR="00503242">
              <w:rPr>
                <w:sz w:val="20"/>
                <w:szCs w:val="20"/>
              </w:rPr>
              <w:t>n</w:t>
            </w:r>
            <w:r w:rsidR="00503242" w:rsidRPr="00503242">
              <w:rPr>
                <w:sz w:val="20"/>
                <w:szCs w:val="20"/>
                <w:vertAlign w:val="superscript"/>
              </w:rPr>
              <w:t>xi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  <w:tr w:rsidR="004B7C36" w:rsidRPr="004B7C36" w:rsidTr="00C001A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Type of financial instrument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Expiration Dat</w:t>
            </w:r>
            <w:r w:rsidR="00503242">
              <w:rPr>
                <w:sz w:val="20"/>
                <w:szCs w:val="20"/>
              </w:rPr>
              <w:t>e</w:t>
            </w:r>
            <w:r w:rsidR="00C001A7">
              <w:rPr>
                <w:sz w:val="20"/>
                <w:szCs w:val="20"/>
              </w:rPr>
              <w:t xml:space="preserve"> </w:t>
            </w:r>
            <w:r w:rsidR="00503242" w:rsidRPr="00503242">
              <w:rPr>
                <w:sz w:val="20"/>
                <w:szCs w:val="20"/>
                <w:vertAlign w:val="superscript"/>
              </w:rPr>
              <w:t>xii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503242">
            <w:pPr>
              <w:pStyle w:val="Default"/>
              <w:rPr>
                <w:sz w:val="13"/>
                <w:szCs w:val="13"/>
              </w:rPr>
            </w:pPr>
            <w:r w:rsidRPr="004B7C36">
              <w:rPr>
                <w:sz w:val="20"/>
                <w:szCs w:val="20"/>
              </w:rPr>
              <w:t>Exercise/Conversion Period/ Date</w:t>
            </w:r>
            <w:r w:rsidR="00C001A7">
              <w:rPr>
                <w:sz w:val="20"/>
                <w:szCs w:val="20"/>
              </w:rPr>
              <w:t xml:space="preserve"> </w:t>
            </w:r>
            <w:r w:rsidR="00503242" w:rsidRPr="00503242">
              <w:rPr>
                <w:sz w:val="20"/>
                <w:szCs w:val="20"/>
                <w:vertAlign w:val="superscript"/>
              </w:rPr>
              <w:t>xiii</w:t>
            </w:r>
            <w:r w:rsidRPr="004B7C36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Number of voting rights that may be acquired if the instrument is exercised/converted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sz w:val="20"/>
                <w:szCs w:val="20"/>
              </w:rPr>
              <w:t xml:space="preserve">% of voting rights </w:t>
            </w:r>
          </w:p>
        </w:tc>
      </w:tr>
      <w:tr w:rsidR="004B7C36" w:rsidRPr="004B7C36" w:rsidTr="00C001A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  <w:tr w:rsidR="004B7C36" w:rsidRPr="004B7C36" w:rsidTr="00C001A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  <w:tr w:rsidR="004B7C36" w:rsidRPr="004B7C36" w:rsidTr="00C001A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3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7C36" w:rsidRPr="004B7C36" w:rsidRDefault="004B7C36" w:rsidP="00B618D6">
            <w:pPr>
              <w:pStyle w:val="Default"/>
              <w:rPr>
                <w:sz w:val="20"/>
                <w:szCs w:val="20"/>
              </w:rPr>
            </w:pPr>
            <w:r w:rsidRPr="004B7C36">
              <w:rPr>
                <w:b/>
                <w:bCs/>
                <w:sz w:val="20"/>
                <w:szCs w:val="20"/>
              </w:rPr>
              <w:t>SUBTOTAL B</w:t>
            </w:r>
            <w:r w:rsidRPr="004B7C36">
              <w:rPr>
                <w:sz w:val="20"/>
                <w:szCs w:val="20"/>
              </w:rPr>
              <w:t xml:space="preserve"> (in relation to all expiration dates) </w:t>
            </w:r>
          </w:p>
        </w:tc>
        <w:tc>
          <w:tcPr>
            <w:tcW w:w="18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C36" w:rsidRPr="004B7C36" w:rsidRDefault="004B7C36" w:rsidP="00B618D6">
            <w:pPr>
              <w:pStyle w:val="Default"/>
              <w:rPr>
                <w:color w:val="auto"/>
              </w:rPr>
            </w:pPr>
          </w:p>
        </w:tc>
      </w:tr>
    </w:tbl>
    <w:p w:rsidR="004B7C36" w:rsidRDefault="004B7C36" w:rsidP="004B7C36">
      <w:pPr>
        <w:pStyle w:val="Default"/>
        <w:rPr>
          <w:color w:val="auto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1C4AF1" w:rsidTr="00B618D6">
        <w:tc>
          <w:tcPr>
            <w:tcW w:w="3070" w:type="dxa"/>
          </w:tcPr>
          <w:p w:rsidR="001C4AF1" w:rsidRPr="00B618D6" w:rsidRDefault="001C4AF1" w:rsidP="0097105D">
            <w:pPr>
              <w:pStyle w:val="CM5"/>
              <w:jc w:val="both"/>
              <w:rPr>
                <w:b/>
                <w:bCs/>
                <w:sz w:val="20"/>
                <w:szCs w:val="20"/>
              </w:rPr>
            </w:pPr>
            <w:r w:rsidRPr="00B618D6">
              <w:rPr>
                <w:b/>
                <w:bCs/>
                <w:sz w:val="20"/>
                <w:szCs w:val="20"/>
              </w:rPr>
              <w:t>Total (A+B) [</w:t>
            </w:r>
            <w:r w:rsidR="0097105D">
              <w:rPr>
                <w:b/>
                <w:bCs/>
                <w:i/>
                <w:iCs/>
                <w:sz w:val="20"/>
                <w:szCs w:val="20"/>
              </w:rPr>
              <w:t xml:space="preserve">if </w:t>
            </w:r>
            <w:r w:rsidRPr="00B618D6">
              <w:rPr>
                <w:b/>
                <w:bCs/>
                <w:i/>
                <w:iCs/>
                <w:sz w:val="20"/>
                <w:szCs w:val="20"/>
              </w:rPr>
              <w:t xml:space="preserve"> applicable</w:t>
            </w:r>
            <w:r w:rsidRPr="00B618D6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071" w:type="dxa"/>
          </w:tcPr>
          <w:p w:rsidR="001C4AF1" w:rsidRPr="00B618D6" w:rsidRDefault="001C4AF1" w:rsidP="001C4AF1">
            <w:pPr>
              <w:pStyle w:val="CM18"/>
              <w:rPr>
                <w:sz w:val="20"/>
                <w:szCs w:val="20"/>
              </w:rPr>
            </w:pPr>
            <w:r w:rsidRPr="00B618D6">
              <w:rPr>
                <w:b/>
                <w:bCs/>
                <w:sz w:val="20"/>
                <w:szCs w:val="20"/>
              </w:rPr>
              <w:t xml:space="preserve">number of voting rights </w:t>
            </w:r>
          </w:p>
        </w:tc>
        <w:tc>
          <w:tcPr>
            <w:tcW w:w="3181" w:type="dxa"/>
          </w:tcPr>
          <w:p w:rsidR="001C4AF1" w:rsidRPr="00B618D6" w:rsidRDefault="001C4AF1" w:rsidP="001C4AF1">
            <w:pPr>
              <w:pStyle w:val="CM18"/>
              <w:rPr>
                <w:sz w:val="20"/>
                <w:szCs w:val="20"/>
              </w:rPr>
            </w:pPr>
            <w:r w:rsidRPr="00B618D6">
              <w:rPr>
                <w:b/>
                <w:bCs/>
                <w:sz w:val="20"/>
                <w:szCs w:val="20"/>
              </w:rPr>
              <w:t>% of voting rights</w:t>
            </w:r>
          </w:p>
        </w:tc>
      </w:tr>
      <w:tr w:rsidR="001C4AF1" w:rsidTr="00B618D6">
        <w:tc>
          <w:tcPr>
            <w:tcW w:w="3070" w:type="dxa"/>
          </w:tcPr>
          <w:p w:rsidR="001C4AF1" w:rsidRDefault="001C4AF1" w:rsidP="001C4AF1">
            <w:pPr>
              <w:pStyle w:val="Default"/>
            </w:pPr>
          </w:p>
        </w:tc>
        <w:tc>
          <w:tcPr>
            <w:tcW w:w="3071" w:type="dxa"/>
          </w:tcPr>
          <w:p w:rsidR="001C4AF1" w:rsidRDefault="001C4AF1" w:rsidP="001C4AF1">
            <w:pPr>
              <w:pStyle w:val="Default"/>
            </w:pPr>
          </w:p>
        </w:tc>
        <w:tc>
          <w:tcPr>
            <w:tcW w:w="3181" w:type="dxa"/>
          </w:tcPr>
          <w:p w:rsidR="001C4AF1" w:rsidRDefault="001C4AF1" w:rsidP="001C4AF1">
            <w:pPr>
              <w:pStyle w:val="Default"/>
            </w:pPr>
          </w:p>
        </w:tc>
      </w:tr>
    </w:tbl>
    <w:p w:rsidR="001C4AF1" w:rsidRPr="001C4AF1" w:rsidRDefault="001C4AF1" w:rsidP="001C4AF1">
      <w:pPr>
        <w:pStyle w:val="Default"/>
      </w:pPr>
    </w:p>
    <w:p w:rsidR="00E21A0D" w:rsidRDefault="00E21A0D" w:rsidP="004B7C36">
      <w:pPr>
        <w:pStyle w:val="Default"/>
        <w:rPr>
          <w:color w:val="auto"/>
          <w:sz w:val="23"/>
          <w:szCs w:val="23"/>
        </w:rPr>
      </w:pPr>
    </w:p>
    <w:p w:rsidR="00E21A0D" w:rsidRDefault="00E21A0D" w:rsidP="004B7C36">
      <w:pPr>
        <w:pStyle w:val="Default"/>
        <w:rPr>
          <w:color w:val="auto"/>
          <w:sz w:val="23"/>
          <w:szCs w:val="23"/>
        </w:rPr>
      </w:pPr>
    </w:p>
    <w:p w:rsidR="004B7C36" w:rsidRDefault="004B7C36" w:rsidP="004B7C3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8. Chain of controlled undertakings through which the voting rights and/or the financial instruments are effectively held, if applicable</w:t>
      </w:r>
      <w:r w:rsidR="00C001A7">
        <w:rPr>
          <w:color w:val="auto"/>
          <w:sz w:val="23"/>
          <w:szCs w:val="23"/>
        </w:rPr>
        <w:t xml:space="preserve"> </w:t>
      </w:r>
      <w:r w:rsidR="001C4AF1" w:rsidRPr="001C4AF1">
        <w:rPr>
          <w:color w:val="auto"/>
          <w:sz w:val="23"/>
          <w:szCs w:val="23"/>
          <w:vertAlign w:val="superscript"/>
        </w:rPr>
        <w:t>xiv</w:t>
      </w:r>
      <w:r w:rsidR="001C4AF1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</w:t>
      </w: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</w:p>
    <w:p w:rsidR="00E21A0D" w:rsidRPr="00AE6292" w:rsidRDefault="00E21A0D" w:rsidP="00E21A0D">
      <w:pPr>
        <w:pStyle w:val="Default"/>
        <w:rPr>
          <w:b/>
          <w:caps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Investment Advisers:</w:t>
      </w: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Eaton Vance Management</w:t>
      </w:r>
    </w:p>
    <w:p w:rsidR="00E21A0D" w:rsidRPr="00D40EA6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D40EA6">
        <w:rPr>
          <w:b/>
          <w:color w:val="auto"/>
          <w:sz w:val="23"/>
          <w:szCs w:val="23"/>
        </w:rPr>
        <w:t>Boston Management and Research</w:t>
      </w:r>
    </w:p>
    <w:p w:rsidR="00E21A0D" w:rsidRDefault="00E21A0D" w:rsidP="00E21A0D">
      <w:pPr>
        <w:pStyle w:val="Default"/>
        <w:rPr>
          <w:b/>
          <w:color w:val="auto"/>
          <w:sz w:val="23"/>
          <w:szCs w:val="23"/>
          <w:highlight w:val="yellow"/>
        </w:rPr>
      </w:pP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Investment Portfolios/Funds:</w:t>
      </w:r>
    </w:p>
    <w:p w:rsidR="00CE41E1" w:rsidRDefault="00CE41E1" w:rsidP="00E21A0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Global Opportunities Portfolio</w:t>
      </w:r>
    </w:p>
    <w:p w:rsidR="00E21A0D" w:rsidRPr="0003122D" w:rsidRDefault="00C81A1F" w:rsidP="00E21A0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G</w:t>
      </w:r>
      <w:r w:rsidR="00E21A0D" w:rsidRPr="0003122D">
        <w:rPr>
          <w:b/>
          <w:color w:val="auto"/>
          <w:sz w:val="23"/>
          <w:szCs w:val="23"/>
        </w:rPr>
        <w:t>lobal Macro Portfolio</w:t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  <w:r w:rsidR="00E21A0D" w:rsidRPr="0003122D">
        <w:rPr>
          <w:b/>
          <w:color w:val="auto"/>
          <w:sz w:val="23"/>
          <w:szCs w:val="23"/>
        </w:rPr>
        <w:tab/>
      </w: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3122D">
        <w:rPr>
          <w:b/>
          <w:color w:val="auto"/>
          <w:sz w:val="23"/>
          <w:szCs w:val="23"/>
        </w:rPr>
        <w:t>Global Macro Absolute Return Advantage Portfolio</w:t>
      </w:r>
    </w:p>
    <w:p w:rsidR="00E21A0D" w:rsidRPr="0003122D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DA3E71">
        <w:rPr>
          <w:b/>
          <w:color w:val="auto"/>
          <w:sz w:val="23"/>
          <w:szCs w:val="23"/>
        </w:rPr>
        <w:t>Global Macro Capital Opportunities</w:t>
      </w:r>
      <w:r>
        <w:rPr>
          <w:b/>
          <w:color w:val="auto"/>
          <w:sz w:val="23"/>
          <w:szCs w:val="23"/>
        </w:rPr>
        <w:t xml:space="preserve"> Portfolio</w:t>
      </w:r>
      <w:r w:rsidRPr="0003122D">
        <w:rPr>
          <w:b/>
          <w:color w:val="auto"/>
          <w:sz w:val="23"/>
          <w:szCs w:val="23"/>
        </w:rPr>
        <w:t xml:space="preserve"> </w:t>
      </w:r>
      <w:r w:rsidRPr="0003122D">
        <w:rPr>
          <w:b/>
          <w:color w:val="auto"/>
          <w:sz w:val="23"/>
          <w:szCs w:val="23"/>
        </w:rPr>
        <w:tab/>
      </w:r>
      <w:r w:rsidRPr="0003122D">
        <w:rPr>
          <w:b/>
          <w:color w:val="auto"/>
          <w:sz w:val="23"/>
          <w:szCs w:val="23"/>
        </w:rPr>
        <w:tab/>
      </w:r>
      <w:r w:rsidRPr="0003122D">
        <w:rPr>
          <w:b/>
          <w:color w:val="auto"/>
          <w:sz w:val="23"/>
          <w:szCs w:val="23"/>
        </w:rPr>
        <w:tab/>
      </w: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3122D">
        <w:rPr>
          <w:b/>
          <w:color w:val="auto"/>
          <w:sz w:val="23"/>
          <w:szCs w:val="23"/>
        </w:rPr>
        <w:t>JNL/Eaton Vance Global Macro Absolute Return Advantage Fund</w:t>
      </w:r>
    </w:p>
    <w:p w:rsidR="00E21A0D" w:rsidRDefault="00E21A0D" w:rsidP="004B7C36">
      <w:pPr>
        <w:pStyle w:val="Default"/>
        <w:rPr>
          <w:color w:val="auto"/>
          <w:sz w:val="23"/>
          <w:szCs w:val="23"/>
        </w:rPr>
      </w:pPr>
    </w:p>
    <w:p w:rsidR="004B7C36" w:rsidRDefault="004B7C36" w:rsidP="004B7C36">
      <w:pPr>
        <w:pStyle w:val="Default"/>
        <w:rPr>
          <w:color w:val="auto"/>
          <w:sz w:val="23"/>
          <w:szCs w:val="23"/>
        </w:rPr>
      </w:pPr>
    </w:p>
    <w:p w:rsidR="00E21A0D" w:rsidRDefault="00E21A0D" w:rsidP="004B7C36">
      <w:pPr>
        <w:pStyle w:val="Default"/>
        <w:rPr>
          <w:color w:val="auto"/>
          <w:sz w:val="23"/>
          <w:szCs w:val="23"/>
        </w:rPr>
      </w:pPr>
    </w:p>
    <w:p w:rsidR="004B7C36" w:rsidRDefault="004B7C36" w:rsidP="004B7C3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In case of proxy voting: [</w:t>
      </w:r>
      <w:r>
        <w:rPr>
          <w:i/>
          <w:iCs/>
          <w:color w:val="auto"/>
          <w:sz w:val="23"/>
          <w:szCs w:val="23"/>
        </w:rPr>
        <w:t>name of the proxy holder</w:t>
      </w:r>
      <w:r>
        <w:rPr>
          <w:color w:val="auto"/>
          <w:sz w:val="23"/>
          <w:szCs w:val="23"/>
        </w:rPr>
        <w:t>] will cease to hold [</w:t>
      </w:r>
      <w:r>
        <w:rPr>
          <w:i/>
          <w:iCs/>
          <w:color w:val="auto"/>
          <w:sz w:val="23"/>
          <w:szCs w:val="23"/>
        </w:rPr>
        <w:t>number</w:t>
      </w:r>
      <w:r>
        <w:rPr>
          <w:color w:val="auto"/>
          <w:sz w:val="23"/>
          <w:szCs w:val="23"/>
        </w:rPr>
        <w:t>] voting rights as of [</w:t>
      </w:r>
      <w:r>
        <w:rPr>
          <w:i/>
          <w:iCs/>
          <w:color w:val="auto"/>
          <w:sz w:val="23"/>
          <w:szCs w:val="23"/>
        </w:rPr>
        <w:t>date</w:t>
      </w:r>
      <w:r>
        <w:rPr>
          <w:color w:val="auto"/>
          <w:sz w:val="23"/>
          <w:szCs w:val="23"/>
        </w:rPr>
        <w:t>].</w:t>
      </w:r>
      <w:r w:rsidR="00E21A0D">
        <w:rPr>
          <w:color w:val="auto"/>
          <w:sz w:val="23"/>
          <w:szCs w:val="23"/>
        </w:rPr>
        <w:t xml:space="preserve">  </w:t>
      </w:r>
      <w:r w:rsidR="00E21A0D" w:rsidRPr="00E21A0D">
        <w:rPr>
          <w:b/>
          <w:color w:val="auto"/>
          <w:sz w:val="23"/>
          <w:szCs w:val="23"/>
        </w:rPr>
        <w:t>Not Applicable</w:t>
      </w:r>
      <w:r>
        <w:rPr>
          <w:color w:val="auto"/>
          <w:sz w:val="23"/>
          <w:szCs w:val="23"/>
        </w:rPr>
        <w:t xml:space="preserve"> </w:t>
      </w:r>
    </w:p>
    <w:p w:rsidR="004B7C36" w:rsidRDefault="004B7C36" w:rsidP="004B7C36">
      <w:pPr>
        <w:pStyle w:val="Default"/>
        <w:rPr>
          <w:color w:val="auto"/>
          <w:sz w:val="23"/>
          <w:szCs w:val="23"/>
        </w:rPr>
      </w:pP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C81A1F" w:rsidRDefault="00C81A1F" w:rsidP="00E21A0D">
      <w:pPr>
        <w:pStyle w:val="Default"/>
        <w:rPr>
          <w:color w:val="auto"/>
          <w:sz w:val="23"/>
          <w:szCs w:val="23"/>
        </w:rPr>
      </w:pPr>
    </w:p>
    <w:p w:rsidR="00E21A0D" w:rsidRDefault="004B7C36" w:rsidP="00E21A0D">
      <w:pPr>
        <w:pStyle w:val="Default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A</w:t>
      </w:r>
      <w:r w:rsidR="00E21A0D">
        <w:rPr>
          <w:color w:val="auto"/>
          <w:sz w:val="23"/>
          <w:szCs w:val="23"/>
        </w:rPr>
        <w:t xml:space="preserve">dditional information: Done at </w:t>
      </w:r>
      <w:r w:rsidR="00E21A0D" w:rsidRPr="007E7A06">
        <w:rPr>
          <w:b/>
          <w:color w:val="auto"/>
          <w:sz w:val="23"/>
          <w:szCs w:val="23"/>
        </w:rPr>
        <w:t xml:space="preserve">Boston, Massachusetts, United States on the </w:t>
      </w:r>
      <w:r w:rsidR="00E21A0D">
        <w:rPr>
          <w:b/>
          <w:color w:val="auto"/>
          <w:sz w:val="23"/>
          <w:szCs w:val="23"/>
        </w:rPr>
        <w:t>8th of April</w:t>
      </w:r>
      <w:r w:rsidR="00E21A0D" w:rsidRPr="007E7A06">
        <w:rPr>
          <w:b/>
          <w:color w:val="auto"/>
          <w:sz w:val="23"/>
          <w:szCs w:val="23"/>
        </w:rPr>
        <w:t xml:space="preserve"> 201</w:t>
      </w:r>
      <w:r w:rsidR="00E21A0D">
        <w:rPr>
          <w:b/>
          <w:color w:val="auto"/>
          <w:sz w:val="23"/>
          <w:szCs w:val="23"/>
        </w:rPr>
        <w:t>9</w:t>
      </w:r>
      <w:r w:rsidR="00E21A0D" w:rsidRPr="007E7A06">
        <w:rPr>
          <w:b/>
          <w:color w:val="auto"/>
          <w:sz w:val="23"/>
          <w:szCs w:val="23"/>
        </w:rPr>
        <w:t>.</w:t>
      </w:r>
    </w:p>
    <w:p w:rsidR="00E21A0D" w:rsidRDefault="00E21A0D" w:rsidP="00E21A0D">
      <w:pPr>
        <w:pStyle w:val="Default"/>
      </w:pPr>
    </w:p>
    <w:p w:rsidR="00E21A0D" w:rsidRPr="000A0405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A0405">
        <w:rPr>
          <w:b/>
          <w:color w:val="auto"/>
          <w:sz w:val="23"/>
          <w:szCs w:val="23"/>
        </w:rPr>
        <w:t xml:space="preserve">Eaton Vance Corporation is </w:t>
      </w:r>
      <w:r>
        <w:rPr>
          <w:b/>
          <w:color w:val="auto"/>
          <w:sz w:val="23"/>
          <w:szCs w:val="23"/>
        </w:rPr>
        <w:t>the parent company of multiple investment advisers</w:t>
      </w:r>
      <w:r w:rsidRPr="000A0405">
        <w:rPr>
          <w:b/>
          <w:color w:val="auto"/>
          <w:sz w:val="23"/>
          <w:szCs w:val="23"/>
        </w:rPr>
        <w:t xml:space="preserve">, including Eaton Vance Management and Boston Management and Research.  Eaton Vance Corporation, through the funds managed by its </w:t>
      </w:r>
      <w:r>
        <w:rPr>
          <w:b/>
          <w:color w:val="auto"/>
          <w:sz w:val="23"/>
          <w:szCs w:val="23"/>
        </w:rPr>
        <w:t xml:space="preserve">investment adviser </w:t>
      </w:r>
      <w:r w:rsidRPr="000A0405">
        <w:rPr>
          <w:b/>
          <w:color w:val="auto"/>
          <w:sz w:val="23"/>
          <w:szCs w:val="23"/>
        </w:rPr>
        <w:t>subsidiaries, has the power to exercise, or control the exercise of, a right to vote attached to a security and has the power to dispose of, or control the disposal of, a security.</w:t>
      </w:r>
    </w:p>
    <w:p w:rsidR="00E21A0D" w:rsidRPr="000A0405" w:rsidRDefault="00E21A0D" w:rsidP="00E21A0D">
      <w:pPr>
        <w:pStyle w:val="Default"/>
        <w:rPr>
          <w:b/>
          <w:color w:val="auto"/>
          <w:sz w:val="23"/>
          <w:szCs w:val="23"/>
        </w:rPr>
      </w:pPr>
    </w:p>
    <w:p w:rsidR="00E21A0D" w:rsidRPr="000A0405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A0405">
        <w:rPr>
          <w:b/>
          <w:color w:val="auto"/>
          <w:sz w:val="23"/>
          <w:szCs w:val="23"/>
        </w:rPr>
        <w:t xml:space="preserve">Eaton Vance Management is a wholly owned </w:t>
      </w:r>
      <w:r>
        <w:rPr>
          <w:b/>
          <w:color w:val="auto"/>
          <w:sz w:val="23"/>
          <w:szCs w:val="23"/>
        </w:rPr>
        <w:t xml:space="preserve">investment adviser </w:t>
      </w:r>
      <w:r w:rsidRPr="000A0405">
        <w:rPr>
          <w:b/>
          <w:color w:val="auto"/>
          <w:sz w:val="23"/>
          <w:szCs w:val="23"/>
        </w:rPr>
        <w:t>subsidiary of Eaton Vance Corp</w:t>
      </w:r>
      <w:r>
        <w:rPr>
          <w:b/>
          <w:color w:val="auto"/>
          <w:sz w:val="23"/>
          <w:szCs w:val="23"/>
        </w:rPr>
        <w:t>oration</w:t>
      </w:r>
      <w:r w:rsidRPr="000A0405">
        <w:rPr>
          <w:b/>
          <w:color w:val="auto"/>
          <w:sz w:val="23"/>
          <w:szCs w:val="23"/>
        </w:rPr>
        <w:t xml:space="preserve">.  Boston Management and Research is a 99.9% owned </w:t>
      </w:r>
      <w:r>
        <w:rPr>
          <w:b/>
          <w:color w:val="auto"/>
          <w:sz w:val="23"/>
          <w:szCs w:val="23"/>
        </w:rPr>
        <w:t xml:space="preserve">investment adviser </w:t>
      </w:r>
      <w:r w:rsidRPr="000A0405">
        <w:rPr>
          <w:b/>
          <w:color w:val="auto"/>
          <w:sz w:val="23"/>
          <w:szCs w:val="23"/>
        </w:rPr>
        <w:t xml:space="preserve">subsidiary of Eaton Vance Management.  </w:t>
      </w: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</w:p>
    <w:p w:rsidR="00E21A0D" w:rsidRPr="0005154F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5154F">
        <w:rPr>
          <w:b/>
          <w:color w:val="auto"/>
          <w:sz w:val="23"/>
          <w:szCs w:val="23"/>
        </w:rPr>
        <w:t xml:space="preserve">Boston, Massachusetts, United States, </w:t>
      </w:r>
      <w:r>
        <w:rPr>
          <w:b/>
          <w:color w:val="auto"/>
          <w:sz w:val="23"/>
          <w:szCs w:val="23"/>
        </w:rPr>
        <w:t>8th of April</w:t>
      </w:r>
      <w:r w:rsidRPr="0005154F">
        <w:rPr>
          <w:b/>
          <w:color w:val="auto"/>
          <w:sz w:val="23"/>
          <w:szCs w:val="23"/>
        </w:rPr>
        <w:t xml:space="preserve"> 201</w:t>
      </w:r>
      <w:r>
        <w:rPr>
          <w:b/>
          <w:color w:val="auto"/>
          <w:sz w:val="23"/>
          <w:szCs w:val="23"/>
        </w:rPr>
        <w:t>9</w:t>
      </w: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</w:p>
    <w:p w:rsidR="00E21A0D" w:rsidRDefault="00E21A0D" w:rsidP="00E21A0D">
      <w:pPr>
        <w:pStyle w:val="Default"/>
        <w:rPr>
          <w:color w:val="auto"/>
          <w:sz w:val="23"/>
          <w:szCs w:val="23"/>
        </w:rPr>
      </w:pPr>
    </w:p>
    <w:p w:rsidR="00E21A0D" w:rsidRDefault="00E21A0D" w:rsidP="00E21A0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Scott R. Kudlacik</w:t>
      </w:r>
    </w:p>
    <w:p w:rsidR="00E21A0D" w:rsidRPr="0005154F" w:rsidRDefault="00E21A0D" w:rsidP="00E21A0D">
      <w:pPr>
        <w:pStyle w:val="Default"/>
        <w:rPr>
          <w:b/>
          <w:color w:val="auto"/>
          <w:sz w:val="23"/>
          <w:szCs w:val="23"/>
        </w:rPr>
      </w:pPr>
      <w:r w:rsidRPr="0005154F">
        <w:rPr>
          <w:b/>
          <w:color w:val="auto"/>
          <w:sz w:val="23"/>
          <w:szCs w:val="23"/>
        </w:rPr>
        <w:t>Eaton Vance Management</w:t>
      </w:r>
    </w:p>
    <w:p w:rsidR="00E21A0D" w:rsidRDefault="00E21A0D" w:rsidP="00E21A0D">
      <w:pPr>
        <w:pStyle w:val="Default"/>
      </w:pPr>
    </w:p>
    <w:p w:rsidR="004B7C36" w:rsidRDefault="004B7C36" w:rsidP="004B7C36">
      <w:pPr>
        <w:pStyle w:val="Default"/>
        <w:rPr>
          <w:color w:val="auto"/>
          <w:sz w:val="23"/>
          <w:szCs w:val="23"/>
        </w:rPr>
      </w:pPr>
    </w:p>
    <w:p w:rsidR="00907DA3" w:rsidRDefault="00907DA3"/>
    <w:sectPr w:rsidR="00907DA3" w:rsidSect="00102FC7">
      <w:headerReference w:type="default" r:id="rId7"/>
      <w:pgSz w:w="11906" w:h="16838"/>
      <w:pgMar w:top="8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98" w:rsidRDefault="00224898" w:rsidP="00102FC7">
      <w:pPr>
        <w:spacing w:after="0" w:line="240" w:lineRule="auto"/>
      </w:pPr>
      <w:r>
        <w:separator/>
      </w:r>
    </w:p>
  </w:endnote>
  <w:endnote w:type="continuationSeparator" w:id="0">
    <w:p w:rsidR="00224898" w:rsidRDefault="00224898" w:rsidP="0010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98" w:rsidRDefault="00224898" w:rsidP="00102FC7">
      <w:pPr>
        <w:spacing w:after="0" w:line="240" w:lineRule="auto"/>
      </w:pPr>
      <w:r>
        <w:separator/>
      </w:r>
    </w:p>
  </w:footnote>
  <w:footnote w:type="continuationSeparator" w:id="0">
    <w:p w:rsidR="00224898" w:rsidRDefault="00224898" w:rsidP="0010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C7" w:rsidRDefault="008B2CC0" w:rsidP="00102FC7">
    <w:pPr>
      <w:pStyle w:val="Header"/>
      <w:jc w:val="center"/>
    </w:pPr>
    <w:r w:rsidRPr="00884097">
      <w:rPr>
        <w:noProof/>
      </w:rPr>
      <w:drawing>
        <wp:inline distT="0" distB="0" distL="0" distR="0">
          <wp:extent cx="2231390" cy="1163320"/>
          <wp:effectExtent l="0" t="0" r="0" b="0"/>
          <wp:docPr id="1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36"/>
    <w:rsid w:val="000A2646"/>
    <w:rsid w:val="000D406B"/>
    <w:rsid w:val="000E5E4E"/>
    <w:rsid w:val="000E7621"/>
    <w:rsid w:val="000F20AA"/>
    <w:rsid w:val="00102FC7"/>
    <w:rsid w:val="001415D9"/>
    <w:rsid w:val="001427B4"/>
    <w:rsid w:val="0014356F"/>
    <w:rsid w:val="00194D5C"/>
    <w:rsid w:val="001B1FC1"/>
    <w:rsid w:val="001C4AF1"/>
    <w:rsid w:val="001C79B8"/>
    <w:rsid w:val="0020213E"/>
    <w:rsid w:val="00224898"/>
    <w:rsid w:val="0023144B"/>
    <w:rsid w:val="002615C0"/>
    <w:rsid w:val="00270DC8"/>
    <w:rsid w:val="00293078"/>
    <w:rsid w:val="002A08F2"/>
    <w:rsid w:val="002C5F2E"/>
    <w:rsid w:val="00323CCA"/>
    <w:rsid w:val="00334FFF"/>
    <w:rsid w:val="00341F5A"/>
    <w:rsid w:val="003636FB"/>
    <w:rsid w:val="003C7A55"/>
    <w:rsid w:val="003D002F"/>
    <w:rsid w:val="003D3D42"/>
    <w:rsid w:val="003D5990"/>
    <w:rsid w:val="004015A7"/>
    <w:rsid w:val="00476A04"/>
    <w:rsid w:val="004A2463"/>
    <w:rsid w:val="004B7C36"/>
    <w:rsid w:val="004C44F0"/>
    <w:rsid w:val="004D431C"/>
    <w:rsid w:val="004E71CD"/>
    <w:rsid w:val="004F3618"/>
    <w:rsid w:val="00503242"/>
    <w:rsid w:val="0050532F"/>
    <w:rsid w:val="0059487B"/>
    <w:rsid w:val="005F7B97"/>
    <w:rsid w:val="00623639"/>
    <w:rsid w:val="0063447A"/>
    <w:rsid w:val="006C0CE0"/>
    <w:rsid w:val="00747E0A"/>
    <w:rsid w:val="007A6DEE"/>
    <w:rsid w:val="008008AE"/>
    <w:rsid w:val="008B2CC0"/>
    <w:rsid w:val="00907DA3"/>
    <w:rsid w:val="00932558"/>
    <w:rsid w:val="00933D8D"/>
    <w:rsid w:val="00940895"/>
    <w:rsid w:val="00951A8D"/>
    <w:rsid w:val="0097105D"/>
    <w:rsid w:val="00985123"/>
    <w:rsid w:val="009A5592"/>
    <w:rsid w:val="00A35D4F"/>
    <w:rsid w:val="00A57530"/>
    <w:rsid w:val="00A91F93"/>
    <w:rsid w:val="00AA546C"/>
    <w:rsid w:val="00AC08A8"/>
    <w:rsid w:val="00B618D6"/>
    <w:rsid w:val="00B75115"/>
    <w:rsid w:val="00B9531D"/>
    <w:rsid w:val="00BA2754"/>
    <w:rsid w:val="00BF1768"/>
    <w:rsid w:val="00C001A7"/>
    <w:rsid w:val="00C12C20"/>
    <w:rsid w:val="00C1529B"/>
    <w:rsid w:val="00C52C58"/>
    <w:rsid w:val="00C67E58"/>
    <w:rsid w:val="00C81A1F"/>
    <w:rsid w:val="00C96972"/>
    <w:rsid w:val="00CE41E1"/>
    <w:rsid w:val="00D565D2"/>
    <w:rsid w:val="00E06758"/>
    <w:rsid w:val="00E21A0D"/>
    <w:rsid w:val="00E3103B"/>
    <w:rsid w:val="00E5547A"/>
    <w:rsid w:val="00E73B19"/>
    <w:rsid w:val="00E942E3"/>
    <w:rsid w:val="00F51D23"/>
    <w:rsid w:val="00FA3358"/>
    <w:rsid w:val="00FA5AE4"/>
    <w:rsid w:val="00FB4787"/>
    <w:rsid w:val="00FC2A89"/>
    <w:rsid w:val="00FE06CE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5899-ED5D-4517-8AA7-1360DE8A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C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C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4B7C36"/>
    <w:rPr>
      <w:color w:val="auto"/>
    </w:rPr>
  </w:style>
  <w:style w:type="paragraph" w:customStyle="1" w:styleId="CM5">
    <w:name w:val="CM5"/>
    <w:basedOn w:val="Default"/>
    <w:next w:val="Default"/>
    <w:uiPriority w:val="99"/>
    <w:rsid w:val="004B7C36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4B7C36"/>
    <w:rPr>
      <w:color w:val="auto"/>
    </w:rPr>
  </w:style>
  <w:style w:type="table" w:styleId="TableGrid">
    <w:name w:val="Table Grid"/>
    <w:basedOn w:val="TableNormal"/>
    <w:uiPriority w:val="59"/>
    <w:rsid w:val="001C4A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02FC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02FC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2FC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02FC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2ABD-0319-47B7-83E3-58569E57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Fjármálaeftirlitið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Pétur Geir Kristjánsson</dc:creator>
  <cp:keywords/>
  <cp:lastModifiedBy>Ragnheiður Margrét Ólafsdóttir</cp:lastModifiedBy>
  <cp:revision>2</cp:revision>
  <dcterms:created xsi:type="dcterms:W3CDTF">2019-04-08T14:48:00Z</dcterms:created>
  <dcterms:modified xsi:type="dcterms:W3CDTF">2019-04-08T14:48:00Z</dcterms:modified>
</cp:coreProperties>
</file>