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1E" w:rsidRDefault="00C9331E" w:rsidP="00C9331E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La </w:t>
      </w:r>
      <w:proofErr w:type="spellStart"/>
      <w:r>
        <w:rPr>
          <w:b/>
          <w:sz w:val="36"/>
          <w:szCs w:val="36"/>
        </w:rPr>
        <w:t>Comisión</w:t>
      </w:r>
      <w:proofErr w:type="spellEnd"/>
      <w:r>
        <w:rPr>
          <w:b/>
          <w:sz w:val="36"/>
          <w:szCs w:val="36"/>
        </w:rPr>
        <w:t xml:space="preserve"> Europea </w:t>
      </w:r>
      <w:proofErr w:type="spellStart"/>
      <w:r>
        <w:rPr>
          <w:b/>
          <w:sz w:val="36"/>
          <w:szCs w:val="36"/>
        </w:rPr>
        <w:t>lanza</w:t>
      </w:r>
      <w:proofErr w:type="spellEnd"/>
      <w:r>
        <w:rPr>
          <w:b/>
          <w:sz w:val="36"/>
          <w:szCs w:val="36"/>
        </w:rPr>
        <w:t xml:space="preserve"> una </w:t>
      </w:r>
      <w:proofErr w:type="spellStart"/>
      <w:r>
        <w:rPr>
          <w:b/>
          <w:sz w:val="36"/>
          <w:szCs w:val="36"/>
        </w:rPr>
        <w:t>campaña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sobre</w:t>
      </w:r>
      <w:proofErr w:type="spellEnd"/>
      <w:r>
        <w:rPr>
          <w:b/>
          <w:sz w:val="36"/>
          <w:szCs w:val="36"/>
        </w:rPr>
        <w:t xml:space="preserve"> un fondo de </w:t>
      </w:r>
      <w:proofErr w:type="gramStart"/>
      <w:r>
        <w:rPr>
          <w:b/>
          <w:sz w:val="36"/>
          <w:szCs w:val="36"/>
        </w:rPr>
        <w:t xml:space="preserve">la </w:t>
      </w:r>
      <w:proofErr w:type="gramEnd"/>
      <w:r>
        <w:rPr>
          <w:b/>
          <w:sz w:val="36"/>
          <w:szCs w:val="36"/>
        </w:rPr>
        <w:t xml:space="preserve">UE para </w:t>
      </w:r>
      <w:proofErr w:type="spellStart"/>
      <w:r>
        <w:rPr>
          <w:b/>
          <w:sz w:val="36"/>
          <w:szCs w:val="36"/>
        </w:rPr>
        <w:t>promover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los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derechos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fundamentales</w:t>
      </w:r>
      <w:proofErr w:type="spellEnd"/>
      <w:r>
        <w:rPr>
          <w:b/>
          <w:sz w:val="36"/>
          <w:szCs w:val="36"/>
        </w:rPr>
        <w:t xml:space="preserve"> </w:t>
      </w:r>
    </w:p>
    <w:p w:rsidR="00C9331E" w:rsidRDefault="00C9331E" w:rsidP="00C9331E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b/>
          <w:sz w:val="22"/>
          <w:szCs w:val="22"/>
        </w:rPr>
        <w:t>Dirección</w:t>
      </w:r>
      <w:proofErr w:type="spellEnd"/>
      <w:r>
        <w:rPr>
          <w:b/>
          <w:sz w:val="22"/>
          <w:szCs w:val="22"/>
        </w:rPr>
        <w:t xml:space="preserve"> General de </w:t>
      </w:r>
      <w:proofErr w:type="spellStart"/>
      <w:r>
        <w:rPr>
          <w:b/>
          <w:sz w:val="22"/>
          <w:szCs w:val="22"/>
        </w:rPr>
        <w:t>Justicia</w:t>
      </w:r>
      <w:proofErr w:type="spellEnd"/>
      <w:r>
        <w:rPr>
          <w:b/>
          <w:sz w:val="22"/>
          <w:szCs w:val="22"/>
        </w:rPr>
        <w:t xml:space="preserve"> y </w:t>
      </w:r>
      <w:proofErr w:type="spellStart"/>
      <w:r>
        <w:rPr>
          <w:b/>
          <w:sz w:val="22"/>
          <w:szCs w:val="22"/>
        </w:rPr>
        <w:t>Consumidores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de la </w:t>
      </w:r>
      <w:proofErr w:type="spellStart"/>
      <w:r>
        <w:rPr>
          <w:sz w:val="22"/>
          <w:szCs w:val="22"/>
        </w:rPr>
        <w:t>Comisión</w:t>
      </w:r>
      <w:proofErr w:type="spellEnd"/>
      <w:r>
        <w:rPr>
          <w:sz w:val="22"/>
          <w:szCs w:val="22"/>
        </w:rPr>
        <w:t xml:space="preserve"> Europea </w:t>
      </w:r>
      <w:proofErr w:type="spellStart"/>
      <w:r>
        <w:rPr>
          <w:sz w:val="22"/>
          <w:szCs w:val="22"/>
        </w:rPr>
        <w:t>lanza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hoy</w:t>
      </w:r>
      <w:proofErr w:type="spellEnd"/>
      <w:r>
        <w:rPr>
          <w:sz w:val="22"/>
          <w:szCs w:val="22"/>
        </w:rPr>
        <w:t xml:space="preserve"> una </w:t>
      </w:r>
      <w:hyperlink r:id="rId9">
        <w:proofErr w:type="spellStart"/>
        <w:r>
          <w:rPr>
            <w:color w:val="0000FF"/>
            <w:sz w:val="22"/>
            <w:szCs w:val="22"/>
            <w:u w:val="single"/>
          </w:rPr>
          <w:t>campaña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de </w:t>
        </w:r>
        <w:proofErr w:type="spellStart"/>
        <w:r>
          <w:rPr>
            <w:color w:val="0000FF"/>
            <w:sz w:val="22"/>
            <w:szCs w:val="22"/>
            <w:u w:val="single"/>
          </w:rPr>
          <w:t>comunicación</w:t>
        </w:r>
        <w:proofErr w:type="spellEnd"/>
      </w:hyperlink>
      <w:r>
        <w:rPr>
          <w:sz w:val="22"/>
          <w:szCs w:val="22"/>
        </w:rPr>
        <w:t xml:space="preserve"> para ampliar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alcance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impacto</w:t>
      </w:r>
      <w:proofErr w:type="spellEnd"/>
      <w:r>
        <w:rPr>
          <w:sz w:val="22"/>
          <w:szCs w:val="22"/>
        </w:rPr>
        <w:t xml:space="preserve"> de su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hyperlink r:id="rId10">
        <w:r>
          <w:rPr>
            <w:b/>
            <w:color w:val="1155CC"/>
            <w:sz w:val="22"/>
            <w:szCs w:val="22"/>
            <w:u w:val="single"/>
          </w:rPr>
          <w:t>«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Ciudadanos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Igualdad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Derechos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y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Valores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>» (CERV)</w:t>
        </w:r>
      </w:hyperlink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proofErr w:type="spellStart"/>
      <w:r>
        <w:rPr>
          <w:sz w:val="22"/>
          <w:szCs w:val="22"/>
        </w:rPr>
        <w:t>España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 es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mayor</w:t>
      </w:r>
      <w:proofErr w:type="spellEnd"/>
      <w:r>
        <w:rPr>
          <w:sz w:val="22"/>
          <w:szCs w:val="22"/>
        </w:rPr>
        <w:t xml:space="preserve"> fondo de </w:t>
      </w:r>
      <w:proofErr w:type="gramStart"/>
      <w:r>
        <w:rPr>
          <w:sz w:val="22"/>
          <w:szCs w:val="22"/>
        </w:rPr>
        <w:t xml:space="preserve">la </w:t>
      </w:r>
      <w:proofErr w:type="spellStart"/>
      <w:proofErr w:type="gramEnd"/>
      <w:r>
        <w:rPr>
          <w:sz w:val="22"/>
          <w:szCs w:val="22"/>
        </w:rPr>
        <w:t>historia</w:t>
      </w:r>
      <w:proofErr w:type="spellEnd"/>
      <w:r>
        <w:rPr>
          <w:sz w:val="22"/>
          <w:szCs w:val="22"/>
        </w:rPr>
        <w:t xml:space="preserve"> de la UE para la </w:t>
      </w:r>
      <w:proofErr w:type="spellStart"/>
      <w:r>
        <w:rPr>
          <w:sz w:val="22"/>
          <w:szCs w:val="22"/>
        </w:rPr>
        <w:t>sociedad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objetivo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proteger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fundamentales</w:t>
      </w:r>
      <w:proofErr w:type="spellEnd"/>
      <w:r>
        <w:rPr>
          <w:sz w:val="22"/>
          <w:szCs w:val="22"/>
        </w:rPr>
        <w:t xml:space="preserve"> en la UE.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subraya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importante </w:t>
      </w:r>
      <w:proofErr w:type="spellStart"/>
      <w:r>
        <w:rPr>
          <w:sz w:val="22"/>
          <w:szCs w:val="22"/>
        </w:rPr>
        <w:t>papel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sociedad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 en la </w:t>
      </w:r>
      <w:proofErr w:type="gramStart"/>
      <w:r>
        <w:rPr>
          <w:sz w:val="22"/>
          <w:szCs w:val="22"/>
        </w:rPr>
        <w:t>salvaguardia</w:t>
      </w:r>
      <w:proofErr w:type="gramEnd"/>
      <w:r>
        <w:rPr>
          <w:sz w:val="22"/>
          <w:szCs w:val="22"/>
        </w:rPr>
        <w:t xml:space="preserve"> y fomento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de la UE en </w:t>
      </w:r>
      <w:proofErr w:type="spellStart"/>
      <w:r>
        <w:rPr>
          <w:sz w:val="22"/>
          <w:szCs w:val="22"/>
        </w:rPr>
        <w:t>cuanto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respeto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fundamentales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Estado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derecho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democracia</w:t>
      </w:r>
      <w:proofErr w:type="spellEnd"/>
      <w:r>
        <w:rPr>
          <w:sz w:val="22"/>
          <w:szCs w:val="22"/>
        </w:rPr>
        <w:t xml:space="preserve">. Tal y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se indica en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hyperlink r:id="rId11">
        <w:r>
          <w:rPr>
            <w:color w:val="0000FF"/>
            <w:sz w:val="22"/>
            <w:szCs w:val="22"/>
            <w:u w:val="single"/>
          </w:rPr>
          <w:t xml:space="preserve">Informe </w:t>
        </w:r>
        <w:proofErr w:type="spellStart"/>
        <w:r>
          <w:rPr>
            <w:color w:val="0000FF"/>
            <w:sz w:val="22"/>
            <w:szCs w:val="22"/>
            <w:u w:val="single"/>
          </w:rPr>
          <w:t>anual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de la </w:t>
        </w:r>
        <w:proofErr w:type="spellStart"/>
        <w:r>
          <w:rPr>
            <w:color w:val="0000FF"/>
            <w:sz w:val="22"/>
            <w:szCs w:val="22"/>
            <w:u w:val="single"/>
          </w:rPr>
          <w:t>Comisión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Europea de 2022 </w:t>
        </w:r>
        <w:proofErr w:type="spellStart"/>
        <w:r>
          <w:rPr>
            <w:color w:val="0000FF"/>
            <w:sz w:val="22"/>
            <w:szCs w:val="22"/>
            <w:u w:val="single"/>
          </w:rPr>
          <w:t>sobre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la </w:t>
        </w:r>
        <w:proofErr w:type="spellStart"/>
        <w:r>
          <w:rPr>
            <w:color w:val="0000FF"/>
            <w:sz w:val="22"/>
            <w:szCs w:val="22"/>
            <w:u w:val="single"/>
          </w:rPr>
          <w:t>aplicación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de la Carta de </w:t>
        </w:r>
        <w:proofErr w:type="spellStart"/>
        <w:r>
          <w:rPr>
            <w:color w:val="0000FF"/>
            <w:sz w:val="22"/>
            <w:szCs w:val="22"/>
            <w:u w:val="single"/>
          </w:rPr>
          <w:t>los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Derechos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Fundamentales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de la UE</w:t>
        </w:r>
      </w:hyperlink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organizaciones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sociedad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 de la UE se </w:t>
      </w:r>
      <w:proofErr w:type="spellStart"/>
      <w:r>
        <w:rPr>
          <w:sz w:val="22"/>
          <w:szCs w:val="22"/>
        </w:rPr>
        <w:t>enfrentan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diferentes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dificultan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desempeño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labores</w:t>
      </w:r>
      <w:proofErr w:type="spellEnd"/>
      <w:r>
        <w:rPr>
          <w:sz w:val="22"/>
          <w:szCs w:val="22"/>
        </w:rPr>
        <w:t xml:space="preserve"> y su defensa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fundamentales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retos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incluyen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siguientes</w:t>
      </w:r>
      <w:proofErr w:type="spellEnd"/>
      <w:r>
        <w:rPr>
          <w:sz w:val="22"/>
          <w:szCs w:val="22"/>
        </w:rPr>
        <w:t>:</w:t>
      </w:r>
    </w:p>
    <w:p w:rsidR="00C9331E" w:rsidRDefault="00C9331E" w:rsidP="00C93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legislación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desfavorable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implementación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limitada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leyes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C9331E" w:rsidRPr="00C9331E" w:rsidRDefault="00C9331E" w:rsidP="00C93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  <w:lang w:val="en-GB"/>
        </w:rPr>
      </w:pPr>
      <w:r w:rsidRPr="00C9331E">
        <w:rPr>
          <w:color w:val="000000"/>
          <w:sz w:val="22"/>
          <w:szCs w:val="22"/>
          <w:lang w:val="en-GB"/>
        </w:rPr>
        <w:t xml:space="preserve">ataques y acoso a las organizaciones de la sociedad civil y </w:t>
      </w:r>
      <w:r w:rsidRPr="00C9331E">
        <w:rPr>
          <w:lang w:val="en-GB"/>
        </w:rPr>
        <w:t>a personas defensoras de los derechos humanos</w:t>
      </w:r>
      <w:r w:rsidRPr="00C9331E">
        <w:rPr>
          <w:color w:val="000000"/>
          <w:sz w:val="22"/>
          <w:szCs w:val="22"/>
          <w:lang w:val="en-GB"/>
        </w:rPr>
        <w:t xml:space="preserve">, incluidos relatos negativos destinados a deslegitimar y estigmatizar dichas organizaciones (dentro y fuera de internet); </w:t>
      </w:r>
    </w:p>
    <w:p w:rsidR="00C9331E" w:rsidRDefault="00C9331E" w:rsidP="00C93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dificultad</w:t>
      </w:r>
      <w:proofErr w:type="spellEnd"/>
      <w:proofErr w:type="gramEnd"/>
      <w:r>
        <w:rPr>
          <w:color w:val="000000"/>
          <w:sz w:val="22"/>
          <w:szCs w:val="22"/>
        </w:rPr>
        <w:t xml:space="preserve"> para acceder al </w:t>
      </w:r>
      <w:proofErr w:type="spellStart"/>
      <w:r>
        <w:rPr>
          <w:color w:val="000000"/>
          <w:sz w:val="22"/>
          <w:szCs w:val="22"/>
        </w:rPr>
        <w:t>poder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ejecutivo</w:t>
      </w:r>
      <w:proofErr w:type="spellEnd"/>
      <w:r>
        <w:rPr>
          <w:color w:val="000000"/>
          <w:sz w:val="22"/>
          <w:szCs w:val="22"/>
        </w:rPr>
        <w:t xml:space="preserve"> y a la </w:t>
      </w:r>
      <w:proofErr w:type="spellStart"/>
      <w:r>
        <w:rPr>
          <w:color w:val="000000"/>
          <w:sz w:val="22"/>
          <w:szCs w:val="22"/>
        </w:rPr>
        <w:t>incorporación</w:t>
      </w:r>
      <w:proofErr w:type="spellEnd"/>
      <w:r>
        <w:rPr>
          <w:color w:val="000000"/>
          <w:sz w:val="22"/>
          <w:szCs w:val="22"/>
        </w:rPr>
        <w:t xml:space="preserve"> en la </w:t>
      </w:r>
      <w:proofErr w:type="spellStart"/>
      <w:r>
        <w:rPr>
          <w:color w:val="000000"/>
          <w:sz w:val="22"/>
          <w:szCs w:val="22"/>
        </w:rPr>
        <w:t>legislación</w:t>
      </w:r>
      <w:proofErr w:type="spellEnd"/>
      <w:r>
        <w:rPr>
          <w:color w:val="000000"/>
          <w:sz w:val="22"/>
          <w:szCs w:val="22"/>
        </w:rPr>
        <w:t xml:space="preserve">, y </w:t>
      </w:r>
    </w:p>
    <w:p w:rsidR="00C9331E" w:rsidRDefault="00C9331E" w:rsidP="00C933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obstáculos</w:t>
      </w:r>
      <w:proofErr w:type="spellEnd"/>
      <w:proofErr w:type="gramEnd"/>
      <w:r>
        <w:rPr>
          <w:color w:val="000000"/>
          <w:sz w:val="22"/>
          <w:szCs w:val="22"/>
        </w:rPr>
        <w:t xml:space="preserve"> para acceder a </w:t>
      </w:r>
      <w:proofErr w:type="spellStart"/>
      <w:r>
        <w:rPr>
          <w:color w:val="000000"/>
          <w:sz w:val="22"/>
          <w:szCs w:val="22"/>
        </w:rPr>
        <w:t>los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recursos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financieros</w:t>
      </w:r>
      <w:proofErr w:type="spellEnd"/>
      <w:r>
        <w:rPr>
          <w:color w:val="000000"/>
          <w:sz w:val="22"/>
          <w:szCs w:val="22"/>
        </w:rPr>
        <w:t xml:space="preserve"> y para </w:t>
      </w:r>
      <w:proofErr w:type="spellStart"/>
      <w:r>
        <w:rPr>
          <w:color w:val="000000"/>
          <w:sz w:val="22"/>
          <w:szCs w:val="22"/>
        </w:rPr>
        <w:t>garantizar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sostenibilidad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según</w:t>
      </w:r>
      <w:proofErr w:type="spellEnd"/>
      <w:r>
        <w:rPr>
          <w:color w:val="000000"/>
          <w:sz w:val="22"/>
          <w:szCs w:val="22"/>
        </w:rPr>
        <w:t xml:space="preserve"> indica </w:t>
      </w:r>
      <w:proofErr w:type="spellStart"/>
      <w:r>
        <w:rPr>
          <w:color w:val="000000"/>
          <w:sz w:val="22"/>
          <w:szCs w:val="22"/>
        </w:rPr>
        <w:t>el</w:t>
      </w:r>
      <w:proofErr w:type="spellEnd"/>
      <w:r>
        <w:rPr>
          <w:color w:val="000000"/>
          <w:sz w:val="22"/>
          <w:szCs w:val="22"/>
        </w:rPr>
        <w:t xml:space="preserve"> informe </w:t>
      </w:r>
      <w:proofErr w:type="spellStart"/>
      <w:r>
        <w:rPr>
          <w:color w:val="000000"/>
          <w:sz w:val="22"/>
          <w:szCs w:val="22"/>
        </w:rPr>
        <w:t>mencionado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arriba</w:t>
      </w:r>
      <w:proofErr w:type="spellEnd"/>
      <w:r>
        <w:rPr>
          <w:color w:val="000000"/>
          <w:sz w:val="22"/>
          <w:szCs w:val="22"/>
        </w:rPr>
        <w:t xml:space="preserve">: </w:t>
      </w:r>
      <w:r>
        <w:t xml:space="preserve">un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cívico</w:t>
      </w:r>
      <w:proofErr w:type="spellEnd"/>
      <w:r>
        <w:t xml:space="preserve"> </w:t>
      </w:r>
      <w:proofErr w:type="spellStart"/>
      <w:r>
        <w:t>próspero</w:t>
      </w:r>
      <w:proofErr w:type="spellEnd"/>
      <w:r>
        <w:t xml:space="preserve"> para la defensa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fundamentales</w:t>
      </w:r>
      <w:proofErr w:type="spellEnd"/>
      <w:r>
        <w:t xml:space="preserve"> en la UE (</w:t>
      </w:r>
      <w:proofErr w:type="spellStart"/>
      <w:r>
        <w:t>it’s</w:t>
      </w:r>
      <w:proofErr w:type="spellEnd"/>
      <w:r>
        <w:t xml:space="preserve"> the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report).</w:t>
      </w:r>
    </w:p>
    <w:p w:rsidR="00C9331E" w:rsidRDefault="00C9331E" w:rsidP="00C9331E">
      <w:pPr>
        <w:spacing w:after="200" w:line="276" w:lineRule="auto"/>
        <w:jc w:val="both"/>
        <w:rPr>
          <w:sz w:val="22"/>
          <w:szCs w:val="22"/>
        </w:rPr>
      </w:pPr>
      <w:bookmarkStart w:id="0" w:name="_heading=h.30j0zll" w:colFirst="0" w:colLast="0"/>
      <w:bookmarkEnd w:id="0"/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apoya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organizaciones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sociedad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 para la defensa de la Carta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Fundamentales</w:t>
      </w:r>
      <w:proofErr w:type="spellEnd"/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 xml:space="preserve">la </w:t>
      </w:r>
      <w:proofErr w:type="gramEnd"/>
      <w:r>
        <w:rPr>
          <w:sz w:val="22"/>
          <w:szCs w:val="22"/>
        </w:rPr>
        <w:t>UE (</w:t>
      </w:r>
      <w:proofErr w:type="spellStart"/>
      <w:r>
        <w:rPr>
          <w:sz w:val="22"/>
          <w:szCs w:val="22"/>
        </w:rPr>
        <w:t>especialmente</w:t>
      </w:r>
      <w:proofErr w:type="spellEnd"/>
      <w:r>
        <w:rPr>
          <w:sz w:val="22"/>
          <w:szCs w:val="22"/>
        </w:rPr>
        <w:t xml:space="preserve"> mediante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fortalecimiento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espacio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cívico</w:t>
      </w:r>
      <w:proofErr w:type="spellEnd"/>
      <w:r>
        <w:rPr>
          <w:sz w:val="22"/>
          <w:szCs w:val="22"/>
        </w:rPr>
        <w:t xml:space="preserve">) y </w:t>
      </w:r>
      <w:proofErr w:type="spellStart"/>
      <w:r>
        <w:rPr>
          <w:sz w:val="22"/>
          <w:szCs w:val="22"/>
        </w:rPr>
        <w:t>amplía</w:t>
      </w:r>
      <w:proofErr w:type="spellEnd"/>
      <w:r>
        <w:rPr>
          <w:sz w:val="22"/>
          <w:szCs w:val="22"/>
        </w:rPr>
        <w:t xml:space="preserve"> su </w:t>
      </w:r>
      <w:proofErr w:type="spellStart"/>
      <w:r>
        <w:rPr>
          <w:sz w:val="22"/>
          <w:szCs w:val="22"/>
        </w:rPr>
        <w:t>capacidad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resiliencia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proteger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Unión</w:t>
      </w:r>
      <w:proofErr w:type="spellEnd"/>
      <w:r>
        <w:rPr>
          <w:sz w:val="22"/>
          <w:szCs w:val="22"/>
        </w:rPr>
        <w:t xml:space="preserve">. Se </w:t>
      </w:r>
      <w:proofErr w:type="gramStart"/>
      <w:r>
        <w:rPr>
          <w:sz w:val="22"/>
          <w:szCs w:val="22"/>
        </w:rPr>
        <w:t>ha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establecido</w:t>
      </w:r>
      <w:proofErr w:type="spellEnd"/>
      <w:r>
        <w:rPr>
          <w:sz w:val="22"/>
          <w:szCs w:val="22"/>
        </w:rPr>
        <w:t xml:space="preserve"> una </w:t>
      </w:r>
      <w:proofErr w:type="spellStart"/>
      <w:r>
        <w:rPr>
          <w:sz w:val="22"/>
          <w:szCs w:val="22"/>
        </w:rPr>
        <w:t>red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Puntos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Nacionales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miembros</w:t>
      </w:r>
      <w:proofErr w:type="spellEnd"/>
      <w:r>
        <w:rPr>
          <w:sz w:val="22"/>
          <w:szCs w:val="22"/>
        </w:rPr>
        <w:t xml:space="preserve"> para contribuir a </w:t>
      </w:r>
      <w:proofErr w:type="spellStart"/>
      <w:r>
        <w:rPr>
          <w:sz w:val="22"/>
          <w:szCs w:val="22"/>
        </w:rPr>
        <w:t>implantar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. Los </w:t>
      </w:r>
      <w:proofErr w:type="spellStart"/>
      <w:r>
        <w:rPr>
          <w:sz w:val="22"/>
          <w:szCs w:val="22"/>
        </w:rPr>
        <w:t>Puntos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Nacionales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designados</w:t>
      </w:r>
      <w:proofErr w:type="spellEnd"/>
      <w:r>
        <w:rPr>
          <w:sz w:val="22"/>
          <w:szCs w:val="22"/>
        </w:rPr>
        <w:t xml:space="preserve"> por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gobiernos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nacionales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ayudan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proporcionando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este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 xml:space="preserve">la </w:t>
      </w:r>
      <w:proofErr w:type="gramEnd"/>
      <w:r>
        <w:rPr>
          <w:sz w:val="22"/>
          <w:szCs w:val="22"/>
        </w:rPr>
        <w:t xml:space="preserve">UE y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posibilidades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ofrece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financiar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propuestas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proyectos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También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apoyan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interesadas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solicitud</w:t>
      </w:r>
      <w:proofErr w:type="spellEnd"/>
      <w:r>
        <w:rPr>
          <w:sz w:val="22"/>
          <w:szCs w:val="22"/>
        </w:rPr>
        <w:t xml:space="preserve"> y con la </w:t>
      </w:r>
      <w:proofErr w:type="spellStart"/>
      <w:r>
        <w:rPr>
          <w:sz w:val="22"/>
          <w:szCs w:val="22"/>
        </w:rPr>
        <w:t>búsqueda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posibles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socios</w:t>
      </w:r>
      <w:proofErr w:type="spellEnd"/>
      <w:r>
        <w:rPr>
          <w:sz w:val="22"/>
          <w:szCs w:val="22"/>
        </w:rPr>
        <w:t xml:space="preserve"> </w:t>
      </w:r>
      <w:r>
        <w:t xml:space="preserve">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</w:rPr>
        <w:t>España</w:t>
      </w:r>
      <w:proofErr w:type="spellEnd"/>
      <w:r>
        <w:rPr>
          <w:color w:val="000000"/>
          <w:sz w:val="22"/>
          <w:szCs w:val="22"/>
        </w:rPr>
        <w:t xml:space="preserve"> tiene 2,06 </w:t>
      </w:r>
      <w:proofErr w:type="spellStart"/>
      <w:r>
        <w:rPr>
          <w:color w:val="000000"/>
          <w:sz w:val="22"/>
          <w:szCs w:val="22"/>
        </w:rPr>
        <w:t>solicitudes</w:t>
      </w:r>
      <w:proofErr w:type="spellEnd"/>
      <w:r>
        <w:rPr>
          <w:color w:val="000000"/>
          <w:sz w:val="22"/>
          <w:szCs w:val="22"/>
        </w:rPr>
        <w:t xml:space="preserve"> por 100 000 </w:t>
      </w:r>
      <w:proofErr w:type="spellStart"/>
      <w:r>
        <w:rPr>
          <w:color w:val="000000"/>
          <w:sz w:val="22"/>
          <w:szCs w:val="22"/>
        </w:rPr>
        <w:t>habitantes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gramStart"/>
      <w:r>
        <w:rPr>
          <w:color w:val="000000"/>
          <w:sz w:val="22"/>
          <w:szCs w:val="22"/>
        </w:rPr>
        <w:t>lo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que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sitúa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país</w:t>
      </w:r>
      <w:proofErr w:type="spellEnd"/>
      <w:r>
        <w:rPr>
          <w:color w:val="000000"/>
          <w:sz w:val="22"/>
          <w:szCs w:val="22"/>
        </w:rPr>
        <w:t xml:space="preserve"> en la 18.ª </w:t>
      </w:r>
      <w:proofErr w:type="spellStart"/>
      <w:r>
        <w:rPr>
          <w:color w:val="000000"/>
          <w:sz w:val="22"/>
          <w:szCs w:val="22"/>
        </w:rPr>
        <w:t>posición</w:t>
      </w:r>
      <w:proofErr w:type="spellEnd"/>
      <w:r>
        <w:rPr>
          <w:color w:val="000000"/>
          <w:sz w:val="22"/>
          <w:szCs w:val="22"/>
        </w:rPr>
        <w:t xml:space="preserve"> en la UE en </w:t>
      </w:r>
      <w:proofErr w:type="spellStart"/>
      <w:r>
        <w:rPr>
          <w:color w:val="000000"/>
          <w:sz w:val="22"/>
          <w:szCs w:val="22"/>
        </w:rPr>
        <w:t>cuanto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número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solicitudes</w:t>
      </w:r>
      <w:proofErr w:type="spellEnd"/>
      <w:r>
        <w:rPr>
          <w:color w:val="000000"/>
          <w:sz w:val="22"/>
          <w:szCs w:val="22"/>
        </w:rPr>
        <w:t xml:space="preserve"> por </w:t>
      </w:r>
      <w:proofErr w:type="spellStart"/>
      <w:r>
        <w:rPr>
          <w:color w:val="000000"/>
          <w:sz w:val="22"/>
          <w:szCs w:val="22"/>
        </w:rPr>
        <w:t>habitante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Nuestro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objetivo</w:t>
      </w:r>
      <w:proofErr w:type="spellEnd"/>
      <w:r>
        <w:rPr>
          <w:color w:val="000000"/>
          <w:sz w:val="22"/>
          <w:szCs w:val="22"/>
        </w:rPr>
        <w:t xml:space="preserve"> es </w:t>
      </w:r>
      <w:proofErr w:type="spellStart"/>
      <w:r>
        <w:rPr>
          <w:color w:val="000000"/>
          <w:sz w:val="22"/>
          <w:szCs w:val="22"/>
        </w:rPr>
        <w:t>mejorar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resultados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C9331E" w:rsidRDefault="00C9331E" w:rsidP="00C9331E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Según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investigaciones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defiende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importan</w:t>
      </w:r>
      <w:proofErr w:type="spellEnd"/>
      <w:r>
        <w:rPr>
          <w:sz w:val="22"/>
          <w:szCs w:val="22"/>
        </w:rPr>
        <w:t xml:space="preserve"> </w:t>
      </w:r>
      <w:r>
        <w:t xml:space="preserve">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personas</w:t>
      </w:r>
      <w:proofErr w:type="spellEnd"/>
      <w:r>
        <w:t xml:space="preserve"> </w:t>
      </w:r>
      <w:proofErr w:type="spellStart"/>
      <w:r>
        <w:t>encuestadas</w:t>
      </w:r>
      <w:proofErr w:type="spellEnd"/>
      <w:r>
        <w:t xml:space="preserve"> en </w:t>
      </w:r>
      <w:proofErr w:type="spellStart"/>
      <w:r>
        <w:t>España</w:t>
      </w:r>
      <w:proofErr w:type="spellEnd"/>
      <w:r>
        <w:rPr>
          <w:sz w:val="22"/>
          <w:szCs w:val="22"/>
        </w:rPr>
        <w:t xml:space="preserve">: de </w:t>
      </w:r>
      <w:proofErr w:type="spellStart"/>
      <w:r>
        <w:rPr>
          <w:sz w:val="22"/>
          <w:szCs w:val="22"/>
        </w:rPr>
        <w:t>acuerdo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hyperlink r:id="rId12">
        <w:proofErr w:type="spellStart"/>
        <w:r>
          <w:rPr>
            <w:color w:val="1155CC"/>
            <w:sz w:val="22"/>
            <w:szCs w:val="22"/>
            <w:u w:val="single"/>
          </w:rPr>
          <w:t>Eurobarómetro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flash 528 </w:t>
        </w:r>
        <w:proofErr w:type="spellStart"/>
        <w:r>
          <w:rPr>
            <w:color w:val="1155CC"/>
            <w:sz w:val="22"/>
            <w:szCs w:val="22"/>
            <w:u w:val="single"/>
          </w:rPr>
          <w:t>sobre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ciudadanía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y </w:t>
        </w:r>
        <w:proofErr w:type="spellStart"/>
        <w:r>
          <w:rPr>
            <w:color w:val="1155CC"/>
            <w:sz w:val="22"/>
            <w:szCs w:val="22"/>
            <w:u w:val="single"/>
          </w:rPr>
          <w:t>democracia</w:t>
        </w:r>
        <w:proofErr w:type="spellEnd"/>
      </w:hyperlink>
      <w:r>
        <w:rPr>
          <w:sz w:val="22"/>
          <w:szCs w:val="22"/>
        </w:rPr>
        <w:t xml:space="preserve">, en </w:t>
      </w:r>
      <w:proofErr w:type="spellStart"/>
      <w:r>
        <w:rPr>
          <w:sz w:val="22"/>
          <w:szCs w:val="22"/>
        </w:rPr>
        <w:t>diciembre</w:t>
      </w:r>
      <w:proofErr w:type="spellEnd"/>
      <w:r>
        <w:rPr>
          <w:sz w:val="22"/>
          <w:szCs w:val="22"/>
        </w:rPr>
        <w:t xml:space="preserve"> de 2023,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86 %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personas</w:t>
      </w:r>
      <w:proofErr w:type="spellEnd"/>
      <w:r>
        <w:t xml:space="preserve"> </w:t>
      </w:r>
      <w:proofErr w:type="spellStart"/>
      <w:r>
        <w:t>encuestadas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reconocía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importancia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sociedad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 para la </w:t>
      </w:r>
      <w:proofErr w:type="spellStart"/>
      <w:r>
        <w:rPr>
          <w:sz w:val="22"/>
          <w:szCs w:val="22"/>
        </w:rPr>
        <w:t>democracia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comunes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hyperlink r:id="rId13">
        <w:proofErr w:type="spellStart"/>
        <w:r>
          <w:rPr>
            <w:color w:val="1155CC"/>
            <w:sz w:val="22"/>
            <w:szCs w:val="22"/>
            <w:u w:val="single"/>
          </w:rPr>
          <w:t>Eurobarómetro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estándar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101 de la primavera de 2024</w:t>
        </w:r>
      </w:hyperlink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</w:rPr>
        <w:t>revela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48 %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satisfecho</w:t>
      </w:r>
      <w:proofErr w:type="spellEnd"/>
      <w:r>
        <w:rPr>
          <w:sz w:val="22"/>
          <w:szCs w:val="22"/>
        </w:rPr>
        <w:t xml:space="preserve"> con la </w:t>
      </w:r>
      <w:proofErr w:type="spellStart"/>
      <w:r>
        <w:rPr>
          <w:sz w:val="22"/>
          <w:szCs w:val="22"/>
        </w:rPr>
        <w:t>democracia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España</w:t>
      </w:r>
      <w:proofErr w:type="spellEnd"/>
      <w:r>
        <w:rPr>
          <w:sz w:val="22"/>
          <w:szCs w:val="22"/>
        </w:rPr>
        <w:t xml:space="preserve">, y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92 % coincide con la </w:t>
      </w:r>
      <w:proofErr w:type="spellStart"/>
      <w:r>
        <w:rPr>
          <w:sz w:val="22"/>
          <w:szCs w:val="22"/>
        </w:rPr>
        <w:t>importancia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centrales</w:t>
      </w:r>
      <w:proofErr w:type="spellEnd"/>
      <w:r>
        <w:rPr>
          <w:sz w:val="22"/>
          <w:szCs w:val="22"/>
        </w:rPr>
        <w:t xml:space="preserve"> de la UE.</w:t>
      </w:r>
    </w:p>
    <w:p w:rsidR="00C9331E" w:rsidRDefault="00C9331E" w:rsidP="00C9331E">
      <w:pPr>
        <w:spacing w:after="200" w:line="276" w:lineRule="auto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lastRenderedPageBreak/>
        <w:t xml:space="preserve">Del </w:t>
      </w:r>
      <w:hyperlink r:id="rId14">
        <w:r>
          <w:rPr>
            <w:color w:val="000000"/>
            <w:sz w:val="22"/>
            <w:szCs w:val="22"/>
            <w:highlight w:val="white"/>
            <w:u w:val="single"/>
          </w:rPr>
          <w:t xml:space="preserve">Informe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anual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de 2023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sobre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la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aplicación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de la Carta de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los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Derechos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Fundamentales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de la UE</w:t>
        </w:r>
      </w:hyperlink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que</w:t>
      </w:r>
      <w:proofErr w:type="spellEnd"/>
      <w:r>
        <w:rPr>
          <w:sz w:val="22"/>
          <w:szCs w:val="22"/>
          <w:highlight w:val="white"/>
        </w:rPr>
        <w:t xml:space="preserve"> se centra en la </w:t>
      </w:r>
      <w:proofErr w:type="spellStart"/>
      <w:r>
        <w:rPr>
          <w:sz w:val="22"/>
          <w:szCs w:val="22"/>
          <w:highlight w:val="white"/>
        </w:rPr>
        <w:t>protección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legal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eficaz</w:t>
      </w:r>
      <w:proofErr w:type="spellEnd"/>
      <w:r>
        <w:rPr>
          <w:sz w:val="22"/>
          <w:szCs w:val="22"/>
          <w:highlight w:val="white"/>
        </w:rPr>
        <w:t xml:space="preserve"> y en </w:t>
      </w:r>
      <w:proofErr w:type="spellStart"/>
      <w:r>
        <w:rPr>
          <w:sz w:val="22"/>
          <w:szCs w:val="22"/>
          <w:highlight w:val="white"/>
        </w:rPr>
        <w:t>el</w:t>
      </w:r>
      <w:proofErr w:type="spellEnd"/>
      <w:r>
        <w:rPr>
          <w:sz w:val="22"/>
          <w:szCs w:val="22"/>
          <w:highlight w:val="white"/>
        </w:rPr>
        <w:t xml:space="preserve"> acceso a la </w:t>
      </w:r>
      <w:proofErr w:type="spellStart"/>
      <w:r>
        <w:rPr>
          <w:sz w:val="22"/>
          <w:szCs w:val="22"/>
          <w:highlight w:val="white"/>
        </w:rPr>
        <w:t>justicia</w:t>
      </w:r>
      <w:proofErr w:type="spellEnd"/>
      <w:r>
        <w:rPr>
          <w:sz w:val="22"/>
          <w:szCs w:val="22"/>
          <w:highlight w:val="white"/>
        </w:rPr>
        <w:t xml:space="preserve">, se </w:t>
      </w:r>
      <w:proofErr w:type="spellStart"/>
      <w:r>
        <w:rPr>
          <w:sz w:val="22"/>
          <w:szCs w:val="22"/>
          <w:highlight w:val="white"/>
        </w:rPr>
        <w:t>desprenden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muchas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cuestiones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interesantes</w:t>
      </w:r>
      <w:proofErr w:type="spellEnd"/>
      <w:r>
        <w:rPr>
          <w:sz w:val="22"/>
          <w:szCs w:val="22"/>
          <w:highlight w:val="white"/>
        </w:rPr>
        <w:t xml:space="preserve"> con </w:t>
      </w:r>
      <w:proofErr w:type="spellStart"/>
      <w:r>
        <w:rPr>
          <w:sz w:val="22"/>
          <w:szCs w:val="22"/>
          <w:highlight w:val="white"/>
        </w:rPr>
        <w:t>respecto</w:t>
      </w:r>
      <w:proofErr w:type="spellEnd"/>
      <w:r>
        <w:rPr>
          <w:sz w:val="22"/>
          <w:szCs w:val="22"/>
          <w:highlight w:val="white"/>
        </w:rPr>
        <w:t xml:space="preserve"> a </w:t>
      </w:r>
      <w:proofErr w:type="spellStart"/>
      <w:r>
        <w:rPr>
          <w:sz w:val="22"/>
          <w:szCs w:val="22"/>
          <w:highlight w:val="white"/>
        </w:rPr>
        <w:t>España</w:t>
      </w:r>
      <w:proofErr w:type="spellEnd"/>
      <w:r>
        <w:rPr>
          <w:sz w:val="22"/>
          <w:szCs w:val="22"/>
          <w:highlight w:val="white"/>
        </w:rPr>
        <w:t xml:space="preserve">. En este </w:t>
      </w:r>
      <w:proofErr w:type="spellStart"/>
      <w:r>
        <w:rPr>
          <w:sz w:val="22"/>
          <w:szCs w:val="22"/>
          <w:highlight w:val="white"/>
        </w:rPr>
        <w:t>país</w:t>
      </w:r>
      <w:proofErr w:type="spellEnd"/>
      <w:r>
        <w:rPr>
          <w:sz w:val="22"/>
          <w:szCs w:val="22"/>
          <w:highlight w:val="white"/>
        </w:rPr>
        <w:t xml:space="preserve"> se </w:t>
      </w:r>
      <w:proofErr w:type="gramStart"/>
      <w:r>
        <w:rPr>
          <w:sz w:val="22"/>
          <w:szCs w:val="22"/>
          <w:highlight w:val="white"/>
        </w:rPr>
        <w:t>han</w:t>
      </w:r>
      <w:proofErr w:type="gram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adoptado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varias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medidas</w:t>
      </w:r>
      <w:proofErr w:type="spellEnd"/>
      <w:r>
        <w:rPr>
          <w:sz w:val="22"/>
          <w:szCs w:val="22"/>
          <w:highlight w:val="white"/>
        </w:rPr>
        <w:t xml:space="preserve"> para </w:t>
      </w:r>
      <w:proofErr w:type="spellStart"/>
      <w:r>
        <w:rPr>
          <w:sz w:val="22"/>
          <w:szCs w:val="22"/>
          <w:highlight w:val="white"/>
        </w:rPr>
        <w:t>proteger</w:t>
      </w:r>
      <w:proofErr w:type="spellEnd"/>
      <w:r>
        <w:rPr>
          <w:sz w:val="22"/>
          <w:szCs w:val="22"/>
          <w:highlight w:val="white"/>
        </w:rPr>
        <w:t xml:space="preserve"> a </w:t>
      </w:r>
      <w:proofErr w:type="spellStart"/>
      <w:r>
        <w:rPr>
          <w:sz w:val="22"/>
          <w:szCs w:val="22"/>
          <w:highlight w:val="white"/>
        </w:rPr>
        <w:t>las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víctimas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delitos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España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proporciona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ayuda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específica</w:t>
      </w:r>
      <w:proofErr w:type="spellEnd"/>
      <w:r>
        <w:rPr>
          <w:sz w:val="22"/>
          <w:szCs w:val="22"/>
          <w:highlight w:val="white"/>
        </w:rPr>
        <w:t xml:space="preserve"> a </w:t>
      </w:r>
      <w:proofErr w:type="spellStart"/>
      <w:r>
        <w:rPr>
          <w:sz w:val="22"/>
          <w:szCs w:val="22"/>
          <w:highlight w:val="white"/>
        </w:rPr>
        <w:t>las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víctimas</w:t>
      </w:r>
      <w:proofErr w:type="spellEnd"/>
      <w:r>
        <w:rPr>
          <w:sz w:val="22"/>
          <w:szCs w:val="22"/>
          <w:highlight w:val="white"/>
        </w:rPr>
        <w:t xml:space="preserve"> durante </w:t>
      </w:r>
      <w:proofErr w:type="spellStart"/>
      <w:r>
        <w:rPr>
          <w:sz w:val="22"/>
          <w:szCs w:val="22"/>
          <w:highlight w:val="white"/>
        </w:rPr>
        <w:t>los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procesos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penales</w:t>
      </w:r>
      <w:proofErr w:type="spellEnd"/>
      <w:r>
        <w:rPr>
          <w:sz w:val="22"/>
          <w:szCs w:val="22"/>
          <w:highlight w:val="white"/>
        </w:rPr>
        <w:t xml:space="preserve">. En concreto, </w:t>
      </w:r>
      <w:proofErr w:type="spellStart"/>
      <w:r>
        <w:rPr>
          <w:sz w:val="22"/>
          <w:szCs w:val="22"/>
          <w:highlight w:val="white"/>
        </w:rPr>
        <w:t>España</w:t>
      </w:r>
      <w:proofErr w:type="spellEnd"/>
      <w:r>
        <w:rPr>
          <w:sz w:val="22"/>
          <w:szCs w:val="22"/>
          <w:highlight w:val="white"/>
        </w:rPr>
        <w:t xml:space="preserve"> ha </w:t>
      </w:r>
      <w:proofErr w:type="spellStart"/>
      <w:r>
        <w:rPr>
          <w:sz w:val="22"/>
          <w:szCs w:val="22"/>
          <w:highlight w:val="white"/>
        </w:rPr>
        <w:t>puesto</w:t>
      </w:r>
      <w:proofErr w:type="spellEnd"/>
      <w:r>
        <w:rPr>
          <w:sz w:val="22"/>
          <w:szCs w:val="22"/>
          <w:highlight w:val="white"/>
        </w:rPr>
        <w:t xml:space="preserve"> en </w:t>
      </w:r>
      <w:proofErr w:type="spellStart"/>
      <w:r>
        <w:rPr>
          <w:sz w:val="22"/>
          <w:szCs w:val="22"/>
          <w:highlight w:val="white"/>
        </w:rPr>
        <w:t>práctica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medidas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detección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temprana</w:t>
      </w:r>
      <w:proofErr w:type="spellEnd"/>
      <w:r>
        <w:rPr>
          <w:sz w:val="22"/>
          <w:szCs w:val="22"/>
          <w:highlight w:val="white"/>
        </w:rPr>
        <w:t xml:space="preserve"> para identificar la </w:t>
      </w:r>
      <w:proofErr w:type="spellStart"/>
      <w:r>
        <w:rPr>
          <w:sz w:val="22"/>
          <w:szCs w:val="22"/>
          <w:highlight w:val="white"/>
        </w:rPr>
        <w:t>violencia</w:t>
      </w:r>
      <w:proofErr w:type="spellEnd"/>
      <w:r>
        <w:rPr>
          <w:sz w:val="22"/>
          <w:szCs w:val="22"/>
          <w:highlight w:val="white"/>
        </w:rPr>
        <w:t xml:space="preserve"> contra </w:t>
      </w:r>
      <w:proofErr w:type="gramStart"/>
      <w:r>
        <w:rPr>
          <w:sz w:val="22"/>
          <w:szCs w:val="22"/>
          <w:highlight w:val="white"/>
        </w:rPr>
        <w:t xml:space="preserve">la </w:t>
      </w:r>
      <w:proofErr w:type="spellStart"/>
      <w:proofErr w:type="gramEnd"/>
      <w:r>
        <w:rPr>
          <w:sz w:val="22"/>
          <w:szCs w:val="22"/>
          <w:highlight w:val="white"/>
        </w:rPr>
        <w:t>infancia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incluido</w:t>
      </w:r>
      <w:proofErr w:type="spellEnd"/>
      <w:r>
        <w:rPr>
          <w:sz w:val="22"/>
          <w:szCs w:val="22"/>
          <w:highlight w:val="white"/>
        </w:rPr>
        <w:t xml:space="preserve"> un </w:t>
      </w:r>
      <w:proofErr w:type="spellStart"/>
      <w:r>
        <w:rPr>
          <w:sz w:val="22"/>
          <w:szCs w:val="22"/>
          <w:highlight w:val="white"/>
        </w:rPr>
        <w:t>refuerzo</w:t>
      </w:r>
      <w:proofErr w:type="spellEnd"/>
      <w:r>
        <w:rPr>
          <w:sz w:val="22"/>
          <w:szCs w:val="22"/>
          <w:highlight w:val="white"/>
        </w:rPr>
        <w:t xml:space="preserve"> de la </w:t>
      </w:r>
      <w:proofErr w:type="spellStart"/>
      <w:r>
        <w:rPr>
          <w:sz w:val="22"/>
          <w:szCs w:val="22"/>
          <w:highlight w:val="white"/>
        </w:rPr>
        <w:t>obligación</w:t>
      </w:r>
      <w:proofErr w:type="spellEnd"/>
      <w:r>
        <w:rPr>
          <w:sz w:val="22"/>
          <w:szCs w:val="22"/>
          <w:highlight w:val="white"/>
        </w:rPr>
        <w:t xml:space="preserve"> de informar </w:t>
      </w:r>
      <w:proofErr w:type="spellStart"/>
      <w:r>
        <w:rPr>
          <w:sz w:val="22"/>
          <w:szCs w:val="22"/>
          <w:highlight w:val="white"/>
        </w:rPr>
        <w:t>acerca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sospechas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abusos</w:t>
      </w:r>
      <w:proofErr w:type="spellEnd"/>
      <w:r>
        <w:rPr>
          <w:sz w:val="22"/>
          <w:szCs w:val="22"/>
          <w:highlight w:val="white"/>
        </w:rPr>
        <w:t xml:space="preserve"> para </w:t>
      </w:r>
      <w:proofErr w:type="spellStart"/>
      <w:r>
        <w:rPr>
          <w:sz w:val="22"/>
          <w:szCs w:val="22"/>
          <w:highlight w:val="white"/>
        </w:rPr>
        <w:t>quienes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están</w:t>
      </w:r>
      <w:proofErr w:type="spellEnd"/>
      <w:r>
        <w:rPr>
          <w:sz w:val="22"/>
          <w:szCs w:val="22"/>
          <w:highlight w:val="white"/>
        </w:rPr>
        <w:t xml:space="preserve"> en </w:t>
      </w:r>
      <w:proofErr w:type="spellStart"/>
      <w:r>
        <w:rPr>
          <w:sz w:val="22"/>
          <w:szCs w:val="22"/>
          <w:highlight w:val="white"/>
        </w:rPr>
        <w:t>contacto</w:t>
      </w:r>
      <w:proofErr w:type="spellEnd"/>
      <w:r>
        <w:rPr>
          <w:sz w:val="22"/>
          <w:szCs w:val="22"/>
          <w:highlight w:val="white"/>
        </w:rPr>
        <w:t xml:space="preserve"> con </w:t>
      </w:r>
      <w:proofErr w:type="spellStart"/>
      <w:r>
        <w:rPr>
          <w:highlight w:val="white"/>
        </w:rPr>
        <w:t>menores</w:t>
      </w:r>
      <w:proofErr w:type="spellEnd"/>
      <w:r>
        <w:rPr>
          <w:sz w:val="22"/>
          <w:szCs w:val="22"/>
          <w:highlight w:val="white"/>
        </w:rPr>
        <w:t xml:space="preserve">. Se </w:t>
      </w:r>
      <w:proofErr w:type="gramStart"/>
      <w:r>
        <w:rPr>
          <w:sz w:val="22"/>
          <w:szCs w:val="22"/>
          <w:highlight w:val="white"/>
        </w:rPr>
        <w:t>ha</w:t>
      </w:r>
      <w:proofErr w:type="gram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hecho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obligatorio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el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puesto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t>coordinador</w:t>
      </w:r>
      <w:proofErr w:type="spellEnd"/>
      <w:r>
        <w:t xml:space="preserve"> o </w:t>
      </w:r>
      <w:proofErr w:type="spellStart"/>
      <w:r>
        <w:t>coordinadora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bienestar</w:t>
      </w:r>
      <w:proofErr w:type="spellEnd"/>
      <w:r>
        <w:rPr>
          <w:sz w:val="22"/>
          <w:szCs w:val="22"/>
          <w:highlight w:val="white"/>
        </w:rPr>
        <w:t xml:space="preserve"> y </w:t>
      </w:r>
      <w:proofErr w:type="spellStart"/>
      <w:r>
        <w:rPr>
          <w:sz w:val="22"/>
          <w:szCs w:val="22"/>
          <w:highlight w:val="white"/>
        </w:rPr>
        <w:t>protección</w:t>
      </w:r>
      <w:proofErr w:type="spellEnd"/>
      <w:r>
        <w:rPr>
          <w:sz w:val="22"/>
          <w:szCs w:val="22"/>
          <w:highlight w:val="white"/>
        </w:rPr>
        <w:t xml:space="preserve"> en </w:t>
      </w:r>
      <w:proofErr w:type="spellStart"/>
      <w:r>
        <w:rPr>
          <w:sz w:val="22"/>
          <w:szCs w:val="22"/>
          <w:highlight w:val="white"/>
        </w:rPr>
        <w:t>los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colegios</w:t>
      </w:r>
      <w:proofErr w:type="spellEnd"/>
      <w:r>
        <w:rPr>
          <w:sz w:val="22"/>
          <w:szCs w:val="22"/>
          <w:highlight w:val="white"/>
        </w:rPr>
        <w:t xml:space="preserve"> para </w:t>
      </w:r>
      <w:proofErr w:type="spellStart"/>
      <w:r>
        <w:rPr>
          <w:sz w:val="22"/>
          <w:szCs w:val="22"/>
          <w:highlight w:val="white"/>
        </w:rPr>
        <w:t>garantizar</w:t>
      </w:r>
      <w:proofErr w:type="spellEnd"/>
      <w:r>
        <w:rPr>
          <w:sz w:val="22"/>
          <w:szCs w:val="22"/>
          <w:highlight w:val="white"/>
        </w:rPr>
        <w:t xml:space="preserve"> la </w:t>
      </w:r>
      <w:proofErr w:type="spellStart"/>
      <w:r>
        <w:rPr>
          <w:sz w:val="22"/>
          <w:szCs w:val="22"/>
          <w:highlight w:val="white"/>
        </w:rPr>
        <w:t>protección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los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menores</w:t>
      </w:r>
      <w:proofErr w:type="spellEnd"/>
      <w:r>
        <w:rPr>
          <w:sz w:val="22"/>
          <w:szCs w:val="22"/>
          <w:highlight w:val="white"/>
        </w:rPr>
        <w:t xml:space="preserve">. Con </w:t>
      </w:r>
      <w:proofErr w:type="spellStart"/>
      <w:r>
        <w:rPr>
          <w:sz w:val="22"/>
          <w:szCs w:val="22"/>
          <w:highlight w:val="white"/>
        </w:rPr>
        <w:t>el</w:t>
      </w:r>
      <w:proofErr w:type="spellEnd"/>
      <w:r>
        <w:rPr>
          <w:sz w:val="22"/>
          <w:szCs w:val="22"/>
          <w:highlight w:val="white"/>
        </w:rPr>
        <w:t xml:space="preserve"> fin de </w:t>
      </w:r>
      <w:proofErr w:type="spellStart"/>
      <w:r>
        <w:rPr>
          <w:sz w:val="22"/>
          <w:szCs w:val="22"/>
          <w:highlight w:val="white"/>
        </w:rPr>
        <w:t>garantizar</w:t>
      </w:r>
      <w:proofErr w:type="spellEnd"/>
      <w:r>
        <w:rPr>
          <w:sz w:val="22"/>
          <w:szCs w:val="22"/>
          <w:highlight w:val="white"/>
        </w:rPr>
        <w:t xml:space="preserve"> la </w:t>
      </w:r>
      <w:proofErr w:type="spellStart"/>
      <w:r>
        <w:rPr>
          <w:sz w:val="22"/>
          <w:szCs w:val="22"/>
          <w:highlight w:val="white"/>
        </w:rPr>
        <w:t>protección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jurídica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España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también</w:t>
      </w:r>
      <w:proofErr w:type="spellEnd"/>
      <w:r>
        <w:rPr>
          <w:sz w:val="22"/>
          <w:szCs w:val="22"/>
          <w:highlight w:val="white"/>
        </w:rPr>
        <w:t xml:space="preserve"> ha </w:t>
      </w:r>
      <w:proofErr w:type="spellStart"/>
      <w:r>
        <w:rPr>
          <w:sz w:val="22"/>
          <w:szCs w:val="22"/>
          <w:highlight w:val="white"/>
        </w:rPr>
        <w:t>reforzado</w:t>
      </w:r>
      <w:proofErr w:type="spellEnd"/>
      <w:r>
        <w:rPr>
          <w:sz w:val="22"/>
          <w:szCs w:val="22"/>
          <w:highlight w:val="white"/>
        </w:rPr>
        <w:t xml:space="preserve"> la </w:t>
      </w:r>
      <w:proofErr w:type="spellStart"/>
      <w:r>
        <w:rPr>
          <w:sz w:val="22"/>
          <w:szCs w:val="22"/>
          <w:highlight w:val="white"/>
        </w:rPr>
        <w:t>capacidad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t>los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menores</w:t>
      </w:r>
      <w:proofErr w:type="spellEnd"/>
      <w:r>
        <w:rPr>
          <w:sz w:val="22"/>
          <w:szCs w:val="22"/>
          <w:highlight w:val="white"/>
        </w:rPr>
        <w:t xml:space="preserve"> para denunciar </w:t>
      </w:r>
      <w:proofErr w:type="spellStart"/>
      <w:r>
        <w:rPr>
          <w:sz w:val="22"/>
          <w:szCs w:val="22"/>
          <w:highlight w:val="white"/>
        </w:rPr>
        <w:t>delitos</w:t>
      </w:r>
      <w:proofErr w:type="spellEnd"/>
      <w:r>
        <w:rPr>
          <w:sz w:val="22"/>
          <w:szCs w:val="22"/>
          <w:highlight w:val="white"/>
        </w:rPr>
        <w:t xml:space="preserve"> y para </w:t>
      </w:r>
      <w:proofErr w:type="spellStart"/>
      <w:r>
        <w:rPr>
          <w:sz w:val="22"/>
          <w:szCs w:val="22"/>
          <w:highlight w:val="white"/>
        </w:rPr>
        <w:t>participar</w:t>
      </w:r>
      <w:proofErr w:type="spellEnd"/>
      <w:r>
        <w:rPr>
          <w:sz w:val="22"/>
          <w:szCs w:val="22"/>
          <w:highlight w:val="white"/>
        </w:rPr>
        <w:t xml:space="preserve"> en </w:t>
      </w:r>
      <w:proofErr w:type="spellStart"/>
      <w:r>
        <w:rPr>
          <w:sz w:val="22"/>
          <w:szCs w:val="22"/>
          <w:highlight w:val="white"/>
        </w:rPr>
        <w:t>los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procesos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legales</w:t>
      </w:r>
      <w:proofErr w:type="spellEnd"/>
      <w:r>
        <w:rPr>
          <w:sz w:val="22"/>
          <w:szCs w:val="22"/>
          <w:highlight w:val="white"/>
        </w:rPr>
        <w:t xml:space="preserve"> con </w:t>
      </w:r>
      <w:proofErr w:type="spellStart"/>
      <w:r>
        <w:rPr>
          <w:sz w:val="22"/>
          <w:szCs w:val="22"/>
          <w:highlight w:val="white"/>
        </w:rPr>
        <w:t>ayuda</w:t>
      </w:r>
      <w:proofErr w:type="spellEnd"/>
      <w:r>
        <w:rPr>
          <w:sz w:val="22"/>
          <w:szCs w:val="22"/>
          <w:highlight w:val="white"/>
        </w:rPr>
        <w:t xml:space="preserve"> de un </w:t>
      </w:r>
      <w:proofErr w:type="spellStart"/>
      <w:r>
        <w:rPr>
          <w:sz w:val="22"/>
          <w:szCs w:val="22"/>
          <w:highlight w:val="white"/>
        </w:rPr>
        <w:t>representante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nombrado</w:t>
      </w:r>
      <w:proofErr w:type="spellEnd"/>
      <w:r>
        <w:rPr>
          <w:sz w:val="22"/>
          <w:szCs w:val="22"/>
          <w:highlight w:val="white"/>
        </w:rPr>
        <w:t xml:space="preserve"> por un </w:t>
      </w:r>
      <w:proofErr w:type="spellStart"/>
      <w:r>
        <w:rPr>
          <w:sz w:val="22"/>
          <w:szCs w:val="22"/>
          <w:highlight w:val="white"/>
        </w:rPr>
        <w:t>tribunal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gramStart"/>
      <w:r>
        <w:rPr>
          <w:sz w:val="22"/>
          <w:szCs w:val="22"/>
          <w:highlight w:val="white"/>
        </w:rPr>
        <w:t xml:space="preserve">Esto es </w:t>
      </w:r>
      <w:proofErr w:type="spellStart"/>
      <w:r>
        <w:rPr>
          <w:sz w:val="22"/>
          <w:szCs w:val="22"/>
          <w:highlight w:val="white"/>
        </w:rPr>
        <w:t>especialmente</w:t>
      </w:r>
      <w:proofErr w:type="spellEnd"/>
      <w:r>
        <w:rPr>
          <w:sz w:val="22"/>
          <w:szCs w:val="22"/>
          <w:highlight w:val="white"/>
        </w:rPr>
        <w:t xml:space="preserve"> importante </w:t>
      </w:r>
      <w:proofErr w:type="spellStart"/>
      <w:r>
        <w:rPr>
          <w:sz w:val="22"/>
          <w:szCs w:val="22"/>
          <w:highlight w:val="white"/>
        </w:rPr>
        <w:t>cuando</w:t>
      </w:r>
      <w:proofErr w:type="spellEnd"/>
      <w:r>
        <w:rPr>
          <w:sz w:val="22"/>
          <w:szCs w:val="22"/>
          <w:highlight w:val="white"/>
        </w:rPr>
        <w:t xml:space="preserve"> </w:t>
      </w:r>
      <w:r>
        <w:rPr>
          <w:highlight w:val="white"/>
        </w:rPr>
        <w:t xml:space="preserve">la persona </w:t>
      </w:r>
      <w:proofErr w:type="spellStart"/>
      <w:r>
        <w:rPr>
          <w:highlight w:val="white"/>
        </w:rPr>
        <w:t>sospechosa</w:t>
      </w:r>
      <w:proofErr w:type="spellEnd"/>
      <w:r>
        <w:rPr>
          <w:highlight w:val="white"/>
        </w:rPr>
        <w:t xml:space="preserve"> o </w:t>
      </w:r>
      <w:proofErr w:type="spellStart"/>
      <w:r>
        <w:rPr>
          <w:highlight w:val="white"/>
        </w:rPr>
        <w:t>acusada</w:t>
      </w:r>
      <w:proofErr w:type="spellEnd"/>
      <w:r>
        <w:rPr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es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progenitores</w:t>
      </w:r>
      <w:proofErr w:type="spellEnd"/>
      <w:r>
        <w:t xml:space="preserve"> o </w:t>
      </w:r>
      <w:proofErr w:type="spellStart"/>
      <w:r>
        <w:t>tutores</w:t>
      </w:r>
      <w:proofErr w:type="spellEnd"/>
      <w:proofErr w:type="gram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España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también</w:t>
      </w:r>
      <w:proofErr w:type="spellEnd"/>
      <w:r>
        <w:rPr>
          <w:sz w:val="22"/>
          <w:szCs w:val="22"/>
          <w:highlight w:val="white"/>
        </w:rPr>
        <w:t xml:space="preserve"> ha </w:t>
      </w:r>
      <w:proofErr w:type="spellStart"/>
      <w:r>
        <w:rPr>
          <w:sz w:val="22"/>
          <w:szCs w:val="22"/>
          <w:highlight w:val="white"/>
        </w:rPr>
        <w:t>mejorado</w:t>
      </w:r>
      <w:proofErr w:type="spellEnd"/>
      <w:r>
        <w:rPr>
          <w:sz w:val="22"/>
          <w:szCs w:val="22"/>
          <w:highlight w:val="white"/>
        </w:rPr>
        <w:t xml:space="preserve"> su sistema </w:t>
      </w:r>
      <w:proofErr w:type="spellStart"/>
      <w:r>
        <w:rPr>
          <w:sz w:val="22"/>
          <w:szCs w:val="22"/>
          <w:highlight w:val="white"/>
        </w:rPr>
        <w:t>judicial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garantizando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que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procesos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penales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que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implican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violencia</w:t>
      </w:r>
      <w:proofErr w:type="spellEnd"/>
      <w:r>
        <w:rPr>
          <w:sz w:val="22"/>
          <w:szCs w:val="22"/>
          <w:highlight w:val="white"/>
        </w:rPr>
        <w:t xml:space="preserve"> contra </w:t>
      </w:r>
      <w:proofErr w:type="gramStart"/>
      <w:r>
        <w:t xml:space="preserve">la </w:t>
      </w:r>
      <w:proofErr w:type="spellStart"/>
      <w:proofErr w:type="gramEnd"/>
      <w:r>
        <w:t>infancia</w:t>
      </w:r>
      <w:proofErr w:type="spellEnd"/>
      <w:r>
        <w:t xml:space="preserve"> o </w:t>
      </w:r>
      <w:proofErr w:type="spellStart"/>
      <w:r>
        <w:t>adolescencia</w:t>
      </w:r>
      <w:proofErr w:type="spellEnd"/>
      <w:r>
        <w:rPr>
          <w:sz w:val="22"/>
          <w:szCs w:val="22"/>
          <w:highlight w:val="white"/>
        </w:rPr>
        <w:t xml:space="preserve"> se </w:t>
      </w:r>
      <w:proofErr w:type="spellStart"/>
      <w:r>
        <w:rPr>
          <w:sz w:val="22"/>
          <w:szCs w:val="22"/>
          <w:highlight w:val="white"/>
        </w:rPr>
        <w:t>traten</w:t>
      </w:r>
      <w:proofErr w:type="spellEnd"/>
      <w:r>
        <w:rPr>
          <w:sz w:val="22"/>
          <w:szCs w:val="22"/>
          <w:highlight w:val="white"/>
        </w:rPr>
        <w:t xml:space="preserve"> con </w:t>
      </w:r>
      <w:proofErr w:type="spellStart"/>
      <w:r>
        <w:rPr>
          <w:sz w:val="22"/>
          <w:szCs w:val="22"/>
          <w:highlight w:val="white"/>
        </w:rPr>
        <w:t>especial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cuidado</w:t>
      </w:r>
      <w:proofErr w:type="spellEnd"/>
      <w:r>
        <w:rPr>
          <w:sz w:val="22"/>
          <w:szCs w:val="22"/>
          <w:highlight w:val="white"/>
        </w:rPr>
        <w:t xml:space="preserve"> y </w:t>
      </w:r>
      <w:proofErr w:type="spellStart"/>
      <w:r>
        <w:rPr>
          <w:sz w:val="22"/>
          <w:szCs w:val="22"/>
          <w:highlight w:val="white"/>
        </w:rPr>
        <w:t>delicadeza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Además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España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está</w:t>
      </w:r>
      <w:proofErr w:type="spellEnd"/>
      <w:r>
        <w:rPr>
          <w:sz w:val="22"/>
          <w:szCs w:val="22"/>
          <w:highlight w:val="white"/>
        </w:rPr>
        <w:t xml:space="preserve"> avanzando en la </w:t>
      </w:r>
      <w:proofErr w:type="spellStart"/>
      <w:r>
        <w:rPr>
          <w:sz w:val="22"/>
          <w:szCs w:val="22"/>
          <w:highlight w:val="white"/>
        </w:rPr>
        <w:t>digitalización</w:t>
      </w:r>
      <w:proofErr w:type="spellEnd"/>
      <w:r>
        <w:rPr>
          <w:sz w:val="22"/>
          <w:szCs w:val="22"/>
          <w:highlight w:val="white"/>
        </w:rPr>
        <w:t xml:space="preserve"> de su sistema </w:t>
      </w:r>
      <w:proofErr w:type="spellStart"/>
      <w:r>
        <w:rPr>
          <w:sz w:val="22"/>
          <w:szCs w:val="22"/>
          <w:highlight w:val="white"/>
        </w:rPr>
        <w:t>judicial</w:t>
      </w:r>
      <w:proofErr w:type="spellEnd"/>
      <w:r>
        <w:rPr>
          <w:sz w:val="22"/>
          <w:szCs w:val="22"/>
          <w:highlight w:val="white"/>
        </w:rPr>
        <w:t xml:space="preserve"> a </w:t>
      </w:r>
      <w:proofErr w:type="spellStart"/>
      <w:r>
        <w:rPr>
          <w:sz w:val="22"/>
          <w:szCs w:val="22"/>
          <w:highlight w:val="white"/>
        </w:rPr>
        <w:t>través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gramStart"/>
      <w:r>
        <w:rPr>
          <w:sz w:val="22"/>
          <w:szCs w:val="22"/>
          <w:highlight w:val="white"/>
        </w:rPr>
        <w:t>del</w:t>
      </w:r>
      <w:proofErr w:type="gramEnd"/>
      <w:r>
        <w:rPr>
          <w:sz w:val="22"/>
          <w:szCs w:val="22"/>
          <w:highlight w:val="white"/>
        </w:rPr>
        <w:t xml:space="preserve"> Plan de </w:t>
      </w:r>
      <w:proofErr w:type="spellStart"/>
      <w:r>
        <w:rPr>
          <w:sz w:val="22"/>
          <w:szCs w:val="22"/>
          <w:highlight w:val="white"/>
        </w:rPr>
        <w:t>Recuperación</w:t>
      </w:r>
      <w:proofErr w:type="spellEnd"/>
      <w:r>
        <w:rPr>
          <w:sz w:val="22"/>
          <w:szCs w:val="22"/>
          <w:highlight w:val="white"/>
        </w:rPr>
        <w:t xml:space="preserve"> y </w:t>
      </w:r>
      <w:proofErr w:type="spellStart"/>
      <w:r>
        <w:rPr>
          <w:sz w:val="22"/>
          <w:szCs w:val="22"/>
          <w:highlight w:val="white"/>
        </w:rPr>
        <w:t>Resiliencia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que</w:t>
      </w:r>
      <w:proofErr w:type="spellEnd"/>
      <w:r>
        <w:rPr>
          <w:sz w:val="22"/>
          <w:szCs w:val="22"/>
          <w:highlight w:val="white"/>
        </w:rPr>
        <w:t xml:space="preserve"> prepara al </w:t>
      </w:r>
      <w:proofErr w:type="spellStart"/>
      <w:r>
        <w:rPr>
          <w:sz w:val="22"/>
          <w:szCs w:val="22"/>
          <w:highlight w:val="white"/>
        </w:rPr>
        <w:t>país</w:t>
      </w:r>
      <w:proofErr w:type="spellEnd"/>
      <w:r>
        <w:rPr>
          <w:sz w:val="22"/>
          <w:szCs w:val="22"/>
          <w:highlight w:val="white"/>
        </w:rPr>
        <w:t xml:space="preserve"> para </w:t>
      </w:r>
      <w:proofErr w:type="spellStart"/>
      <w:r>
        <w:rPr>
          <w:sz w:val="22"/>
          <w:szCs w:val="22"/>
          <w:highlight w:val="white"/>
        </w:rPr>
        <w:t>unirse</w:t>
      </w:r>
      <w:proofErr w:type="spellEnd"/>
      <w:r>
        <w:rPr>
          <w:sz w:val="22"/>
          <w:szCs w:val="22"/>
          <w:highlight w:val="white"/>
        </w:rPr>
        <w:t xml:space="preserve"> al sistema </w:t>
      </w:r>
      <w:proofErr w:type="spellStart"/>
      <w:r>
        <w:rPr>
          <w:sz w:val="22"/>
          <w:szCs w:val="22"/>
          <w:highlight w:val="white"/>
        </w:rPr>
        <w:t>eCodex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El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objetivo</w:t>
      </w:r>
      <w:proofErr w:type="spellEnd"/>
      <w:r>
        <w:rPr>
          <w:sz w:val="22"/>
          <w:szCs w:val="22"/>
          <w:highlight w:val="white"/>
        </w:rPr>
        <w:t xml:space="preserve"> de esta </w:t>
      </w:r>
      <w:proofErr w:type="spellStart"/>
      <w:r>
        <w:rPr>
          <w:sz w:val="22"/>
          <w:szCs w:val="22"/>
          <w:highlight w:val="white"/>
        </w:rPr>
        <w:t>digitalización</w:t>
      </w:r>
      <w:proofErr w:type="spellEnd"/>
      <w:r>
        <w:rPr>
          <w:sz w:val="22"/>
          <w:szCs w:val="22"/>
          <w:highlight w:val="white"/>
        </w:rPr>
        <w:t xml:space="preserve"> es </w:t>
      </w:r>
      <w:proofErr w:type="spellStart"/>
      <w:r>
        <w:rPr>
          <w:sz w:val="22"/>
          <w:szCs w:val="22"/>
          <w:highlight w:val="white"/>
        </w:rPr>
        <w:t>mejorar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gramStart"/>
      <w:r>
        <w:rPr>
          <w:sz w:val="22"/>
          <w:szCs w:val="22"/>
          <w:highlight w:val="white"/>
        </w:rPr>
        <w:t xml:space="preserve">la </w:t>
      </w:r>
      <w:proofErr w:type="spellStart"/>
      <w:proofErr w:type="gramEnd"/>
      <w:r>
        <w:rPr>
          <w:sz w:val="22"/>
          <w:szCs w:val="22"/>
          <w:highlight w:val="white"/>
        </w:rPr>
        <w:t>eficiencia</w:t>
      </w:r>
      <w:proofErr w:type="spellEnd"/>
      <w:r>
        <w:rPr>
          <w:sz w:val="22"/>
          <w:szCs w:val="22"/>
          <w:highlight w:val="white"/>
        </w:rPr>
        <w:t xml:space="preserve"> y </w:t>
      </w:r>
      <w:proofErr w:type="spellStart"/>
      <w:r>
        <w:rPr>
          <w:sz w:val="22"/>
          <w:szCs w:val="22"/>
          <w:highlight w:val="white"/>
        </w:rPr>
        <w:t>accesibilidad</w:t>
      </w:r>
      <w:proofErr w:type="spellEnd"/>
      <w:r>
        <w:rPr>
          <w:sz w:val="22"/>
          <w:szCs w:val="22"/>
          <w:highlight w:val="white"/>
        </w:rPr>
        <w:t xml:space="preserve"> de la </w:t>
      </w:r>
      <w:proofErr w:type="spellStart"/>
      <w:r>
        <w:rPr>
          <w:sz w:val="22"/>
          <w:szCs w:val="22"/>
          <w:highlight w:val="white"/>
        </w:rPr>
        <w:t>justicia</w:t>
      </w:r>
      <w:proofErr w:type="spellEnd"/>
      <w:r>
        <w:rPr>
          <w:sz w:val="22"/>
          <w:szCs w:val="22"/>
          <w:highlight w:val="white"/>
        </w:rPr>
        <w:t xml:space="preserve"> para </w:t>
      </w:r>
      <w:proofErr w:type="spellStart"/>
      <w:r>
        <w:rPr>
          <w:sz w:val="22"/>
          <w:szCs w:val="22"/>
          <w:highlight w:val="white"/>
        </w:rPr>
        <w:t>toda</w:t>
      </w:r>
      <w:proofErr w:type="spellEnd"/>
      <w:r>
        <w:rPr>
          <w:sz w:val="22"/>
          <w:szCs w:val="22"/>
          <w:highlight w:val="white"/>
        </w:rPr>
        <w:t xml:space="preserve"> la </w:t>
      </w:r>
      <w:proofErr w:type="spellStart"/>
      <w:r>
        <w:rPr>
          <w:sz w:val="22"/>
          <w:szCs w:val="22"/>
          <w:highlight w:val="white"/>
        </w:rPr>
        <w:t>ciudadanía</w:t>
      </w:r>
      <w:proofErr w:type="spellEnd"/>
      <w:r>
        <w:rPr>
          <w:sz w:val="22"/>
          <w:szCs w:val="22"/>
          <w:highlight w:val="white"/>
        </w:rPr>
        <w:t>.</w:t>
      </w:r>
    </w:p>
    <w:p w:rsidR="00C9331E" w:rsidRDefault="00C9331E" w:rsidP="00C9331E">
      <w:pPr>
        <w:spacing w:after="200" w:line="276" w:lineRule="auto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t xml:space="preserve">La </w:t>
      </w:r>
      <w:proofErr w:type="spellStart"/>
      <w:r>
        <w:t>ciudadanía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debe</w:t>
      </w:r>
      <w:proofErr w:type="spellEnd"/>
      <w:r>
        <w:rPr>
          <w:sz w:val="22"/>
          <w:szCs w:val="22"/>
        </w:rPr>
        <w:t xml:space="preserve"> ser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consciente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 fomenta </w:t>
      </w:r>
      <w:proofErr w:type="gramStart"/>
      <w:r>
        <w:rPr>
          <w:sz w:val="22"/>
          <w:szCs w:val="22"/>
        </w:rPr>
        <w:t xml:space="preserve">una </w:t>
      </w:r>
      <w:proofErr w:type="spellStart"/>
      <w:proofErr w:type="gramEnd"/>
      <w:r>
        <w:rPr>
          <w:sz w:val="22"/>
          <w:szCs w:val="22"/>
        </w:rPr>
        <w:t>Unión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y busca </w:t>
      </w:r>
      <w:proofErr w:type="spellStart"/>
      <w:r>
        <w:rPr>
          <w:sz w:val="22"/>
          <w:szCs w:val="22"/>
        </w:rPr>
        <w:t>maximizar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impacto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financiación</w:t>
      </w:r>
      <w:proofErr w:type="spellEnd"/>
      <w:r>
        <w:rPr>
          <w:sz w:val="22"/>
          <w:szCs w:val="22"/>
        </w:rPr>
        <w:t xml:space="preserve"> de la UE donde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necesita</w:t>
      </w:r>
      <w:proofErr w:type="spellEnd"/>
      <w:r>
        <w:rPr>
          <w:sz w:val="22"/>
          <w:szCs w:val="22"/>
        </w:rPr>
        <w:t xml:space="preserve">. De </w:t>
      </w:r>
      <w:proofErr w:type="spellStart"/>
      <w:r>
        <w:rPr>
          <w:sz w:val="22"/>
          <w:szCs w:val="22"/>
        </w:rPr>
        <w:t>acuerdo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hyperlink r:id="rId15">
        <w:proofErr w:type="spellStart"/>
        <w:r>
          <w:rPr>
            <w:color w:val="1155CC"/>
            <w:sz w:val="22"/>
            <w:szCs w:val="22"/>
            <w:u w:val="single"/>
          </w:rPr>
          <w:t>Eurobarómetro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estándar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101 de la primavera de 2024</w:t>
        </w:r>
      </w:hyperlink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70 %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personas</w:t>
      </w:r>
      <w:proofErr w:type="spellEnd"/>
      <w:r>
        <w:t xml:space="preserve"> </w:t>
      </w:r>
      <w:proofErr w:type="spellStart"/>
      <w:r>
        <w:t>encuestadas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Unión</w:t>
      </w:r>
      <w:proofErr w:type="spellEnd"/>
      <w:r>
        <w:rPr>
          <w:sz w:val="22"/>
          <w:szCs w:val="22"/>
        </w:rPr>
        <w:t xml:space="preserve"> Europea </w:t>
      </w:r>
      <w:proofErr w:type="spellStart"/>
      <w:r>
        <w:rPr>
          <w:sz w:val="22"/>
          <w:szCs w:val="22"/>
        </w:rPr>
        <w:t>quiere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conocer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mejor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t>ciudadanos</w:t>
      </w:r>
      <w:proofErr w:type="spellEnd"/>
      <w:r>
        <w:t xml:space="preserve"> y </w:t>
      </w:r>
      <w:proofErr w:type="spellStart"/>
      <w:r>
        <w:t>ciudadanas</w:t>
      </w:r>
      <w:proofErr w:type="spellEnd"/>
      <w:r>
        <w:rPr>
          <w:sz w:val="22"/>
          <w:szCs w:val="22"/>
        </w:rPr>
        <w:t xml:space="preserve"> de la UE («</w:t>
      </w:r>
      <w:proofErr w:type="spellStart"/>
      <w:r>
        <w:rPr>
          <w:sz w:val="22"/>
          <w:szCs w:val="22"/>
        </w:rPr>
        <w:t>sí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mucho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según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26 % y «</w:t>
      </w:r>
      <w:proofErr w:type="spellStart"/>
      <w:r>
        <w:rPr>
          <w:sz w:val="22"/>
          <w:szCs w:val="22"/>
        </w:rPr>
        <w:t>sí</w:t>
      </w:r>
      <w:proofErr w:type="spellEnd"/>
      <w:r>
        <w:rPr>
          <w:sz w:val="22"/>
          <w:szCs w:val="22"/>
        </w:rPr>
        <w:t xml:space="preserve">, bastante» para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44 %). </w:t>
      </w:r>
      <w:proofErr w:type="gramStart"/>
      <w:r>
        <w:rPr>
          <w:sz w:val="22"/>
          <w:szCs w:val="22"/>
        </w:rPr>
        <w:t xml:space="preserve">En </w:t>
      </w:r>
      <w:proofErr w:type="spellStart"/>
      <w:r>
        <w:rPr>
          <w:sz w:val="22"/>
          <w:szCs w:val="22"/>
        </w:rPr>
        <w:t>España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porcentaje</w:t>
      </w:r>
      <w:proofErr w:type="spellEnd"/>
      <w:r>
        <w:rPr>
          <w:sz w:val="22"/>
          <w:szCs w:val="22"/>
        </w:rPr>
        <w:t xml:space="preserve"> es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81 %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personas</w:t>
      </w:r>
      <w:proofErr w:type="spellEnd"/>
      <w:r>
        <w:t xml:space="preserve"> </w:t>
      </w:r>
      <w:proofErr w:type="spellStart"/>
      <w:r>
        <w:t>encuestadas</w:t>
      </w:r>
      <w:proofErr w:type="spellEnd"/>
      <w:r>
        <w:rPr>
          <w:sz w:val="22"/>
          <w:szCs w:val="22"/>
        </w:rPr>
        <w:t xml:space="preserve"> («</w:t>
      </w:r>
      <w:proofErr w:type="spellStart"/>
      <w:r>
        <w:rPr>
          <w:sz w:val="22"/>
          <w:szCs w:val="22"/>
        </w:rPr>
        <w:t>sí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mucho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según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39 % y «</w:t>
      </w:r>
      <w:proofErr w:type="spellStart"/>
      <w:r>
        <w:rPr>
          <w:sz w:val="22"/>
          <w:szCs w:val="22"/>
        </w:rPr>
        <w:t>sí</w:t>
      </w:r>
      <w:proofErr w:type="spellEnd"/>
      <w:r>
        <w:rPr>
          <w:sz w:val="22"/>
          <w:szCs w:val="22"/>
        </w:rPr>
        <w:t xml:space="preserve">, bastante» para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42 %)</w:t>
      </w:r>
      <w:proofErr w:type="gramEnd"/>
      <w:r>
        <w:rPr>
          <w:sz w:val="22"/>
          <w:szCs w:val="22"/>
        </w:rPr>
        <w:t xml:space="preserve">. Este es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objetivo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campaña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lanzada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hoy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Las </w:t>
      </w:r>
      <w:proofErr w:type="spellStart"/>
      <w:r>
        <w:rPr>
          <w:sz w:val="22"/>
          <w:szCs w:val="22"/>
        </w:rPr>
        <w:t>historias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beneficiarios</w:t>
      </w:r>
      <w:proofErr w:type="spellEnd"/>
      <w:r>
        <w:t xml:space="preserve"> </w:t>
      </w:r>
      <w:proofErr w:type="spellStart"/>
      <w:r>
        <w:rPr>
          <w:sz w:val="22"/>
          <w:szCs w:val="22"/>
        </w:rPr>
        <w:t>ilustran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impacto</w:t>
      </w:r>
      <w:proofErr w:type="spellEnd"/>
      <w:r>
        <w:rPr>
          <w:sz w:val="22"/>
          <w:szCs w:val="22"/>
        </w:rPr>
        <w:t xml:space="preserve"> concreto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pueden</w:t>
      </w:r>
      <w:proofErr w:type="spellEnd"/>
      <w:r>
        <w:rPr>
          <w:sz w:val="22"/>
          <w:szCs w:val="22"/>
        </w:rPr>
        <w:t xml:space="preserve"> tener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proyectos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financiados</w:t>
      </w:r>
      <w:proofErr w:type="spellEnd"/>
      <w:r>
        <w:rPr>
          <w:sz w:val="22"/>
          <w:szCs w:val="22"/>
        </w:rPr>
        <w:t xml:space="preserve"> por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CERV, por </w:t>
      </w:r>
      <w:proofErr w:type="spellStart"/>
      <w:r>
        <w:rPr>
          <w:sz w:val="22"/>
          <w:szCs w:val="22"/>
        </w:rPr>
        <w:t>ejemplo</w:t>
      </w:r>
      <w:proofErr w:type="spellEnd"/>
      <w:r>
        <w:rPr>
          <w:sz w:val="22"/>
          <w:szCs w:val="22"/>
        </w:rPr>
        <w:t xml:space="preserve">, en </w:t>
      </w:r>
      <w:proofErr w:type="spellStart"/>
      <w:r>
        <w:rPr>
          <w:sz w:val="22"/>
          <w:szCs w:val="22"/>
        </w:rPr>
        <w:t>combatir</w:t>
      </w:r>
      <w:proofErr w:type="spellEnd"/>
      <w:r>
        <w:rPr>
          <w:sz w:val="22"/>
          <w:szCs w:val="22"/>
        </w:rPr>
        <w:t xml:space="preserve"> y prevenir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desigualdades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violencia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género</w:t>
      </w:r>
      <w:proofErr w:type="spellEnd"/>
      <w:r>
        <w:rPr>
          <w:sz w:val="22"/>
          <w:szCs w:val="22"/>
        </w:rPr>
        <w:t xml:space="preserve">, en </w:t>
      </w:r>
      <w:proofErr w:type="spellStart"/>
      <w:r>
        <w:rPr>
          <w:sz w:val="22"/>
          <w:szCs w:val="22"/>
        </w:rPr>
        <w:t>proteger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mujeres</w:t>
      </w:r>
      <w:proofErr w:type="spellEnd"/>
      <w:r>
        <w:rPr>
          <w:sz w:val="22"/>
          <w:szCs w:val="22"/>
        </w:rPr>
        <w:t xml:space="preserve"> y de la </w:t>
      </w:r>
      <w:proofErr w:type="spellStart"/>
      <w:r>
        <w:rPr>
          <w:sz w:val="22"/>
          <w:szCs w:val="22"/>
        </w:rPr>
        <w:t>infancia</w:t>
      </w:r>
      <w:proofErr w:type="spellEnd"/>
      <w:r>
        <w:rPr>
          <w:sz w:val="22"/>
          <w:szCs w:val="22"/>
        </w:rPr>
        <w:t xml:space="preserve">, en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inclusión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personas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t>discapacidad</w:t>
      </w:r>
      <w:proofErr w:type="spellEnd"/>
      <w:r>
        <w:rPr>
          <w:sz w:val="22"/>
          <w:szCs w:val="22"/>
        </w:rPr>
        <w:t xml:space="preserve">  y en </w:t>
      </w:r>
      <w:proofErr w:type="spellStart"/>
      <w:r>
        <w:rPr>
          <w:sz w:val="22"/>
          <w:szCs w:val="22"/>
        </w:rPr>
        <w:t>apoyar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t>inclusión</w:t>
      </w:r>
      <w:proofErr w:type="spellEnd"/>
      <w:r>
        <w:rPr>
          <w:sz w:val="22"/>
          <w:szCs w:val="22"/>
        </w:rPr>
        <w:t xml:space="preserve"> en la </w:t>
      </w:r>
      <w:proofErr w:type="spellStart"/>
      <w:r>
        <w:rPr>
          <w:sz w:val="22"/>
          <w:szCs w:val="22"/>
        </w:rPr>
        <w:t>comunidad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campaña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también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pondrá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relieve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papel</w:t>
      </w:r>
      <w:proofErr w:type="spellEnd"/>
      <w:r>
        <w:rPr>
          <w:sz w:val="22"/>
          <w:szCs w:val="22"/>
        </w:rPr>
        <w:t xml:space="preserve"> decisivo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Nacionales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t>implementación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ciuda</w:t>
      </w:r>
      <w:proofErr w:type="gramEnd"/>
      <w:r>
        <w:rPr>
          <w:sz w:val="22"/>
          <w:szCs w:val="22"/>
        </w:rPr>
        <w:t>danía</w:t>
      </w:r>
      <w:proofErr w:type="spellEnd"/>
      <w:r>
        <w:rPr>
          <w:sz w:val="22"/>
          <w:szCs w:val="22"/>
        </w:rPr>
        <w:t xml:space="preserve">. </w:t>
      </w:r>
    </w:p>
    <w:p w:rsidR="00C9331E" w:rsidRDefault="00C9331E" w:rsidP="00C9331E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En </w:t>
      </w:r>
      <w:proofErr w:type="spellStart"/>
      <w:r>
        <w:rPr>
          <w:rFonts w:cs="Calibri"/>
          <w:color w:val="000000"/>
          <w:sz w:val="22"/>
          <w:szCs w:val="22"/>
        </w:rPr>
        <w:t>el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hyperlink r:id="rId16">
        <w:r>
          <w:rPr>
            <w:rFonts w:cs="Calibri"/>
            <w:color w:val="0000FF"/>
            <w:sz w:val="22"/>
            <w:szCs w:val="22"/>
            <w:u w:val="single"/>
          </w:rPr>
          <w:t xml:space="preserve">EU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Funding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&amp;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Tenders</w:t>
        </w:r>
        <w:proofErr w:type="spellEnd"/>
        <w:r>
          <w:rPr>
            <w:rFonts w:cs="Calibri"/>
            <w:color w:val="0000FF"/>
            <w:sz w:val="22"/>
            <w:szCs w:val="22"/>
            <w:u w:val="single"/>
          </w:rPr>
          <w:t xml:space="preserve"> Portal de la </w:t>
        </w:r>
        <w:proofErr w:type="spellStart"/>
        <w:r>
          <w:rPr>
            <w:rFonts w:cs="Calibri"/>
            <w:color w:val="0000FF"/>
            <w:sz w:val="22"/>
            <w:szCs w:val="22"/>
            <w:u w:val="single"/>
          </w:rPr>
          <w:t>Comisión</w:t>
        </w:r>
        <w:proofErr w:type="spellEnd"/>
      </w:hyperlink>
      <w:r>
        <w:rPr>
          <w:rFonts w:cs="Calibri"/>
          <w:color w:val="000000"/>
          <w:sz w:val="22"/>
          <w:szCs w:val="22"/>
        </w:rPr>
        <w:t xml:space="preserve"> se </w:t>
      </w:r>
      <w:proofErr w:type="spellStart"/>
      <w:r>
        <w:rPr>
          <w:rFonts w:cs="Calibri"/>
          <w:color w:val="000000"/>
          <w:sz w:val="22"/>
          <w:szCs w:val="22"/>
        </w:rPr>
        <w:t>publican</w:t>
      </w:r>
      <w:proofErr w:type="spellEnd"/>
      <w:r>
        <w:rPr>
          <w:rFonts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cs="Calibri"/>
          <w:color w:val="000000"/>
          <w:sz w:val="22"/>
          <w:szCs w:val="22"/>
        </w:rPr>
        <w:t>frecuencia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convocatorias</w:t>
      </w:r>
      <w:proofErr w:type="spellEnd"/>
      <w:r>
        <w:rPr>
          <w:rFonts w:cs="Calibri"/>
          <w:color w:val="000000"/>
          <w:sz w:val="22"/>
          <w:szCs w:val="22"/>
        </w:rPr>
        <w:t xml:space="preserve"> para </w:t>
      </w:r>
      <w:proofErr w:type="spellStart"/>
      <w:r>
        <w:rPr>
          <w:rFonts w:cs="Calibri"/>
          <w:color w:val="000000"/>
          <w:sz w:val="22"/>
          <w:szCs w:val="22"/>
        </w:rPr>
        <w:t>propuestas</w:t>
      </w:r>
      <w:proofErr w:type="spellEnd"/>
      <w:r>
        <w:rPr>
          <w:rFonts w:cs="Calibri"/>
          <w:color w:val="000000"/>
          <w:sz w:val="22"/>
          <w:szCs w:val="22"/>
        </w:rPr>
        <w:t xml:space="preserve"> de </w:t>
      </w:r>
      <w:proofErr w:type="spellStart"/>
      <w:r>
        <w:rPr>
          <w:rFonts w:cs="Calibri"/>
          <w:color w:val="000000"/>
          <w:sz w:val="22"/>
          <w:szCs w:val="22"/>
        </w:rPr>
        <w:t>proyectos</w:t>
      </w:r>
      <w:proofErr w:type="spellEnd"/>
      <w:r>
        <w:rPr>
          <w:rFonts w:cs="Calibri"/>
          <w:color w:val="000000"/>
          <w:sz w:val="22"/>
          <w:szCs w:val="22"/>
        </w:rPr>
        <w:t xml:space="preserve"> dentro del CERV </w:t>
      </w:r>
      <w:proofErr w:type="spellStart"/>
      <w:r>
        <w:rPr>
          <w:rFonts w:cs="Calibri"/>
          <w:color w:val="000000"/>
          <w:sz w:val="22"/>
          <w:szCs w:val="22"/>
        </w:rPr>
        <w:t>destinados</w:t>
      </w:r>
      <w:proofErr w:type="spellEnd"/>
      <w:r>
        <w:rPr>
          <w:rFonts w:cs="Calibri"/>
          <w:color w:val="000000"/>
          <w:sz w:val="22"/>
          <w:szCs w:val="22"/>
        </w:rPr>
        <w:t xml:space="preserve"> a </w:t>
      </w:r>
      <w:proofErr w:type="spellStart"/>
      <w:r>
        <w:rPr>
          <w:rFonts w:cs="Calibri"/>
          <w:color w:val="000000"/>
          <w:sz w:val="22"/>
          <w:szCs w:val="22"/>
        </w:rPr>
        <w:t>abordar</w:t>
      </w:r>
      <w:proofErr w:type="spellEnd"/>
      <w:r>
        <w:rPr>
          <w:rFonts w:cs="Calibri"/>
          <w:color w:val="000000"/>
          <w:sz w:val="22"/>
          <w:szCs w:val="22"/>
        </w:rPr>
        <w:t xml:space="preserve"> la </w:t>
      </w:r>
      <w:proofErr w:type="spellStart"/>
      <w:r>
        <w:rPr>
          <w:rFonts w:cs="Calibri"/>
          <w:color w:val="000000"/>
          <w:sz w:val="22"/>
          <w:szCs w:val="22"/>
        </w:rPr>
        <w:t>desigualdad</w:t>
      </w:r>
      <w:proofErr w:type="spellEnd"/>
      <w:r>
        <w:rPr>
          <w:rFonts w:cs="Calibri"/>
          <w:color w:val="000000"/>
          <w:sz w:val="22"/>
          <w:szCs w:val="22"/>
        </w:rPr>
        <w:t xml:space="preserve"> y la </w:t>
      </w:r>
      <w:proofErr w:type="spellStart"/>
      <w:r>
        <w:rPr>
          <w:rFonts w:cs="Calibri"/>
          <w:color w:val="000000"/>
          <w:sz w:val="22"/>
          <w:szCs w:val="22"/>
        </w:rPr>
        <w:t>discriminación</w:t>
      </w:r>
      <w:proofErr w:type="spellEnd"/>
      <w:r>
        <w:rPr>
          <w:rFonts w:cs="Calibri"/>
          <w:color w:val="000000"/>
          <w:sz w:val="22"/>
          <w:szCs w:val="22"/>
        </w:rPr>
        <w:t xml:space="preserve">, a </w:t>
      </w:r>
      <w:proofErr w:type="spellStart"/>
      <w:r>
        <w:rPr>
          <w:rFonts w:cs="Calibri"/>
          <w:color w:val="000000"/>
          <w:sz w:val="22"/>
          <w:szCs w:val="22"/>
        </w:rPr>
        <w:t>ayudar</w:t>
      </w:r>
      <w:proofErr w:type="spellEnd"/>
      <w:r>
        <w:rPr>
          <w:rFonts w:cs="Calibri"/>
          <w:color w:val="000000"/>
          <w:sz w:val="22"/>
          <w:szCs w:val="22"/>
        </w:rPr>
        <w:t xml:space="preserve"> a </w:t>
      </w:r>
      <w:proofErr w:type="spellStart"/>
      <w:r>
        <w:rPr>
          <w:rFonts w:cs="Calibri"/>
          <w:color w:val="000000"/>
          <w:sz w:val="22"/>
          <w:szCs w:val="22"/>
        </w:rPr>
        <w:t>las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personas</w:t>
      </w:r>
      <w:proofErr w:type="spellEnd"/>
      <w:r>
        <w:rPr>
          <w:rFonts w:cs="Calibri"/>
          <w:color w:val="000000"/>
          <w:sz w:val="22"/>
          <w:szCs w:val="22"/>
        </w:rPr>
        <w:t xml:space="preserve"> a comprender y </w:t>
      </w:r>
      <w:proofErr w:type="spellStart"/>
      <w:r>
        <w:rPr>
          <w:rFonts w:cs="Calibri"/>
          <w:color w:val="000000"/>
          <w:sz w:val="22"/>
          <w:szCs w:val="22"/>
        </w:rPr>
        <w:t>aprovechar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mejor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sus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derechos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como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</w:rPr>
        <w:t xml:space="preserve">parte de la </w:t>
      </w:r>
      <w:proofErr w:type="spellStart"/>
      <w:r>
        <w:rPr>
          <w:rFonts w:cs="Calibri"/>
          <w:color w:val="000000"/>
        </w:rPr>
        <w:t>ciudadanía</w:t>
      </w:r>
      <w:proofErr w:type="spellEnd"/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de la UE y a fomentar y </w:t>
      </w:r>
      <w:proofErr w:type="spellStart"/>
      <w:r>
        <w:rPr>
          <w:rFonts w:cs="Calibri"/>
          <w:color w:val="000000"/>
          <w:sz w:val="22"/>
          <w:szCs w:val="22"/>
        </w:rPr>
        <w:t>promover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los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derechos</w:t>
      </w:r>
      <w:proofErr w:type="spellEnd"/>
      <w:r>
        <w:rPr>
          <w:rFonts w:cs="Calibri"/>
          <w:color w:val="000000"/>
          <w:sz w:val="22"/>
          <w:szCs w:val="22"/>
        </w:rPr>
        <w:t xml:space="preserve"> y </w:t>
      </w:r>
      <w:proofErr w:type="spellStart"/>
      <w:r>
        <w:rPr>
          <w:rFonts w:cs="Calibri"/>
          <w:color w:val="000000"/>
          <w:sz w:val="22"/>
          <w:szCs w:val="22"/>
        </w:rPr>
        <w:t>valores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fundamentales</w:t>
      </w:r>
      <w:proofErr w:type="spellEnd"/>
      <w:r>
        <w:rPr>
          <w:rFonts w:cs="Calibri"/>
          <w:color w:val="000000"/>
          <w:sz w:val="22"/>
          <w:szCs w:val="22"/>
        </w:rPr>
        <w:t xml:space="preserve"> de la UE. Los </w:t>
      </w:r>
      <w:proofErr w:type="spellStart"/>
      <w:r>
        <w:rPr>
          <w:rFonts w:cs="Calibri"/>
          <w:color w:val="000000"/>
          <w:sz w:val="22"/>
          <w:szCs w:val="22"/>
        </w:rPr>
        <w:t>retos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comunes</w:t>
      </w:r>
      <w:proofErr w:type="spellEnd"/>
      <w:r>
        <w:rPr>
          <w:rFonts w:cs="Calibri"/>
          <w:color w:val="000000"/>
          <w:sz w:val="22"/>
          <w:szCs w:val="22"/>
        </w:rPr>
        <w:t xml:space="preserve"> y la </w:t>
      </w:r>
      <w:proofErr w:type="spellStart"/>
      <w:r>
        <w:rPr>
          <w:rFonts w:cs="Calibri"/>
          <w:color w:val="000000"/>
          <w:sz w:val="22"/>
          <w:szCs w:val="22"/>
        </w:rPr>
        <w:t>dimensión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internacional</w:t>
      </w:r>
      <w:proofErr w:type="spellEnd"/>
      <w:r>
        <w:rPr>
          <w:rFonts w:cs="Calibri"/>
          <w:color w:val="000000"/>
          <w:sz w:val="22"/>
          <w:szCs w:val="22"/>
        </w:rPr>
        <w:t xml:space="preserve"> del </w:t>
      </w:r>
      <w:proofErr w:type="spellStart"/>
      <w:r>
        <w:rPr>
          <w:rFonts w:cs="Calibri"/>
          <w:color w:val="000000"/>
          <w:sz w:val="22"/>
          <w:szCs w:val="22"/>
        </w:rPr>
        <w:t>programa</w:t>
      </w:r>
      <w:proofErr w:type="spellEnd"/>
      <w:r>
        <w:rPr>
          <w:rFonts w:cs="Calibri"/>
          <w:color w:val="000000"/>
          <w:sz w:val="22"/>
          <w:szCs w:val="22"/>
        </w:rPr>
        <w:t xml:space="preserve"> CERV </w:t>
      </w:r>
      <w:proofErr w:type="spellStart"/>
      <w:r>
        <w:rPr>
          <w:rFonts w:cs="Calibri"/>
          <w:color w:val="000000"/>
          <w:sz w:val="22"/>
          <w:szCs w:val="22"/>
        </w:rPr>
        <w:t>ponen</w:t>
      </w:r>
      <w:proofErr w:type="spellEnd"/>
      <w:r>
        <w:rPr>
          <w:rFonts w:cs="Calibri"/>
          <w:color w:val="000000"/>
          <w:sz w:val="22"/>
          <w:szCs w:val="22"/>
        </w:rPr>
        <w:t xml:space="preserve"> de </w:t>
      </w:r>
      <w:proofErr w:type="spellStart"/>
      <w:r>
        <w:rPr>
          <w:rFonts w:cs="Calibri"/>
          <w:color w:val="000000"/>
          <w:sz w:val="22"/>
          <w:szCs w:val="22"/>
        </w:rPr>
        <w:t>relieve</w:t>
      </w:r>
      <w:proofErr w:type="spellEnd"/>
      <w:r>
        <w:rPr>
          <w:rFonts w:cs="Calibri"/>
          <w:color w:val="000000"/>
          <w:sz w:val="22"/>
          <w:szCs w:val="22"/>
        </w:rPr>
        <w:t xml:space="preserve"> la </w:t>
      </w:r>
      <w:proofErr w:type="spellStart"/>
      <w:r>
        <w:rPr>
          <w:rFonts w:cs="Calibri"/>
          <w:color w:val="000000"/>
          <w:sz w:val="22"/>
          <w:szCs w:val="22"/>
        </w:rPr>
        <w:t>necesidad</w:t>
      </w:r>
      <w:proofErr w:type="spellEnd"/>
      <w:r>
        <w:rPr>
          <w:rFonts w:cs="Calibri"/>
          <w:color w:val="000000"/>
          <w:sz w:val="22"/>
          <w:szCs w:val="22"/>
        </w:rPr>
        <w:t xml:space="preserve"> de </w:t>
      </w:r>
      <w:proofErr w:type="gramStart"/>
      <w:r>
        <w:rPr>
          <w:rFonts w:cs="Calibri"/>
          <w:color w:val="000000"/>
          <w:sz w:val="22"/>
          <w:szCs w:val="22"/>
        </w:rPr>
        <w:t xml:space="preserve">una </w:t>
      </w:r>
      <w:proofErr w:type="spellStart"/>
      <w:proofErr w:type="gramEnd"/>
      <w:r>
        <w:rPr>
          <w:rFonts w:cs="Calibri"/>
          <w:color w:val="000000"/>
          <w:sz w:val="22"/>
          <w:szCs w:val="22"/>
        </w:rPr>
        <w:t>actuación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</w:rPr>
        <w:t>conjunta</w:t>
      </w:r>
      <w:proofErr w:type="spellEnd"/>
      <w:r>
        <w:rPr>
          <w:rFonts w:cs="Calibri"/>
          <w:color w:val="000000"/>
          <w:sz w:val="22"/>
          <w:szCs w:val="22"/>
        </w:rPr>
        <w:t xml:space="preserve"> </w:t>
      </w:r>
      <w:proofErr w:type="spellStart"/>
      <w:r>
        <w:rPr>
          <w:rFonts w:cs="Calibri"/>
          <w:color w:val="000000"/>
          <w:sz w:val="22"/>
          <w:szCs w:val="22"/>
        </w:rPr>
        <w:t>desde</w:t>
      </w:r>
      <w:proofErr w:type="spellEnd"/>
      <w:r>
        <w:rPr>
          <w:rFonts w:cs="Calibri"/>
          <w:color w:val="000000"/>
          <w:sz w:val="22"/>
          <w:szCs w:val="22"/>
        </w:rPr>
        <w:t xml:space="preserve"> la UE.</w:t>
      </w:r>
    </w:p>
    <w:p w:rsidR="00C9331E" w:rsidRDefault="00C9331E" w:rsidP="00C9331E">
      <w:pPr>
        <w:spacing w:after="200"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Antecedentes</w:t>
      </w:r>
      <w:proofErr w:type="spellEnd"/>
    </w:p>
    <w:p w:rsidR="00C9331E" w:rsidRDefault="00C9331E" w:rsidP="00C9331E">
      <w:pPr>
        <w:spacing w:after="200" w:line="276" w:lineRule="auto"/>
        <w:jc w:val="both"/>
        <w:rPr>
          <w:sz w:val="22"/>
          <w:szCs w:val="22"/>
        </w:rPr>
      </w:pPr>
      <w:hyperlink r:id="rId17">
        <w:proofErr w:type="spellStart"/>
        <w:r>
          <w:rPr>
            <w:color w:val="0000FF"/>
            <w:sz w:val="22"/>
            <w:szCs w:val="22"/>
            <w:u w:val="single"/>
          </w:rPr>
          <w:t>El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programa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CERV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abierto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entidades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regionales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nacionales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transnacionales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pueden</w:t>
      </w:r>
      <w:proofErr w:type="spellEnd"/>
      <w:r>
        <w:rPr>
          <w:sz w:val="22"/>
          <w:szCs w:val="22"/>
        </w:rPr>
        <w:t xml:space="preserve"> ser </w:t>
      </w:r>
      <w:proofErr w:type="spellStart"/>
      <w:r>
        <w:rPr>
          <w:sz w:val="22"/>
          <w:szCs w:val="22"/>
        </w:rPr>
        <w:t>organizaciones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gubernamentales</w:t>
      </w:r>
      <w:proofErr w:type="spellEnd"/>
      <w:r>
        <w:rPr>
          <w:sz w:val="22"/>
          <w:szCs w:val="22"/>
        </w:rPr>
        <w:t xml:space="preserve"> (ONG), </w:t>
      </w:r>
      <w:proofErr w:type="spellStart"/>
      <w:r>
        <w:rPr>
          <w:sz w:val="22"/>
          <w:szCs w:val="22"/>
        </w:rPr>
        <w:t>universidades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centros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investigación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autoridades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públicas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organismos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privados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organizaciones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ánimo</w:t>
      </w:r>
      <w:proofErr w:type="spellEnd"/>
      <w:r>
        <w:rPr>
          <w:sz w:val="22"/>
          <w:szCs w:val="22"/>
        </w:rPr>
        <w:t xml:space="preserve"> de lucro.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respalda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iniciativas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promueven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derechos</w:t>
      </w:r>
      <w:proofErr w:type="spellEnd"/>
      <w:r>
        <w:rPr>
          <w:sz w:val="22"/>
          <w:szCs w:val="22"/>
        </w:rPr>
        <w:t xml:space="preserve">, la no </w:t>
      </w:r>
      <w:proofErr w:type="spellStart"/>
      <w:r>
        <w:rPr>
          <w:sz w:val="22"/>
          <w:szCs w:val="22"/>
        </w:rPr>
        <w:t>discriminación</w:t>
      </w:r>
      <w:proofErr w:type="spellEnd"/>
      <w:r>
        <w:rPr>
          <w:sz w:val="22"/>
          <w:szCs w:val="22"/>
        </w:rPr>
        <w:t xml:space="preserve"> y </w:t>
      </w:r>
      <w:proofErr w:type="gramStart"/>
      <w:r>
        <w:rPr>
          <w:sz w:val="22"/>
          <w:szCs w:val="22"/>
        </w:rPr>
        <w:t xml:space="preserve">la </w:t>
      </w:r>
      <w:proofErr w:type="spellStart"/>
      <w:proofErr w:type="gramEnd"/>
      <w:r>
        <w:rPr>
          <w:sz w:val="22"/>
          <w:szCs w:val="22"/>
        </w:rPr>
        <w:t>igualdad</w:t>
      </w:r>
      <w:proofErr w:type="spellEnd"/>
      <w:r>
        <w:rPr>
          <w:sz w:val="22"/>
          <w:szCs w:val="22"/>
        </w:rPr>
        <w:t xml:space="preserve"> (con un </w:t>
      </w:r>
      <w:proofErr w:type="spellStart"/>
      <w:r>
        <w:rPr>
          <w:sz w:val="22"/>
          <w:szCs w:val="22"/>
        </w:rPr>
        <w:t>énfasis</w:t>
      </w:r>
      <w:proofErr w:type="spellEnd"/>
      <w:r>
        <w:rPr>
          <w:sz w:val="22"/>
          <w:szCs w:val="22"/>
        </w:rPr>
        <w:t xml:space="preserve"> en la </w:t>
      </w:r>
      <w:proofErr w:type="spellStart"/>
      <w:r>
        <w:rPr>
          <w:sz w:val="22"/>
          <w:szCs w:val="22"/>
        </w:rPr>
        <w:t>igualdad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género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implican</w:t>
      </w:r>
      <w:proofErr w:type="spellEnd"/>
      <w:r>
        <w:rPr>
          <w:sz w:val="22"/>
          <w:szCs w:val="22"/>
        </w:rPr>
        <w:t xml:space="preserve"> a la </w:t>
      </w:r>
      <w:proofErr w:type="spellStart"/>
      <w:r>
        <w:t>ciudadanía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democráticos</w:t>
      </w:r>
      <w:proofErr w:type="spellEnd"/>
      <w:r>
        <w:rPr>
          <w:sz w:val="22"/>
          <w:szCs w:val="22"/>
        </w:rPr>
        <w:t xml:space="preserve"> de la UE, </w:t>
      </w:r>
      <w:proofErr w:type="spellStart"/>
      <w:r>
        <w:rPr>
          <w:sz w:val="22"/>
          <w:szCs w:val="22"/>
        </w:rPr>
        <w:t>hacen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frente</w:t>
      </w:r>
      <w:proofErr w:type="spellEnd"/>
      <w:r>
        <w:rPr>
          <w:sz w:val="22"/>
          <w:szCs w:val="22"/>
        </w:rPr>
        <w:t xml:space="preserve"> a la </w:t>
      </w:r>
      <w:proofErr w:type="spellStart"/>
      <w:r>
        <w:rPr>
          <w:sz w:val="22"/>
          <w:szCs w:val="22"/>
        </w:rPr>
        <w:t>violencia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incluida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violencia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género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violencia</w:t>
      </w:r>
      <w:proofErr w:type="spellEnd"/>
      <w:r>
        <w:rPr>
          <w:sz w:val="22"/>
          <w:szCs w:val="22"/>
        </w:rPr>
        <w:t xml:space="preserve"> contra la </w:t>
      </w:r>
      <w:proofErr w:type="spellStart"/>
      <w:r>
        <w:rPr>
          <w:sz w:val="22"/>
          <w:szCs w:val="22"/>
        </w:rPr>
        <w:t>infancia</w:t>
      </w:r>
      <w:proofErr w:type="spellEnd"/>
      <w:r>
        <w:rPr>
          <w:sz w:val="22"/>
          <w:szCs w:val="22"/>
        </w:rPr>
        <w:t xml:space="preserve">) y </w:t>
      </w:r>
      <w:proofErr w:type="spellStart"/>
      <w:r>
        <w:rPr>
          <w:sz w:val="22"/>
          <w:szCs w:val="22"/>
        </w:rPr>
        <w:t>fomentan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promueven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Unión</w:t>
      </w:r>
      <w:proofErr w:type="spellEnd"/>
      <w:r>
        <w:rPr>
          <w:sz w:val="22"/>
          <w:szCs w:val="22"/>
        </w:rPr>
        <w:t xml:space="preserve"> Europea.</w:t>
      </w:r>
    </w:p>
    <w:p w:rsidR="00C9331E" w:rsidRDefault="00C9331E" w:rsidP="00C9331E">
      <w:pPr>
        <w:spacing w:after="200" w:line="276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misión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fundamental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CERV, </w:t>
      </w:r>
      <w:proofErr w:type="spellStart"/>
      <w:r>
        <w:rPr>
          <w:sz w:val="22"/>
          <w:szCs w:val="22"/>
        </w:rPr>
        <w:t>puesto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marcha</w:t>
      </w:r>
      <w:proofErr w:type="spellEnd"/>
      <w:r>
        <w:rPr>
          <w:sz w:val="22"/>
          <w:szCs w:val="22"/>
        </w:rPr>
        <w:t xml:space="preserve"> en 2021 y previsto </w:t>
      </w:r>
      <w:proofErr w:type="spellStart"/>
      <w:r>
        <w:rPr>
          <w:sz w:val="22"/>
          <w:szCs w:val="22"/>
        </w:rPr>
        <w:t>hasta</w:t>
      </w:r>
      <w:proofErr w:type="spellEnd"/>
      <w:r>
        <w:rPr>
          <w:sz w:val="22"/>
          <w:szCs w:val="22"/>
        </w:rPr>
        <w:t xml:space="preserve"> 2027, es </w:t>
      </w:r>
      <w:proofErr w:type="spellStart"/>
      <w:r>
        <w:rPr>
          <w:sz w:val="22"/>
          <w:szCs w:val="22"/>
        </w:rPr>
        <w:t>asignar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financiación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entidades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comprometidas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fomento y </w:t>
      </w:r>
      <w:proofErr w:type="gramStart"/>
      <w:r>
        <w:rPr>
          <w:sz w:val="22"/>
          <w:szCs w:val="22"/>
        </w:rPr>
        <w:t xml:space="preserve">la </w:t>
      </w:r>
      <w:proofErr w:type="spellStart"/>
      <w:proofErr w:type="gramEnd"/>
      <w:r>
        <w:rPr>
          <w:sz w:val="22"/>
          <w:szCs w:val="22"/>
        </w:rPr>
        <w:t>ampliación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principios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recogidos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Tratados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Unión</w:t>
      </w:r>
      <w:proofErr w:type="spellEnd"/>
      <w:r>
        <w:rPr>
          <w:sz w:val="22"/>
          <w:szCs w:val="22"/>
        </w:rPr>
        <w:t xml:space="preserve"> Europea, la Carta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Fundamentales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Unión</w:t>
      </w:r>
      <w:proofErr w:type="spellEnd"/>
      <w:r>
        <w:rPr>
          <w:sz w:val="22"/>
          <w:szCs w:val="22"/>
        </w:rPr>
        <w:t xml:space="preserve"> Europea y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convenciones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internacionales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humanos</w:t>
      </w:r>
      <w:proofErr w:type="spellEnd"/>
      <w:r>
        <w:rPr>
          <w:sz w:val="22"/>
          <w:szCs w:val="22"/>
        </w:rPr>
        <w:t>.</w:t>
      </w:r>
    </w:p>
    <w:p w:rsidR="00C9331E" w:rsidRDefault="00C9331E" w:rsidP="00C9331E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Desde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inició</w:t>
      </w:r>
      <w:proofErr w:type="spellEnd"/>
      <w:r>
        <w:rPr>
          <w:sz w:val="22"/>
          <w:szCs w:val="22"/>
        </w:rPr>
        <w:t xml:space="preserve"> su </w:t>
      </w:r>
      <w:proofErr w:type="spellStart"/>
      <w:r>
        <w:rPr>
          <w:sz w:val="22"/>
          <w:szCs w:val="22"/>
        </w:rPr>
        <w:t>andadura</w:t>
      </w:r>
      <w:proofErr w:type="spellEnd"/>
      <w:r>
        <w:rPr>
          <w:sz w:val="22"/>
          <w:szCs w:val="22"/>
        </w:rPr>
        <w:t xml:space="preserve"> en 2021,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ha </w:t>
      </w:r>
      <w:proofErr w:type="spellStart"/>
      <w:r>
        <w:rPr>
          <w:sz w:val="22"/>
          <w:szCs w:val="22"/>
        </w:rPr>
        <w:t>destinado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total</w:t>
      </w:r>
      <w:proofErr w:type="spellEnd"/>
      <w:r>
        <w:rPr>
          <w:sz w:val="22"/>
          <w:szCs w:val="22"/>
        </w:rPr>
        <w:t xml:space="preserve"> 17.022.776,09 € a </w:t>
      </w:r>
      <w:proofErr w:type="spellStart"/>
      <w:r>
        <w:rPr>
          <w:sz w:val="22"/>
          <w:szCs w:val="22"/>
        </w:rPr>
        <w:t>España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lo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representa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6,59 %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fondos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concedidos</w:t>
      </w:r>
      <w:proofErr w:type="spellEnd"/>
      <w:r>
        <w:rPr>
          <w:sz w:val="22"/>
          <w:szCs w:val="22"/>
        </w:rPr>
        <w:t xml:space="preserve"> en 2021-2022. Se </w:t>
      </w:r>
      <w:proofErr w:type="gramStart"/>
      <w:r>
        <w:rPr>
          <w:sz w:val="22"/>
          <w:szCs w:val="22"/>
        </w:rPr>
        <w:t>han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presentado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total</w:t>
      </w:r>
      <w:proofErr w:type="spellEnd"/>
      <w:r>
        <w:rPr>
          <w:sz w:val="22"/>
          <w:szCs w:val="22"/>
        </w:rPr>
        <w:t xml:space="preserve"> 689 </w:t>
      </w:r>
      <w:proofErr w:type="spellStart"/>
      <w:r>
        <w:rPr>
          <w:sz w:val="22"/>
          <w:szCs w:val="22"/>
        </w:rPr>
        <w:t>propuestas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proyectos</w:t>
      </w:r>
      <w:proofErr w:type="spellEnd"/>
      <w:r>
        <w:rPr>
          <w:sz w:val="22"/>
          <w:szCs w:val="22"/>
        </w:rPr>
        <w:t xml:space="preserve">, con una </w:t>
      </w:r>
      <w:proofErr w:type="spellStart"/>
      <w:r>
        <w:rPr>
          <w:sz w:val="22"/>
          <w:szCs w:val="22"/>
        </w:rPr>
        <w:t>tasa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éxito</w:t>
      </w:r>
      <w:proofErr w:type="spellEnd"/>
      <w:r>
        <w:rPr>
          <w:sz w:val="22"/>
          <w:szCs w:val="22"/>
        </w:rPr>
        <w:t xml:space="preserve"> del 25 %. </w:t>
      </w:r>
      <w:proofErr w:type="spellStart"/>
      <w:r>
        <w:rPr>
          <w:sz w:val="22"/>
          <w:szCs w:val="22"/>
        </w:rPr>
        <w:t>Entre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áreas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temáticas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principales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figuran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promoción</w:t>
      </w:r>
      <w:proofErr w:type="spellEnd"/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 xml:space="preserve">la </w:t>
      </w:r>
      <w:proofErr w:type="spellStart"/>
      <w:proofErr w:type="gramEnd"/>
      <w:r>
        <w:rPr>
          <w:sz w:val="22"/>
          <w:szCs w:val="22"/>
        </w:rPr>
        <w:t>igualdad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género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prevención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violencia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género</w:t>
      </w:r>
      <w:proofErr w:type="spellEnd"/>
      <w:r>
        <w:rPr>
          <w:sz w:val="22"/>
          <w:szCs w:val="22"/>
        </w:rPr>
        <w:t xml:space="preserve">. Tomando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referencia</w:t>
      </w:r>
      <w:proofErr w:type="spellEnd"/>
      <w:r>
        <w:rPr>
          <w:sz w:val="22"/>
          <w:szCs w:val="22"/>
        </w:rPr>
        <w:t xml:space="preserve"> </w:t>
      </w:r>
      <w:hyperlink r:id="rId18">
        <w:r>
          <w:rPr>
            <w:color w:val="1155CC"/>
            <w:sz w:val="22"/>
            <w:szCs w:val="22"/>
            <w:u w:val="single"/>
          </w:rPr>
          <w:t xml:space="preserve">la </w:t>
        </w:r>
        <w:proofErr w:type="spellStart"/>
        <w:r>
          <w:rPr>
            <w:color w:val="1155CC"/>
            <w:sz w:val="22"/>
            <w:szCs w:val="22"/>
            <w:u w:val="single"/>
          </w:rPr>
          <w:t>Unión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Europea en su </w:t>
        </w:r>
        <w:proofErr w:type="spellStart"/>
        <w:r>
          <w:rPr>
            <w:color w:val="1155CC"/>
            <w:sz w:val="22"/>
            <w:szCs w:val="22"/>
            <w:u w:val="single"/>
          </w:rPr>
          <w:t>conjunto</w:t>
        </w:r>
        <w:proofErr w:type="spellEnd"/>
      </w:hyperlink>
      <w:r>
        <w:rPr>
          <w:sz w:val="22"/>
          <w:szCs w:val="22"/>
        </w:rPr>
        <w:t xml:space="preserve">, 3.105 </w:t>
      </w:r>
      <w:proofErr w:type="spellStart"/>
      <w:r>
        <w:rPr>
          <w:sz w:val="22"/>
          <w:szCs w:val="22"/>
        </w:rPr>
        <w:t>organizaciones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sociedad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 han </w:t>
      </w:r>
      <w:proofErr w:type="spellStart"/>
      <w:r>
        <w:rPr>
          <w:sz w:val="22"/>
          <w:szCs w:val="22"/>
        </w:rPr>
        <w:t>recibido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respaldo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financiero</w:t>
      </w:r>
      <w:proofErr w:type="spellEnd"/>
      <w:r>
        <w:rPr>
          <w:sz w:val="22"/>
          <w:szCs w:val="22"/>
        </w:rPr>
        <w:t xml:space="preserve">, 85.000 </w:t>
      </w:r>
      <w:proofErr w:type="spellStart"/>
      <w:r>
        <w:rPr>
          <w:sz w:val="22"/>
          <w:szCs w:val="22"/>
        </w:rPr>
        <w:t>personas</w:t>
      </w:r>
      <w:proofErr w:type="spellEnd"/>
      <w:r>
        <w:rPr>
          <w:sz w:val="22"/>
          <w:szCs w:val="22"/>
        </w:rPr>
        <w:t xml:space="preserve"> han </w:t>
      </w:r>
      <w:proofErr w:type="spellStart"/>
      <w:r>
        <w:rPr>
          <w:sz w:val="22"/>
          <w:szCs w:val="22"/>
        </w:rPr>
        <w:t>participado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eventos</w:t>
      </w:r>
      <w:proofErr w:type="spellEnd"/>
      <w:r>
        <w:rPr>
          <w:sz w:val="22"/>
          <w:szCs w:val="22"/>
        </w:rPr>
        <w:t xml:space="preserve"> de intercambio y </w:t>
      </w:r>
      <w:proofErr w:type="spellStart"/>
      <w:r>
        <w:rPr>
          <w:sz w:val="22"/>
          <w:szCs w:val="22"/>
        </w:rPr>
        <w:t>aprendizaje</w:t>
      </w:r>
      <w:proofErr w:type="spellEnd"/>
      <w:r>
        <w:rPr>
          <w:sz w:val="22"/>
          <w:szCs w:val="22"/>
        </w:rPr>
        <w:t xml:space="preserve"> mutuo, y </w:t>
      </w:r>
      <w:proofErr w:type="spellStart"/>
      <w:r>
        <w:rPr>
          <w:sz w:val="22"/>
          <w:szCs w:val="22"/>
        </w:rPr>
        <w:t>aproximadamente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millón</w:t>
      </w:r>
      <w:proofErr w:type="spellEnd"/>
      <w:r>
        <w:rPr>
          <w:sz w:val="22"/>
          <w:szCs w:val="22"/>
        </w:rPr>
        <w:t xml:space="preserve"> y medio de </w:t>
      </w:r>
      <w:proofErr w:type="spellStart"/>
      <w:r>
        <w:rPr>
          <w:sz w:val="22"/>
          <w:szCs w:val="22"/>
        </w:rPr>
        <w:t>personas</w:t>
      </w:r>
      <w:proofErr w:type="spellEnd"/>
      <w:r>
        <w:rPr>
          <w:sz w:val="22"/>
          <w:szCs w:val="22"/>
        </w:rPr>
        <w:t xml:space="preserve"> han </w:t>
      </w:r>
      <w:proofErr w:type="spellStart"/>
      <w:r>
        <w:rPr>
          <w:sz w:val="22"/>
          <w:szCs w:val="22"/>
        </w:rPr>
        <w:t>recibido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relacionada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CERV. </w:t>
      </w:r>
      <w:proofErr w:type="spellStart"/>
      <w:r>
        <w:rPr>
          <w:sz w:val="22"/>
          <w:szCs w:val="22"/>
        </w:rPr>
        <w:t>Aquí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incluyen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algunos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proyectos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organizaciones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ahora</w:t>
      </w:r>
      <w:proofErr w:type="spellEnd"/>
      <w:r>
        <w:rPr>
          <w:sz w:val="22"/>
          <w:szCs w:val="22"/>
        </w:rPr>
        <w:t xml:space="preserve">: </w:t>
      </w:r>
    </w:p>
    <w:p w:rsidR="00C9331E" w:rsidRDefault="00C9331E" w:rsidP="00C9331E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Iniciativas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Alemania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la «</w:t>
      </w:r>
      <w:proofErr w:type="spellStart"/>
      <w:r>
        <w:rPr>
          <w:sz w:val="22"/>
          <w:szCs w:val="22"/>
        </w:rPr>
        <w:t>igualdad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fundamentales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intersexuales</w:t>
      </w:r>
      <w:proofErr w:type="spellEnd"/>
      <w:r>
        <w:rPr>
          <w:sz w:val="22"/>
          <w:szCs w:val="22"/>
        </w:rPr>
        <w:t xml:space="preserve">» y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lucha</w:t>
      </w:r>
      <w:proofErr w:type="spellEnd"/>
      <w:r>
        <w:rPr>
          <w:sz w:val="22"/>
          <w:szCs w:val="22"/>
        </w:rPr>
        <w:t xml:space="preserve"> contra la </w:t>
      </w:r>
      <w:proofErr w:type="spellStart"/>
      <w:r>
        <w:rPr>
          <w:sz w:val="22"/>
          <w:szCs w:val="22"/>
        </w:rPr>
        <w:t>discriminación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transgénero</w:t>
      </w:r>
      <w:proofErr w:type="spellEnd"/>
      <w:r>
        <w:rPr>
          <w:sz w:val="22"/>
          <w:szCs w:val="22"/>
        </w:rPr>
        <w:t>.</w:t>
      </w:r>
    </w:p>
    <w:p w:rsidR="00C9331E" w:rsidRDefault="00C9331E" w:rsidP="00C9331E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hyperlink r:id="rId19">
        <w:proofErr w:type="spellStart"/>
        <w:r>
          <w:rPr>
            <w:sz w:val="22"/>
            <w:szCs w:val="22"/>
            <w:u w:val="single"/>
          </w:rPr>
          <w:t>Proyecto</w:t>
        </w:r>
        <w:proofErr w:type="spellEnd"/>
        <w:r>
          <w:rPr>
            <w:sz w:val="22"/>
            <w:szCs w:val="22"/>
            <w:u w:val="single"/>
          </w:rPr>
          <w:t xml:space="preserve"> Score</w:t>
        </w:r>
      </w:hyperlink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España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objetivo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principal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Proyecto</w:t>
      </w:r>
      <w:proofErr w:type="spellEnd"/>
      <w:r>
        <w:rPr>
          <w:sz w:val="22"/>
          <w:szCs w:val="22"/>
        </w:rPr>
        <w:t xml:space="preserve"> es crear una </w:t>
      </w:r>
      <w:proofErr w:type="spellStart"/>
      <w:r>
        <w:rPr>
          <w:sz w:val="22"/>
          <w:szCs w:val="22"/>
        </w:rPr>
        <w:t>coalición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ciudades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entidades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europeas</w:t>
      </w:r>
      <w:proofErr w:type="spellEnd"/>
      <w:r>
        <w:rPr>
          <w:sz w:val="22"/>
          <w:szCs w:val="22"/>
        </w:rPr>
        <w:t xml:space="preserve"> para la </w:t>
      </w:r>
      <w:proofErr w:type="spellStart"/>
      <w:r>
        <w:rPr>
          <w:sz w:val="22"/>
          <w:szCs w:val="22"/>
        </w:rPr>
        <w:t>promoción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deporte</w:t>
      </w:r>
      <w:proofErr w:type="spellEnd"/>
      <w:r>
        <w:rPr>
          <w:sz w:val="22"/>
          <w:szCs w:val="22"/>
        </w:rPr>
        <w:t xml:space="preserve"> inclusivo, </w:t>
      </w:r>
      <w:proofErr w:type="spellStart"/>
      <w:r>
        <w:rPr>
          <w:sz w:val="22"/>
          <w:szCs w:val="22"/>
        </w:rPr>
        <w:t>así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prevención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y la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lucha</w:t>
      </w:r>
      <w:proofErr w:type="spellEnd"/>
      <w:r>
        <w:rPr>
          <w:sz w:val="22"/>
          <w:szCs w:val="22"/>
        </w:rPr>
        <w:t xml:space="preserve"> contra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racismo</w:t>
      </w:r>
      <w:proofErr w:type="spellEnd"/>
      <w:r>
        <w:rPr>
          <w:sz w:val="22"/>
          <w:szCs w:val="22"/>
        </w:rPr>
        <w:t xml:space="preserve">, la xenofobia y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conexas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intolerancia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ámbito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deportivo</w:t>
      </w:r>
      <w:proofErr w:type="spellEnd"/>
      <w:r>
        <w:rPr>
          <w:sz w:val="22"/>
          <w:szCs w:val="22"/>
        </w:rPr>
        <w:t>.</w:t>
      </w:r>
    </w:p>
    <w:p w:rsidR="00C9331E" w:rsidRDefault="00C9331E" w:rsidP="00C9331E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Uso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deportes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Suecia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medio para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la </w:t>
      </w:r>
      <w:proofErr w:type="spellStart"/>
      <w:proofErr w:type="gramEnd"/>
      <w:r>
        <w:rPr>
          <w:sz w:val="22"/>
          <w:szCs w:val="22"/>
        </w:rPr>
        <w:t>igualdad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democráticos</w:t>
      </w:r>
      <w:proofErr w:type="spellEnd"/>
      <w:r>
        <w:rPr>
          <w:sz w:val="22"/>
          <w:szCs w:val="22"/>
        </w:rPr>
        <w:t>.</w:t>
      </w:r>
    </w:p>
    <w:p w:rsidR="00C9331E" w:rsidRDefault="00C9331E" w:rsidP="00C9331E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Una </w:t>
      </w:r>
      <w:proofErr w:type="spellStart"/>
      <w:r>
        <w:rPr>
          <w:sz w:val="22"/>
          <w:szCs w:val="22"/>
        </w:rPr>
        <w:t>red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internacional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establecida</w:t>
      </w:r>
      <w:proofErr w:type="spellEnd"/>
      <w:r>
        <w:rPr>
          <w:sz w:val="22"/>
          <w:szCs w:val="22"/>
        </w:rPr>
        <w:t xml:space="preserve"> en Italia para lograr «</w:t>
      </w:r>
      <w:proofErr w:type="gramStart"/>
      <w:r>
        <w:rPr>
          <w:sz w:val="22"/>
          <w:szCs w:val="22"/>
        </w:rPr>
        <w:t xml:space="preserve">una </w:t>
      </w:r>
      <w:proofErr w:type="gramEnd"/>
      <w:r>
        <w:rPr>
          <w:sz w:val="22"/>
          <w:szCs w:val="22"/>
        </w:rPr>
        <w:t xml:space="preserve">Europa inclusiva y </w:t>
      </w:r>
      <w:proofErr w:type="spellStart"/>
      <w:r>
        <w:rPr>
          <w:sz w:val="22"/>
          <w:szCs w:val="22"/>
        </w:rPr>
        <w:t>democrática</w:t>
      </w:r>
      <w:proofErr w:type="spellEnd"/>
      <w:r>
        <w:rPr>
          <w:sz w:val="22"/>
          <w:szCs w:val="22"/>
        </w:rPr>
        <w:t>».</w:t>
      </w:r>
    </w:p>
    <w:p w:rsidR="00C9331E" w:rsidRDefault="00C9331E" w:rsidP="00C9331E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Eventos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organizados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Eslovaquia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reforzar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sentido</w:t>
      </w:r>
      <w:proofErr w:type="spellEnd"/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 xml:space="preserve">la </w:t>
      </w:r>
      <w:proofErr w:type="spellStart"/>
      <w:proofErr w:type="gramEnd"/>
      <w:r>
        <w:rPr>
          <w:sz w:val="22"/>
          <w:szCs w:val="22"/>
        </w:rPr>
        <w:t>unidad</w:t>
      </w:r>
      <w:proofErr w:type="spellEnd"/>
      <w:r>
        <w:rPr>
          <w:sz w:val="22"/>
          <w:szCs w:val="22"/>
        </w:rPr>
        <w:t xml:space="preserve"> y del futuro </w:t>
      </w:r>
      <w:proofErr w:type="spellStart"/>
      <w:r>
        <w:rPr>
          <w:sz w:val="22"/>
          <w:szCs w:val="22"/>
        </w:rPr>
        <w:t>común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europeos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haciendo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hincapié</w:t>
      </w:r>
      <w:proofErr w:type="spellEnd"/>
      <w:r>
        <w:rPr>
          <w:sz w:val="22"/>
          <w:szCs w:val="22"/>
        </w:rPr>
        <w:t xml:space="preserve"> en la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, la </w:t>
      </w:r>
      <w:proofErr w:type="spellStart"/>
      <w:r>
        <w:rPr>
          <w:sz w:val="22"/>
          <w:szCs w:val="22"/>
        </w:rPr>
        <w:t>solidaridad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tolerancia</w:t>
      </w:r>
      <w:proofErr w:type="spellEnd"/>
      <w:r>
        <w:rPr>
          <w:sz w:val="22"/>
          <w:szCs w:val="22"/>
        </w:rPr>
        <w:t>.</w:t>
      </w:r>
    </w:p>
    <w:p w:rsidR="00C9331E" w:rsidRDefault="00C9331E" w:rsidP="00C9331E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 </w:t>
      </w:r>
      <w:proofErr w:type="spellStart"/>
      <w:r>
        <w:rPr>
          <w:sz w:val="22"/>
          <w:szCs w:val="22"/>
        </w:rPr>
        <w:t>proyecto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importancia</w:t>
      </w:r>
      <w:proofErr w:type="spellEnd"/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 xml:space="preserve">la </w:t>
      </w:r>
      <w:proofErr w:type="spellStart"/>
      <w:proofErr w:type="gramEnd"/>
      <w:r>
        <w:rPr>
          <w:sz w:val="22"/>
          <w:szCs w:val="22"/>
        </w:rPr>
        <w:t>interseccionalidad</w:t>
      </w:r>
      <w:proofErr w:type="spellEnd"/>
      <w:r>
        <w:rPr>
          <w:sz w:val="22"/>
          <w:szCs w:val="22"/>
        </w:rPr>
        <w:t xml:space="preserve"> en Austria </w:t>
      </w:r>
      <w:proofErr w:type="spellStart"/>
      <w:r>
        <w:rPr>
          <w:sz w:val="22"/>
          <w:szCs w:val="22"/>
        </w:rPr>
        <w:t>pensado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igualdad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combatir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discriminación</w:t>
      </w:r>
      <w:proofErr w:type="spellEnd"/>
      <w:r>
        <w:rPr>
          <w:sz w:val="22"/>
          <w:szCs w:val="22"/>
        </w:rPr>
        <w:t xml:space="preserve"> contra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mujeres</w:t>
      </w:r>
      <w:proofErr w:type="spellEnd"/>
      <w:r>
        <w:rPr>
          <w:sz w:val="22"/>
          <w:szCs w:val="22"/>
        </w:rPr>
        <w:t xml:space="preserve"> LBQTI y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personas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binarias</w:t>
      </w:r>
      <w:proofErr w:type="spellEnd"/>
      <w:r>
        <w:rPr>
          <w:sz w:val="22"/>
          <w:szCs w:val="22"/>
        </w:rPr>
        <w:t>.</w:t>
      </w:r>
    </w:p>
    <w:p w:rsidR="00C9331E" w:rsidRDefault="00C9331E" w:rsidP="00C9331E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modelo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Justicia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Familiar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puesto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marcha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Países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Bajos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proporciona</w:t>
      </w:r>
      <w:proofErr w:type="spellEnd"/>
      <w:r>
        <w:rPr>
          <w:sz w:val="22"/>
          <w:szCs w:val="22"/>
        </w:rPr>
        <w:t xml:space="preserve"> una </w:t>
      </w:r>
      <w:proofErr w:type="spellStart"/>
      <w:r>
        <w:rPr>
          <w:sz w:val="22"/>
          <w:szCs w:val="22"/>
        </w:rPr>
        <w:t>plataforma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central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miembros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>ocios</w:t>
      </w:r>
      <w:proofErr w:type="spellEnd"/>
      <w:r>
        <w:rPr>
          <w:sz w:val="22"/>
          <w:szCs w:val="22"/>
        </w:rPr>
        <w:t>.</w:t>
      </w:r>
    </w:p>
    <w:p w:rsidR="00C9331E" w:rsidRDefault="00C9331E" w:rsidP="00C9331E">
      <w:pPr>
        <w:spacing w:line="276" w:lineRule="auto"/>
        <w:ind w:left="720"/>
        <w:jc w:val="both"/>
        <w:rPr>
          <w:sz w:val="22"/>
          <w:szCs w:val="22"/>
        </w:rPr>
      </w:pPr>
    </w:p>
    <w:p w:rsidR="00C9331E" w:rsidRDefault="00C9331E" w:rsidP="00C9331E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Próximamente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también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habrá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proyectos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Alemania</w:t>
      </w:r>
      <w:proofErr w:type="spellEnd"/>
      <w:r>
        <w:rPr>
          <w:sz w:val="22"/>
          <w:szCs w:val="22"/>
        </w:rPr>
        <w:t xml:space="preserve"> e Italia </w:t>
      </w:r>
      <w:proofErr w:type="spellStart"/>
      <w:r>
        <w:rPr>
          <w:sz w:val="22"/>
          <w:szCs w:val="22"/>
        </w:rPr>
        <w:t>centrados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respectivamente</w:t>
      </w:r>
      <w:proofErr w:type="spellEnd"/>
      <w:r>
        <w:rPr>
          <w:sz w:val="22"/>
          <w:szCs w:val="22"/>
        </w:rPr>
        <w:t xml:space="preserve">, en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empoderamiento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personas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t>discapacidad</w:t>
      </w:r>
      <w:proofErr w:type="spellEnd"/>
      <w:r>
        <w:rPr>
          <w:sz w:val="22"/>
          <w:szCs w:val="22"/>
        </w:rPr>
        <w:t xml:space="preserve"> y en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uso </w:t>
      </w:r>
      <w:proofErr w:type="gramStart"/>
      <w:r>
        <w:rPr>
          <w:sz w:val="22"/>
          <w:szCs w:val="22"/>
        </w:rPr>
        <w:t xml:space="preserve">del </w:t>
      </w:r>
      <w:proofErr w:type="gramEnd"/>
      <w:r>
        <w:rPr>
          <w:sz w:val="22"/>
          <w:szCs w:val="22"/>
        </w:rPr>
        <w:t xml:space="preserve">arte </w:t>
      </w:r>
      <w:proofErr w:type="spellStart"/>
      <w:r>
        <w:rPr>
          <w:sz w:val="22"/>
          <w:szCs w:val="22"/>
        </w:rPr>
        <w:t>público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defender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fundamentales</w:t>
      </w:r>
      <w:proofErr w:type="spellEnd"/>
      <w:r>
        <w:rPr>
          <w:sz w:val="22"/>
          <w:szCs w:val="22"/>
        </w:rPr>
        <w:t xml:space="preserve"> de la UE, con </w:t>
      </w:r>
      <w:proofErr w:type="spellStart"/>
      <w:r>
        <w:rPr>
          <w:sz w:val="22"/>
          <w:szCs w:val="22"/>
        </w:rPr>
        <w:t>iniciativas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adicionales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España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Dinamarca</w:t>
      </w:r>
      <w:proofErr w:type="spellEnd"/>
      <w:r>
        <w:rPr>
          <w:sz w:val="22"/>
          <w:szCs w:val="22"/>
        </w:rPr>
        <w:t>.</w:t>
      </w:r>
    </w:p>
    <w:p w:rsidR="00C9331E" w:rsidRDefault="00C9331E" w:rsidP="00C9331E">
      <w:pPr>
        <w:spacing w:after="200" w:line="276" w:lineRule="auto"/>
        <w:jc w:val="both"/>
        <w:rPr>
          <w:color w:val="0000FF"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Hay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recursos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disponibles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obtener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 y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solicitarlo</w:t>
      </w:r>
      <w:proofErr w:type="spellEnd"/>
      <w:r>
        <w:rPr>
          <w:sz w:val="22"/>
          <w:szCs w:val="22"/>
        </w:rPr>
        <w:t xml:space="preserve">. En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hyperlink r:id="rId20">
        <w:r>
          <w:rPr>
            <w:color w:val="0000FF"/>
            <w:sz w:val="22"/>
            <w:szCs w:val="22"/>
            <w:u w:val="single"/>
          </w:rPr>
          <w:t xml:space="preserve">EU Funding &amp; Tenders Portal </w:t>
        </w:r>
      </w:hyperlink>
      <w:proofErr w:type="spellStart"/>
      <w:r>
        <w:rPr>
          <w:sz w:val="22"/>
          <w:szCs w:val="22"/>
        </w:rPr>
        <w:t>pueden</w:t>
      </w:r>
      <w:proofErr w:type="spellEnd"/>
      <w:r>
        <w:rPr>
          <w:sz w:val="22"/>
          <w:szCs w:val="22"/>
        </w:rPr>
        <w:t xml:space="preserve"> verse </w:t>
      </w:r>
      <w:proofErr w:type="spellStart"/>
      <w:r>
        <w:rPr>
          <w:sz w:val="22"/>
          <w:szCs w:val="22"/>
        </w:rPr>
        <w:t>oportunidades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financiación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solicitarla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proyectos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respaldados</w:t>
      </w:r>
      <w:proofErr w:type="spellEnd"/>
      <w:r>
        <w:rPr>
          <w:sz w:val="22"/>
          <w:szCs w:val="22"/>
        </w:rPr>
        <w:t xml:space="preserve"> por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CERV. </w:t>
      </w:r>
      <w:proofErr w:type="spellStart"/>
      <w:r>
        <w:rPr>
          <w:sz w:val="22"/>
          <w:szCs w:val="22"/>
        </w:rPr>
        <w:t>También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contactar</w:t>
      </w:r>
      <w:proofErr w:type="spellEnd"/>
      <w:r>
        <w:rPr>
          <w:sz w:val="22"/>
          <w:szCs w:val="22"/>
        </w:rPr>
        <w:t xml:space="preserve"> con uno de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21 </w:t>
      </w:r>
      <w:hyperlink r:id="rId21">
        <w:r>
          <w:rPr>
            <w:color w:val="1155CC"/>
            <w:sz w:val="22"/>
            <w:szCs w:val="22"/>
            <w:u w:val="single"/>
          </w:rPr>
          <w:t>Puntos Nacionales de Contacto del CERV</w:t>
        </w:r>
      </w:hyperlink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obtener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ayuda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solicitud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hyperlink r:id="rId22">
        <w:r>
          <w:rPr>
            <w:color w:val="1155CC"/>
            <w:sz w:val="22"/>
            <w:szCs w:val="22"/>
            <w:u w:val="single"/>
          </w:rPr>
          <w:t>web del programa CERV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incluye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hyperlink r:id="rId23">
        <w:r>
          <w:rPr>
            <w:sz w:val="22"/>
            <w:szCs w:val="22"/>
          </w:rPr>
          <w:t>programa de trabajo del CERV</w:t>
        </w:r>
      </w:hyperlink>
      <w:r>
        <w:rPr>
          <w:sz w:val="22"/>
          <w:szCs w:val="22"/>
        </w:rPr>
        <w:t xml:space="preserve"> y la </w:t>
      </w:r>
      <w:hyperlink r:id="rId24">
        <w:r>
          <w:rPr>
            <w:sz w:val="22"/>
            <w:szCs w:val="22"/>
          </w:rPr>
          <w:t>planificación indicativa de convocatorias.</w:t>
        </w:r>
      </w:hyperlink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mantenerse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día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eventos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relacionados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CERV,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suscribirse</w:t>
      </w:r>
      <w:proofErr w:type="spellEnd"/>
      <w:r>
        <w:rPr>
          <w:sz w:val="22"/>
          <w:szCs w:val="22"/>
        </w:rPr>
        <w:t xml:space="preserve"> </w:t>
      </w:r>
      <w:hyperlink r:id="rId25">
        <w:r>
          <w:rPr>
            <w:color w:val="0000FF"/>
            <w:sz w:val="22"/>
            <w:szCs w:val="22"/>
            <w:u w:val="single"/>
          </w:rPr>
          <w:t>al boletín de la Dirección General de Justicia y Consumidores</w:t>
        </w:r>
      </w:hyperlink>
      <w:r>
        <w:rPr>
          <w:color w:val="0000FF"/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 xml:space="preserve">Si tiene </w:t>
      </w:r>
      <w:proofErr w:type="spellStart"/>
      <w:r>
        <w:rPr>
          <w:sz w:val="22"/>
          <w:szCs w:val="22"/>
        </w:rPr>
        <w:t>preguntas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convocatorias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concretas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diríjase</w:t>
      </w:r>
      <w:proofErr w:type="spellEnd"/>
      <w:r>
        <w:rPr>
          <w:sz w:val="22"/>
          <w:szCs w:val="22"/>
        </w:rPr>
        <w:t xml:space="preserve"> a un Punto </w:t>
      </w:r>
      <w:proofErr w:type="spellStart"/>
      <w:r>
        <w:rPr>
          <w:sz w:val="22"/>
          <w:szCs w:val="22"/>
        </w:rPr>
        <w:t>Nacional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del CERV o </w:t>
      </w:r>
      <w:proofErr w:type="spellStart"/>
      <w:r>
        <w:rPr>
          <w:sz w:val="22"/>
          <w:szCs w:val="22"/>
        </w:rPr>
        <w:t>escriba</w:t>
      </w:r>
      <w:proofErr w:type="spellEnd"/>
      <w:r>
        <w:rPr>
          <w:sz w:val="22"/>
          <w:szCs w:val="22"/>
        </w:rPr>
        <w:t xml:space="preserve"> a </w:t>
      </w:r>
      <w:hyperlink r:id="rId26">
        <w:r>
          <w:rPr>
            <w:sz w:val="22"/>
            <w:szCs w:val="22"/>
          </w:rPr>
          <w:t>EC</w:t>
        </w:r>
      </w:hyperlink>
      <w:hyperlink r:id="rId27">
        <w:r>
          <w:rPr>
            <w:sz w:val="22"/>
            <w:szCs w:val="22"/>
          </w:rPr>
          <w:t>-CERV-CALLS@ec.europa.eu</w:t>
        </w:r>
      </w:hyperlink>
      <w:r>
        <w:rPr>
          <w:sz w:val="22"/>
          <w:szCs w:val="22"/>
        </w:rPr>
        <w:t xml:space="preserve"> o </w:t>
      </w:r>
      <w:hyperlink r:id="rId28">
        <w:r>
          <w:rPr>
            <w:sz w:val="22"/>
            <w:szCs w:val="22"/>
          </w:rPr>
          <w:t>EACEA-CERV@ec.europa.eu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según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indique</w:t>
      </w:r>
      <w:proofErr w:type="spellEnd"/>
      <w:r>
        <w:rPr>
          <w:sz w:val="22"/>
          <w:szCs w:val="22"/>
        </w:rPr>
        <w:t xml:space="preserve"> en la </w:t>
      </w:r>
      <w:proofErr w:type="spellStart"/>
      <w:r>
        <w:rPr>
          <w:sz w:val="22"/>
          <w:szCs w:val="22"/>
        </w:rPr>
        <w:t>convocatoria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correspondiente</w:t>
      </w:r>
      <w:proofErr w:type="spellEnd"/>
      <w:r>
        <w:rPr>
          <w:sz w:val="22"/>
          <w:szCs w:val="22"/>
        </w:rPr>
        <w:t>.</w:t>
      </w:r>
    </w:p>
    <w:p w:rsidR="00C9331E" w:rsidRDefault="00C9331E" w:rsidP="00C9331E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Para </w:t>
      </w:r>
      <w:proofErr w:type="spellStart"/>
      <w:r>
        <w:rPr>
          <w:b/>
          <w:sz w:val="22"/>
          <w:szCs w:val="22"/>
        </w:rPr>
        <w:t>obtener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más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información</w:t>
      </w:r>
      <w:proofErr w:type="spellEnd"/>
      <w:r>
        <w:rPr>
          <w:b/>
          <w:sz w:val="22"/>
          <w:szCs w:val="22"/>
        </w:rPr>
        <w:t>:</w:t>
      </w:r>
    </w:p>
    <w:p w:rsidR="00C9331E" w:rsidRDefault="00C9331E" w:rsidP="00C9331E">
      <w:pPr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</w:p>
    <w:bookmarkStart w:id="2" w:name="_heading=h.1fob9te" w:colFirst="0" w:colLast="0"/>
    <w:bookmarkEnd w:id="2"/>
    <w:p w:rsidR="00C9331E" w:rsidRDefault="00C9331E" w:rsidP="00C9331E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r>
        <w:rPr>
          <w:sz w:val="20"/>
          <w:szCs w:val="20"/>
        </w:rPr>
        <w:fldChar w:fldCharType="begin"/>
      </w:r>
      <w:r>
        <w:instrText xml:space="preserve"> HYPERLINK "http://europa.eu/cerv-programme" \h </w:instrText>
      </w:r>
      <w:r>
        <w:rPr>
          <w:sz w:val="20"/>
          <w:szCs w:val="20"/>
        </w:rPr>
        <w:fldChar w:fldCharType="separate"/>
      </w:r>
      <w:r>
        <w:rPr>
          <w:color w:val="0000FF"/>
          <w:sz w:val="22"/>
          <w:szCs w:val="22"/>
          <w:u w:val="single"/>
        </w:rPr>
        <w:t xml:space="preserve">Web de la </w:t>
      </w:r>
      <w:proofErr w:type="spellStart"/>
      <w:r>
        <w:rPr>
          <w:color w:val="0000FF"/>
          <w:sz w:val="22"/>
          <w:szCs w:val="22"/>
          <w:u w:val="single"/>
        </w:rPr>
        <w:t>campaña</w:t>
      </w:r>
      <w:proofErr w:type="spellEnd"/>
      <w:r>
        <w:rPr>
          <w:color w:val="0000FF"/>
          <w:sz w:val="22"/>
          <w:szCs w:val="22"/>
          <w:u w:val="single"/>
        </w:rPr>
        <w:t xml:space="preserve"> del CERV</w:t>
      </w:r>
      <w:r>
        <w:rPr>
          <w:color w:val="0000FF"/>
          <w:sz w:val="22"/>
          <w:szCs w:val="22"/>
          <w:u w:val="single"/>
        </w:rPr>
        <w:fldChar w:fldCharType="end"/>
      </w:r>
    </w:p>
    <w:p w:rsidR="00C9331E" w:rsidRDefault="00C9331E" w:rsidP="00C9331E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29">
        <w:proofErr w:type="spellStart"/>
        <w:r>
          <w:rPr>
            <w:color w:val="0000FF"/>
            <w:sz w:val="22"/>
            <w:szCs w:val="22"/>
            <w:u w:val="single"/>
          </w:rPr>
          <w:t>Dirección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General de </w:t>
        </w:r>
        <w:proofErr w:type="spellStart"/>
        <w:r>
          <w:rPr>
            <w:color w:val="0000FF"/>
            <w:sz w:val="22"/>
            <w:szCs w:val="22"/>
            <w:u w:val="single"/>
          </w:rPr>
          <w:t>Justicia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y </w:t>
        </w:r>
        <w:proofErr w:type="spellStart"/>
        <w:r>
          <w:rPr>
            <w:color w:val="0000FF"/>
            <w:sz w:val="22"/>
            <w:szCs w:val="22"/>
            <w:u w:val="single"/>
          </w:rPr>
          <w:t>Consumidores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de la </w:t>
        </w:r>
        <w:proofErr w:type="spellStart"/>
        <w:r>
          <w:rPr>
            <w:color w:val="0000FF"/>
            <w:sz w:val="22"/>
            <w:szCs w:val="22"/>
            <w:u w:val="single"/>
          </w:rPr>
          <w:t>Comisión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Europea</w:t>
        </w:r>
      </w:hyperlink>
    </w:p>
    <w:p w:rsidR="00C9331E" w:rsidRDefault="00C9331E" w:rsidP="00C9331E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0">
        <w:proofErr w:type="spellStart"/>
        <w:r>
          <w:rPr>
            <w:color w:val="1155CC"/>
            <w:sz w:val="22"/>
            <w:szCs w:val="22"/>
            <w:u w:val="single"/>
          </w:rPr>
          <w:t>Estadísticas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del </w:t>
        </w:r>
        <w:proofErr w:type="spellStart"/>
        <w:r>
          <w:rPr>
            <w:color w:val="1155CC"/>
            <w:sz w:val="22"/>
            <w:szCs w:val="22"/>
            <w:u w:val="single"/>
          </w:rPr>
          <w:t>programa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CERV</w:t>
        </w:r>
      </w:hyperlink>
    </w:p>
    <w:p w:rsidR="00C9331E" w:rsidRDefault="00C9331E" w:rsidP="00C9331E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1">
        <w:proofErr w:type="spellStart"/>
        <w:r>
          <w:rPr>
            <w:color w:val="1155CC"/>
            <w:sz w:val="22"/>
            <w:szCs w:val="22"/>
            <w:u w:val="single"/>
          </w:rPr>
          <w:t>Informes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anuales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sobre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gramStart"/>
        <w:r>
          <w:rPr>
            <w:color w:val="1155CC"/>
            <w:sz w:val="22"/>
            <w:szCs w:val="22"/>
            <w:u w:val="single"/>
          </w:rPr>
          <w:t xml:space="preserve">la </w:t>
        </w:r>
        <w:proofErr w:type="spellStart"/>
        <w:proofErr w:type="gramEnd"/>
        <w:r>
          <w:rPr>
            <w:color w:val="1155CC"/>
            <w:sz w:val="22"/>
            <w:szCs w:val="22"/>
            <w:u w:val="single"/>
          </w:rPr>
          <w:t>aplicación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de la Carta</w:t>
        </w:r>
      </w:hyperlink>
    </w:p>
    <w:p w:rsidR="00C9331E" w:rsidRDefault="00C9331E" w:rsidP="00C9331E">
      <w:pPr>
        <w:spacing w:line="276" w:lineRule="auto"/>
        <w:ind w:left="720"/>
        <w:rPr>
          <w:rFonts w:ascii="Quattrocento Sans" w:eastAsia="Quattrocento Sans" w:hAnsi="Quattrocento Sans" w:cs="Quattrocento Sans"/>
          <w:sz w:val="22"/>
          <w:szCs w:val="22"/>
        </w:rPr>
      </w:pPr>
    </w:p>
    <w:p w:rsidR="00C9331E" w:rsidRDefault="00C9331E" w:rsidP="00C9331E">
      <w:pPr>
        <w:spacing w:after="200" w:line="276" w:lineRule="auto"/>
        <w:rPr>
          <w:color w:val="FF0000"/>
          <w:sz w:val="22"/>
          <w:szCs w:val="22"/>
        </w:rPr>
      </w:pPr>
    </w:p>
    <w:p w:rsidR="00C9331E" w:rsidRDefault="00C9331E" w:rsidP="00C9331E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sz w:val="21"/>
          <w:szCs w:val="21"/>
        </w:rPr>
      </w:pPr>
    </w:p>
    <w:p w:rsidR="00C9331E" w:rsidRDefault="00C9331E" w:rsidP="00C9331E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C9331E" w:rsidRDefault="00C9331E" w:rsidP="00C9331E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C9331E" w:rsidRDefault="00C9331E" w:rsidP="00C9331E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C9331E" w:rsidRDefault="00C9331E" w:rsidP="00C9331E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C9331E" w:rsidRDefault="00C9331E" w:rsidP="00C9331E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C9331E" w:rsidRDefault="00C9331E" w:rsidP="00C9331E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C9331E" w:rsidRDefault="00C9331E" w:rsidP="00C9331E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C010BF" w:rsidRPr="00C9331E" w:rsidRDefault="00C010BF" w:rsidP="00C9331E">
      <w:bookmarkStart w:id="3" w:name="_GoBack"/>
      <w:bookmarkEnd w:id="3"/>
    </w:p>
    <w:sectPr w:rsidR="00C010BF" w:rsidRPr="00C9331E" w:rsidSect="00C1655C">
      <w:headerReference w:type="default" r:id="rId32"/>
      <w:footerReference w:type="default" r:id="rId33"/>
      <w:pgSz w:w="11906" w:h="16838"/>
      <w:pgMar w:top="3402" w:right="851" w:bottom="851" w:left="1021" w:header="1020" w:footer="5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A7" w:rsidRDefault="00E110A7" w:rsidP="004E0E93">
      <w:r>
        <w:separator/>
      </w:r>
    </w:p>
  </w:endnote>
  <w:endnote w:type="continuationSeparator" w:id="0">
    <w:p w:rsidR="00E110A7" w:rsidRDefault="00E110A7" w:rsidP="004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HTF Book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Open Sans">
    <w:altName w:val="Times New Roman"/>
    <w:charset w:val="00"/>
    <w:family w:val="auto"/>
    <w:pitch w:val="default"/>
  </w:font>
  <w:font w:name="Gotham HTF Medium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5C" w:rsidRDefault="00C1655C">
    <w:pPr>
      <w:pStyle w:val="Pidipagina"/>
    </w:pPr>
    <w:r>
      <w:rPr>
        <w:noProof/>
        <w:lang w:eastAsia="it-IT"/>
      </w:rPr>
      <w:drawing>
        <wp:inline distT="0" distB="0" distL="0" distR="0">
          <wp:extent cx="6362700" cy="1219200"/>
          <wp:effectExtent l="0" t="0" r="0" b="0"/>
          <wp:docPr id="6009889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88948" name="Immagine 600988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E93" w:rsidRDefault="004E0E93" w:rsidP="00BB49C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A7" w:rsidRDefault="00E110A7" w:rsidP="004E0E93">
      <w:r>
        <w:separator/>
      </w:r>
    </w:p>
  </w:footnote>
  <w:footnote w:type="continuationSeparator" w:id="0">
    <w:p w:rsidR="00E110A7" w:rsidRDefault="00E110A7" w:rsidP="004E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93" w:rsidRDefault="008F7902" w:rsidP="002C13BE">
    <w:pPr>
      <w:pStyle w:val="Intestazione"/>
    </w:pPr>
    <w:r>
      <w:rPr>
        <w:noProof/>
        <w:lang w:eastAsia="it-IT"/>
      </w:rPr>
      <w:drawing>
        <wp:inline distT="0" distB="0" distL="0" distR="0">
          <wp:extent cx="472440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7B4"/>
    <w:multiLevelType w:val="multilevel"/>
    <w:tmpl w:val="6C4AB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FF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79E60CE"/>
    <w:multiLevelType w:val="multilevel"/>
    <w:tmpl w:val="09C896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B543A22"/>
    <w:multiLevelType w:val="multilevel"/>
    <w:tmpl w:val="B4EEC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F7"/>
    <w:rsid w:val="00046DF7"/>
    <w:rsid w:val="00052194"/>
    <w:rsid w:val="00092A49"/>
    <w:rsid w:val="000F36AA"/>
    <w:rsid w:val="00130636"/>
    <w:rsid w:val="001D6DA1"/>
    <w:rsid w:val="00223C4B"/>
    <w:rsid w:val="0026241B"/>
    <w:rsid w:val="002C13BE"/>
    <w:rsid w:val="002D0142"/>
    <w:rsid w:val="002D0F71"/>
    <w:rsid w:val="003603B0"/>
    <w:rsid w:val="003A342E"/>
    <w:rsid w:val="003D5290"/>
    <w:rsid w:val="004109DA"/>
    <w:rsid w:val="004E0E93"/>
    <w:rsid w:val="004F01BB"/>
    <w:rsid w:val="005161CD"/>
    <w:rsid w:val="005848FB"/>
    <w:rsid w:val="005A67DB"/>
    <w:rsid w:val="005C17DC"/>
    <w:rsid w:val="00601A3E"/>
    <w:rsid w:val="006230C9"/>
    <w:rsid w:val="006D3352"/>
    <w:rsid w:val="006E69AF"/>
    <w:rsid w:val="00706E1C"/>
    <w:rsid w:val="00741CB1"/>
    <w:rsid w:val="0078665C"/>
    <w:rsid w:val="008768F7"/>
    <w:rsid w:val="008F7902"/>
    <w:rsid w:val="00A61915"/>
    <w:rsid w:val="00AA16EF"/>
    <w:rsid w:val="00B12B71"/>
    <w:rsid w:val="00BB49C9"/>
    <w:rsid w:val="00C010BF"/>
    <w:rsid w:val="00C056E7"/>
    <w:rsid w:val="00C1655C"/>
    <w:rsid w:val="00C246A9"/>
    <w:rsid w:val="00C4102E"/>
    <w:rsid w:val="00C840DD"/>
    <w:rsid w:val="00C9331E"/>
    <w:rsid w:val="00CE4CC2"/>
    <w:rsid w:val="00CF7BAE"/>
    <w:rsid w:val="00D01675"/>
    <w:rsid w:val="00D41FB9"/>
    <w:rsid w:val="00D55054"/>
    <w:rsid w:val="00DA178F"/>
    <w:rsid w:val="00DA3161"/>
    <w:rsid w:val="00DD1E15"/>
    <w:rsid w:val="00E110A7"/>
    <w:rsid w:val="00E203D4"/>
    <w:rsid w:val="00E2294B"/>
    <w:rsid w:val="00E77BF8"/>
    <w:rsid w:val="00EE0FC6"/>
    <w:rsid w:val="00F37E73"/>
    <w:rsid w:val="00F45B97"/>
    <w:rsid w:val="00F571D8"/>
    <w:rsid w:val="00F701F5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opa.eu/eurobarometer/surveys/detail/3216" TargetMode="External"/><Relationship Id="rId18" Type="http://schemas.openxmlformats.org/officeDocument/2006/relationships/hyperlink" Target="https://commission.europa.eu/strategy-and-policy/eu-budget/performance-and-reporting/programme-performance-statements/citizens-equality-rights-and-values-programme-performance_en%23mff-2014-2020--rights-equality-and-citizenship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mission.europa.eu/funding-tenders/find-funding/eu-funding-programmes/citizens-equality-rights-and-values-programme/citizens-equality-rights-and-values-programme-overview/cerv-national-contact-points_en?prefLang=es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uropa.eu/eurobarometer/api/deliverable/download/file?deliverableId=89835" TargetMode="External"/><Relationship Id="rId17" Type="http://schemas.openxmlformats.org/officeDocument/2006/relationships/hyperlink" Target="https://ec.europa.eu/info/funding-tenders/opportunities/portal/screen/programmes/cerv" TargetMode="External"/><Relationship Id="rId25" Type="http://schemas.openxmlformats.org/officeDocument/2006/relationships/hyperlink" Target="https://ec.europa.eu/newsroom/just/user-subscriptions/1148/create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portal/screen/home" TargetMode="External"/><Relationship Id="rId20" Type="http://schemas.openxmlformats.org/officeDocument/2006/relationships/hyperlink" Target="https://ec.europa.eu/info/funding-tenders/opportunities/portal/screen/programmes/cerv" TargetMode="External"/><Relationship Id="rId29" Type="http://schemas.openxmlformats.org/officeDocument/2006/relationships/hyperlink" Target="https://commission.europa.eu/about-european-commission/departments-and-executive-agencies/justice-and-consumers/justice-and-consumers-funding-tenders/funding-programmes/citizens-equality-rights-and-values-programme_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ES/TXT/HTML/?uri=CELEX:52022DC0716" TargetMode="External"/><Relationship Id="rId24" Type="http://schemas.openxmlformats.org/officeDocument/2006/relationships/hyperlink" Target="https://commission.europa.eu/system/files/2022-12/indicativeplanningcerv2023-24calls-final.pdf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europa.eu/eurobarometer/surveys/detail/3216" TargetMode="External"/><Relationship Id="rId23" Type="http://schemas.openxmlformats.org/officeDocument/2006/relationships/hyperlink" Target="https://commission.europa.eu/system/files/2022-12/c_2022_8588_1_en_annexe_acte_autonome_cp_part1_v2.pdf" TargetMode="External"/><Relationship Id="rId28" Type="http://schemas.openxmlformats.org/officeDocument/2006/relationships/hyperlink" Target="mailto:EACEA-CERV@ec.europa.eu" TargetMode="External"/><Relationship Id="rId10" Type="http://schemas.openxmlformats.org/officeDocument/2006/relationships/hyperlink" Target="https://www.cultura.gob.es/cultura/areas/cooperacion/mc/pec/nuevo-programa-cerv.html" TargetMode="External"/><Relationship Id="rId19" Type="http://schemas.openxmlformats.org/officeDocument/2006/relationships/hyperlink" Target="https://scoreproject.net/" TargetMode="External"/><Relationship Id="rId31" Type="http://schemas.openxmlformats.org/officeDocument/2006/relationships/hyperlink" Target="https://commission.europa.eu/aid-development-cooperation-fundamental-rights/your-rights-eu/eu-charter-fundamental-rights/application-charter/annual-reports-application-charter_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uropa.eu/cerv-programme" TargetMode="External"/><Relationship Id="rId14" Type="http://schemas.openxmlformats.org/officeDocument/2006/relationships/hyperlink" Target="https://commission.europa.eu/aid-development-cooperation-fundamental-rights/your-rights-eu/eu-charter-fundamental-rights/application-charter/annual-reports-application-charter_es" TargetMode="External"/><Relationship Id="rId22" Type="http://schemas.openxmlformats.org/officeDocument/2006/relationships/hyperlink" Target="https://commission.europa.eu/about-european-commission/departments-and-executive-agencies/justice-and-consumers/justice-and-consumers-funding-tenders/funding-programmes/citizens-equality-rights-and-values-programme_es" TargetMode="External"/><Relationship Id="rId27" Type="http://schemas.openxmlformats.org/officeDocument/2006/relationships/hyperlink" Target="mailto:EC-CERV-CALLS@ec.europa.eu" TargetMode="External"/><Relationship Id="rId30" Type="http://schemas.openxmlformats.org/officeDocument/2006/relationships/hyperlink" Target="https://commission.europa.eu/strategy-and-policy/eu-budget/performance-and-reporting/programme-performance-statements/citizens-equality-rights-and-values-programme-performance_en?prefLang=es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05E85D-B65F-47FE-BD13-BC6E7816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2024-10-15T11:32:00Z</cp:lastPrinted>
  <dcterms:created xsi:type="dcterms:W3CDTF">2023-06-09T14:55:00Z</dcterms:created>
  <dcterms:modified xsi:type="dcterms:W3CDTF">2024-10-15T11:32:00Z</dcterms:modified>
</cp:coreProperties>
</file>