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5C3B" w14:textId="77777777" w:rsidR="005321FD" w:rsidRDefault="005321FD" w:rsidP="00DC7299">
      <w:pPr>
        <w:widowControl w:val="0"/>
        <w:autoSpaceDE w:val="0"/>
        <w:autoSpaceDN w:val="0"/>
        <w:adjustRightInd w:val="0"/>
        <w:spacing w:line="226" w:lineRule="exact"/>
        <w:ind w:left="-142"/>
        <w:rPr>
          <w:b/>
          <w:bCs/>
          <w:sz w:val="22"/>
          <w:szCs w:val="22"/>
        </w:rPr>
      </w:pPr>
    </w:p>
    <w:p w14:paraId="7C8D8FE5" w14:textId="06A54715" w:rsidR="00DC7299" w:rsidRPr="00DC7299" w:rsidRDefault="00DC7299" w:rsidP="00DC7299">
      <w:pPr>
        <w:widowControl w:val="0"/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Public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Limited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Liability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Company ŽEMAITIJOS PIENAS</w:t>
      </w:r>
    </w:p>
    <w:p w14:paraId="5DD62C91" w14:textId="77777777" w:rsidR="00DC7299" w:rsidRPr="00DC7299" w:rsidRDefault="00DC7299" w:rsidP="00DC7299">
      <w:pPr>
        <w:widowControl w:val="0"/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Registered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office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>: Sedos g. 35, Telšiai, LT-87101</w:t>
      </w:r>
    </w:p>
    <w:p w14:paraId="7C78918F" w14:textId="77777777" w:rsidR="00DC7299" w:rsidRPr="00DC7299" w:rsidRDefault="00DC7299" w:rsidP="00DC7299">
      <w:pPr>
        <w:widowControl w:val="0"/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b/>
          <w:bCs/>
          <w:sz w:val="20"/>
          <w:szCs w:val="20"/>
        </w:rPr>
      </w:pPr>
      <w:r w:rsidRPr="00DC7299">
        <w:rPr>
          <w:rFonts w:ascii="Arial" w:hAnsi="Arial" w:cs="Arial"/>
          <w:b/>
          <w:bCs/>
          <w:sz w:val="20"/>
          <w:szCs w:val="20"/>
        </w:rPr>
        <w:t xml:space="preserve">Company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code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180240752, VAT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payer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code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LT802407515</w:t>
      </w:r>
    </w:p>
    <w:p w14:paraId="387527D1" w14:textId="77777777" w:rsidR="00DC7299" w:rsidRPr="00DC7299" w:rsidRDefault="00DC7299" w:rsidP="00DC7299">
      <w:pPr>
        <w:widowControl w:val="0"/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b/>
          <w:bCs/>
          <w:sz w:val="20"/>
          <w:szCs w:val="20"/>
        </w:rPr>
      </w:pPr>
      <w:r w:rsidRPr="00DC7299">
        <w:rPr>
          <w:rFonts w:ascii="Arial" w:hAnsi="Arial" w:cs="Arial"/>
          <w:b/>
          <w:bCs/>
          <w:sz w:val="20"/>
          <w:szCs w:val="20"/>
        </w:rPr>
        <w:t xml:space="preserve">Data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collected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stored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in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Register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Legal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Entities</w:t>
      </w:r>
      <w:proofErr w:type="spellEnd"/>
    </w:p>
    <w:p w14:paraId="018542FD" w14:textId="77777777" w:rsidR="00DC7299" w:rsidRPr="00DC7299" w:rsidRDefault="00DC7299" w:rsidP="00DC7299">
      <w:pPr>
        <w:widowControl w:val="0"/>
        <w:autoSpaceDE w:val="0"/>
        <w:autoSpaceDN w:val="0"/>
        <w:adjustRightInd w:val="0"/>
        <w:spacing w:line="226" w:lineRule="exact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679104" w14:textId="77777777" w:rsidR="00DC7299" w:rsidRPr="00DC7299" w:rsidRDefault="00DC7299" w:rsidP="00DC7299">
      <w:pPr>
        <w:widowControl w:val="0"/>
        <w:autoSpaceDE w:val="0"/>
        <w:autoSpaceDN w:val="0"/>
        <w:adjustRightInd w:val="0"/>
        <w:spacing w:line="226" w:lineRule="exact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DC7299">
        <w:rPr>
          <w:rFonts w:ascii="Arial" w:hAnsi="Arial" w:cs="Arial"/>
          <w:b/>
          <w:bCs/>
          <w:sz w:val="20"/>
          <w:szCs w:val="20"/>
        </w:rPr>
        <w:t>GENERAL BALLOT PAPER</w:t>
      </w:r>
    </w:p>
    <w:p w14:paraId="50332DA1" w14:textId="77777777" w:rsidR="00DC7299" w:rsidRPr="00DC7299" w:rsidRDefault="00DC7299" w:rsidP="00DC7299">
      <w:pPr>
        <w:widowControl w:val="0"/>
        <w:autoSpaceDE w:val="0"/>
        <w:autoSpaceDN w:val="0"/>
        <w:adjustRightInd w:val="0"/>
        <w:spacing w:line="226" w:lineRule="exact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for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Annual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General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Meeting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Shareholders</w:t>
      </w:r>
      <w:proofErr w:type="spellEnd"/>
    </w:p>
    <w:p w14:paraId="566A6383" w14:textId="77777777" w:rsidR="00DC7299" w:rsidRPr="00DC7299" w:rsidRDefault="00DC7299" w:rsidP="00DC7299">
      <w:pPr>
        <w:widowControl w:val="0"/>
        <w:autoSpaceDE w:val="0"/>
        <w:autoSpaceDN w:val="0"/>
        <w:adjustRightInd w:val="0"/>
        <w:spacing w:line="226" w:lineRule="exact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on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29 </w:t>
      </w:r>
      <w:proofErr w:type="spellStart"/>
      <w:r w:rsidRPr="00DC7299">
        <w:rPr>
          <w:rFonts w:ascii="Arial" w:hAnsi="Arial" w:cs="Arial"/>
          <w:b/>
          <w:bCs/>
          <w:sz w:val="20"/>
          <w:szCs w:val="20"/>
        </w:rPr>
        <w:t>April</w:t>
      </w:r>
      <w:proofErr w:type="spellEnd"/>
      <w:r w:rsidRPr="00DC7299">
        <w:rPr>
          <w:rFonts w:ascii="Arial" w:hAnsi="Arial" w:cs="Arial"/>
          <w:b/>
          <w:bCs/>
          <w:sz w:val="20"/>
          <w:szCs w:val="20"/>
        </w:rPr>
        <w:t xml:space="preserve"> 2025</w:t>
      </w:r>
    </w:p>
    <w:p w14:paraId="41111C2F" w14:textId="77777777" w:rsidR="00D21085" w:rsidRPr="007C1CBD" w:rsidRDefault="00D21085" w:rsidP="00D21085">
      <w:pPr>
        <w:widowControl w:val="0"/>
        <w:autoSpaceDE w:val="0"/>
        <w:autoSpaceDN w:val="0"/>
        <w:adjustRightInd w:val="0"/>
        <w:spacing w:line="226" w:lineRule="exact"/>
        <w:jc w:val="center"/>
        <w:rPr>
          <w:rFonts w:ascii="Arial" w:hAnsi="Arial" w:cs="Arial"/>
          <w:sz w:val="20"/>
          <w:szCs w:val="20"/>
        </w:rPr>
      </w:pPr>
    </w:p>
    <w:p w14:paraId="48731DE0" w14:textId="77777777" w:rsidR="005321FD" w:rsidRPr="007C1CBD" w:rsidRDefault="005321FD" w:rsidP="00D21085">
      <w:pPr>
        <w:widowControl w:val="0"/>
        <w:autoSpaceDE w:val="0"/>
        <w:autoSpaceDN w:val="0"/>
        <w:adjustRightInd w:val="0"/>
        <w:spacing w:line="226" w:lineRule="exact"/>
        <w:jc w:val="center"/>
        <w:rPr>
          <w:rFonts w:ascii="Arial" w:hAnsi="Arial" w:cs="Arial"/>
          <w:sz w:val="20"/>
          <w:szCs w:val="20"/>
        </w:rPr>
      </w:pPr>
    </w:p>
    <w:p w14:paraId="3A46618E" w14:textId="77777777" w:rsidR="00DC7299" w:rsidRDefault="00DC7299" w:rsidP="007C1C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sz w:val="20"/>
          <w:szCs w:val="20"/>
        </w:rPr>
      </w:pPr>
      <w:proofErr w:type="spellStart"/>
      <w:r w:rsidRPr="00DC7299">
        <w:rPr>
          <w:rFonts w:ascii="Arial" w:hAnsi="Arial" w:cs="Arial"/>
          <w:sz w:val="20"/>
          <w:szCs w:val="20"/>
        </w:rPr>
        <w:t>Shareholder’s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name, </w:t>
      </w:r>
      <w:proofErr w:type="spellStart"/>
      <w:r w:rsidRPr="00DC7299">
        <w:rPr>
          <w:rFonts w:ascii="Arial" w:hAnsi="Arial" w:cs="Arial"/>
          <w:sz w:val="20"/>
          <w:szCs w:val="20"/>
        </w:rPr>
        <w:t>surname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(name </w:t>
      </w:r>
      <w:proofErr w:type="spellStart"/>
      <w:r w:rsidRPr="00DC7299">
        <w:rPr>
          <w:rFonts w:ascii="Arial" w:hAnsi="Arial" w:cs="Arial"/>
          <w:sz w:val="20"/>
          <w:szCs w:val="20"/>
        </w:rPr>
        <w:t>of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legal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entity</w:t>
      </w:r>
      <w:proofErr w:type="spellEnd"/>
      <w:r w:rsidRPr="00DC7299">
        <w:rPr>
          <w:rFonts w:ascii="Arial" w:hAnsi="Arial" w:cs="Arial"/>
          <w:sz w:val="20"/>
          <w:szCs w:val="20"/>
        </w:rPr>
        <w:t>)</w:t>
      </w:r>
    </w:p>
    <w:p w14:paraId="1C179AFB" w14:textId="77777777" w:rsidR="00DC7299" w:rsidRDefault="00DC7299" w:rsidP="007C1C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sz w:val="20"/>
          <w:szCs w:val="20"/>
        </w:rPr>
      </w:pPr>
    </w:p>
    <w:p w14:paraId="61D525AF" w14:textId="3919567C" w:rsidR="00D21085" w:rsidRPr="007C1CBD" w:rsidRDefault="00D21085" w:rsidP="007C1C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sz w:val="20"/>
          <w:szCs w:val="20"/>
        </w:rPr>
      </w:pPr>
      <w:r w:rsidRPr="007C1CBD">
        <w:rPr>
          <w:rFonts w:ascii="Arial" w:hAnsi="Arial" w:cs="Arial"/>
          <w:sz w:val="20"/>
          <w:szCs w:val="20"/>
        </w:rPr>
        <w:t>…………</w:t>
      </w:r>
      <w:r w:rsidR="00DC7299">
        <w:rPr>
          <w:rFonts w:ascii="Arial" w:hAnsi="Arial" w:cs="Arial"/>
          <w:sz w:val="20"/>
          <w:szCs w:val="20"/>
        </w:rPr>
        <w:t>...................</w:t>
      </w:r>
      <w:r w:rsidRPr="007C1CBD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49139340" w14:textId="77777777" w:rsidR="00D21085" w:rsidRPr="007C1CBD" w:rsidRDefault="00D21085" w:rsidP="007C1CBD">
      <w:pPr>
        <w:widowControl w:val="0"/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sz w:val="20"/>
          <w:szCs w:val="20"/>
        </w:rPr>
      </w:pPr>
    </w:p>
    <w:p w14:paraId="429DE213" w14:textId="77777777" w:rsidR="00DC7299" w:rsidRDefault="00DC7299" w:rsidP="007C1C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sz w:val="20"/>
          <w:szCs w:val="20"/>
        </w:rPr>
      </w:pPr>
      <w:proofErr w:type="spellStart"/>
      <w:r w:rsidRPr="00DC7299">
        <w:rPr>
          <w:rFonts w:ascii="Arial" w:hAnsi="Arial" w:cs="Arial"/>
          <w:sz w:val="20"/>
          <w:szCs w:val="20"/>
        </w:rPr>
        <w:t>Shareholder’s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personal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code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C7299">
        <w:rPr>
          <w:rFonts w:ascii="Arial" w:hAnsi="Arial" w:cs="Arial"/>
          <w:sz w:val="20"/>
          <w:szCs w:val="20"/>
        </w:rPr>
        <w:t>company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code)</w:t>
      </w:r>
    </w:p>
    <w:p w14:paraId="4235CE62" w14:textId="77777777" w:rsidR="00DC7299" w:rsidRDefault="00DC7299" w:rsidP="007C1C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sz w:val="20"/>
          <w:szCs w:val="20"/>
        </w:rPr>
      </w:pPr>
    </w:p>
    <w:p w14:paraId="49E824C0" w14:textId="3DF6DAD4" w:rsidR="00D21085" w:rsidRPr="007C1CBD" w:rsidRDefault="00D21085" w:rsidP="007C1C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sz w:val="20"/>
          <w:szCs w:val="20"/>
        </w:rPr>
      </w:pPr>
      <w:r w:rsidRPr="007C1CBD">
        <w:rPr>
          <w:rFonts w:ascii="Arial" w:hAnsi="Arial" w:cs="Arial"/>
          <w:sz w:val="20"/>
          <w:szCs w:val="20"/>
        </w:rPr>
        <w:t>……………………………………................................................................................................................</w:t>
      </w:r>
    </w:p>
    <w:p w14:paraId="69D6A640" w14:textId="77777777" w:rsidR="00D21085" w:rsidRPr="007C1CBD" w:rsidRDefault="00D21085" w:rsidP="007C1CBD">
      <w:pPr>
        <w:widowControl w:val="0"/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sz w:val="20"/>
          <w:szCs w:val="20"/>
        </w:rPr>
      </w:pPr>
    </w:p>
    <w:p w14:paraId="6AB4D08C" w14:textId="021E3E9E" w:rsidR="00D21085" w:rsidRPr="007C1CBD" w:rsidRDefault="00DC7299" w:rsidP="007C1C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120" w:line="226" w:lineRule="exact"/>
        <w:ind w:left="-142"/>
        <w:rPr>
          <w:rFonts w:ascii="Arial" w:hAnsi="Arial" w:cs="Arial"/>
          <w:sz w:val="20"/>
          <w:szCs w:val="20"/>
        </w:rPr>
      </w:pPr>
      <w:proofErr w:type="spellStart"/>
      <w:r w:rsidRPr="00DC7299">
        <w:rPr>
          <w:rFonts w:ascii="Arial" w:hAnsi="Arial" w:cs="Arial"/>
          <w:sz w:val="20"/>
          <w:szCs w:val="20"/>
        </w:rPr>
        <w:t>Number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of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shares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held</w:t>
      </w:r>
      <w:proofErr w:type="spellEnd"/>
      <w:r w:rsidR="00D21085" w:rsidRPr="007C1CBD">
        <w:rPr>
          <w:rFonts w:ascii="Arial" w:hAnsi="Arial" w:cs="Arial"/>
          <w:sz w:val="20"/>
          <w:szCs w:val="20"/>
        </w:rPr>
        <w:t xml:space="preserve"> </w:t>
      </w:r>
    </w:p>
    <w:p w14:paraId="35B168E5" w14:textId="51E86787" w:rsidR="00D21085" w:rsidRPr="007C1CBD" w:rsidRDefault="00D21085" w:rsidP="007C1C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sz w:val="20"/>
          <w:szCs w:val="20"/>
        </w:rPr>
      </w:pPr>
      <w:bookmarkStart w:id="0" w:name="_Hlk163048608"/>
      <w:bookmarkStart w:id="1" w:name="_Hlk163047964"/>
      <w:r w:rsidRPr="007C1CBD">
        <w:rPr>
          <w:rFonts w:ascii="Arial" w:hAnsi="Arial" w:cs="Arial"/>
          <w:sz w:val="20"/>
          <w:szCs w:val="20"/>
        </w:rPr>
        <w:t>……………………………………………................................................................................................................</w:t>
      </w:r>
      <w:bookmarkEnd w:id="0"/>
    </w:p>
    <w:bookmarkEnd w:id="1"/>
    <w:p w14:paraId="7211F174" w14:textId="77777777" w:rsidR="00D21085" w:rsidRPr="007C1CBD" w:rsidRDefault="00D21085" w:rsidP="007C1CBD">
      <w:pPr>
        <w:widowControl w:val="0"/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sz w:val="20"/>
          <w:szCs w:val="20"/>
        </w:rPr>
      </w:pPr>
    </w:p>
    <w:p w14:paraId="3568EE4B" w14:textId="1A81EE5C" w:rsidR="00D21085" w:rsidRPr="007C1CBD" w:rsidRDefault="00DC7299" w:rsidP="007C1C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120" w:line="226" w:lineRule="exact"/>
        <w:ind w:left="-142"/>
        <w:rPr>
          <w:rFonts w:ascii="Arial" w:hAnsi="Arial" w:cs="Arial"/>
          <w:sz w:val="20"/>
          <w:szCs w:val="20"/>
        </w:rPr>
      </w:pPr>
      <w:proofErr w:type="spellStart"/>
      <w:r w:rsidRPr="00DC7299">
        <w:rPr>
          <w:rFonts w:ascii="Arial" w:hAnsi="Arial" w:cs="Arial"/>
          <w:sz w:val="20"/>
          <w:szCs w:val="20"/>
        </w:rPr>
        <w:t>Number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of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votes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held</w:t>
      </w:r>
      <w:proofErr w:type="spellEnd"/>
    </w:p>
    <w:p w14:paraId="54E68B71" w14:textId="5D498F54" w:rsidR="007C3523" w:rsidRPr="007C1CBD" w:rsidRDefault="00F5792D" w:rsidP="007C1C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120" w:line="226" w:lineRule="exact"/>
        <w:ind w:left="-142"/>
        <w:rPr>
          <w:rFonts w:ascii="Arial" w:hAnsi="Arial" w:cs="Arial"/>
          <w:sz w:val="20"/>
          <w:szCs w:val="20"/>
          <w:u w:val="single"/>
        </w:rPr>
      </w:pPr>
      <w:r w:rsidRPr="007C1CBD">
        <w:rPr>
          <w:rFonts w:ascii="Arial" w:hAnsi="Arial" w:cs="Arial"/>
          <w:sz w:val="20"/>
          <w:szCs w:val="20"/>
          <w:u w:val="single"/>
        </w:rPr>
        <w:t>……………………………………………................................................................................................................</w:t>
      </w:r>
    </w:p>
    <w:p w14:paraId="01D8AF60" w14:textId="48EC83EB" w:rsidR="00D21085" w:rsidRPr="007C1CBD" w:rsidRDefault="00DC7299" w:rsidP="007C1C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120" w:line="226" w:lineRule="exact"/>
        <w:ind w:left="-142"/>
        <w:rPr>
          <w:rFonts w:ascii="Arial" w:hAnsi="Arial" w:cs="Arial"/>
          <w:sz w:val="20"/>
          <w:szCs w:val="20"/>
        </w:rPr>
      </w:pPr>
      <w:proofErr w:type="spellStart"/>
      <w:r w:rsidRPr="00DC7299">
        <w:rPr>
          <w:rFonts w:ascii="Arial" w:hAnsi="Arial" w:cs="Arial"/>
          <w:sz w:val="20"/>
          <w:szCs w:val="20"/>
        </w:rPr>
        <w:t>Date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of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completion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of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the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ballot</w:t>
      </w:r>
      <w:proofErr w:type="spellEnd"/>
      <w:r w:rsidRPr="00DC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sz w:val="20"/>
          <w:szCs w:val="20"/>
        </w:rPr>
        <w:t>paper</w:t>
      </w:r>
      <w:proofErr w:type="spellEnd"/>
    </w:p>
    <w:p w14:paraId="70CCA694" w14:textId="7A691722" w:rsidR="00D21085" w:rsidRPr="007C1CBD" w:rsidRDefault="00D21085" w:rsidP="007C1C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sz w:val="20"/>
          <w:szCs w:val="20"/>
        </w:rPr>
      </w:pPr>
      <w:r w:rsidRPr="007C1CBD">
        <w:rPr>
          <w:rFonts w:ascii="Arial" w:hAnsi="Arial" w:cs="Arial"/>
          <w:sz w:val="20"/>
          <w:szCs w:val="20"/>
        </w:rPr>
        <w:t>……………………………………………................................................................................................................</w:t>
      </w:r>
    </w:p>
    <w:p w14:paraId="761F63A6" w14:textId="77777777" w:rsidR="00D21085" w:rsidRPr="007C1CBD" w:rsidRDefault="00D21085" w:rsidP="007C1CBD">
      <w:pPr>
        <w:widowControl w:val="0"/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sz w:val="20"/>
          <w:szCs w:val="20"/>
        </w:rPr>
      </w:pPr>
    </w:p>
    <w:p w14:paraId="60576577" w14:textId="78B3CBDF" w:rsidR="00863BE6" w:rsidRDefault="00DC7299" w:rsidP="007C1CBD">
      <w:pP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b/>
          <w:color w:val="000000"/>
          <w:sz w:val="20"/>
          <w:szCs w:val="20"/>
          <w:u w:val="single"/>
        </w:rPr>
      </w:pPr>
      <w:proofErr w:type="spellStart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>Please</w:t>
      </w:r>
      <w:proofErr w:type="spellEnd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mark </w:t>
      </w:r>
      <w:proofErr w:type="spellStart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>the</w:t>
      </w:r>
      <w:proofErr w:type="spellEnd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>selected</w:t>
      </w:r>
      <w:proofErr w:type="spellEnd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>option</w:t>
      </w:r>
      <w:proofErr w:type="spellEnd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“FOR” </w:t>
      </w:r>
      <w:proofErr w:type="spellStart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>or</w:t>
      </w:r>
      <w:proofErr w:type="spellEnd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“AGAINST” </w:t>
      </w:r>
      <w:proofErr w:type="spellStart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>in</w:t>
      </w:r>
      <w:proofErr w:type="spellEnd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>the</w:t>
      </w:r>
      <w:proofErr w:type="spellEnd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>table</w:t>
      </w:r>
      <w:proofErr w:type="spellEnd"/>
      <w:r w:rsidRPr="00DC7299"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</w:p>
    <w:p w14:paraId="17800966" w14:textId="77777777" w:rsidR="00DC7299" w:rsidRPr="007C1CBD" w:rsidRDefault="00DC7299" w:rsidP="007C1CBD">
      <w:pP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FC1888B" w14:textId="14E507C5" w:rsidR="00863BE6" w:rsidRDefault="00DC7299" w:rsidP="00DC7299">
      <w:pPr>
        <w:autoSpaceDE w:val="0"/>
        <w:autoSpaceDN w:val="0"/>
        <w:adjustRightInd w:val="0"/>
        <w:spacing w:line="226" w:lineRule="exact"/>
        <w:ind w:left="-142"/>
        <w:jc w:val="both"/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Organisational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matters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of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the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meeting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C7299">
        <w:rPr>
          <w:rFonts w:ascii="Arial" w:hAnsi="Arial" w:cs="Arial"/>
          <w:bCs/>
          <w:color w:val="000000"/>
          <w:sz w:val="20"/>
          <w:szCs w:val="20"/>
        </w:rPr>
        <w:t>(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insert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proposed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candidates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or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write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a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dash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if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candidates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(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or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part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thereof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) are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not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proposed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74826F8B" w14:textId="77777777" w:rsidR="00DC7299" w:rsidRPr="007C1CBD" w:rsidRDefault="00DC7299" w:rsidP="007C1CBD">
      <w:pP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bCs/>
          <w:color w:val="000000"/>
          <w:sz w:val="20"/>
          <w:szCs w:val="20"/>
        </w:rPr>
      </w:pPr>
    </w:p>
    <w:p w14:paraId="38477AD2" w14:textId="1FEFB2C1" w:rsidR="00863BE6" w:rsidRDefault="00DC7299" w:rsidP="007C1CBD">
      <w:pP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bCs/>
          <w:color w:val="000000"/>
          <w:sz w:val="20"/>
          <w:szCs w:val="20"/>
        </w:rPr>
      </w:pPr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To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propose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and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vote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“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for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”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the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proposed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candidate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as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Chairperson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of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the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meeting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02F6C3CD" w14:textId="77777777" w:rsidR="00DC7299" w:rsidRPr="007C1CBD" w:rsidRDefault="00DC7299" w:rsidP="007C1CBD">
      <w:pP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bCs/>
          <w:color w:val="000000"/>
          <w:sz w:val="20"/>
          <w:szCs w:val="20"/>
        </w:rPr>
      </w:pPr>
    </w:p>
    <w:p w14:paraId="3A818303" w14:textId="77777777" w:rsidR="00863BE6" w:rsidRPr="007C1CBD" w:rsidRDefault="00863BE6" w:rsidP="007C1CBD">
      <w:pP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7C1CBD">
        <w:rPr>
          <w:rFonts w:ascii="Arial" w:hAnsi="Arial" w:cs="Arial"/>
          <w:bCs/>
          <w:color w:val="000000"/>
          <w:sz w:val="20"/>
          <w:szCs w:val="20"/>
          <w:u w:val="single"/>
        </w:rPr>
        <w:t>………………………………………………………</w:t>
      </w:r>
    </w:p>
    <w:p w14:paraId="7B8DA57C" w14:textId="77777777" w:rsidR="00DC7299" w:rsidRDefault="00DC7299" w:rsidP="007C1CBD">
      <w:pP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bCs/>
          <w:color w:val="000000"/>
          <w:sz w:val="20"/>
          <w:szCs w:val="20"/>
        </w:rPr>
      </w:pPr>
    </w:p>
    <w:p w14:paraId="07E4AA8C" w14:textId="3F1DF6B0" w:rsidR="00863BE6" w:rsidRDefault="00DC7299" w:rsidP="007C1CBD">
      <w:pP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bCs/>
          <w:color w:val="000000"/>
          <w:sz w:val="20"/>
          <w:szCs w:val="20"/>
        </w:rPr>
      </w:pPr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To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propose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and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vote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“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for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”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the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proposed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candidate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as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Secretary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of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the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DC7299">
        <w:rPr>
          <w:rFonts w:ascii="Arial" w:hAnsi="Arial" w:cs="Arial"/>
          <w:bCs/>
          <w:color w:val="000000"/>
          <w:sz w:val="20"/>
          <w:szCs w:val="20"/>
        </w:rPr>
        <w:t>meeting</w:t>
      </w:r>
      <w:proofErr w:type="spellEnd"/>
      <w:r w:rsidRPr="00DC7299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1BD7C143" w14:textId="77777777" w:rsidR="00DC7299" w:rsidRPr="007C1CBD" w:rsidRDefault="00DC7299" w:rsidP="007C1CBD">
      <w:pP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bCs/>
          <w:color w:val="000000"/>
          <w:sz w:val="20"/>
          <w:szCs w:val="20"/>
        </w:rPr>
      </w:pPr>
    </w:p>
    <w:p w14:paraId="07FCA89D" w14:textId="3172019E" w:rsidR="00863BE6" w:rsidRPr="007C1CBD" w:rsidRDefault="00863BE6" w:rsidP="007C1CBD">
      <w:pPr>
        <w:autoSpaceDE w:val="0"/>
        <w:autoSpaceDN w:val="0"/>
        <w:adjustRightInd w:val="0"/>
        <w:spacing w:line="226" w:lineRule="exact"/>
        <w:ind w:left="-142"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7C1CBD">
        <w:rPr>
          <w:rFonts w:ascii="Arial" w:hAnsi="Arial" w:cs="Arial"/>
          <w:bCs/>
          <w:color w:val="000000"/>
          <w:sz w:val="20"/>
          <w:szCs w:val="20"/>
          <w:u w:val="single"/>
        </w:rPr>
        <w:t>………………………………………………………</w:t>
      </w:r>
    </w:p>
    <w:p w14:paraId="5D68B8C9" w14:textId="77777777" w:rsidR="00D21085" w:rsidRPr="007C1CBD" w:rsidRDefault="00D21085" w:rsidP="00D21085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566"/>
        <w:gridCol w:w="1559"/>
        <w:gridCol w:w="6053"/>
        <w:gridCol w:w="596"/>
        <w:gridCol w:w="1007"/>
      </w:tblGrid>
      <w:tr w:rsidR="00D21085" w:rsidRPr="007C1CBD" w14:paraId="183932CA" w14:textId="77777777" w:rsidTr="00DC72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75F8" w14:textId="77777777" w:rsidR="00D21085" w:rsidRPr="007C1CBD" w:rsidRDefault="00D21085" w:rsidP="00863BE6">
            <w:pPr>
              <w:ind w:left="-216" w:firstLine="216"/>
              <w:rPr>
                <w:rFonts w:ascii="Arial" w:hAnsi="Arial" w:cs="Arial"/>
                <w:sz w:val="20"/>
                <w:szCs w:val="20"/>
              </w:rPr>
            </w:pPr>
          </w:p>
          <w:p w14:paraId="5C4FB9BA" w14:textId="2B5B70C5" w:rsidR="00D21085" w:rsidRPr="00DC7299" w:rsidRDefault="00DC7299" w:rsidP="00863BE6">
            <w:pPr>
              <w:ind w:left="-216" w:firstLine="216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729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proofErr w:type="spellEnd"/>
            <w:r w:rsidRPr="00DC729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855" w14:textId="77777777" w:rsidR="00D21085" w:rsidRPr="007C1CBD" w:rsidRDefault="00D210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6D9711" w14:textId="17235C7F" w:rsidR="00D21085" w:rsidRPr="007C1CBD" w:rsidRDefault="00DC729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Agenda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  <w:proofErr w:type="spellEnd"/>
          </w:p>
          <w:p w14:paraId="3849607C" w14:textId="77777777" w:rsidR="00D21085" w:rsidRPr="007C1CBD" w:rsidRDefault="00D21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1CE" w14:textId="77777777" w:rsidR="00D21085" w:rsidRPr="007C1CBD" w:rsidRDefault="00D210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A4718" w14:textId="3038A78C" w:rsidR="00D21085" w:rsidRPr="007C1CBD" w:rsidRDefault="00DC72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Draft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resolution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35EA" w14:textId="77777777" w:rsidR="00D21085" w:rsidRPr="007C1CBD" w:rsidRDefault="00D21085" w:rsidP="00D2108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14:paraId="6FAF35CF" w14:textId="1A7BEC40" w:rsidR="007C0283" w:rsidRPr="007352EC" w:rsidRDefault="00DC7299" w:rsidP="009130DC">
            <w:pPr>
              <w:ind w:lef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352EC">
              <w:rPr>
                <w:rFonts w:ascii="Arial" w:hAnsi="Arial" w:cs="Arial"/>
                <w:b/>
                <w:bCs/>
                <w:sz w:val="20"/>
                <w:szCs w:val="20"/>
              </w:rPr>
              <w:t>Expression</w:t>
            </w:r>
            <w:proofErr w:type="spellEnd"/>
            <w:r w:rsidRPr="007352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52EC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Pr="007352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52EC">
              <w:rPr>
                <w:rFonts w:ascii="Arial" w:hAnsi="Arial" w:cs="Arial"/>
                <w:b/>
                <w:bCs/>
                <w:sz w:val="20"/>
                <w:szCs w:val="20"/>
              </w:rPr>
              <w:t>will</w:t>
            </w:r>
            <w:proofErr w:type="spellEnd"/>
          </w:p>
          <w:p w14:paraId="2FB0444E" w14:textId="77777777" w:rsidR="009130DC" w:rsidRPr="007C1CBD" w:rsidRDefault="009130DC" w:rsidP="007C028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92D" w:rsidRPr="007C1CBD" w14:paraId="1349B5A9" w14:textId="77777777" w:rsidTr="00DC72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29AD" w14:textId="77777777" w:rsidR="00F5792D" w:rsidRPr="007C1CBD" w:rsidRDefault="00F5792D" w:rsidP="00F5792D">
            <w:pPr>
              <w:rPr>
                <w:rFonts w:ascii="Arial" w:hAnsi="Arial" w:cs="Arial"/>
                <w:sz w:val="20"/>
                <w:szCs w:val="20"/>
              </w:rPr>
            </w:pPr>
            <w:r w:rsidRPr="007C1CB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B7D3" w14:textId="0A209221" w:rsidR="00F5792D" w:rsidRPr="007C1CBD" w:rsidRDefault="00DC7299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Auditor’s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Company’s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consolidated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2024.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47AB" w14:textId="77777777" w:rsidR="00DC7299" w:rsidRPr="00DC7299" w:rsidRDefault="00DC7299" w:rsidP="00DC72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auditor’s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consolidated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presented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heard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decision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taken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auditor’s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consolidated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attached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A5FBA8" w14:textId="60DE78E9" w:rsidR="00F5792D" w:rsidRPr="007C1CBD" w:rsidRDefault="00F5792D" w:rsidP="00DC72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4C5A" w14:textId="77777777" w:rsidR="00F5792D" w:rsidRPr="007C1CBD" w:rsidRDefault="00F5792D" w:rsidP="00F579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49E7AE" w14:textId="6CCC598E" w:rsidR="00F5792D" w:rsidRPr="007C1CBD" w:rsidRDefault="00DC7299" w:rsidP="00F579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voted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5792D" w:rsidRPr="007C1CBD" w14:paraId="0AD65481" w14:textId="77777777" w:rsidTr="00DC72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D7C2" w14:textId="77777777" w:rsidR="00F5792D" w:rsidRPr="007C1CBD" w:rsidRDefault="00F5792D" w:rsidP="00F5792D">
            <w:pPr>
              <w:rPr>
                <w:rFonts w:ascii="Arial" w:hAnsi="Arial" w:cs="Arial"/>
                <w:sz w:val="20"/>
                <w:szCs w:val="20"/>
              </w:rPr>
            </w:pPr>
            <w:r w:rsidRPr="007C1CB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C44" w14:textId="4603080E" w:rsidR="00F5792D" w:rsidRPr="007C1CBD" w:rsidRDefault="00DC7299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Approval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Company’s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consolidated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annual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financial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activity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reports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2024.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EC9" w14:textId="199E673D" w:rsidR="00F5792D" w:rsidRPr="007C1CBD" w:rsidRDefault="00DC7299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Company’s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consolidated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annual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financial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statements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set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activity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presented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submitted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published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reviewed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approved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approved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2024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consolidated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annual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financial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statements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Company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annexes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attached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2AB1" w14:textId="29BA24C7" w:rsidR="00F5792D" w:rsidRPr="00DC7299" w:rsidRDefault="00DC7299" w:rsidP="00F579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7299">
              <w:rPr>
                <w:rFonts w:ascii="Arial" w:hAnsi="Arial" w:cs="Arial"/>
                <w:sz w:val="16"/>
                <w:szCs w:val="16"/>
              </w:rPr>
              <w:t>FOR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FCC1" w14:textId="33F42AF6" w:rsidR="00F5792D" w:rsidRPr="00DC7299" w:rsidRDefault="00DC7299" w:rsidP="00F579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7299">
              <w:rPr>
                <w:rFonts w:ascii="Arial" w:hAnsi="Arial" w:cs="Arial"/>
                <w:sz w:val="16"/>
                <w:szCs w:val="16"/>
              </w:rPr>
              <w:t>AGAINST</w:t>
            </w:r>
          </w:p>
        </w:tc>
      </w:tr>
      <w:tr w:rsidR="00F5792D" w:rsidRPr="007C1CBD" w14:paraId="77F67540" w14:textId="77777777" w:rsidTr="00DC7299">
        <w:trPr>
          <w:trHeight w:val="8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8AEA" w14:textId="77777777" w:rsidR="00F5792D" w:rsidRPr="007C1CBD" w:rsidRDefault="00F5792D" w:rsidP="00F5792D">
            <w:pPr>
              <w:rPr>
                <w:rFonts w:ascii="Arial" w:hAnsi="Arial" w:cs="Arial"/>
                <w:sz w:val="20"/>
                <w:szCs w:val="20"/>
              </w:rPr>
            </w:pPr>
            <w:r w:rsidRPr="007C1CBD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9BD" w14:textId="0DED5D62" w:rsidR="00F5792D" w:rsidRPr="007C1CBD" w:rsidRDefault="00DC7299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Approval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Company’s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2024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profit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loss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distribution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2A31" w14:textId="0BF72CD5" w:rsidR="00F5792D" w:rsidRDefault="00DC7299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299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approve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draft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resolution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Board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Company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regarding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2024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profit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loss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distribution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3C2B88" w14:textId="77777777" w:rsidR="00DC7299" w:rsidRPr="007C1CBD" w:rsidRDefault="00DC7299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3786"/>
              <w:gridCol w:w="1133"/>
            </w:tblGrid>
            <w:tr w:rsidR="007C1CBD" w:rsidRPr="007C1CBD" w14:paraId="4AB88070" w14:textId="77777777" w:rsidTr="00DC7299">
              <w:tc>
                <w:tcPr>
                  <w:tcW w:w="910" w:type="dxa"/>
                  <w:shd w:val="clear" w:color="auto" w:fill="auto"/>
                </w:tcPr>
                <w:p w14:paraId="571C8765" w14:textId="6B38A900" w:rsidR="007C1CBD" w:rsidRPr="007C1CBD" w:rsidRDefault="00DC7299" w:rsidP="007C1C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801" w:type="dxa"/>
                  <w:shd w:val="clear" w:color="auto" w:fill="auto"/>
                </w:tcPr>
                <w:p w14:paraId="7C8312B1" w14:textId="79F8D685" w:rsidR="007C1CBD" w:rsidRPr="007C1CBD" w:rsidRDefault="00DC7299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Profit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distribution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items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4B710ACF" w14:textId="6A504539" w:rsidR="007C1CBD" w:rsidRPr="007E2346" w:rsidRDefault="007C1CBD" w:rsidP="00DC729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E2346">
                    <w:rPr>
                      <w:rFonts w:ascii="Arial" w:hAnsi="Arial" w:cs="Arial"/>
                      <w:b/>
                      <w:sz w:val="18"/>
                      <w:szCs w:val="18"/>
                    </w:rPr>
                    <w:t>EUR</w:t>
                  </w:r>
                  <w:r w:rsid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thousand</w:t>
                  </w:r>
                  <w:proofErr w:type="spellEnd"/>
                </w:p>
              </w:tc>
            </w:tr>
            <w:tr w:rsidR="007C1CBD" w:rsidRPr="007C1CBD" w14:paraId="3E19F2E9" w14:textId="77777777" w:rsidTr="00DC7299">
              <w:tc>
                <w:tcPr>
                  <w:tcW w:w="910" w:type="dxa"/>
                  <w:shd w:val="clear" w:color="auto" w:fill="auto"/>
                </w:tcPr>
                <w:p w14:paraId="23242F57" w14:textId="77777777" w:rsidR="007C1CBD" w:rsidRPr="007C1CBD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C1CBD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1" w:type="dxa"/>
                  <w:shd w:val="clear" w:color="auto" w:fill="auto"/>
                </w:tcPr>
                <w:p w14:paraId="3E38F09A" w14:textId="40D6652D" w:rsidR="007C1CBD" w:rsidRPr="007C1CBD" w:rsidRDefault="00DC7299" w:rsidP="007C1C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Retained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earnings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loss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from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previous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financial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years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at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the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end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of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the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reporting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financial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year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29730F2D" w14:textId="57543AE8" w:rsidR="007C1CBD" w:rsidRPr="007E2346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E2346">
                    <w:rPr>
                      <w:rFonts w:ascii="Arial" w:hAnsi="Arial" w:cs="Arial"/>
                      <w:b/>
                      <w:sz w:val="18"/>
                      <w:szCs w:val="18"/>
                    </w:rPr>
                    <w:t>89</w:t>
                  </w:r>
                  <w:r w:rsid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,</w:t>
                  </w:r>
                  <w:r w:rsidRPr="007E2346">
                    <w:rPr>
                      <w:rFonts w:ascii="Arial" w:hAnsi="Arial" w:cs="Arial"/>
                      <w:b/>
                      <w:sz w:val="18"/>
                      <w:szCs w:val="18"/>
                    </w:rPr>
                    <w:t>944</w:t>
                  </w:r>
                </w:p>
              </w:tc>
            </w:tr>
            <w:tr w:rsidR="007C1CBD" w:rsidRPr="007C1CBD" w14:paraId="68872D54" w14:textId="77777777" w:rsidTr="00DC7299">
              <w:tc>
                <w:tcPr>
                  <w:tcW w:w="910" w:type="dxa"/>
                  <w:shd w:val="clear" w:color="auto" w:fill="auto"/>
                </w:tcPr>
                <w:p w14:paraId="0488AC04" w14:textId="77777777" w:rsidR="007C1CBD" w:rsidRPr="007C1CBD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C1CBD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01" w:type="dxa"/>
                  <w:shd w:val="clear" w:color="auto" w:fill="auto"/>
                </w:tcPr>
                <w:p w14:paraId="0A3BC0FD" w14:textId="3E80F416" w:rsidR="007C1CBD" w:rsidRPr="007C1CBD" w:rsidRDefault="00DC7299" w:rsidP="007C1C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Net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profit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loss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of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reporting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financial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year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316771D8" w14:textId="15C20489" w:rsidR="007C1CBD" w:rsidRPr="007E2346" w:rsidRDefault="007C1CBD" w:rsidP="007C1CB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2346"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  <w:r w:rsidR="00DC7299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Pr="007E2346">
                    <w:rPr>
                      <w:rFonts w:ascii="Arial" w:hAnsi="Arial" w:cs="Arial"/>
                      <w:sz w:val="18"/>
                      <w:szCs w:val="18"/>
                    </w:rPr>
                    <w:t>357</w:t>
                  </w:r>
                </w:p>
              </w:tc>
            </w:tr>
            <w:tr w:rsidR="007C1CBD" w:rsidRPr="007C1CBD" w14:paraId="53F9771D" w14:textId="77777777" w:rsidTr="00DC7299">
              <w:trPr>
                <w:trHeight w:val="565"/>
              </w:trPr>
              <w:tc>
                <w:tcPr>
                  <w:tcW w:w="910" w:type="dxa"/>
                  <w:shd w:val="clear" w:color="auto" w:fill="auto"/>
                </w:tcPr>
                <w:p w14:paraId="24E2E2C2" w14:textId="77777777" w:rsidR="007C1CBD" w:rsidRPr="007C1CBD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C1CBD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01" w:type="dxa"/>
                  <w:shd w:val="clear" w:color="auto" w:fill="auto"/>
                </w:tcPr>
                <w:p w14:paraId="2F21EDE4" w14:textId="3EEFC628" w:rsidR="007C1CBD" w:rsidRPr="007C1CBD" w:rsidRDefault="00DC7299" w:rsidP="007C1C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Profit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loss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of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reporting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financial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year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not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recognised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in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profit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loss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statement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–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actuarial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change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43B00D42" w14:textId="35953A24" w:rsidR="007C1CBD" w:rsidRPr="007E2346" w:rsidRDefault="007C1CBD" w:rsidP="007C1CB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2346">
                    <w:rPr>
                      <w:rFonts w:ascii="Arial" w:hAnsi="Arial" w:cs="Arial"/>
                      <w:sz w:val="18"/>
                      <w:szCs w:val="18"/>
                    </w:rPr>
                    <w:t>-3</w:t>
                  </w:r>
                  <w:r w:rsidR="00DC7299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Pr="007E2346">
                    <w:rPr>
                      <w:rFonts w:ascii="Arial" w:hAnsi="Arial" w:cs="Arial"/>
                      <w:sz w:val="18"/>
                      <w:szCs w:val="18"/>
                    </w:rPr>
                    <w:t>058</w:t>
                  </w:r>
                </w:p>
              </w:tc>
            </w:tr>
            <w:tr w:rsidR="007C1CBD" w:rsidRPr="007C1CBD" w14:paraId="02EFC3CF" w14:textId="77777777" w:rsidTr="00DC7299">
              <w:tc>
                <w:tcPr>
                  <w:tcW w:w="910" w:type="dxa"/>
                  <w:shd w:val="clear" w:color="auto" w:fill="auto"/>
                </w:tcPr>
                <w:p w14:paraId="245B8115" w14:textId="77777777" w:rsidR="007C1CBD" w:rsidRPr="007C1CBD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C1CBD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1" w:type="dxa"/>
                  <w:shd w:val="clear" w:color="auto" w:fill="auto"/>
                </w:tcPr>
                <w:p w14:paraId="6573CB88" w14:textId="29437503" w:rsidR="007C1CBD" w:rsidRPr="007C1CBD" w:rsidRDefault="00DC7299" w:rsidP="007C1C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Profit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loss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of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reporting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financial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year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not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recognised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in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profit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loss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statement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–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result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of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reduction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of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share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capital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cancellation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of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treasury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shares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2654167F" w14:textId="77777777" w:rsidR="007C1CBD" w:rsidRPr="007E2346" w:rsidRDefault="007C1CBD" w:rsidP="007C1CB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C1CBD" w:rsidRPr="007C1CBD" w14:paraId="3CBDE55B" w14:textId="77777777" w:rsidTr="00DC7299">
              <w:tc>
                <w:tcPr>
                  <w:tcW w:w="910" w:type="dxa"/>
                  <w:shd w:val="clear" w:color="auto" w:fill="auto"/>
                </w:tcPr>
                <w:p w14:paraId="43377C1E" w14:textId="77777777" w:rsidR="007C1CBD" w:rsidRPr="007C1CBD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C1CBD">
                    <w:rPr>
                      <w:rFonts w:ascii="Arial" w:hAnsi="Arial" w:cs="Arial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1" w:type="dxa"/>
                  <w:shd w:val="clear" w:color="auto" w:fill="auto"/>
                </w:tcPr>
                <w:p w14:paraId="42A17347" w14:textId="01BD7E34" w:rsidR="007C1CBD" w:rsidRPr="007C1CBD" w:rsidRDefault="00DC7299" w:rsidP="007C1C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Transfers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from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reserves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46D0363F" w14:textId="2B3D4AD2" w:rsidR="007C1CBD" w:rsidRPr="007E2346" w:rsidRDefault="007C1CBD" w:rsidP="007C1CB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2346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  <w:r w:rsidR="00DC7299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Pr="007E2346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</w:tr>
            <w:tr w:rsidR="007C1CBD" w:rsidRPr="007C1CBD" w14:paraId="59FC48F1" w14:textId="77777777" w:rsidTr="00DC7299">
              <w:tc>
                <w:tcPr>
                  <w:tcW w:w="910" w:type="dxa"/>
                  <w:shd w:val="clear" w:color="auto" w:fill="auto"/>
                </w:tcPr>
                <w:p w14:paraId="5C149F0F" w14:textId="77777777" w:rsidR="007C1CBD" w:rsidRPr="007C1CBD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C1CBD">
                    <w:rPr>
                      <w:rFonts w:ascii="Arial" w:hAnsi="Arial" w:cs="Arial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801" w:type="dxa"/>
                  <w:shd w:val="clear" w:color="auto" w:fill="auto"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70"/>
                  </w:tblGrid>
                  <w:tr w:rsidR="00DC7299" w:rsidRPr="00DC7299" w14:paraId="319E38E6" w14:textId="77777777" w:rsidTr="00DC7299">
                    <w:trPr>
                      <w:tblCellSpacing w:w="15" w:type="dxa"/>
                    </w:trPr>
                    <w:tc>
                      <w:tcPr>
                        <w:tcW w:w="2273" w:type="pct"/>
                        <w:vAlign w:val="center"/>
                        <w:hideMark/>
                      </w:tcPr>
                      <w:p w14:paraId="722FDF80" w14:textId="77777777" w:rsidR="00DC7299" w:rsidRPr="00DC7299" w:rsidRDefault="00DC7299" w:rsidP="00DC7299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DF98BB9" w14:textId="77777777" w:rsidR="00DC7299" w:rsidRPr="00DC7299" w:rsidRDefault="00DC7299" w:rsidP="00DC7299">
                  <w:pPr>
                    <w:jc w:val="both"/>
                    <w:rPr>
                      <w:rFonts w:ascii="Arial" w:hAnsi="Arial" w:cs="Arial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70"/>
                  </w:tblGrid>
                  <w:tr w:rsidR="00DC7299" w:rsidRPr="00DC7299" w14:paraId="77595178" w14:textId="77777777" w:rsidTr="00DC7299">
                    <w:trPr>
                      <w:tblCellSpacing w:w="15" w:type="dxa"/>
                    </w:trPr>
                    <w:tc>
                      <w:tcPr>
                        <w:tcW w:w="9912" w:type="dxa"/>
                        <w:vAlign w:val="center"/>
                        <w:hideMark/>
                      </w:tcPr>
                      <w:p w14:paraId="09720C94" w14:textId="77777777" w:rsidR="00DC7299" w:rsidRPr="00DC7299" w:rsidRDefault="00DC7299" w:rsidP="00DC7299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Shareholders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’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contributions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to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cover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Company’s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losses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if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shareholders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decided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to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cover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all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or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part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losses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</w:tbl>
                <w:p w14:paraId="1E26FBD6" w14:textId="61681D10" w:rsidR="007C1CBD" w:rsidRPr="007C1CBD" w:rsidRDefault="007C1CBD" w:rsidP="007C1C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897FE1B" w14:textId="77777777" w:rsidR="007C1CBD" w:rsidRPr="007E2346" w:rsidRDefault="007C1CBD" w:rsidP="007C1CB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C1CBD" w:rsidRPr="007C1CBD" w14:paraId="042CAC81" w14:textId="77777777" w:rsidTr="00DC7299">
              <w:tc>
                <w:tcPr>
                  <w:tcW w:w="910" w:type="dxa"/>
                  <w:shd w:val="clear" w:color="auto" w:fill="auto"/>
                </w:tcPr>
                <w:p w14:paraId="3E873E69" w14:textId="77777777" w:rsidR="007C1CBD" w:rsidRPr="007C1CBD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C1CBD">
                    <w:rPr>
                      <w:rFonts w:ascii="Arial" w:hAnsi="Arial" w:cs="Arial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801" w:type="dxa"/>
                  <w:shd w:val="clear" w:color="auto" w:fill="auto"/>
                </w:tcPr>
                <w:p w14:paraId="65721B75" w14:textId="68B5A879" w:rsidR="007C1CBD" w:rsidRPr="007C1CBD" w:rsidRDefault="00DC7299" w:rsidP="007C1C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distributable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profit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loss</w:t>
                  </w:r>
                  <w:proofErr w:type="spellEnd"/>
                  <w:r w:rsidRP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594451F" w14:textId="7255DE7E" w:rsidR="007C1CBD" w:rsidRPr="007E2346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E2346">
                    <w:rPr>
                      <w:rFonts w:ascii="Arial" w:hAnsi="Arial" w:cs="Arial"/>
                      <w:b/>
                      <w:sz w:val="18"/>
                      <w:szCs w:val="18"/>
                    </w:rPr>
                    <w:t>121</w:t>
                  </w:r>
                  <w:r w:rsid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,</w:t>
                  </w:r>
                  <w:r w:rsidRPr="007E2346">
                    <w:rPr>
                      <w:rFonts w:ascii="Arial" w:hAnsi="Arial" w:cs="Arial"/>
                      <w:b/>
                      <w:sz w:val="18"/>
                      <w:szCs w:val="18"/>
                    </w:rPr>
                    <w:t>443</w:t>
                  </w:r>
                </w:p>
              </w:tc>
            </w:tr>
            <w:tr w:rsidR="007C1CBD" w:rsidRPr="007C1CBD" w14:paraId="470F42C6" w14:textId="77777777" w:rsidTr="00DC7299">
              <w:tc>
                <w:tcPr>
                  <w:tcW w:w="910" w:type="dxa"/>
                  <w:shd w:val="clear" w:color="auto" w:fill="auto"/>
                </w:tcPr>
                <w:p w14:paraId="40E2761A" w14:textId="77777777" w:rsidR="007C1CBD" w:rsidRPr="007C1CBD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C1CBD">
                    <w:rPr>
                      <w:rFonts w:ascii="Arial" w:hAnsi="Arial" w:cs="Arial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801" w:type="dxa"/>
                  <w:shd w:val="clear" w:color="auto" w:fill="auto"/>
                </w:tcPr>
                <w:p w14:paraId="4AD9A7D9" w14:textId="27CC886D" w:rsidR="007C1CBD" w:rsidRPr="007C1CBD" w:rsidRDefault="00DC7299" w:rsidP="007C1CBD">
                  <w:pPr>
                    <w:tabs>
                      <w:tab w:val="left" w:pos="5252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Share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of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profit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allocated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to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mandatory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reserve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1B0918F6" w14:textId="77777777" w:rsidR="007C1CBD" w:rsidRPr="007E2346" w:rsidRDefault="007C1CBD" w:rsidP="007C1CB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2346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  <w:tr w:rsidR="007C1CBD" w:rsidRPr="007C1CBD" w14:paraId="78398A26" w14:textId="77777777" w:rsidTr="00DC7299">
              <w:tc>
                <w:tcPr>
                  <w:tcW w:w="910" w:type="dxa"/>
                  <w:shd w:val="clear" w:color="auto" w:fill="auto"/>
                </w:tcPr>
                <w:p w14:paraId="2F81829E" w14:textId="77777777" w:rsidR="007C1CBD" w:rsidRPr="007C1CBD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C1CBD">
                    <w:rPr>
                      <w:rFonts w:ascii="Arial" w:hAnsi="Arial" w:cs="Arial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801" w:type="dxa"/>
                  <w:shd w:val="clear" w:color="auto" w:fill="auto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70"/>
                  </w:tblGrid>
                  <w:tr w:rsidR="00DC7299" w:rsidRPr="00DC7299" w14:paraId="38BF2E82" w14:textId="77777777" w:rsidTr="00DC72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F4B48C" w14:textId="77777777" w:rsidR="00DC7299" w:rsidRPr="00DC7299" w:rsidRDefault="00DC7299" w:rsidP="00DC7299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Share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profit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allocated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to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reserve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acquisition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own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shares</w:t>
                        </w:r>
                        <w:proofErr w:type="spellEnd"/>
                      </w:p>
                    </w:tc>
                  </w:tr>
                </w:tbl>
                <w:p w14:paraId="19680E4A" w14:textId="77777777" w:rsidR="00DC7299" w:rsidRPr="00DC7299" w:rsidRDefault="00DC7299" w:rsidP="00DC7299">
                  <w:pPr>
                    <w:jc w:val="both"/>
                    <w:rPr>
                      <w:rFonts w:ascii="Arial" w:hAnsi="Arial" w:cs="Arial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C7299" w:rsidRPr="00DC7299" w14:paraId="35339385" w14:textId="77777777" w:rsidTr="00DC72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7F8F749" w14:textId="77777777" w:rsidR="00DC7299" w:rsidRPr="00DC7299" w:rsidRDefault="00DC7299" w:rsidP="00DC7299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67CB554" w14:textId="7D074526" w:rsidR="007C1CBD" w:rsidRPr="007C1CBD" w:rsidRDefault="007C1CBD" w:rsidP="007C1C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9450765" w14:textId="41260D1E" w:rsidR="007C1CBD" w:rsidRPr="007E2346" w:rsidRDefault="007C1CBD" w:rsidP="007C1CB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2346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DC7299">
                    <w:rPr>
                      <w:rFonts w:ascii="Arial" w:hAnsi="Arial" w:cs="Arial"/>
                      <w:sz w:val="18"/>
                      <w:szCs w:val="18"/>
                    </w:rPr>
                    <w:t>0,</w:t>
                  </w:r>
                  <w:r w:rsidRPr="007E2346">
                    <w:rPr>
                      <w:rFonts w:ascii="Arial" w:hAnsi="Arial" w:cs="Arial"/>
                      <w:sz w:val="18"/>
                      <w:szCs w:val="18"/>
                    </w:rPr>
                    <w:t>000</w:t>
                  </w:r>
                </w:p>
              </w:tc>
            </w:tr>
            <w:tr w:rsidR="007C1CBD" w:rsidRPr="007C1CBD" w14:paraId="38178889" w14:textId="77777777" w:rsidTr="00DC7299">
              <w:tc>
                <w:tcPr>
                  <w:tcW w:w="910" w:type="dxa"/>
                  <w:shd w:val="clear" w:color="auto" w:fill="auto"/>
                </w:tcPr>
                <w:p w14:paraId="5275D98D" w14:textId="77777777" w:rsidR="007C1CBD" w:rsidRPr="007C1CBD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C1CBD">
                    <w:rPr>
                      <w:rFonts w:ascii="Arial" w:hAnsi="Arial" w:cs="Arial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801" w:type="dxa"/>
                  <w:shd w:val="clear" w:color="auto" w:fill="auto"/>
                </w:tcPr>
                <w:p w14:paraId="0E27D8E8" w14:textId="5C07AA81" w:rsidR="007C1CBD" w:rsidRPr="007C1CBD" w:rsidRDefault="00DC7299" w:rsidP="007C1C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Share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of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profit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allocated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to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reserve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for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granting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shares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29B8F83A" w14:textId="77777777" w:rsidR="007C1CBD" w:rsidRPr="007E2346" w:rsidRDefault="007C1CBD" w:rsidP="007C1CB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2346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  <w:tr w:rsidR="007C1CBD" w:rsidRPr="007C1CBD" w14:paraId="7AA6CBE7" w14:textId="77777777" w:rsidTr="00DC7299">
              <w:tc>
                <w:tcPr>
                  <w:tcW w:w="910" w:type="dxa"/>
                  <w:shd w:val="clear" w:color="auto" w:fill="auto"/>
                </w:tcPr>
                <w:p w14:paraId="79DDC3D6" w14:textId="77777777" w:rsidR="007C1CBD" w:rsidRPr="007C1CBD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C1CBD">
                    <w:rPr>
                      <w:rFonts w:ascii="Arial" w:hAnsi="Arial" w:cs="Arial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801" w:type="dxa"/>
                  <w:shd w:val="clear" w:color="auto" w:fill="auto"/>
                </w:tcPr>
                <w:p w14:paraId="4BAEE14D" w14:textId="47552A5F" w:rsidR="007C1CBD" w:rsidRPr="007C1CBD" w:rsidRDefault="00DC7299" w:rsidP="007C1C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Share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of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profit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allocated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to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other</w:t>
                  </w:r>
                  <w:proofErr w:type="spellEnd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C7299">
                    <w:rPr>
                      <w:rFonts w:ascii="Arial" w:hAnsi="Arial" w:cs="Arial"/>
                      <w:sz w:val="18"/>
                      <w:szCs w:val="18"/>
                    </w:rPr>
                    <w:t>reserves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0F062ADB" w14:textId="77777777" w:rsidR="007C1CBD" w:rsidRPr="007E2346" w:rsidRDefault="007C1CBD" w:rsidP="007C1CB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2346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  <w:tr w:rsidR="007C1CBD" w:rsidRPr="007C1CBD" w14:paraId="375164DE" w14:textId="77777777" w:rsidTr="00DC7299">
              <w:tc>
                <w:tcPr>
                  <w:tcW w:w="910" w:type="dxa"/>
                  <w:shd w:val="clear" w:color="auto" w:fill="auto"/>
                </w:tcPr>
                <w:p w14:paraId="6BE94D88" w14:textId="77777777" w:rsidR="007C1CBD" w:rsidRPr="007C1CBD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C1CBD">
                    <w:rPr>
                      <w:rFonts w:ascii="Arial" w:hAnsi="Arial" w:cs="Arial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801" w:type="dxa"/>
                  <w:shd w:val="clear" w:color="auto" w:fill="auto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70"/>
                  </w:tblGrid>
                  <w:tr w:rsidR="00DC7299" w:rsidRPr="00DC7299" w14:paraId="315598CF" w14:textId="77777777" w:rsidTr="00DC72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D10911" w14:textId="77777777" w:rsidR="00DC7299" w:rsidRPr="00DC7299" w:rsidRDefault="00DC7299" w:rsidP="00DC7299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Share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profit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allocated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dividend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payment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*</w:t>
                        </w:r>
                      </w:p>
                    </w:tc>
                  </w:tr>
                </w:tbl>
                <w:p w14:paraId="3BD4098D" w14:textId="77777777" w:rsidR="00DC7299" w:rsidRPr="00DC7299" w:rsidRDefault="00DC7299" w:rsidP="00DC7299">
                  <w:pPr>
                    <w:jc w:val="both"/>
                    <w:rPr>
                      <w:rFonts w:ascii="Arial" w:hAnsi="Arial" w:cs="Arial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C7299" w:rsidRPr="00DC7299" w14:paraId="3D509168" w14:textId="77777777" w:rsidTr="00DC72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07F4395" w14:textId="77777777" w:rsidR="00DC7299" w:rsidRPr="00DC7299" w:rsidRDefault="00DC7299" w:rsidP="00DC7299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0505AE8" w14:textId="548C276B" w:rsidR="007C1CBD" w:rsidRPr="007C1CBD" w:rsidRDefault="007C1CBD" w:rsidP="007C1C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5BC63E6" w14:textId="77777777" w:rsidR="007C1CBD" w:rsidRPr="007E2346" w:rsidRDefault="007C1CBD" w:rsidP="007C1CB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2346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  <w:tr w:rsidR="007C1CBD" w:rsidRPr="007C1CBD" w14:paraId="0BB0BC60" w14:textId="77777777" w:rsidTr="00DC7299">
              <w:trPr>
                <w:trHeight w:val="426"/>
              </w:trPr>
              <w:tc>
                <w:tcPr>
                  <w:tcW w:w="910" w:type="dxa"/>
                  <w:shd w:val="clear" w:color="auto" w:fill="auto"/>
                </w:tcPr>
                <w:p w14:paraId="48976B38" w14:textId="77777777" w:rsidR="007C1CBD" w:rsidRPr="007C1CBD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C1CBD">
                    <w:rPr>
                      <w:rFonts w:ascii="Arial" w:hAnsi="Arial" w:cs="Arial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801" w:type="dxa"/>
                  <w:shd w:val="clear" w:color="auto" w:fill="auto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70"/>
                  </w:tblGrid>
                  <w:tr w:rsidR="00DC7299" w:rsidRPr="00DC7299" w14:paraId="768ED16F" w14:textId="77777777" w:rsidTr="00DC72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D10A8F" w14:textId="77777777" w:rsidR="00DC7299" w:rsidRPr="00DC7299" w:rsidRDefault="00DC7299" w:rsidP="00DC7299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Share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profit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allocated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employee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bonuses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and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other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purposes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**</w:t>
                        </w:r>
                      </w:p>
                    </w:tc>
                  </w:tr>
                </w:tbl>
                <w:p w14:paraId="60058615" w14:textId="77777777" w:rsidR="00DC7299" w:rsidRPr="00DC7299" w:rsidRDefault="00DC7299" w:rsidP="00DC7299">
                  <w:pPr>
                    <w:jc w:val="both"/>
                    <w:rPr>
                      <w:rFonts w:ascii="Arial" w:hAnsi="Arial" w:cs="Arial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C7299" w:rsidRPr="00DC7299" w14:paraId="473CAA84" w14:textId="77777777" w:rsidTr="00DC72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F5D016" w14:textId="77777777" w:rsidR="00DC7299" w:rsidRPr="00DC7299" w:rsidRDefault="00DC7299" w:rsidP="00DC7299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3F923A0" w14:textId="59262E74" w:rsidR="007C1CBD" w:rsidRPr="007C1CBD" w:rsidRDefault="007C1CBD" w:rsidP="007C1C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7D89AA0" w14:textId="77777777" w:rsidR="007C1CBD" w:rsidRPr="007E2346" w:rsidRDefault="007C1CBD" w:rsidP="007C1CB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2346">
                    <w:rPr>
                      <w:rFonts w:ascii="Arial" w:hAnsi="Arial" w:cs="Arial"/>
                      <w:sz w:val="18"/>
                      <w:szCs w:val="18"/>
                    </w:rPr>
                    <w:t xml:space="preserve">200 </w:t>
                  </w:r>
                </w:p>
              </w:tc>
            </w:tr>
            <w:tr w:rsidR="007C1CBD" w:rsidRPr="007C1CBD" w14:paraId="5D409F1E" w14:textId="77777777" w:rsidTr="00DC7299">
              <w:tc>
                <w:tcPr>
                  <w:tcW w:w="910" w:type="dxa"/>
                  <w:shd w:val="clear" w:color="auto" w:fill="auto"/>
                </w:tcPr>
                <w:p w14:paraId="163776F5" w14:textId="77777777" w:rsidR="007C1CBD" w:rsidRPr="007C1CBD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C1CBD">
                    <w:rPr>
                      <w:rFonts w:ascii="Arial" w:hAnsi="Arial" w:cs="Arial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801" w:type="dxa"/>
                  <w:shd w:val="clear" w:color="auto" w:fill="auto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C7299" w:rsidRPr="00DC7299" w14:paraId="3C0A08F7" w14:textId="77777777" w:rsidTr="00DC72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865F7D" w14:textId="77777777" w:rsidR="00DC7299" w:rsidRPr="00DC7299" w:rsidRDefault="00DC7299" w:rsidP="00DC7299">
                        <w:pPr>
                          <w:jc w:val="both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806BB4D" w14:textId="77777777" w:rsidR="00DC7299" w:rsidRPr="00DC7299" w:rsidRDefault="00DC7299" w:rsidP="00DC7299">
                  <w:pPr>
                    <w:jc w:val="both"/>
                    <w:rPr>
                      <w:rFonts w:ascii="Arial" w:hAnsi="Arial" w:cs="Arial"/>
                      <w:b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70"/>
                  </w:tblGrid>
                  <w:tr w:rsidR="00DC7299" w:rsidRPr="00DC7299" w14:paraId="4141CB7C" w14:textId="77777777" w:rsidTr="00DC72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54C756D" w14:textId="77777777" w:rsidR="00DC7299" w:rsidRPr="00DC7299" w:rsidRDefault="00DC7299" w:rsidP="00DC7299">
                        <w:pPr>
                          <w:jc w:val="both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Retained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earnings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loss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) at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end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of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reporting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financial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year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carried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forward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to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next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financial</w:t>
                        </w:r>
                        <w:proofErr w:type="spellEnd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C72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year</w:t>
                        </w:r>
                        <w:proofErr w:type="spellEnd"/>
                      </w:p>
                    </w:tc>
                  </w:tr>
                </w:tbl>
                <w:p w14:paraId="68DB64CD" w14:textId="5002CD2F" w:rsidR="007C1CBD" w:rsidRPr="007C1CBD" w:rsidRDefault="007C1CBD" w:rsidP="007C1C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3B6F778" w14:textId="7213F2F4" w:rsidR="007C1CBD" w:rsidRPr="007E2346" w:rsidRDefault="007C1CBD" w:rsidP="007C1C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E2346">
                    <w:rPr>
                      <w:rFonts w:ascii="Arial" w:hAnsi="Arial" w:cs="Arial"/>
                      <w:b/>
                      <w:sz w:val="18"/>
                      <w:szCs w:val="18"/>
                    </w:rPr>
                    <w:t>111</w:t>
                  </w:r>
                  <w:r w:rsidR="00DC7299">
                    <w:rPr>
                      <w:rFonts w:ascii="Arial" w:hAnsi="Arial" w:cs="Arial"/>
                      <w:b/>
                      <w:sz w:val="18"/>
                      <w:szCs w:val="18"/>
                    </w:rPr>
                    <w:t>,</w:t>
                  </w:r>
                  <w:r w:rsidRPr="007E2346">
                    <w:rPr>
                      <w:rFonts w:ascii="Arial" w:hAnsi="Arial" w:cs="Arial"/>
                      <w:b/>
                      <w:sz w:val="18"/>
                      <w:szCs w:val="18"/>
                    </w:rPr>
                    <w:t>243</w:t>
                  </w:r>
                </w:p>
              </w:tc>
            </w:tr>
          </w:tbl>
          <w:p w14:paraId="03D45420" w14:textId="77777777" w:rsidR="00F5792D" w:rsidRDefault="00F5792D" w:rsidP="007C1CB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412C7B9" w14:textId="34559A1F" w:rsidR="007C1CBD" w:rsidRPr="007C1CBD" w:rsidRDefault="007C1CBD" w:rsidP="007C1C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C1CBD">
              <w:rPr>
                <w:rFonts w:ascii="Arial" w:hAnsi="Arial" w:cs="Arial"/>
                <w:iCs/>
                <w:sz w:val="20"/>
                <w:szCs w:val="20"/>
              </w:rPr>
              <w:t xml:space="preserve">** </w:t>
            </w:r>
            <w:proofErr w:type="spellStart"/>
            <w:r w:rsidR="00DC7299" w:rsidRPr="00DC7299">
              <w:rPr>
                <w:rFonts w:ascii="Arial" w:hAnsi="Arial" w:cs="Arial"/>
                <w:iCs/>
                <w:sz w:val="20"/>
                <w:szCs w:val="20"/>
              </w:rPr>
              <w:t>for</w:t>
            </w:r>
            <w:proofErr w:type="spellEnd"/>
            <w:r w:rsidR="00DC7299" w:rsidRPr="00DC729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DC7299" w:rsidRPr="00DC7299">
              <w:rPr>
                <w:rFonts w:ascii="Arial" w:hAnsi="Arial" w:cs="Arial"/>
                <w:iCs/>
                <w:sz w:val="20"/>
                <w:szCs w:val="20"/>
              </w:rPr>
              <w:t>employee</w:t>
            </w:r>
            <w:proofErr w:type="spellEnd"/>
            <w:r w:rsidR="00DC7299" w:rsidRPr="00DC729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DC7299" w:rsidRPr="00DC7299">
              <w:rPr>
                <w:rFonts w:ascii="Arial" w:hAnsi="Arial" w:cs="Arial"/>
                <w:iCs/>
                <w:sz w:val="20"/>
                <w:szCs w:val="20"/>
              </w:rPr>
              <w:t>bonuses</w:t>
            </w:r>
            <w:proofErr w:type="spellEnd"/>
            <w:r w:rsidR="00DC7299" w:rsidRPr="00DC7299">
              <w:rPr>
                <w:rFonts w:ascii="Arial" w:hAnsi="Arial" w:cs="Arial"/>
                <w:iCs/>
                <w:sz w:val="20"/>
                <w:szCs w:val="20"/>
              </w:rPr>
              <w:t xml:space="preserve"> EUR 200,000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CA5F" w14:textId="2A4A3A88" w:rsidR="00F5792D" w:rsidRPr="00DF01EB" w:rsidRDefault="00A44937" w:rsidP="00F579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F429" w14:textId="6D210BEE" w:rsidR="00F5792D" w:rsidRPr="00DF01EB" w:rsidRDefault="00A44937" w:rsidP="00F579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AGAINST</w:t>
            </w:r>
          </w:p>
        </w:tc>
      </w:tr>
      <w:tr w:rsidR="00F5792D" w:rsidRPr="007C1CBD" w14:paraId="1EE79BED" w14:textId="77777777" w:rsidTr="00DC72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678" w14:textId="77777777" w:rsidR="00F5792D" w:rsidRPr="007C1CBD" w:rsidRDefault="00F5792D" w:rsidP="00F5792D">
            <w:pPr>
              <w:rPr>
                <w:rFonts w:ascii="Arial" w:hAnsi="Arial" w:cs="Arial"/>
                <w:sz w:val="20"/>
                <w:szCs w:val="20"/>
              </w:rPr>
            </w:pPr>
            <w:r w:rsidRPr="007C1CBD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39EE0AED" w14:textId="77777777" w:rsidR="00F5792D" w:rsidRPr="007C1CBD" w:rsidRDefault="00F5792D" w:rsidP="00F5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8F17" w14:textId="19EC90D5" w:rsidR="00F5792D" w:rsidRPr="007C1CBD" w:rsidRDefault="00DC7299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Approval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remuneration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Supervisory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Board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Board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CEO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AB “ŽEMAITIJOS PIENAS”.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591F" w14:textId="672332E7" w:rsidR="00F5792D" w:rsidRPr="007C1CBD" w:rsidRDefault="00DC7299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299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approve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remuneration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Supervisory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Board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Board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CEO </w:t>
            </w:r>
            <w:proofErr w:type="spellStart"/>
            <w:r w:rsidRPr="00DC729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C7299">
              <w:rPr>
                <w:rFonts w:ascii="Arial" w:hAnsi="Arial" w:cs="Arial"/>
                <w:sz w:val="20"/>
                <w:szCs w:val="20"/>
              </w:rPr>
              <w:t xml:space="preserve"> ŽEMAITIJOS PIENA</w:t>
            </w:r>
            <w:r>
              <w:rPr>
                <w:rFonts w:ascii="Arial" w:hAnsi="Arial" w:cs="Arial"/>
                <w:sz w:val="20"/>
                <w:szCs w:val="20"/>
              </w:rPr>
              <w:t>S, AB</w:t>
            </w:r>
            <w:r w:rsidRPr="00DC72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334E" w14:textId="41F6049C" w:rsidR="00F5792D" w:rsidRPr="00DF01EB" w:rsidRDefault="00A44937" w:rsidP="00F5792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1A30" w14:textId="601819ED" w:rsidR="00F5792D" w:rsidRPr="00DF01EB" w:rsidRDefault="00A44937" w:rsidP="00F5792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AGAINST</w:t>
            </w:r>
          </w:p>
        </w:tc>
      </w:tr>
      <w:tr w:rsidR="00F5792D" w:rsidRPr="007C1CBD" w14:paraId="09B14579" w14:textId="77777777" w:rsidTr="00DC72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992" w14:textId="77777777" w:rsidR="00F5792D" w:rsidRPr="007C1CBD" w:rsidRDefault="00F5792D" w:rsidP="00F5792D">
            <w:pPr>
              <w:rPr>
                <w:rFonts w:ascii="Arial" w:hAnsi="Arial" w:cs="Arial"/>
                <w:sz w:val="20"/>
                <w:szCs w:val="20"/>
              </w:rPr>
            </w:pPr>
            <w:r w:rsidRPr="007C1CB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81E8" w14:textId="451D8B49" w:rsidR="00F5792D" w:rsidRPr="007C1CBD" w:rsidRDefault="00A44937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Establishment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budget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Company’s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collegial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bodies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Company.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8EC" w14:textId="734101FC" w:rsidR="00F5792D" w:rsidRPr="007C1CBD" w:rsidRDefault="00A44937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37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approve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budget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EUR 200,000.00 (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hundred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thousand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Company’s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collegial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bodies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Company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period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adoption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resolution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2025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Annual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General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Meeting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Shareholders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until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adoption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resolution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2026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Annual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General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Meeting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Shareholders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3C96" w14:textId="77777777" w:rsidR="00F5792D" w:rsidRPr="007C1CBD" w:rsidRDefault="00F5792D" w:rsidP="00F5792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4DF878" w14:textId="77777777" w:rsidR="00F5792D" w:rsidRPr="00DF01EB" w:rsidRDefault="00F5792D" w:rsidP="00F5792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41F35B" w14:textId="29F85B9E" w:rsidR="00F5792D" w:rsidRPr="007C1CBD" w:rsidRDefault="00A44937" w:rsidP="00F5792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A2C8" w14:textId="77777777" w:rsidR="00F5792D" w:rsidRPr="007C1CBD" w:rsidRDefault="00F5792D" w:rsidP="00F5792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6E9964" w14:textId="77777777" w:rsidR="00F5792D" w:rsidRPr="007C1CBD" w:rsidRDefault="00F5792D" w:rsidP="00F5792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FF56CA" w14:textId="371E2AFF" w:rsidR="00F5792D" w:rsidRPr="007C1CBD" w:rsidRDefault="00A44937" w:rsidP="00F5792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AGAINST</w:t>
            </w:r>
          </w:p>
        </w:tc>
      </w:tr>
      <w:tr w:rsidR="002B79FB" w:rsidRPr="007C1CBD" w14:paraId="3E8F7C85" w14:textId="77777777" w:rsidTr="00DC72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C2EE5F" w14:textId="77777777" w:rsidR="002B79FB" w:rsidRPr="007C1CBD" w:rsidRDefault="002B79FB" w:rsidP="00F5792D">
            <w:pPr>
              <w:rPr>
                <w:rFonts w:ascii="Arial" w:hAnsi="Arial" w:cs="Arial"/>
                <w:sz w:val="20"/>
                <w:szCs w:val="20"/>
              </w:rPr>
            </w:pPr>
            <w:r w:rsidRPr="007C1CB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FB44B" w14:textId="5A7A73D6" w:rsidR="002B79FB" w:rsidRPr="007C1CBD" w:rsidRDefault="00A44937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Formation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reserve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acquisition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establishment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lastRenderedPageBreak/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procedure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acquisition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Pr="00A449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DE1" w14:textId="02A58BDB" w:rsidR="00DF01EB" w:rsidRPr="00DF01EB" w:rsidRDefault="00DF01EB" w:rsidP="00DF01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1EB"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repurchase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public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liability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company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“ŽEMAITIJOS PIENAS”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official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offer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market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AB NASDAQ Vilnius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Stock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Exchange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rules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governing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market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24836D" w14:textId="5093EC42" w:rsidR="00DF01EB" w:rsidRPr="00DF01EB" w:rsidRDefault="00DF01EB" w:rsidP="00DF01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1E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establish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reserve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acquisition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and to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acquire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to 10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percent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Company’s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including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lastRenderedPageBreak/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held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Company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prior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adoption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resolution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6D2B966" w14:textId="1776F8EC" w:rsidR="00DF01EB" w:rsidRPr="00DF01EB" w:rsidRDefault="00DF01EB" w:rsidP="00DF01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1E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establish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conditions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acquisition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1F5EDD" w14:textId="7529F2CB" w:rsidR="00DF01EB" w:rsidRPr="00DF01EB" w:rsidRDefault="00DF01EB" w:rsidP="00DF01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1EB">
              <w:rPr>
                <w:rFonts w:ascii="Arial" w:hAnsi="Arial" w:cs="Arial"/>
                <w:sz w:val="20"/>
                <w:szCs w:val="20"/>
              </w:rPr>
              <w:t xml:space="preserve">3.1. </w:t>
            </w:r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funds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formed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reserve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acquisition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payment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acquired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78711D6" w14:textId="26E6CD53" w:rsidR="00DF01EB" w:rsidRPr="00DF01EB" w:rsidRDefault="00DF01EB" w:rsidP="00DF01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1EB">
              <w:rPr>
                <w:rFonts w:ascii="Arial" w:hAnsi="Arial" w:cs="Arial"/>
                <w:sz w:val="20"/>
                <w:szCs w:val="20"/>
              </w:rPr>
              <w:t xml:space="preserve">3.2.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maximum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ordinary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registered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Company to be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acquired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to 10%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Company’s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3C41881" w14:textId="41455E4C" w:rsidR="00DF01EB" w:rsidRPr="00DF01EB" w:rsidRDefault="00DF01EB" w:rsidP="00DF01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1EB">
              <w:rPr>
                <w:rFonts w:ascii="Arial" w:hAnsi="Arial" w:cs="Arial"/>
                <w:sz w:val="20"/>
                <w:szCs w:val="20"/>
              </w:rPr>
              <w:t xml:space="preserve">3.3.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period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which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Company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may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acquire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– 18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months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adoption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resolution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ECFDEE" w14:textId="644615EB" w:rsidR="00DF01EB" w:rsidRPr="00DF01EB" w:rsidRDefault="00DF01EB" w:rsidP="00DF01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1EB">
              <w:rPr>
                <w:rFonts w:ascii="Arial" w:hAnsi="Arial" w:cs="Arial"/>
                <w:sz w:val="20"/>
                <w:szCs w:val="20"/>
              </w:rPr>
              <w:t xml:space="preserve">3.4.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minimum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acquired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– EUR 1.75,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maximum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acquisition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– EUR 3.00 per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352B01" w14:textId="7D8C5042" w:rsidR="00A44937" w:rsidRDefault="00DF01EB" w:rsidP="00DF01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1EB">
              <w:rPr>
                <w:rFonts w:ascii="Arial" w:hAnsi="Arial" w:cs="Arial"/>
                <w:sz w:val="20"/>
                <w:szCs w:val="20"/>
              </w:rPr>
              <w:t xml:space="preserve">3.5.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purpose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acquisition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cancellation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view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increasing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investor’s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equity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stake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Company;</w:t>
            </w:r>
          </w:p>
          <w:p w14:paraId="286B5E19" w14:textId="0DA49246" w:rsidR="00A44937" w:rsidRDefault="00DF01EB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1EB">
              <w:rPr>
                <w:rFonts w:ascii="Arial" w:hAnsi="Arial" w:cs="Arial"/>
                <w:sz w:val="20"/>
                <w:szCs w:val="20"/>
              </w:rPr>
              <w:t xml:space="preserve">3.6.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conditions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set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out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resolution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provisions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Companies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Republic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Lithuania, to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authorise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Company’s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Board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organise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acquisition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purposes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set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out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resolution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, to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establish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detailed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procedure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acquisition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timing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, and to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carry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out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actions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acquisition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937" w:rsidRPr="00A44937">
              <w:rPr>
                <w:rFonts w:ascii="Arial" w:hAnsi="Arial" w:cs="Arial"/>
                <w:sz w:val="20"/>
                <w:szCs w:val="20"/>
              </w:rPr>
              <w:t>shares</w:t>
            </w:r>
            <w:proofErr w:type="spellEnd"/>
            <w:r w:rsidR="00A44937" w:rsidRPr="00A449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6ED9F2" w14:textId="11143015" w:rsidR="002B79FB" w:rsidRPr="007C1CBD" w:rsidRDefault="002B79FB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C1047" w14:textId="77777777" w:rsidR="002B79FB" w:rsidRPr="007C1CBD" w:rsidRDefault="002B79FB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45FF73" w14:textId="04524533" w:rsidR="002B79FB" w:rsidRPr="007C1CBD" w:rsidRDefault="00A44937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FOR</w:t>
            </w:r>
          </w:p>
          <w:p w14:paraId="76F934D4" w14:textId="77777777" w:rsidR="002B79FB" w:rsidRPr="007C1CBD" w:rsidRDefault="002B79FB" w:rsidP="00F57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C9C54" w14:textId="77777777" w:rsidR="002B79FB" w:rsidRPr="007C1CBD" w:rsidRDefault="002B79FB" w:rsidP="00F579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98DBB1" w14:textId="48190E9C" w:rsidR="002B79FB" w:rsidRPr="007C1CBD" w:rsidRDefault="00A44937" w:rsidP="00F5792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AGAINST</w:t>
            </w:r>
          </w:p>
          <w:p w14:paraId="4EB63156" w14:textId="77777777" w:rsidR="002B79FB" w:rsidRPr="007C1CBD" w:rsidRDefault="002B79FB" w:rsidP="00F579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9FB" w:rsidRPr="007C1CBD" w14:paraId="7623A067" w14:textId="77777777" w:rsidTr="00DC729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7B8" w14:textId="77777777" w:rsidR="002B79FB" w:rsidRPr="007C1CBD" w:rsidRDefault="002B79FB" w:rsidP="004A4C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A7E" w14:textId="77777777" w:rsidR="002B79FB" w:rsidRPr="007C1CBD" w:rsidRDefault="002B79FB" w:rsidP="00532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0D03" w14:textId="6D7A1303" w:rsidR="002B79FB" w:rsidRPr="007C1CBD" w:rsidRDefault="002B79FB" w:rsidP="00CE5F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DBAB" w14:textId="39E1F93D" w:rsidR="002B79FB" w:rsidRPr="007C1CBD" w:rsidRDefault="002B79FB" w:rsidP="00CE5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1613" w14:textId="2D235973" w:rsidR="002B79FB" w:rsidRPr="007C1CBD" w:rsidRDefault="002B79FB" w:rsidP="00CE5F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687" w:rsidRPr="007C1CBD" w14:paraId="78F5D95A" w14:textId="77777777" w:rsidTr="00DC7299">
        <w:tc>
          <w:tcPr>
            <w:tcW w:w="82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38A" w14:textId="77777777" w:rsidR="008833C7" w:rsidRDefault="008833C7" w:rsidP="005321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E3042B" w14:textId="0C23BF77" w:rsidR="00E86687" w:rsidRDefault="008833C7" w:rsidP="005321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proofErr w:type="spellEnd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>any</w:t>
            </w:r>
            <w:proofErr w:type="spellEnd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  <w:proofErr w:type="spellEnd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>new</w:t>
            </w:r>
            <w:proofErr w:type="spellEnd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>draft</w:t>
            </w:r>
            <w:proofErr w:type="spellEnd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>resolutions</w:t>
            </w:r>
            <w:proofErr w:type="spellEnd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>not</w:t>
            </w:r>
            <w:proofErr w:type="spellEnd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>listed</w:t>
            </w:r>
            <w:proofErr w:type="spellEnd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>above</w:t>
            </w:r>
            <w:proofErr w:type="spellEnd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>we</w:t>
            </w:r>
            <w:proofErr w:type="spellEnd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>vote</w:t>
            </w:r>
            <w:proofErr w:type="spellEnd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>with</w:t>
            </w:r>
            <w:proofErr w:type="spellEnd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  <w:proofErr w:type="spellEnd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3C7">
              <w:rPr>
                <w:rFonts w:ascii="Arial" w:hAnsi="Arial" w:cs="Arial"/>
                <w:color w:val="000000"/>
                <w:sz w:val="20"/>
                <w:szCs w:val="20"/>
              </w:rPr>
              <w:t>votes</w:t>
            </w:r>
            <w:proofErr w:type="spellEnd"/>
          </w:p>
          <w:p w14:paraId="76514D00" w14:textId="5AB42D09" w:rsidR="008833C7" w:rsidRPr="007C1CBD" w:rsidRDefault="008833C7" w:rsidP="005321F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E2A7" w14:textId="03219B4F" w:rsidR="00E86687" w:rsidRPr="00DF01EB" w:rsidRDefault="008833C7" w:rsidP="00CE5F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8A4" w14:textId="6921B861" w:rsidR="00E86687" w:rsidRPr="007C1CBD" w:rsidRDefault="008833C7" w:rsidP="00CE5F4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AGAINST</w:t>
            </w:r>
          </w:p>
        </w:tc>
      </w:tr>
    </w:tbl>
    <w:p w14:paraId="309EE862" w14:textId="77777777" w:rsidR="00D21085" w:rsidRPr="007C1CBD" w:rsidRDefault="00D21085" w:rsidP="00D21085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sz w:val="20"/>
          <w:szCs w:val="20"/>
        </w:rPr>
      </w:pPr>
    </w:p>
    <w:p w14:paraId="23904300" w14:textId="6ED6377B" w:rsidR="008833C7" w:rsidRPr="008833C7" w:rsidRDefault="008833C7" w:rsidP="008833C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26" w:lineRule="exact"/>
        <w:ind w:left="-142"/>
        <w:jc w:val="both"/>
        <w:rPr>
          <w:rFonts w:ascii="Arial" w:hAnsi="Arial" w:cs="Arial"/>
          <w:sz w:val="20"/>
          <w:szCs w:val="20"/>
        </w:rPr>
      </w:pPr>
      <w:proofErr w:type="spellStart"/>
      <w:r w:rsidRPr="008833C7">
        <w:rPr>
          <w:rFonts w:ascii="Arial" w:hAnsi="Arial" w:cs="Arial"/>
          <w:sz w:val="20"/>
          <w:szCs w:val="20"/>
        </w:rPr>
        <w:t>We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hereby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confirm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that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shareholder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of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ŽEMAITIJOS PIENAS</w:t>
      </w:r>
      <w:r>
        <w:rPr>
          <w:rFonts w:ascii="Arial" w:hAnsi="Arial" w:cs="Arial"/>
          <w:sz w:val="20"/>
          <w:szCs w:val="20"/>
        </w:rPr>
        <w:t>, AB</w:t>
      </w:r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signing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this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ballot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paper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has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read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in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advance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agenda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833C7">
        <w:rPr>
          <w:rFonts w:ascii="Arial" w:hAnsi="Arial" w:cs="Arial"/>
          <w:sz w:val="20"/>
          <w:szCs w:val="20"/>
        </w:rPr>
        <w:t>the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draft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resolutions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of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Annual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General </w:t>
      </w:r>
      <w:proofErr w:type="spellStart"/>
      <w:r w:rsidRPr="008833C7">
        <w:rPr>
          <w:rFonts w:ascii="Arial" w:hAnsi="Arial" w:cs="Arial"/>
          <w:sz w:val="20"/>
          <w:szCs w:val="20"/>
        </w:rPr>
        <w:t>Meeting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of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Shareholders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of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ŽEMAITIJOS PIENAS</w:t>
      </w:r>
      <w:r>
        <w:rPr>
          <w:rFonts w:ascii="Arial" w:hAnsi="Arial" w:cs="Arial"/>
          <w:sz w:val="20"/>
          <w:szCs w:val="20"/>
        </w:rPr>
        <w:t>, AB</w:t>
      </w:r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indicated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in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this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ballot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paper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8833C7">
        <w:rPr>
          <w:rFonts w:ascii="Arial" w:hAnsi="Arial" w:cs="Arial"/>
          <w:sz w:val="20"/>
          <w:szCs w:val="20"/>
        </w:rPr>
        <w:t>is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therefore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able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8833C7">
        <w:rPr>
          <w:rFonts w:ascii="Arial" w:hAnsi="Arial" w:cs="Arial"/>
          <w:sz w:val="20"/>
          <w:szCs w:val="20"/>
        </w:rPr>
        <w:t>express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their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will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in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writing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in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advance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by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voting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on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agenda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items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of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Annual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General </w:t>
      </w:r>
      <w:proofErr w:type="spellStart"/>
      <w:r w:rsidRPr="008833C7">
        <w:rPr>
          <w:rFonts w:ascii="Arial" w:hAnsi="Arial" w:cs="Arial"/>
          <w:sz w:val="20"/>
          <w:szCs w:val="20"/>
        </w:rPr>
        <w:t>Meeting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of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Shareholders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833C7">
        <w:rPr>
          <w:rFonts w:ascii="Arial" w:hAnsi="Arial" w:cs="Arial"/>
          <w:sz w:val="20"/>
          <w:szCs w:val="20"/>
        </w:rPr>
        <w:t>Based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on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this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written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expression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of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will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regarding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agenda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items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of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Annual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General </w:t>
      </w:r>
      <w:proofErr w:type="spellStart"/>
      <w:r w:rsidRPr="008833C7">
        <w:rPr>
          <w:rFonts w:ascii="Arial" w:hAnsi="Arial" w:cs="Arial"/>
          <w:sz w:val="20"/>
          <w:szCs w:val="20"/>
        </w:rPr>
        <w:t>Meeting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of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Shareholders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, it </w:t>
      </w:r>
      <w:proofErr w:type="spellStart"/>
      <w:r w:rsidRPr="008833C7">
        <w:rPr>
          <w:rFonts w:ascii="Arial" w:hAnsi="Arial" w:cs="Arial"/>
          <w:sz w:val="20"/>
          <w:szCs w:val="20"/>
        </w:rPr>
        <w:t>shall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8833C7">
        <w:rPr>
          <w:rFonts w:ascii="Arial" w:hAnsi="Arial" w:cs="Arial"/>
          <w:sz w:val="20"/>
          <w:szCs w:val="20"/>
        </w:rPr>
        <w:t>deemed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that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shareholder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who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signed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this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ballot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paper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participated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in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Annual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General </w:t>
      </w:r>
      <w:proofErr w:type="spellStart"/>
      <w:r w:rsidRPr="008833C7">
        <w:rPr>
          <w:rFonts w:ascii="Arial" w:hAnsi="Arial" w:cs="Arial"/>
          <w:sz w:val="20"/>
          <w:szCs w:val="20"/>
        </w:rPr>
        <w:t>Meeting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of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Shareholders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of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AB ŽEMAITIJOS PIENAS</w:t>
      </w:r>
      <w:r>
        <w:rPr>
          <w:rFonts w:ascii="Arial" w:hAnsi="Arial" w:cs="Arial"/>
          <w:sz w:val="20"/>
          <w:szCs w:val="20"/>
        </w:rPr>
        <w:t>, AB</w:t>
      </w:r>
      <w:r w:rsidRPr="008833C7">
        <w:rPr>
          <w:rFonts w:ascii="Arial" w:hAnsi="Arial" w:cs="Arial"/>
          <w:sz w:val="20"/>
          <w:szCs w:val="20"/>
        </w:rPr>
        <w:t xml:space="preserve"> h</w:t>
      </w:r>
      <w:proofErr w:type="spellStart"/>
      <w:r w:rsidRPr="008833C7">
        <w:rPr>
          <w:rFonts w:ascii="Arial" w:hAnsi="Arial" w:cs="Arial"/>
          <w:sz w:val="20"/>
          <w:szCs w:val="20"/>
        </w:rPr>
        <w:t>eld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on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29 </w:t>
      </w:r>
      <w:proofErr w:type="spellStart"/>
      <w:r w:rsidRPr="008833C7">
        <w:rPr>
          <w:rFonts w:ascii="Arial" w:hAnsi="Arial" w:cs="Arial"/>
          <w:sz w:val="20"/>
          <w:szCs w:val="20"/>
        </w:rPr>
        <w:t>April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2025.</w:t>
      </w:r>
    </w:p>
    <w:p w14:paraId="192F001F" w14:textId="77777777" w:rsidR="007C3523" w:rsidRPr="007C1CBD" w:rsidRDefault="007C3523" w:rsidP="007E234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26" w:lineRule="exact"/>
        <w:ind w:left="-142" w:firstLine="142"/>
        <w:jc w:val="both"/>
        <w:rPr>
          <w:rFonts w:ascii="Arial" w:hAnsi="Arial" w:cs="Arial"/>
          <w:sz w:val="20"/>
          <w:szCs w:val="20"/>
        </w:rPr>
      </w:pPr>
    </w:p>
    <w:p w14:paraId="1CBDB90D" w14:textId="1BEC2C0A" w:rsidR="00D21085" w:rsidRPr="007C1CBD" w:rsidRDefault="008833C7" w:rsidP="004F1AF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26" w:lineRule="exact"/>
        <w:ind w:left="-142"/>
        <w:jc w:val="both"/>
        <w:rPr>
          <w:rFonts w:ascii="Arial" w:hAnsi="Arial" w:cs="Arial"/>
          <w:sz w:val="20"/>
          <w:szCs w:val="20"/>
        </w:rPr>
      </w:pPr>
      <w:proofErr w:type="spellStart"/>
      <w:r w:rsidRPr="008833C7">
        <w:rPr>
          <w:rFonts w:ascii="Arial" w:hAnsi="Arial" w:cs="Arial"/>
          <w:sz w:val="20"/>
          <w:szCs w:val="20"/>
        </w:rPr>
        <w:t>Shareholder’s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833C7">
        <w:rPr>
          <w:rFonts w:ascii="Arial" w:hAnsi="Arial" w:cs="Arial"/>
          <w:sz w:val="20"/>
          <w:szCs w:val="20"/>
        </w:rPr>
        <w:t>representative’s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) name, </w:t>
      </w:r>
      <w:proofErr w:type="spellStart"/>
      <w:r w:rsidRPr="008833C7">
        <w:rPr>
          <w:rFonts w:ascii="Arial" w:hAnsi="Arial" w:cs="Arial"/>
          <w:sz w:val="20"/>
          <w:szCs w:val="20"/>
        </w:rPr>
        <w:t>surname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833C7">
        <w:rPr>
          <w:rFonts w:ascii="Arial" w:hAnsi="Arial" w:cs="Arial"/>
          <w:sz w:val="20"/>
          <w:szCs w:val="20"/>
        </w:rPr>
        <w:t>position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833C7">
        <w:rPr>
          <w:rFonts w:ascii="Arial" w:hAnsi="Arial" w:cs="Arial"/>
          <w:sz w:val="20"/>
          <w:szCs w:val="20"/>
        </w:rPr>
        <w:t>signature</w:t>
      </w:r>
      <w:proofErr w:type="spellEnd"/>
      <w:r w:rsidRPr="008833C7">
        <w:rPr>
          <w:rFonts w:ascii="Arial" w:hAnsi="Arial" w:cs="Arial"/>
          <w:sz w:val="20"/>
          <w:szCs w:val="20"/>
        </w:rPr>
        <w:t>:</w:t>
      </w:r>
    </w:p>
    <w:p w14:paraId="3570DA3A" w14:textId="77777777" w:rsidR="00D21085" w:rsidRPr="007C1CBD" w:rsidRDefault="00D21085" w:rsidP="007E2346">
      <w:pPr>
        <w:tabs>
          <w:tab w:val="left" w:leader="underscore" w:pos="4224"/>
        </w:tabs>
        <w:autoSpaceDE w:val="0"/>
        <w:autoSpaceDN w:val="0"/>
        <w:adjustRightInd w:val="0"/>
        <w:spacing w:line="226" w:lineRule="exact"/>
        <w:ind w:left="-142" w:firstLine="142"/>
        <w:jc w:val="both"/>
        <w:rPr>
          <w:rFonts w:ascii="Arial" w:hAnsi="Arial" w:cs="Arial"/>
          <w:sz w:val="20"/>
          <w:szCs w:val="20"/>
        </w:rPr>
      </w:pPr>
    </w:p>
    <w:p w14:paraId="4570A6E1" w14:textId="77777777" w:rsidR="00D21085" w:rsidRPr="007C1CBD" w:rsidRDefault="00D21085" w:rsidP="007E2346">
      <w:pPr>
        <w:tabs>
          <w:tab w:val="left" w:leader="underscore" w:pos="4224"/>
        </w:tabs>
        <w:autoSpaceDE w:val="0"/>
        <w:autoSpaceDN w:val="0"/>
        <w:adjustRightInd w:val="0"/>
        <w:spacing w:line="226" w:lineRule="exact"/>
        <w:ind w:left="-142" w:firstLine="142"/>
        <w:jc w:val="both"/>
        <w:rPr>
          <w:rFonts w:ascii="Arial" w:hAnsi="Arial" w:cs="Arial"/>
          <w:sz w:val="20"/>
          <w:szCs w:val="20"/>
        </w:rPr>
      </w:pPr>
    </w:p>
    <w:p w14:paraId="0DBEEE57" w14:textId="231B7889" w:rsidR="00D21085" w:rsidRPr="007C1CBD" w:rsidRDefault="008833C7" w:rsidP="008833C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line="226" w:lineRule="exact"/>
        <w:ind w:left="-142"/>
        <w:jc w:val="both"/>
        <w:rPr>
          <w:rFonts w:ascii="Arial" w:hAnsi="Arial" w:cs="Arial"/>
          <w:sz w:val="20"/>
          <w:szCs w:val="20"/>
        </w:rPr>
      </w:pPr>
      <w:proofErr w:type="spellStart"/>
      <w:r w:rsidRPr="008833C7">
        <w:rPr>
          <w:rFonts w:ascii="Arial" w:hAnsi="Arial" w:cs="Arial"/>
          <w:sz w:val="20"/>
          <w:szCs w:val="20"/>
        </w:rPr>
        <w:t>Title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833C7">
        <w:rPr>
          <w:rFonts w:ascii="Arial" w:hAnsi="Arial" w:cs="Arial"/>
          <w:sz w:val="20"/>
          <w:szCs w:val="20"/>
        </w:rPr>
        <w:t>date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833C7">
        <w:rPr>
          <w:rFonts w:ascii="Arial" w:hAnsi="Arial" w:cs="Arial"/>
          <w:sz w:val="20"/>
          <w:szCs w:val="20"/>
        </w:rPr>
        <w:t>number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of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document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granting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right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8833C7">
        <w:rPr>
          <w:rFonts w:ascii="Arial" w:hAnsi="Arial" w:cs="Arial"/>
          <w:sz w:val="20"/>
          <w:szCs w:val="20"/>
        </w:rPr>
        <w:t>vote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833C7">
        <w:rPr>
          <w:rFonts w:ascii="Arial" w:hAnsi="Arial" w:cs="Arial"/>
          <w:sz w:val="20"/>
          <w:szCs w:val="20"/>
        </w:rPr>
        <w:t>if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signed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by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833C7">
        <w:rPr>
          <w:rFonts w:ascii="Arial" w:hAnsi="Arial" w:cs="Arial"/>
          <w:sz w:val="20"/>
          <w:szCs w:val="20"/>
        </w:rPr>
        <w:t>person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other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than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the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shareholder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833C7">
        <w:rPr>
          <w:rFonts w:ascii="Arial" w:hAnsi="Arial" w:cs="Arial"/>
          <w:sz w:val="20"/>
          <w:szCs w:val="20"/>
        </w:rPr>
        <w:t>the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shareholder’s</w:t>
      </w:r>
      <w:proofErr w:type="spellEnd"/>
      <w:r w:rsidRPr="00883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3C7">
        <w:rPr>
          <w:rFonts w:ascii="Arial" w:hAnsi="Arial" w:cs="Arial"/>
          <w:sz w:val="20"/>
          <w:szCs w:val="20"/>
        </w:rPr>
        <w:t>head</w:t>
      </w:r>
      <w:proofErr w:type="spellEnd"/>
      <w:r w:rsidRPr="008833C7">
        <w:rPr>
          <w:rFonts w:ascii="Arial" w:hAnsi="Arial" w:cs="Arial"/>
          <w:sz w:val="20"/>
          <w:szCs w:val="20"/>
        </w:rPr>
        <w:t>)):</w:t>
      </w:r>
    </w:p>
    <w:p w14:paraId="70CA48F5" w14:textId="77777777" w:rsidR="00D21085" w:rsidRPr="007C1CBD" w:rsidRDefault="00D21085" w:rsidP="00D21085">
      <w:pPr>
        <w:tabs>
          <w:tab w:val="left" w:leader="underscore" w:pos="4224"/>
        </w:tabs>
        <w:autoSpaceDE w:val="0"/>
        <w:autoSpaceDN w:val="0"/>
        <w:adjustRightInd w:val="0"/>
        <w:spacing w:line="226" w:lineRule="exact"/>
        <w:jc w:val="both"/>
        <w:rPr>
          <w:rFonts w:ascii="Arial" w:hAnsi="Arial" w:cs="Arial"/>
          <w:sz w:val="20"/>
          <w:szCs w:val="20"/>
        </w:rPr>
      </w:pPr>
    </w:p>
    <w:p w14:paraId="5F18FF58" w14:textId="77777777" w:rsidR="00892EA6" w:rsidRPr="007C1CBD" w:rsidRDefault="00892EA6" w:rsidP="00931BD2">
      <w:pPr>
        <w:spacing w:line="234" w:lineRule="exact"/>
        <w:rPr>
          <w:rFonts w:ascii="Arial" w:hAnsi="Arial" w:cs="Arial"/>
          <w:bCs/>
          <w:sz w:val="20"/>
          <w:szCs w:val="20"/>
        </w:rPr>
      </w:pPr>
    </w:p>
    <w:p w14:paraId="5D08B007" w14:textId="77777777" w:rsidR="00892EA6" w:rsidRPr="007C1CBD" w:rsidRDefault="00892EA6" w:rsidP="00931BD2">
      <w:pPr>
        <w:spacing w:line="234" w:lineRule="exact"/>
        <w:rPr>
          <w:rFonts w:ascii="Arial" w:hAnsi="Arial" w:cs="Arial"/>
          <w:bCs/>
          <w:sz w:val="20"/>
          <w:szCs w:val="20"/>
        </w:rPr>
      </w:pPr>
    </w:p>
    <w:p w14:paraId="3155ED50" w14:textId="77777777" w:rsidR="00892EA6" w:rsidRPr="007C1CBD" w:rsidRDefault="00892EA6" w:rsidP="00931BD2">
      <w:pPr>
        <w:spacing w:line="234" w:lineRule="exact"/>
        <w:rPr>
          <w:rFonts w:ascii="Arial" w:hAnsi="Arial" w:cs="Arial"/>
          <w:bCs/>
          <w:sz w:val="20"/>
          <w:szCs w:val="20"/>
        </w:rPr>
      </w:pPr>
    </w:p>
    <w:p w14:paraId="487DD7B3" w14:textId="77777777" w:rsidR="00892EA6" w:rsidRPr="007C1CBD" w:rsidRDefault="00892EA6" w:rsidP="00931BD2">
      <w:pPr>
        <w:spacing w:line="234" w:lineRule="exact"/>
        <w:rPr>
          <w:rFonts w:ascii="Arial" w:hAnsi="Arial" w:cs="Arial"/>
          <w:bCs/>
          <w:sz w:val="20"/>
          <w:szCs w:val="20"/>
        </w:rPr>
      </w:pPr>
    </w:p>
    <w:p w14:paraId="1EC8CC5D" w14:textId="77777777" w:rsidR="00892EA6" w:rsidRPr="007C1CBD" w:rsidRDefault="00892EA6" w:rsidP="00931BD2">
      <w:pPr>
        <w:spacing w:line="234" w:lineRule="exact"/>
        <w:rPr>
          <w:rFonts w:ascii="Arial" w:hAnsi="Arial" w:cs="Arial"/>
          <w:bCs/>
          <w:sz w:val="20"/>
          <w:szCs w:val="20"/>
        </w:rPr>
      </w:pPr>
    </w:p>
    <w:p w14:paraId="1854D990" w14:textId="77777777" w:rsidR="00892EA6" w:rsidRPr="007C1CBD" w:rsidRDefault="00892EA6" w:rsidP="00931BD2">
      <w:pPr>
        <w:spacing w:line="234" w:lineRule="exact"/>
        <w:rPr>
          <w:rFonts w:ascii="Arial" w:hAnsi="Arial" w:cs="Arial"/>
          <w:bCs/>
          <w:sz w:val="20"/>
          <w:szCs w:val="20"/>
        </w:rPr>
      </w:pPr>
    </w:p>
    <w:p w14:paraId="0A2B319F" w14:textId="77777777" w:rsidR="00892EA6" w:rsidRPr="007C1CBD" w:rsidRDefault="00892EA6" w:rsidP="00931BD2">
      <w:pPr>
        <w:spacing w:line="234" w:lineRule="exact"/>
        <w:rPr>
          <w:rFonts w:ascii="Arial" w:hAnsi="Arial" w:cs="Arial"/>
          <w:bCs/>
          <w:sz w:val="20"/>
          <w:szCs w:val="20"/>
        </w:rPr>
      </w:pPr>
    </w:p>
    <w:p w14:paraId="361B5F1A" w14:textId="77777777" w:rsidR="00892EA6" w:rsidRPr="007C1CBD" w:rsidRDefault="00892EA6" w:rsidP="00931BD2">
      <w:pPr>
        <w:spacing w:line="234" w:lineRule="exact"/>
        <w:rPr>
          <w:rFonts w:ascii="Arial" w:hAnsi="Arial" w:cs="Arial"/>
          <w:bCs/>
          <w:sz w:val="20"/>
          <w:szCs w:val="20"/>
        </w:rPr>
      </w:pPr>
    </w:p>
    <w:p w14:paraId="531C4714" w14:textId="77777777" w:rsidR="00892EA6" w:rsidRPr="007C1CBD" w:rsidRDefault="00892EA6" w:rsidP="00931BD2">
      <w:pPr>
        <w:spacing w:line="234" w:lineRule="exact"/>
        <w:rPr>
          <w:rFonts w:ascii="Arial" w:hAnsi="Arial" w:cs="Arial"/>
          <w:bCs/>
          <w:sz w:val="20"/>
          <w:szCs w:val="20"/>
        </w:rPr>
      </w:pPr>
    </w:p>
    <w:p w14:paraId="7EDFB3E9" w14:textId="77777777" w:rsidR="00892EA6" w:rsidRPr="007C1CBD" w:rsidRDefault="00892EA6" w:rsidP="00931BD2">
      <w:pPr>
        <w:spacing w:line="234" w:lineRule="exact"/>
        <w:rPr>
          <w:rFonts w:ascii="Arial" w:hAnsi="Arial" w:cs="Arial"/>
          <w:bCs/>
          <w:sz w:val="20"/>
          <w:szCs w:val="20"/>
        </w:rPr>
      </w:pPr>
    </w:p>
    <w:p w14:paraId="6705F631" w14:textId="77777777" w:rsidR="00892EA6" w:rsidRDefault="00892EA6" w:rsidP="00931BD2">
      <w:pPr>
        <w:spacing w:line="234" w:lineRule="exact"/>
        <w:rPr>
          <w:bCs/>
        </w:rPr>
      </w:pPr>
    </w:p>
    <w:p w14:paraId="6AC29C13" w14:textId="77777777" w:rsidR="00892EA6" w:rsidRDefault="00892EA6" w:rsidP="00931BD2">
      <w:pPr>
        <w:spacing w:line="234" w:lineRule="exact"/>
        <w:rPr>
          <w:bCs/>
        </w:rPr>
      </w:pPr>
    </w:p>
    <w:p w14:paraId="46EA82C8" w14:textId="77777777" w:rsidR="00892EA6" w:rsidRDefault="00892EA6" w:rsidP="00931BD2">
      <w:pPr>
        <w:spacing w:line="234" w:lineRule="exact"/>
        <w:rPr>
          <w:bCs/>
        </w:rPr>
      </w:pPr>
    </w:p>
    <w:p w14:paraId="2DA8127E" w14:textId="77777777" w:rsidR="00892EA6" w:rsidRDefault="00892EA6" w:rsidP="00931BD2">
      <w:pPr>
        <w:spacing w:line="234" w:lineRule="exact"/>
        <w:rPr>
          <w:bCs/>
        </w:rPr>
      </w:pPr>
    </w:p>
    <w:p w14:paraId="6863B318" w14:textId="77777777" w:rsidR="00892EA6" w:rsidRDefault="00892EA6" w:rsidP="00DF01EB">
      <w:pPr>
        <w:spacing w:line="234" w:lineRule="exact"/>
        <w:jc w:val="right"/>
        <w:rPr>
          <w:bCs/>
        </w:rPr>
      </w:pPr>
    </w:p>
    <w:sectPr w:rsidR="00892EA6" w:rsidSect="00CC6E31">
      <w:footerReference w:type="default" r:id="rId8"/>
      <w:pgSz w:w="11906" w:h="16838"/>
      <w:pgMar w:top="993" w:right="567" w:bottom="567" w:left="1701" w:header="567" w:footer="26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FBE2" w14:textId="77777777" w:rsidR="00A35166" w:rsidRDefault="00A35166" w:rsidP="008059B7">
      <w:r>
        <w:separator/>
      </w:r>
    </w:p>
  </w:endnote>
  <w:endnote w:type="continuationSeparator" w:id="0">
    <w:p w14:paraId="7EC66D88" w14:textId="77777777" w:rsidR="00A35166" w:rsidRDefault="00A35166" w:rsidP="0080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6298553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DD06CF7" w14:textId="77777777" w:rsidR="0014365F" w:rsidRPr="00DF01EB" w:rsidRDefault="0014365F">
        <w:pPr>
          <w:pStyle w:val="Porat"/>
          <w:jc w:val="right"/>
          <w:rPr>
            <w:rFonts w:ascii="Arial" w:hAnsi="Arial" w:cs="Arial"/>
            <w:sz w:val="22"/>
            <w:szCs w:val="22"/>
          </w:rPr>
        </w:pPr>
        <w:r w:rsidRPr="00DF01EB">
          <w:rPr>
            <w:rFonts w:ascii="Arial" w:hAnsi="Arial" w:cs="Arial"/>
            <w:sz w:val="22"/>
            <w:szCs w:val="22"/>
          </w:rPr>
          <w:fldChar w:fldCharType="begin"/>
        </w:r>
        <w:r w:rsidRPr="00DF01EB">
          <w:rPr>
            <w:rFonts w:ascii="Arial" w:hAnsi="Arial" w:cs="Arial"/>
            <w:sz w:val="22"/>
            <w:szCs w:val="22"/>
          </w:rPr>
          <w:instrText>PAGE   \* MERGEFORMAT</w:instrText>
        </w:r>
        <w:r w:rsidRPr="00DF01EB">
          <w:rPr>
            <w:rFonts w:ascii="Arial" w:hAnsi="Arial" w:cs="Arial"/>
            <w:sz w:val="22"/>
            <w:szCs w:val="22"/>
          </w:rPr>
          <w:fldChar w:fldCharType="separate"/>
        </w:r>
        <w:r w:rsidR="005321FD" w:rsidRPr="00DF01EB">
          <w:rPr>
            <w:rFonts w:ascii="Arial" w:hAnsi="Arial" w:cs="Arial"/>
            <w:noProof/>
            <w:sz w:val="22"/>
            <w:szCs w:val="22"/>
          </w:rPr>
          <w:t>2</w:t>
        </w:r>
        <w:r w:rsidRPr="00DF01EB">
          <w:rPr>
            <w:rFonts w:ascii="Arial" w:hAnsi="Arial" w:cs="Arial"/>
            <w:sz w:val="22"/>
            <w:szCs w:val="22"/>
          </w:rPr>
          <w:fldChar w:fldCharType="end"/>
        </w:r>
        <w:r w:rsidR="00306376" w:rsidRPr="00DF01EB">
          <w:rPr>
            <w:rFonts w:ascii="Arial" w:hAnsi="Arial" w:cs="Arial"/>
            <w:sz w:val="22"/>
            <w:szCs w:val="22"/>
          </w:rPr>
          <w:t xml:space="preserve"> lapas iš 3</w:t>
        </w:r>
      </w:p>
    </w:sdtContent>
  </w:sdt>
  <w:p w14:paraId="7FF11585" w14:textId="77777777" w:rsidR="0014365F" w:rsidRDefault="0014365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31DC" w14:textId="77777777" w:rsidR="00A35166" w:rsidRDefault="00A35166" w:rsidP="008059B7">
      <w:r>
        <w:separator/>
      </w:r>
    </w:p>
  </w:footnote>
  <w:footnote w:type="continuationSeparator" w:id="0">
    <w:p w14:paraId="192ACEB8" w14:textId="77777777" w:rsidR="00A35166" w:rsidRDefault="00A35166" w:rsidP="00805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F49"/>
    <w:multiLevelType w:val="hybridMultilevel"/>
    <w:tmpl w:val="FF62DD72"/>
    <w:lvl w:ilvl="0" w:tplc="96A813C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5" w:hanging="360"/>
      </w:pPr>
    </w:lvl>
    <w:lvl w:ilvl="2" w:tplc="0427001B" w:tentative="1">
      <w:start w:val="1"/>
      <w:numFmt w:val="lowerRoman"/>
      <w:lvlText w:val="%3."/>
      <w:lvlJc w:val="right"/>
      <w:pPr>
        <w:ind w:left="2085" w:hanging="180"/>
      </w:pPr>
    </w:lvl>
    <w:lvl w:ilvl="3" w:tplc="0427000F" w:tentative="1">
      <w:start w:val="1"/>
      <w:numFmt w:val="decimal"/>
      <w:lvlText w:val="%4."/>
      <w:lvlJc w:val="left"/>
      <w:pPr>
        <w:ind w:left="2805" w:hanging="360"/>
      </w:pPr>
    </w:lvl>
    <w:lvl w:ilvl="4" w:tplc="04270019" w:tentative="1">
      <w:start w:val="1"/>
      <w:numFmt w:val="lowerLetter"/>
      <w:lvlText w:val="%5."/>
      <w:lvlJc w:val="left"/>
      <w:pPr>
        <w:ind w:left="3525" w:hanging="360"/>
      </w:pPr>
    </w:lvl>
    <w:lvl w:ilvl="5" w:tplc="0427001B" w:tentative="1">
      <w:start w:val="1"/>
      <w:numFmt w:val="lowerRoman"/>
      <w:lvlText w:val="%6."/>
      <w:lvlJc w:val="right"/>
      <w:pPr>
        <w:ind w:left="4245" w:hanging="180"/>
      </w:pPr>
    </w:lvl>
    <w:lvl w:ilvl="6" w:tplc="0427000F" w:tentative="1">
      <w:start w:val="1"/>
      <w:numFmt w:val="decimal"/>
      <w:lvlText w:val="%7."/>
      <w:lvlJc w:val="left"/>
      <w:pPr>
        <w:ind w:left="4965" w:hanging="360"/>
      </w:pPr>
    </w:lvl>
    <w:lvl w:ilvl="7" w:tplc="04270019" w:tentative="1">
      <w:start w:val="1"/>
      <w:numFmt w:val="lowerLetter"/>
      <w:lvlText w:val="%8."/>
      <w:lvlJc w:val="left"/>
      <w:pPr>
        <w:ind w:left="5685" w:hanging="360"/>
      </w:pPr>
    </w:lvl>
    <w:lvl w:ilvl="8" w:tplc="0427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1E020E0"/>
    <w:multiLevelType w:val="multilevel"/>
    <w:tmpl w:val="DB0AA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1E0B32"/>
    <w:multiLevelType w:val="multilevel"/>
    <w:tmpl w:val="764E03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EF01FD"/>
    <w:multiLevelType w:val="hybridMultilevel"/>
    <w:tmpl w:val="0A781370"/>
    <w:lvl w:ilvl="0" w:tplc="D5326A7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91329"/>
    <w:multiLevelType w:val="hybridMultilevel"/>
    <w:tmpl w:val="6E0A05A8"/>
    <w:lvl w:ilvl="0" w:tplc="C2CC836C">
      <w:start w:val="1"/>
      <w:numFmt w:val="decimal"/>
      <w:lvlText w:val="%1."/>
      <w:lvlJc w:val="left"/>
      <w:pPr>
        <w:ind w:left="644" w:hanging="360"/>
      </w:pPr>
      <w:rPr>
        <w:rFonts w:cs="Arial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D463AA"/>
    <w:multiLevelType w:val="hybridMultilevel"/>
    <w:tmpl w:val="65C477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424"/>
    <w:multiLevelType w:val="hybridMultilevel"/>
    <w:tmpl w:val="52029A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B700E"/>
    <w:multiLevelType w:val="hybridMultilevel"/>
    <w:tmpl w:val="FC5A8C3E"/>
    <w:lvl w:ilvl="0" w:tplc="E5CECA5E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BF097E"/>
    <w:multiLevelType w:val="hybridMultilevel"/>
    <w:tmpl w:val="1DBE6A56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3D3B0D"/>
    <w:multiLevelType w:val="hybridMultilevel"/>
    <w:tmpl w:val="FF62DD72"/>
    <w:lvl w:ilvl="0" w:tplc="96A813C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5" w:hanging="360"/>
      </w:pPr>
    </w:lvl>
    <w:lvl w:ilvl="2" w:tplc="0427001B" w:tentative="1">
      <w:start w:val="1"/>
      <w:numFmt w:val="lowerRoman"/>
      <w:lvlText w:val="%3."/>
      <w:lvlJc w:val="right"/>
      <w:pPr>
        <w:ind w:left="2085" w:hanging="180"/>
      </w:pPr>
    </w:lvl>
    <w:lvl w:ilvl="3" w:tplc="0427000F" w:tentative="1">
      <w:start w:val="1"/>
      <w:numFmt w:val="decimal"/>
      <w:lvlText w:val="%4."/>
      <w:lvlJc w:val="left"/>
      <w:pPr>
        <w:ind w:left="2805" w:hanging="360"/>
      </w:pPr>
    </w:lvl>
    <w:lvl w:ilvl="4" w:tplc="04270019" w:tentative="1">
      <w:start w:val="1"/>
      <w:numFmt w:val="lowerLetter"/>
      <w:lvlText w:val="%5."/>
      <w:lvlJc w:val="left"/>
      <w:pPr>
        <w:ind w:left="3525" w:hanging="360"/>
      </w:pPr>
    </w:lvl>
    <w:lvl w:ilvl="5" w:tplc="0427001B" w:tentative="1">
      <w:start w:val="1"/>
      <w:numFmt w:val="lowerRoman"/>
      <w:lvlText w:val="%6."/>
      <w:lvlJc w:val="right"/>
      <w:pPr>
        <w:ind w:left="4245" w:hanging="180"/>
      </w:pPr>
    </w:lvl>
    <w:lvl w:ilvl="6" w:tplc="0427000F" w:tentative="1">
      <w:start w:val="1"/>
      <w:numFmt w:val="decimal"/>
      <w:lvlText w:val="%7."/>
      <w:lvlJc w:val="left"/>
      <w:pPr>
        <w:ind w:left="4965" w:hanging="360"/>
      </w:pPr>
    </w:lvl>
    <w:lvl w:ilvl="7" w:tplc="04270019" w:tentative="1">
      <w:start w:val="1"/>
      <w:numFmt w:val="lowerLetter"/>
      <w:lvlText w:val="%8."/>
      <w:lvlJc w:val="left"/>
      <w:pPr>
        <w:ind w:left="5685" w:hanging="360"/>
      </w:pPr>
    </w:lvl>
    <w:lvl w:ilvl="8" w:tplc="0427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68200DD"/>
    <w:multiLevelType w:val="hybridMultilevel"/>
    <w:tmpl w:val="FF62DD72"/>
    <w:lvl w:ilvl="0" w:tplc="96A813C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5" w:hanging="360"/>
      </w:pPr>
    </w:lvl>
    <w:lvl w:ilvl="2" w:tplc="0427001B" w:tentative="1">
      <w:start w:val="1"/>
      <w:numFmt w:val="lowerRoman"/>
      <w:lvlText w:val="%3."/>
      <w:lvlJc w:val="right"/>
      <w:pPr>
        <w:ind w:left="2085" w:hanging="180"/>
      </w:pPr>
    </w:lvl>
    <w:lvl w:ilvl="3" w:tplc="0427000F" w:tentative="1">
      <w:start w:val="1"/>
      <w:numFmt w:val="decimal"/>
      <w:lvlText w:val="%4."/>
      <w:lvlJc w:val="left"/>
      <w:pPr>
        <w:ind w:left="2805" w:hanging="360"/>
      </w:pPr>
    </w:lvl>
    <w:lvl w:ilvl="4" w:tplc="04270019" w:tentative="1">
      <w:start w:val="1"/>
      <w:numFmt w:val="lowerLetter"/>
      <w:lvlText w:val="%5."/>
      <w:lvlJc w:val="left"/>
      <w:pPr>
        <w:ind w:left="3525" w:hanging="360"/>
      </w:pPr>
    </w:lvl>
    <w:lvl w:ilvl="5" w:tplc="0427001B" w:tentative="1">
      <w:start w:val="1"/>
      <w:numFmt w:val="lowerRoman"/>
      <w:lvlText w:val="%6."/>
      <w:lvlJc w:val="right"/>
      <w:pPr>
        <w:ind w:left="4245" w:hanging="180"/>
      </w:pPr>
    </w:lvl>
    <w:lvl w:ilvl="6" w:tplc="0427000F" w:tentative="1">
      <w:start w:val="1"/>
      <w:numFmt w:val="decimal"/>
      <w:lvlText w:val="%7."/>
      <w:lvlJc w:val="left"/>
      <w:pPr>
        <w:ind w:left="4965" w:hanging="360"/>
      </w:pPr>
    </w:lvl>
    <w:lvl w:ilvl="7" w:tplc="04270019" w:tentative="1">
      <w:start w:val="1"/>
      <w:numFmt w:val="lowerLetter"/>
      <w:lvlText w:val="%8."/>
      <w:lvlJc w:val="left"/>
      <w:pPr>
        <w:ind w:left="5685" w:hanging="360"/>
      </w:pPr>
    </w:lvl>
    <w:lvl w:ilvl="8" w:tplc="0427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5EF4783F"/>
    <w:multiLevelType w:val="multilevel"/>
    <w:tmpl w:val="A98A89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5AC124B"/>
    <w:multiLevelType w:val="hybridMultilevel"/>
    <w:tmpl w:val="96606E26"/>
    <w:lvl w:ilvl="0" w:tplc="1DE08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A14DD5"/>
    <w:multiLevelType w:val="multilevel"/>
    <w:tmpl w:val="5D5895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4" w15:restartNumberingAfterBreak="0">
    <w:nsid w:val="7D963F12"/>
    <w:multiLevelType w:val="hybridMultilevel"/>
    <w:tmpl w:val="B52CE5E6"/>
    <w:lvl w:ilvl="0" w:tplc="182A64C4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76018323">
    <w:abstractNumId w:val="5"/>
  </w:num>
  <w:num w:numId="2" w16cid:durableId="1486774829">
    <w:abstractNumId w:val="8"/>
  </w:num>
  <w:num w:numId="3" w16cid:durableId="1963612942">
    <w:abstractNumId w:val="11"/>
  </w:num>
  <w:num w:numId="4" w16cid:durableId="741410578">
    <w:abstractNumId w:val="10"/>
  </w:num>
  <w:num w:numId="5" w16cid:durableId="867644156">
    <w:abstractNumId w:val="0"/>
  </w:num>
  <w:num w:numId="6" w16cid:durableId="604729344">
    <w:abstractNumId w:val="9"/>
  </w:num>
  <w:num w:numId="7" w16cid:durableId="1051804503">
    <w:abstractNumId w:val="2"/>
  </w:num>
  <w:num w:numId="8" w16cid:durableId="713969841">
    <w:abstractNumId w:val="1"/>
  </w:num>
  <w:num w:numId="9" w16cid:durableId="1814517234">
    <w:abstractNumId w:val="7"/>
  </w:num>
  <w:num w:numId="10" w16cid:durableId="1323973600">
    <w:abstractNumId w:val="14"/>
  </w:num>
  <w:num w:numId="11" w16cid:durableId="702678879">
    <w:abstractNumId w:val="4"/>
  </w:num>
  <w:num w:numId="12" w16cid:durableId="261843905">
    <w:abstractNumId w:val="6"/>
  </w:num>
  <w:num w:numId="13" w16cid:durableId="798650964">
    <w:abstractNumId w:val="3"/>
  </w:num>
  <w:num w:numId="14" w16cid:durableId="897325961">
    <w:abstractNumId w:val="12"/>
  </w:num>
  <w:num w:numId="15" w16cid:durableId="672533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8960357">
    <w:abstractNumId w:val="3"/>
  </w:num>
  <w:num w:numId="17" w16cid:durableId="17546189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42"/>
    <w:rsid w:val="00006076"/>
    <w:rsid w:val="0001269D"/>
    <w:rsid w:val="00022B03"/>
    <w:rsid w:val="00023A50"/>
    <w:rsid w:val="0002567E"/>
    <w:rsid w:val="00032C5B"/>
    <w:rsid w:val="00034912"/>
    <w:rsid w:val="00037C54"/>
    <w:rsid w:val="00047B52"/>
    <w:rsid w:val="00053C0D"/>
    <w:rsid w:val="00054AC6"/>
    <w:rsid w:val="00057175"/>
    <w:rsid w:val="000600D6"/>
    <w:rsid w:val="00061BE0"/>
    <w:rsid w:val="00062081"/>
    <w:rsid w:val="00064AFE"/>
    <w:rsid w:val="00066903"/>
    <w:rsid w:val="000674B4"/>
    <w:rsid w:val="00073EAD"/>
    <w:rsid w:val="00075084"/>
    <w:rsid w:val="00075405"/>
    <w:rsid w:val="00081A08"/>
    <w:rsid w:val="00081D78"/>
    <w:rsid w:val="00082D02"/>
    <w:rsid w:val="00085EB0"/>
    <w:rsid w:val="00095D6F"/>
    <w:rsid w:val="000974EA"/>
    <w:rsid w:val="000A3C5B"/>
    <w:rsid w:val="000A66E4"/>
    <w:rsid w:val="000A6915"/>
    <w:rsid w:val="000A7664"/>
    <w:rsid w:val="000A7825"/>
    <w:rsid w:val="000B5023"/>
    <w:rsid w:val="000C5383"/>
    <w:rsid w:val="000D70FC"/>
    <w:rsid w:val="000F5636"/>
    <w:rsid w:val="001079D6"/>
    <w:rsid w:val="001103AE"/>
    <w:rsid w:val="00117F09"/>
    <w:rsid w:val="001269D9"/>
    <w:rsid w:val="001307C9"/>
    <w:rsid w:val="00130993"/>
    <w:rsid w:val="00131EA5"/>
    <w:rsid w:val="001344E3"/>
    <w:rsid w:val="001402E4"/>
    <w:rsid w:val="0014365F"/>
    <w:rsid w:val="00145B6C"/>
    <w:rsid w:val="00166EAD"/>
    <w:rsid w:val="00170941"/>
    <w:rsid w:val="001721B3"/>
    <w:rsid w:val="0017667D"/>
    <w:rsid w:val="00180862"/>
    <w:rsid w:val="00182ABA"/>
    <w:rsid w:val="00193DD8"/>
    <w:rsid w:val="00194C78"/>
    <w:rsid w:val="00196AC7"/>
    <w:rsid w:val="001B56D0"/>
    <w:rsid w:val="001B5727"/>
    <w:rsid w:val="001C1450"/>
    <w:rsid w:val="001C6EA4"/>
    <w:rsid w:val="001D2B9B"/>
    <w:rsid w:val="001D32EC"/>
    <w:rsid w:val="001D74DD"/>
    <w:rsid w:val="001E04F2"/>
    <w:rsid w:val="001E16A5"/>
    <w:rsid w:val="001E52AE"/>
    <w:rsid w:val="001E6B14"/>
    <w:rsid w:val="001E754E"/>
    <w:rsid w:val="001F0989"/>
    <w:rsid w:val="001F2436"/>
    <w:rsid w:val="001F337C"/>
    <w:rsid w:val="00202B1C"/>
    <w:rsid w:val="00203688"/>
    <w:rsid w:val="00204D68"/>
    <w:rsid w:val="002220D8"/>
    <w:rsid w:val="00223AD0"/>
    <w:rsid w:val="00224262"/>
    <w:rsid w:val="00226413"/>
    <w:rsid w:val="002350DA"/>
    <w:rsid w:val="00235324"/>
    <w:rsid w:val="0023560E"/>
    <w:rsid w:val="00250CE4"/>
    <w:rsid w:val="00256154"/>
    <w:rsid w:val="00257D74"/>
    <w:rsid w:val="002604A5"/>
    <w:rsid w:val="002700E0"/>
    <w:rsid w:val="002750AC"/>
    <w:rsid w:val="00295825"/>
    <w:rsid w:val="002A3BB8"/>
    <w:rsid w:val="002A7679"/>
    <w:rsid w:val="002B79FB"/>
    <w:rsid w:val="002C1244"/>
    <w:rsid w:val="002C33DE"/>
    <w:rsid w:val="002C36AA"/>
    <w:rsid w:val="002C3757"/>
    <w:rsid w:val="002D1226"/>
    <w:rsid w:val="002D3365"/>
    <w:rsid w:val="002E16CC"/>
    <w:rsid w:val="002F01BE"/>
    <w:rsid w:val="002F3775"/>
    <w:rsid w:val="00300669"/>
    <w:rsid w:val="00306376"/>
    <w:rsid w:val="00311E36"/>
    <w:rsid w:val="00333325"/>
    <w:rsid w:val="00336E04"/>
    <w:rsid w:val="003373F1"/>
    <w:rsid w:val="00344610"/>
    <w:rsid w:val="00345ED3"/>
    <w:rsid w:val="00351B8E"/>
    <w:rsid w:val="00357864"/>
    <w:rsid w:val="00360BC6"/>
    <w:rsid w:val="0037532F"/>
    <w:rsid w:val="0037716A"/>
    <w:rsid w:val="0038544A"/>
    <w:rsid w:val="003907FE"/>
    <w:rsid w:val="003914B9"/>
    <w:rsid w:val="00394F8C"/>
    <w:rsid w:val="0039672C"/>
    <w:rsid w:val="003A0C0C"/>
    <w:rsid w:val="003B2122"/>
    <w:rsid w:val="003B5C95"/>
    <w:rsid w:val="003C359E"/>
    <w:rsid w:val="003D4836"/>
    <w:rsid w:val="003E19D5"/>
    <w:rsid w:val="003E39F9"/>
    <w:rsid w:val="003E5826"/>
    <w:rsid w:val="003E686A"/>
    <w:rsid w:val="003F2878"/>
    <w:rsid w:val="003F2E01"/>
    <w:rsid w:val="003F69F6"/>
    <w:rsid w:val="003F74E2"/>
    <w:rsid w:val="0040118E"/>
    <w:rsid w:val="00403498"/>
    <w:rsid w:val="00407791"/>
    <w:rsid w:val="00407963"/>
    <w:rsid w:val="00410F2F"/>
    <w:rsid w:val="00413331"/>
    <w:rsid w:val="004243E9"/>
    <w:rsid w:val="004353A8"/>
    <w:rsid w:val="00441C09"/>
    <w:rsid w:val="0045514C"/>
    <w:rsid w:val="00466731"/>
    <w:rsid w:val="0046736F"/>
    <w:rsid w:val="0047683B"/>
    <w:rsid w:val="00480B2F"/>
    <w:rsid w:val="00483221"/>
    <w:rsid w:val="004866DE"/>
    <w:rsid w:val="004A4C16"/>
    <w:rsid w:val="004B5CA7"/>
    <w:rsid w:val="004B6F9F"/>
    <w:rsid w:val="004B76F4"/>
    <w:rsid w:val="004C11B9"/>
    <w:rsid w:val="004D68B1"/>
    <w:rsid w:val="004E4199"/>
    <w:rsid w:val="004E4AB9"/>
    <w:rsid w:val="004E7202"/>
    <w:rsid w:val="004F1AF4"/>
    <w:rsid w:val="0051410D"/>
    <w:rsid w:val="00523B0F"/>
    <w:rsid w:val="00531502"/>
    <w:rsid w:val="005321FD"/>
    <w:rsid w:val="0053599D"/>
    <w:rsid w:val="00537905"/>
    <w:rsid w:val="00554AFE"/>
    <w:rsid w:val="0055591A"/>
    <w:rsid w:val="00561259"/>
    <w:rsid w:val="0056280C"/>
    <w:rsid w:val="00573745"/>
    <w:rsid w:val="00575AAB"/>
    <w:rsid w:val="00581E0C"/>
    <w:rsid w:val="00582BD9"/>
    <w:rsid w:val="005843D1"/>
    <w:rsid w:val="00585601"/>
    <w:rsid w:val="00586A37"/>
    <w:rsid w:val="00595B07"/>
    <w:rsid w:val="0059606F"/>
    <w:rsid w:val="005A0E68"/>
    <w:rsid w:val="005B2231"/>
    <w:rsid w:val="005B5504"/>
    <w:rsid w:val="005C0674"/>
    <w:rsid w:val="005C3C90"/>
    <w:rsid w:val="005C6779"/>
    <w:rsid w:val="005C7E2F"/>
    <w:rsid w:val="005E1839"/>
    <w:rsid w:val="005E7EE8"/>
    <w:rsid w:val="005F2734"/>
    <w:rsid w:val="005F3C04"/>
    <w:rsid w:val="0060659B"/>
    <w:rsid w:val="00606F65"/>
    <w:rsid w:val="0061546B"/>
    <w:rsid w:val="0062447E"/>
    <w:rsid w:val="006269BC"/>
    <w:rsid w:val="00634768"/>
    <w:rsid w:val="00644574"/>
    <w:rsid w:val="00650EB2"/>
    <w:rsid w:val="00651490"/>
    <w:rsid w:val="00651AC2"/>
    <w:rsid w:val="006644F5"/>
    <w:rsid w:val="00677BF3"/>
    <w:rsid w:val="00695B22"/>
    <w:rsid w:val="00695CD7"/>
    <w:rsid w:val="00696EC9"/>
    <w:rsid w:val="006A0BA7"/>
    <w:rsid w:val="006A3651"/>
    <w:rsid w:val="006A568F"/>
    <w:rsid w:val="006A7B0E"/>
    <w:rsid w:val="006B0120"/>
    <w:rsid w:val="006B2D89"/>
    <w:rsid w:val="006B2EF1"/>
    <w:rsid w:val="006C031C"/>
    <w:rsid w:val="006C28E2"/>
    <w:rsid w:val="006C302D"/>
    <w:rsid w:val="006C385A"/>
    <w:rsid w:val="006D082D"/>
    <w:rsid w:val="006D3EA5"/>
    <w:rsid w:val="006E3A9A"/>
    <w:rsid w:val="006E6458"/>
    <w:rsid w:val="00711333"/>
    <w:rsid w:val="00715AD1"/>
    <w:rsid w:val="00715F38"/>
    <w:rsid w:val="00716007"/>
    <w:rsid w:val="00721F6A"/>
    <w:rsid w:val="00722FD5"/>
    <w:rsid w:val="00727B36"/>
    <w:rsid w:val="007340BD"/>
    <w:rsid w:val="007352EC"/>
    <w:rsid w:val="0073642B"/>
    <w:rsid w:val="0073695B"/>
    <w:rsid w:val="0074123C"/>
    <w:rsid w:val="00741A19"/>
    <w:rsid w:val="0074379E"/>
    <w:rsid w:val="00753F2D"/>
    <w:rsid w:val="007567A4"/>
    <w:rsid w:val="00762514"/>
    <w:rsid w:val="0076576D"/>
    <w:rsid w:val="00770BC0"/>
    <w:rsid w:val="00773FFE"/>
    <w:rsid w:val="00781ECB"/>
    <w:rsid w:val="0078242D"/>
    <w:rsid w:val="007A1257"/>
    <w:rsid w:val="007B5BB0"/>
    <w:rsid w:val="007C0283"/>
    <w:rsid w:val="007C1CBD"/>
    <w:rsid w:val="007C1D3A"/>
    <w:rsid w:val="007C2D66"/>
    <w:rsid w:val="007C3523"/>
    <w:rsid w:val="007D2D05"/>
    <w:rsid w:val="007D5D68"/>
    <w:rsid w:val="007E2346"/>
    <w:rsid w:val="007E3100"/>
    <w:rsid w:val="007E3A9D"/>
    <w:rsid w:val="007F0A78"/>
    <w:rsid w:val="007F48AB"/>
    <w:rsid w:val="00800CF8"/>
    <w:rsid w:val="008059B7"/>
    <w:rsid w:val="00810B1B"/>
    <w:rsid w:val="0081152F"/>
    <w:rsid w:val="0081254D"/>
    <w:rsid w:val="00817C78"/>
    <w:rsid w:val="008504CC"/>
    <w:rsid w:val="00862EB9"/>
    <w:rsid w:val="00863BE6"/>
    <w:rsid w:val="00872F50"/>
    <w:rsid w:val="00873ECA"/>
    <w:rsid w:val="008770CD"/>
    <w:rsid w:val="00880DCC"/>
    <w:rsid w:val="008833C7"/>
    <w:rsid w:val="00885BD6"/>
    <w:rsid w:val="00886C05"/>
    <w:rsid w:val="00891E0B"/>
    <w:rsid w:val="00892EA6"/>
    <w:rsid w:val="00897918"/>
    <w:rsid w:val="008B3FF4"/>
    <w:rsid w:val="008C300E"/>
    <w:rsid w:val="008C6AB1"/>
    <w:rsid w:val="008E14D4"/>
    <w:rsid w:val="008E326D"/>
    <w:rsid w:val="008E7C22"/>
    <w:rsid w:val="008F2D77"/>
    <w:rsid w:val="00900F91"/>
    <w:rsid w:val="00901B1C"/>
    <w:rsid w:val="009130DC"/>
    <w:rsid w:val="00915B46"/>
    <w:rsid w:val="00922D6E"/>
    <w:rsid w:val="00931410"/>
    <w:rsid w:val="00931BD2"/>
    <w:rsid w:val="00932B53"/>
    <w:rsid w:val="00933E49"/>
    <w:rsid w:val="009352F3"/>
    <w:rsid w:val="00941F6B"/>
    <w:rsid w:val="009441F8"/>
    <w:rsid w:val="009456AE"/>
    <w:rsid w:val="00950454"/>
    <w:rsid w:val="00963745"/>
    <w:rsid w:val="009647B1"/>
    <w:rsid w:val="009662A2"/>
    <w:rsid w:val="00967ECD"/>
    <w:rsid w:val="00976127"/>
    <w:rsid w:val="00992DC2"/>
    <w:rsid w:val="00996547"/>
    <w:rsid w:val="009A58A8"/>
    <w:rsid w:val="009D33F1"/>
    <w:rsid w:val="009D3537"/>
    <w:rsid w:val="009D7EAB"/>
    <w:rsid w:val="009E2294"/>
    <w:rsid w:val="009E66DA"/>
    <w:rsid w:val="009F1829"/>
    <w:rsid w:val="00A016A4"/>
    <w:rsid w:val="00A047A7"/>
    <w:rsid w:val="00A068B1"/>
    <w:rsid w:val="00A20571"/>
    <w:rsid w:val="00A22214"/>
    <w:rsid w:val="00A33052"/>
    <w:rsid w:val="00A33270"/>
    <w:rsid w:val="00A35166"/>
    <w:rsid w:val="00A3546E"/>
    <w:rsid w:val="00A35D3E"/>
    <w:rsid w:val="00A40EA2"/>
    <w:rsid w:val="00A430DF"/>
    <w:rsid w:val="00A44937"/>
    <w:rsid w:val="00A46D5A"/>
    <w:rsid w:val="00A6181F"/>
    <w:rsid w:val="00A63414"/>
    <w:rsid w:val="00A63737"/>
    <w:rsid w:val="00A722FD"/>
    <w:rsid w:val="00A737F2"/>
    <w:rsid w:val="00A774FB"/>
    <w:rsid w:val="00A801C3"/>
    <w:rsid w:val="00A81469"/>
    <w:rsid w:val="00A82FC0"/>
    <w:rsid w:val="00A8341C"/>
    <w:rsid w:val="00A91AA7"/>
    <w:rsid w:val="00A91EDA"/>
    <w:rsid w:val="00A920CB"/>
    <w:rsid w:val="00AA00DF"/>
    <w:rsid w:val="00AA1610"/>
    <w:rsid w:val="00AB0581"/>
    <w:rsid w:val="00AB0908"/>
    <w:rsid w:val="00AB4386"/>
    <w:rsid w:val="00AC0036"/>
    <w:rsid w:val="00AC2660"/>
    <w:rsid w:val="00AD24C4"/>
    <w:rsid w:val="00AD37E7"/>
    <w:rsid w:val="00AD62AF"/>
    <w:rsid w:val="00AD73F4"/>
    <w:rsid w:val="00AE0A52"/>
    <w:rsid w:val="00AF0FEA"/>
    <w:rsid w:val="00AF47A6"/>
    <w:rsid w:val="00AF5F8A"/>
    <w:rsid w:val="00B05624"/>
    <w:rsid w:val="00B1415B"/>
    <w:rsid w:val="00B253C5"/>
    <w:rsid w:val="00B303DA"/>
    <w:rsid w:val="00B304A4"/>
    <w:rsid w:val="00B313E8"/>
    <w:rsid w:val="00B31546"/>
    <w:rsid w:val="00B34832"/>
    <w:rsid w:val="00B42B66"/>
    <w:rsid w:val="00B568EA"/>
    <w:rsid w:val="00B60D14"/>
    <w:rsid w:val="00B67B59"/>
    <w:rsid w:val="00B73A0E"/>
    <w:rsid w:val="00B7484A"/>
    <w:rsid w:val="00B74B0D"/>
    <w:rsid w:val="00B766BA"/>
    <w:rsid w:val="00BA11DE"/>
    <w:rsid w:val="00BA2EC2"/>
    <w:rsid w:val="00BA3439"/>
    <w:rsid w:val="00BA3E00"/>
    <w:rsid w:val="00BB4B0E"/>
    <w:rsid w:val="00BE4F7B"/>
    <w:rsid w:val="00BF4A63"/>
    <w:rsid w:val="00C017F3"/>
    <w:rsid w:val="00C03725"/>
    <w:rsid w:val="00C039AE"/>
    <w:rsid w:val="00C068A6"/>
    <w:rsid w:val="00C1088A"/>
    <w:rsid w:val="00C243FC"/>
    <w:rsid w:val="00C30ADB"/>
    <w:rsid w:val="00C31105"/>
    <w:rsid w:val="00C33502"/>
    <w:rsid w:val="00C34A46"/>
    <w:rsid w:val="00C35C77"/>
    <w:rsid w:val="00C4141D"/>
    <w:rsid w:val="00C51D83"/>
    <w:rsid w:val="00C5415C"/>
    <w:rsid w:val="00C5505D"/>
    <w:rsid w:val="00C555BD"/>
    <w:rsid w:val="00C57BE2"/>
    <w:rsid w:val="00C608A5"/>
    <w:rsid w:val="00C63804"/>
    <w:rsid w:val="00C6514F"/>
    <w:rsid w:val="00C673B0"/>
    <w:rsid w:val="00C732A2"/>
    <w:rsid w:val="00C73B2B"/>
    <w:rsid w:val="00C80CB2"/>
    <w:rsid w:val="00C833C4"/>
    <w:rsid w:val="00C85899"/>
    <w:rsid w:val="00C925F2"/>
    <w:rsid w:val="00C94C42"/>
    <w:rsid w:val="00C951E7"/>
    <w:rsid w:val="00C97A17"/>
    <w:rsid w:val="00C97C9A"/>
    <w:rsid w:val="00CA2247"/>
    <w:rsid w:val="00CA6B46"/>
    <w:rsid w:val="00CB19D3"/>
    <w:rsid w:val="00CB3223"/>
    <w:rsid w:val="00CC159F"/>
    <w:rsid w:val="00CC3203"/>
    <w:rsid w:val="00CC52F3"/>
    <w:rsid w:val="00CC6E31"/>
    <w:rsid w:val="00CD5B23"/>
    <w:rsid w:val="00CD5CD0"/>
    <w:rsid w:val="00CE15F0"/>
    <w:rsid w:val="00CE38B4"/>
    <w:rsid w:val="00CE5F46"/>
    <w:rsid w:val="00CF0E73"/>
    <w:rsid w:val="00CF1C20"/>
    <w:rsid w:val="00CF55A3"/>
    <w:rsid w:val="00CF5B91"/>
    <w:rsid w:val="00D00503"/>
    <w:rsid w:val="00D02100"/>
    <w:rsid w:val="00D07B31"/>
    <w:rsid w:val="00D12173"/>
    <w:rsid w:val="00D12BB2"/>
    <w:rsid w:val="00D1320E"/>
    <w:rsid w:val="00D13EF1"/>
    <w:rsid w:val="00D16DC2"/>
    <w:rsid w:val="00D21085"/>
    <w:rsid w:val="00D21622"/>
    <w:rsid w:val="00D2274F"/>
    <w:rsid w:val="00D257C5"/>
    <w:rsid w:val="00D31D7D"/>
    <w:rsid w:val="00D35D41"/>
    <w:rsid w:val="00D3661D"/>
    <w:rsid w:val="00D40833"/>
    <w:rsid w:val="00D44756"/>
    <w:rsid w:val="00D546BB"/>
    <w:rsid w:val="00D56C22"/>
    <w:rsid w:val="00D6422D"/>
    <w:rsid w:val="00D742B6"/>
    <w:rsid w:val="00D80D5C"/>
    <w:rsid w:val="00D81BC7"/>
    <w:rsid w:val="00D90760"/>
    <w:rsid w:val="00D91171"/>
    <w:rsid w:val="00D9602F"/>
    <w:rsid w:val="00DA0A86"/>
    <w:rsid w:val="00DC6584"/>
    <w:rsid w:val="00DC7299"/>
    <w:rsid w:val="00DD4249"/>
    <w:rsid w:val="00DD5D6D"/>
    <w:rsid w:val="00DE276A"/>
    <w:rsid w:val="00DE386E"/>
    <w:rsid w:val="00DE74A0"/>
    <w:rsid w:val="00DF01EB"/>
    <w:rsid w:val="00DF7FB1"/>
    <w:rsid w:val="00E154C6"/>
    <w:rsid w:val="00E32A2F"/>
    <w:rsid w:val="00E35B34"/>
    <w:rsid w:val="00E413A7"/>
    <w:rsid w:val="00E6018A"/>
    <w:rsid w:val="00E71939"/>
    <w:rsid w:val="00E74391"/>
    <w:rsid w:val="00E8209C"/>
    <w:rsid w:val="00E86687"/>
    <w:rsid w:val="00E90507"/>
    <w:rsid w:val="00E91A5A"/>
    <w:rsid w:val="00E97A5E"/>
    <w:rsid w:val="00EA2311"/>
    <w:rsid w:val="00EA5C60"/>
    <w:rsid w:val="00EC27BF"/>
    <w:rsid w:val="00EE46DB"/>
    <w:rsid w:val="00EF1F70"/>
    <w:rsid w:val="00F01E8C"/>
    <w:rsid w:val="00F05CB2"/>
    <w:rsid w:val="00F16F94"/>
    <w:rsid w:val="00F2717F"/>
    <w:rsid w:val="00F27B34"/>
    <w:rsid w:val="00F556BC"/>
    <w:rsid w:val="00F5792D"/>
    <w:rsid w:val="00F714A5"/>
    <w:rsid w:val="00F71902"/>
    <w:rsid w:val="00F8038A"/>
    <w:rsid w:val="00F821C2"/>
    <w:rsid w:val="00F827D9"/>
    <w:rsid w:val="00F82E28"/>
    <w:rsid w:val="00F85355"/>
    <w:rsid w:val="00F85535"/>
    <w:rsid w:val="00F87FB3"/>
    <w:rsid w:val="00F93546"/>
    <w:rsid w:val="00FA0DED"/>
    <w:rsid w:val="00FA1A12"/>
    <w:rsid w:val="00FA2EB6"/>
    <w:rsid w:val="00FB1A88"/>
    <w:rsid w:val="00FC0C67"/>
    <w:rsid w:val="00FC19AB"/>
    <w:rsid w:val="00FD03E2"/>
    <w:rsid w:val="00FD0E38"/>
    <w:rsid w:val="00FD3C80"/>
    <w:rsid w:val="00FE733C"/>
    <w:rsid w:val="00FF5D41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7F1E"/>
  <w15:docId w15:val="{C373F6B7-525C-46C3-826B-840C3CB9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C1450"/>
    <w:pPr>
      <w:keepNext/>
      <w:outlineLvl w:val="0"/>
    </w:pPr>
    <w:rPr>
      <w:rFonts w:ascii="Arial Narrow" w:hAnsi="Arial Narrow"/>
      <w:szCs w:val="20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1450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zh-C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C1450"/>
    <w:rPr>
      <w:rFonts w:ascii="Arial Narrow" w:eastAsia="Times New Roman" w:hAnsi="Arial Narrow" w:cs="Times New Roman"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145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Sraopastraipa">
    <w:name w:val="List Paragraph"/>
    <w:basedOn w:val="prastasis"/>
    <w:uiPriority w:val="34"/>
    <w:qFormat/>
    <w:rsid w:val="0059606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C15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159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C159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15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159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15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159F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059B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59B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059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59B7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1D7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F9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A4C1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A4C1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semiHidden/>
    <w:rsid w:val="004A4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242B1-1B50-44BA-AED8-C8512C5B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4498</Words>
  <Characters>2564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Zemaitijos Pienas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Žilevičiūtė</dc:creator>
  <cp:lastModifiedBy>Arnas Matuzas</cp:lastModifiedBy>
  <cp:revision>3</cp:revision>
  <cp:lastPrinted>2021-03-09T06:23:00Z</cp:lastPrinted>
  <dcterms:created xsi:type="dcterms:W3CDTF">2025-04-04T12:33:00Z</dcterms:created>
  <dcterms:modified xsi:type="dcterms:W3CDTF">2025-04-04T12:35:00Z</dcterms:modified>
</cp:coreProperties>
</file>