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5B76" w14:textId="08A12E91" w:rsidR="00864D85" w:rsidRPr="00151BD7" w:rsidRDefault="00864D85" w:rsidP="00CB0DE0">
      <w:pPr>
        <w:spacing w:after="0" w:line="240" w:lineRule="auto"/>
        <w:jc w:val="center"/>
        <w:rPr>
          <w:b/>
        </w:rPr>
      </w:pPr>
      <w:r w:rsidRPr="00151BD7">
        <w:rPr>
          <w:b/>
          <w:noProof/>
        </w:rPr>
        <w:drawing>
          <wp:inline distT="0" distB="0" distL="0" distR="0" wp14:anchorId="7C043FE2" wp14:editId="0EC72348">
            <wp:extent cx="2091055" cy="866775"/>
            <wp:effectExtent l="0" t="0" r="0" b="0"/>
            <wp:docPr id="16261580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866775"/>
                    </a:xfrm>
                    <a:prstGeom prst="rect">
                      <a:avLst/>
                    </a:prstGeom>
                    <a:noFill/>
                    <a:ln>
                      <a:noFill/>
                    </a:ln>
                  </pic:spPr>
                </pic:pic>
              </a:graphicData>
            </a:graphic>
          </wp:inline>
        </w:drawing>
      </w:r>
    </w:p>
    <w:p w14:paraId="27F62484" w14:textId="77777777" w:rsidR="00864D85" w:rsidRPr="00151BD7" w:rsidRDefault="00864D85" w:rsidP="00CB0DE0">
      <w:pPr>
        <w:spacing w:after="0" w:line="240" w:lineRule="auto"/>
        <w:jc w:val="center"/>
        <w:rPr>
          <w:b/>
        </w:rPr>
      </w:pPr>
    </w:p>
    <w:p w14:paraId="3E48448E" w14:textId="77777777" w:rsidR="00864D85" w:rsidRPr="00151BD7" w:rsidRDefault="00864D85" w:rsidP="00CB0DE0">
      <w:pPr>
        <w:spacing w:after="0" w:line="240" w:lineRule="auto"/>
        <w:jc w:val="center"/>
        <w:rPr>
          <w:b/>
        </w:rPr>
      </w:pPr>
    </w:p>
    <w:p w14:paraId="7706563D" w14:textId="021BA224" w:rsidR="00270D6A" w:rsidRPr="00151BD7" w:rsidRDefault="00654BAE" w:rsidP="00CB0DE0">
      <w:pPr>
        <w:spacing w:after="0" w:line="240" w:lineRule="auto"/>
        <w:jc w:val="center"/>
        <w:rPr>
          <w:b/>
        </w:rPr>
      </w:pPr>
      <w:r w:rsidRPr="00151BD7">
        <w:rPr>
          <w:b/>
        </w:rPr>
        <w:t>CSG</w:t>
      </w:r>
    </w:p>
    <w:p w14:paraId="40BF6F74" w14:textId="2DBAC83F" w:rsidR="00EE3F64" w:rsidRPr="00151BD7" w:rsidRDefault="00654BAE" w:rsidP="00270D6A">
      <w:pPr>
        <w:spacing w:after="180" w:line="240" w:lineRule="auto"/>
        <w:jc w:val="center"/>
        <w:rPr>
          <w:b/>
        </w:rPr>
      </w:pPr>
      <w:r w:rsidRPr="00151BD7">
        <w:rPr>
          <w:b/>
        </w:rPr>
        <w:t xml:space="preserve">Full Year </w:t>
      </w:r>
      <w:r w:rsidR="006B375B" w:rsidRPr="00151BD7">
        <w:rPr>
          <w:b/>
        </w:rPr>
        <w:t xml:space="preserve">2025 </w:t>
      </w:r>
      <w:r w:rsidRPr="00151BD7">
        <w:rPr>
          <w:b/>
        </w:rPr>
        <w:t xml:space="preserve">Results </w:t>
      </w:r>
      <w:r w:rsidR="006B375B" w:rsidRPr="00151BD7">
        <w:rPr>
          <w:b/>
        </w:rPr>
        <w:t>Statement</w:t>
      </w:r>
    </w:p>
    <w:p w14:paraId="2FC05F21" w14:textId="5FCA13CF" w:rsidR="001154F2" w:rsidRPr="00151BD7" w:rsidRDefault="001154F2" w:rsidP="00CB0DE0">
      <w:pPr>
        <w:spacing w:after="0"/>
        <w:jc w:val="center"/>
      </w:pPr>
      <w:r w:rsidRPr="00151BD7">
        <w:t>Topline Outpe</w:t>
      </w:r>
      <w:r w:rsidR="005F45BF" w:rsidRPr="00151BD7">
        <w:t>r</w:t>
      </w:r>
      <w:r w:rsidRPr="00151BD7">
        <w:t xml:space="preserve">formance; Margins in Line with </w:t>
      </w:r>
      <w:r w:rsidR="007E2AB6" w:rsidRPr="00151BD7">
        <w:t>IPO Outlook</w:t>
      </w:r>
    </w:p>
    <w:p w14:paraId="2F368095" w14:textId="09EEF883" w:rsidR="00270D6A" w:rsidRPr="00151BD7" w:rsidRDefault="00CB0DE0" w:rsidP="00CB0DE0">
      <w:pPr>
        <w:spacing w:after="0"/>
        <w:jc w:val="center"/>
      </w:pPr>
      <w:r w:rsidRPr="00151BD7">
        <w:t>FY 2026 Guidance Reaffirmed</w:t>
      </w:r>
    </w:p>
    <w:p w14:paraId="3A25675B" w14:textId="77777777" w:rsidR="006D722F" w:rsidRPr="00151BD7" w:rsidRDefault="006D722F" w:rsidP="00642C89">
      <w:pPr>
        <w:spacing w:after="0" w:line="240" w:lineRule="auto"/>
        <w:jc w:val="both"/>
        <w:rPr>
          <w:b/>
        </w:rPr>
      </w:pPr>
    </w:p>
    <w:p w14:paraId="0B2382FF" w14:textId="28D2CD94" w:rsidR="00EE3F64" w:rsidRPr="00151BD7" w:rsidRDefault="00654BAE" w:rsidP="00642C89">
      <w:pPr>
        <w:spacing w:after="0" w:line="240" w:lineRule="auto"/>
        <w:jc w:val="both"/>
        <w:rPr>
          <w:b/>
        </w:rPr>
      </w:pPr>
      <w:r w:rsidRPr="00151BD7">
        <w:rPr>
          <w:b/>
        </w:rPr>
        <w:t>Financial highlights</w:t>
      </w:r>
    </w:p>
    <w:p w14:paraId="056BD3FC" w14:textId="77777777" w:rsidR="00AB600F" w:rsidRPr="00151BD7" w:rsidRDefault="00AB600F" w:rsidP="00642C89">
      <w:pPr>
        <w:spacing w:after="0" w:line="240" w:lineRule="auto"/>
        <w:jc w:val="both"/>
      </w:pPr>
    </w:p>
    <w:p w14:paraId="7D91F070" w14:textId="16DB0987" w:rsidR="00E521E8" w:rsidRPr="00151BD7" w:rsidRDefault="00E521E8" w:rsidP="00642C89">
      <w:pPr>
        <w:pStyle w:val="Odstavecseseznamem"/>
        <w:numPr>
          <w:ilvl w:val="0"/>
          <w:numId w:val="10"/>
        </w:numPr>
        <w:spacing w:after="40" w:line="240" w:lineRule="auto"/>
        <w:ind w:left="357" w:hanging="357"/>
        <w:contextualSpacing w:val="0"/>
        <w:jc w:val="both"/>
      </w:pPr>
      <w:r w:rsidRPr="00151BD7">
        <w:t>Revenue increased to €</w:t>
      </w:r>
      <w:r w:rsidR="00B330C9" w:rsidRPr="00151BD7">
        <w:t>6.7</w:t>
      </w:r>
      <w:r w:rsidRPr="00151BD7">
        <w:t>bn</w:t>
      </w:r>
      <w:r w:rsidR="00571DA1" w:rsidRPr="00151BD7">
        <w:t xml:space="preserve">, up </w:t>
      </w:r>
      <w:r w:rsidR="009A365F" w:rsidRPr="00151BD7">
        <w:t>71.7</w:t>
      </w:r>
      <w:r w:rsidR="00571DA1" w:rsidRPr="00151BD7">
        <w:t>% year on year</w:t>
      </w:r>
      <w:r w:rsidR="00AF213C" w:rsidRPr="00151BD7">
        <w:t xml:space="preserve"> (</w:t>
      </w:r>
      <w:r w:rsidR="00B330C9" w:rsidRPr="00151BD7">
        <w:t>3</w:t>
      </w:r>
      <w:r w:rsidR="007B2C77" w:rsidRPr="00151BD7">
        <w:t>0</w:t>
      </w:r>
      <w:r w:rsidR="00B330C9" w:rsidRPr="00151BD7">
        <w:t>.</w:t>
      </w:r>
      <w:r w:rsidR="007B2C77" w:rsidRPr="00151BD7">
        <w:t>1</w:t>
      </w:r>
      <w:r w:rsidR="00AF213C" w:rsidRPr="00151BD7">
        <w:t>% pro forma</w:t>
      </w:r>
      <w:r w:rsidR="00E36DA2" w:rsidRPr="00151BD7">
        <w:rPr>
          <w:vertAlign w:val="superscript"/>
        </w:rPr>
        <w:t>1</w:t>
      </w:r>
      <w:r w:rsidR="00AF213C" w:rsidRPr="00151BD7">
        <w:t>)</w:t>
      </w:r>
      <w:r w:rsidRPr="00151BD7">
        <w:t xml:space="preserve">, driven by strong demand across </w:t>
      </w:r>
      <w:r w:rsidR="00B330C9" w:rsidRPr="00151BD7">
        <w:t>Defence Systems</w:t>
      </w:r>
      <w:r w:rsidR="00571DA1" w:rsidRPr="00151BD7">
        <w:t xml:space="preserve"> </w:t>
      </w:r>
      <w:r w:rsidRPr="00151BD7">
        <w:t xml:space="preserve">and the integration of The Kinetic Group </w:t>
      </w:r>
    </w:p>
    <w:p w14:paraId="0B456F30" w14:textId="6B8C73A4" w:rsidR="00F161EB" w:rsidRPr="00151BD7" w:rsidRDefault="00F161EB" w:rsidP="00642C89">
      <w:pPr>
        <w:pStyle w:val="Odstavecseseznamem"/>
        <w:numPr>
          <w:ilvl w:val="0"/>
          <w:numId w:val="10"/>
        </w:numPr>
        <w:spacing w:after="40" w:line="240" w:lineRule="auto"/>
        <w:contextualSpacing w:val="0"/>
        <w:jc w:val="both"/>
      </w:pPr>
      <w:r w:rsidRPr="00151BD7">
        <w:t>Total backlog reached €</w:t>
      </w:r>
      <w:r w:rsidR="00DE6DC6" w:rsidRPr="00151BD7">
        <w:t>1</w:t>
      </w:r>
      <w:r w:rsidR="009A365F" w:rsidRPr="00151BD7">
        <w:t>5</w:t>
      </w:r>
      <w:r w:rsidRPr="00151BD7">
        <w:t xml:space="preserve">bn with </w:t>
      </w:r>
      <w:r w:rsidR="00571DA1" w:rsidRPr="00151BD7">
        <w:t xml:space="preserve">a </w:t>
      </w:r>
      <w:r w:rsidRPr="00151BD7">
        <w:t>pipeline of €</w:t>
      </w:r>
      <w:r w:rsidR="00DE6DC6" w:rsidRPr="00151BD7">
        <w:t>2</w:t>
      </w:r>
      <w:r w:rsidR="00C31F4E" w:rsidRPr="00151BD7">
        <w:t>7</w:t>
      </w:r>
      <w:r w:rsidRPr="00151BD7">
        <w:t>bn, providing strong multi</w:t>
      </w:r>
      <w:r w:rsidR="001154F2" w:rsidRPr="00151BD7">
        <w:t>-</w:t>
      </w:r>
      <w:r w:rsidRPr="00151BD7">
        <w:t>year visibility</w:t>
      </w:r>
    </w:p>
    <w:p w14:paraId="473F4B86" w14:textId="38778213" w:rsidR="00EE3F64" w:rsidRPr="00151BD7" w:rsidRDefault="00654BAE" w:rsidP="00642C89">
      <w:pPr>
        <w:pStyle w:val="Odstavecseseznamem"/>
        <w:numPr>
          <w:ilvl w:val="0"/>
          <w:numId w:val="10"/>
        </w:numPr>
        <w:spacing w:after="40" w:line="240" w:lineRule="auto"/>
        <w:ind w:left="357" w:hanging="357"/>
        <w:contextualSpacing w:val="0"/>
        <w:jc w:val="both"/>
      </w:pPr>
      <w:r w:rsidRPr="00151BD7">
        <w:t>Adjusted Operating EBIT</w:t>
      </w:r>
      <w:r w:rsidR="00A15DC8" w:rsidRPr="00151BD7">
        <w:rPr>
          <w:vertAlign w:val="superscript"/>
        </w:rPr>
        <w:t>2</w:t>
      </w:r>
      <w:r w:rsidRPr="00151BD7">
        <w:t xml:space="preserve"> increase</w:t>
      </w:r>
      <w:r w:rsidR="00B96A03" w:rsidRPr="00151BD7">
        <w:t>d</w:t>
      </w:r>
      <w:r w:rsidRPr="00151BD7">
        <w:t xml:space="preserve"> to €</w:t>
      </w:r>
      <w:r w:rsidR="00B330C9" w:rsidRPr="00151BD7">
        <w:t>1.6</w:t>
      </w:r>
      <w:r w:rsidRPr="00151BD7">
        <w:t xml:space="preserve">bn, up </w:t>
      </w:r>
      <w:r w:rsidR="00B330C9" w:rsidRPr="00151BD7">
        <w:t>60.</w:t>
      </w:r>
      <w:r w:rsidR="00645558" w:rsidRPr="00151BD7">
        <w:t>7</w:t>
      </w:r>
      <w:r w:rsidRPr="00151BD7">
        <w:t>% year on year</w:t>
      </w:r>
      <w:r w:rsidR="00AF213C" w:rsidRPr="00151BD7">
        <w:t xml:space="preserve"> (</w:t>
      </w:r>
      <w:r w:rsidR="00B330C9" w:rsidRPr="00151BD7">
        <w:t>31.</w:t>
      </w:r>
      <w:r w:rsidR="007B2C77" w:rsidRPr="00151BD7">
        <w:t>2</w:t>
      </w:r>
      <w:r w:rsidR="008F75E1" w:rsidRPr="00151BD7">
        <w:t>%</w:t>
      </w:r>
      <w:r w:rsidR="00A96F18" w:rsidRPr="00151BD7">
        <w:t xml:space="preserve"> pro forma</w:t>
      </w:r>
      <w:r w:rsidR="00AF213C" w:rsidRPr="00151BD7">
        <w:t xml:space="preserve">), with margin at </w:t>
      </w:r>
      <w:r w:rsidR="00B330C9" w:rsidRPr="00151BD7">
        <w:t>24.1</w:t>
      </w:r>
      <w:r w:rsidR="00AF213C" w:rsidRPr="00151BD7">
        <w:t xml:space="preserve">% </w:t>
      </w:r>
      <w:r w:rsidR="00571DA1" w:rsidRPr="00151BD7">
        <w:t xml:space="preserve"> </w:t>
      </w:r>
    </w:p>
    <w:p w14:paraId="77799022" w14:textId="7B6D0594" w:rsidR="00EE3F64" w:rsidRPr="00151BD7" w:rsidRDefault="008F221B" w:rsidP="00642C89">
      <w:pPr>
        <w:pStyle w:val="Odstavecseseznamem"/>
        <w:numPr>
          <w:ilvl w:val="0"/>
          <w:numId w:val="10"/>
        </w:numPr>
        <w:spacing w:after="40" w:line="240" w:lineRule="auto"/>
        <w:ind w:left="357" w:hanging="357"/>
        <w:contextualSpacing w:val="0"/>
        <w:jc w:val="both"/>
      </w:pPr>
      <w:r w:rsidRPr="00151BD7">
        <w:t>N</w:t>
      </w:r>
      <w:r w:rsidR="00654BAE" w:rsidRPr="00151BD7">
        <w:t xml:space="preserve">et </w:t>
      </w:r>
      <w:r w:rsidRPr="00151BD7">
        <w:t>P</w:t>
      </w:r>
      <w:r w:rsidR="00654BAE" w:rsidRPr="00151BD7">
        <w:t xml:space="preserve">rofit from </w:t>
      </w:r>
      <w:r w:rsidRPr="00151BD7">
        <w:t>C</w:t>
      </w:r>
      <w:r w:rsidR="00654BAE" w:rsidRPr="00151BD7">
        <w:t xml:space="preserve">ontinuing </w:t>
      </w:r>
      <w:r w:rsidRPr="00151BD7">
        <w:t>O</w:t>
      </w:r>
      <w:r w:rsidR="00654BAE" w:rsidRPr="00151BD7">
        <w:t>perations increased to €</w:t>
      </w:r>
      <w:r w:rsidR="007B2C77" w:rsidRPr="00151BD7">
        <w:t>872</w:t>
      </w:r>
      <w:r w:rsidR="00654BAE" w:rsidRPr="00151BD7">
        <w:t xml:space="preserve">m, up </w:t>
      </w:r>
      <w:r w:rsidR="007B2C77" w:rsidRPr="00151BD7">
        <w:t>35</w:t>
      </w:r>
      <w:r w:rsidR="00B330C9" w:rsidRPr="00151BD7">
        <w:t>.</w:t>
      </w:r>
      <w:r w:rsidR="00645558" w:rsidRPr="00151BD7">
        <w:t>5</w:t>
      </w:r>
      <w:r w:rsidR="00654BAE" w:rsidRPr="00151BD7">
        <w:t>% year on year</w:t>
      </w:r>
      <w:r w:rsidR="00B20B99" w:rsidRPr="00151BD7">
        <w:t xml:space="preserve"> </w:t>
      </w:r>
    </w:p>
    <w:p w14:paraId="3C07538D" w14:textId="06CB6504" w:rsidR="00F161EB" w:rsidRPr="00151BD7" w:rsidRDefault="00270D6A" w:rsidP="00642C89">
      <w:pPr>
        <w:pStyle w:val="Odstavecseseznamem"/>
        <w:numPr>
          <w:ilvl w:val="0"/>
          <w:numId w:val="10"/>
        </w:numPr>
        <w:spacing w:after="40" w:line="240" w:lineRule="auto"/>
        <w:ind w:left="357" w:hanging="357"/>
        <w:contextualSpacing w:val="0"/>
        <w:jc w:val="both"/>
      </w:pPr>
      <w:r w:rsidRPr="00151BD7">
        <w:t>Pre-tax O</w:t>
      </w:r>
      <w:r w:rsidR="000D7F33" w:rsidRPr="00151BD7">
        <w:t xml:space="preserve">perating </w:t>
      </w:r>
      <w:r w:rsidRPr="00151BD7">
        <w:t>C</w:t>
      </w:r>
      <w:r w:rsidR="000D7F33" w:rsidRPr="00151BD7">
        <w:t xml:space="preserve">ash </w:t>
      </w:r>
      <w:r w:rsidRPr="00151BD7">
        <w:t>F</w:t>
      </w:r>
      <w:r w:rsidR="000D7F33" w:rsidRPr="00151BD7">
        <w:t>low</w:t>
      </w:r>
      <w:r w:rsidR="00A15DC8" w:rsidRPr="00151BD7">
        <w:rPr>
          <w:vertAlign w:val="superscript"/>
        </w:rPr>
        <w:t>2</w:t>
      </w:r>
      <w:r w:rsidR="000D7F33" w:rsidRPr="00151BD7">
        <w:t xml:space="preserve"> </w:t>
      </w:r>
      <w:r w:rsidR="00AF213C" w:rsidRPr="00151BD7">
        <w:t>of</w:t>
      </w:r>
      <w:r w:rsidR="000D7F33" w:rsidRPr="00151BD7">
        <w:t xml:space="preserve"> €</w:t>
      </w:r>
      <w:r w:rsidR="007B2C77" w:rsidRPr="00151BD7">
        <w:t>61</w:t>
      </w:r>
      <w:r w:rsidR="004B759A" w:rsidRPr="00151BD7">
        <w:t>m</w:t>
      </w:r>
      <w:r w:rsidR="000D7F33" w:rsidRPr="00151BD7">
        <w:t xml:space="preserve">, reflecting the </w:t>
      </w:r>
      <w:r w:rsidR="003549E7" w:rsidRPr="00151BD7">
        <w:t xml:space="preserve">Q4 </w:t>
      </w:r>
      <w:r w:rsidR="000D7F33" w:rsidRPr="00151BD7">
        <w:t>seasonal unwind of working capital as deliveries under contracted orders were executed</w:t>
      </w:r>
    </w:p>
    <w:p w14:paraId="77370185" w14:textId="070BB880" w:rsidR="00AF213C" w:rsidRPr="00151BD7" w:rsidRDefault="00AF213C" w:rsidP="00642C89">
      <w:pPr>
        <w:pStyle w:val="Odstavecseseznamem"/>
        <w:numPr>
          <w:ilvl w:val="0"/>
          <w:numId w:val="10"/>
        </w:numPr>
        <w:spacing w:after="40" w:line="240" w:lineRule="auto"/>
        <w:ind w:left="357" w:hanging="357"/>
        <w:contextualSpacing w:val="0"/>
        <w:jc w:val="both"/>
      </w:pPr>
      <w:r w:rsidRPr="00151BD7">
        <w:t xml:space="preserve">Capex </w:t>
      </w:r>
      <w:r w:rsidR="008F221B" w:rsidRPr="00151BD7">
        <w:t>I</w:t>
      </w:r>
      <w:r w:rsidRPr="00151BD7">
        <w:t xml:space="preserve">ntensity of </w:t>
      </w:r>
      <w:r w:rsidR="00A65B9E" w:rsidRPr="00151BD7">
        <w:t>3.3</w:t>
      </w:r>
      <w:r w:rsidRPr="00151BD7">
        <w:t>%, supporting growth while maintaining capital discipline</w:t>
      </w:r>
    </w:p>
    <w:p w14:paraId="0D9B70E0" w14:textId="25BA5A34" w:rsidR="00792DEF" w:rsidRPr="00151BD7" w:rsidRDefault="00792DEF" w:rsidP="00185DD3">
      <w:pPr>
        <w:pStyle w:val="Odstavecseseznamem"/>
        <w:numPr>
          <w:ilvl w:val="0"/>
          <w:numId w:val="10"/>
        </w:numPr>
        <w:spacing w:after="40" w:line="240" w:lineRule="auto"/>
        <w:jc w:val="both"/>
      </w:pPr>
      <w:r w:rsidRPr="00151BD7">
        <w:t xml:space="preserve">Net Debt of </w:t>
      </w:r>
      <w:r w:rsidR="001128B3" w:rsidRPr="00151BD7">
        <w:t>€3.0bn</w:t>
      </w:r>
      <w:r w:rsidR="00E46811" w:rsidRPr="00151BD7">
        <w:t xml:space="preserve">, with </w:t>
      </w:r>
      <w:r w:rsidRPr="00151BD7">
        <w:t xml:space="preserve">Net Debt to </w:t>
      </w:r>
      <w:r w:rsidR="00AF213C" w:rsidRPr="00151BD7">
        <w:t xml:space="preserve">LTM </w:t>
      </w:r>
      <w:r w:rsidRPr="00151BD7">
        <w:t xml:space="preserve">Adjusted Operating EBITDA of </w:t>
      </w:r>
      <w:r w:rsidR="001128B3" w:rsidRPr="00151BD7">
        <w:t>1.7</w:t>
      </w:r>
      <w:r w:rsidR="009652A7" w:rsidRPr="00151BD7">
        <w:t>x</w:t>
      </w:r>
      <w:r w:rsidR="00185DD3" w:rsidRPr="00151BD7">
        <w:t xml:space="preserve"> (</w:t>
      </w:r>
      <w:r w:rsidR="006E1F35" w:rsidRPr="00151BD7">
        <w:t>1.</w:t>
      </w:r>
      <w:r w:rsidR="00A65B9E" w:rsidRPr="00151BD7">
        <w:t>3</w:t>
      </w:r>
      <w:r w:rsidR="00185DD3" w:rsidRPr="00151BD7">
        <w:t xml:space="preserve">x including </w:t>
      </w:r>
      <w:r w:rsidR="007E2AB6" w:rsidRPr="00151BD7">
        <w:t>€7</w:t>
      </w:r>
      <w:r w:rsidR="00556C59" w:rsidRPr="00151BD7">
        <w:t>42</w:t>
      </w:r>
      <w:r w:rsidR="007E2AB6" w:rsidRPr="00151BD7">
        <w:t xml:space="preserve">m </w:t>
      </w:r>
      <w:r w:rsidR="00185DD3" w:rsidRPr="00151BD7">
        <w:t xml:space="preserve">IPO </w:t>
      </w:r>
      <w:r w:rsidR="007E2AB6" w:rsidRPr="00151BD7">
        <w:t>primary</w:t>
      </w:r>
      <w:r w:rsidR="00185DD3" w:rsidRPr="00151BD7">
        <w:t xml:space="preserve"> proceeds)</w:t>
      </w:r>
    </w:p>
    <w:p w14:paraId="5918A3E5" w14:textId="3A6CAB43" w:rsidR="00A15DC8" w:rsidRPr="00151BD7" w:rsidRDefault="00A15DC8" w:rsidP="00642C89">
      <w:pPr>
        <w:pStyle w:val="Odstavecseseznamem"/>
        <w:numPr>
          <w:ilvl w:val="0"/>
          <w:numId w:val="10"/>
        </w:numPr>
        <w:spacing w:after="40" w:line="240" w:lineRule="auto"/>
        <w:ind w:left="357" w:hanging="357"/>
        <w:contextualSpacing w:val="0"/>
        <w:jc w:val="both"/>
      </w:pPr>
      <w:r w:rsidRPr="00151BD7">
        <w:t xml:space="preserve">FY 2026 and </w:t>
      </w:r>
      <w:r w:rsidR="00645558" w:rsidRPr="00151BD7">
        <w:t>medium-term</w:t>
      </w:r>
      <w:r w:rsidRPr="00151BD7">
        <w:t xml:space="preserve"> guidance reaffirmed</w:t>
      </w:r>
    </w:p>
    <w:p w14:paraId="598A23F8" w14:textId="77777777" w:rsidR="00EE3F64" w:rsidRPr="00151BD7" w:rsidRDefault="00EE3F64" w:rsidP="00642C89">
      <w:pPr>
        <w:spacing w:after="0" w:line="240" w:lineRule="auto"/>
        <w:jc w:val="both"/>
      </w:pPr>
    </w:p>
    <w:p w14:paraId="2392D0AA" w14:textId="77777777" w:rsidR="00EE3F64" w:rsidRPr="00151BD7" w:rsidRDefault="00654BAE" w:rsidP="00642C89">
      <w:pPr>
        <w:spacing w:after="0" w:line="240" w:lineRule="auto"/>
        <w:jc w:val="both"/>
        <w:rPr>
          <w:b/>
        </w:rPr>
      </w:pPr>
      <w:r w:rsidRPr="00151BD7">
        <w:rPr>
          <w:b/>
        </w:rPr>
        <w:t xml:space="preserve">Strategic </w:t>
      </w:r>
      <w:r w:rsidR="00D73CF3" w:rsidRPr="00151BD7">
        <w:rPr>
          <w:b/>
        </w:rPr>
        <w:t xml:space="preserve">and operational </w:t>
      </w:r>
      <w:r w:rsidRPr="00151BD7">
        <w:rPr>
          <w:b/>
        </w:rPr>
        <w:t>highlights</w:t>
      </w:r>
    </w:p>
    <w:p w14:paraId="525BCEFE" w14:textId="77777777" w:rsidR="006B375B" w:rsidRPr="00151BD7" w:rsidRDefault="006B375B" w:rsidP="00642C89">
      <w:pPr>
        <w:spacing w:after="0" w:line="240" w:lineRule="auto"/>
        <w:jc w:val="both"/>
      </w:pPr>
    </w:p>
    <w:p w14:paraId="0C2BD18E" w14:textId="28D5F80F" w:rsidR="00D4578A" w:rsidRPr="00151BD7" w:rsidRDefault="00D4578A" w:rsidP="00642C89">
      <w:pPr>
        <w:pStyle w:val="Odstavecseseznamem"/>
        <w:numPr>
          <w:ilvl w:val="0"/>
          <w:numId w:val="10"/>
        </w:numPr>
        <w:spacing w:after="40" w:line="240" w:lineRule="auto"/>
        <w:ind w:left="357" w:hanging="357"/>
        <w:contextualSpacing w:val="0"/>
        <w:jc w:val="both"/>
      </w:pPr>
      <w:r w:rsidRPr="00151BD7">
        <w:t xml:space="preserve">Secured landmark contract awards across the year, culminating in Q4 with a seven-year framework agreement with the Slovak Ministry of Defence for up to €58bn of </w:t>
      </w:r>
      <w:r w:rsidR="000D7C14" w:rsidRPr="00151BD7">
        <w:t>medium and large-</w:t>
      </w:r>
      <w:r w:rsidR="006E1F35" w:rsidRPr="00151BD7">
        <w:t>calibre</w:t>
      </w:r>
      <w:r w:rsidRPr="00151BD7">
        <w:t xml:space="preserve"> </w:t>
      </w:r>
      <w:r w:rsidR="00E735E3" w:rsidRPr="00151BD7">
        <w:t>(M</w:t>
      </w:r>
      <w:r w:rsidR="0030687A" w:rsidRPr="00151BD7">
        <w:t>&amp;</w:t>
      </w:r>
      <w:r w:rsidR="00E735E3" w:rsidRPr="00151BD7">
        <w:t xml:space="preserve">L) </w:t>
      </w:r>
      <w:r w:rsidRPr="00151BD7">
        <w:t xml:space="preserve">ammunition and a $1bn+ contract to produce </w:t>
      </w:r>
      <w:r w:rsidR="0001220A" w:rsidRPr="00151BD7">
        <w:t xml:space="preserve">tactical </w:t>
      </w:r>
      <w:r w:rsidRPr="00151BD7">
        <w:t>vehicles for a Southeast Asian customer</w:t>
      </w:r>
    </w:p>
    <w:p w14:paraId="0812E944" w14:textId="0ADB009F" w:rsidR="00D4578A" w:rsidRPr="00151BD7" w:rsidRDefault="00D4578A" w:rsidP="00642C89">
      <w:pPr>
        <w:pStyle w:val="Odstavecseseznamem"/>
        <w:numPr>
          <w:ilvl w:val="0"/>
          <w:numId w:val="10"/>
        </w:numPr>
        <w:spacing w:after="40" w:line="240" w:lineRule="auto"/>
        <w:ind w:left="357" w:hanging="357"/>
        <w:contextualSpacing w:val="0"/>
        <w:jc w:val="both"/>
      </w:pPr>
      <w:r w:rsidRPr="00151BD7">
        <w:t xml:space="preserve">Advanced vertical integration through the acquisitions of MSM </w:t>
      </w:r>
      <w:proofErr w:type="spellStart"/>
      <w:r w:rsidRPr="00151BD7">
        <w:t>Walsrode</w:t>
      </w:r>
      <w:proofErr w:type="spellEnd"/>
      <w:r w:rsidRPr="00151BD7">
        <w:t xml:space="preserve"> (nitrocellulose</w:t>
      </w:r>
      <w:r w:rsidR="0030687A" w:rsidRPr="00151BD7">
        <w:t xml:space="preserve"> propellant</w:t>
      </w:r>
      <w:r w:rsidRPr="00151BD7">
        <w:t xml:space="preserve">), ZVI </w:t>
      </w:r>
      <w:proofErr w:type="spellStart"/>
      <w:r w:rsidRPr="00151BD7">
        <w:t>Vsetín</w:t>
      </w:r>
      <w:proofErr w:type="spellEnd"/>
      <w:r w:rsidRPr="00151BD7">
        <w:t xml:space="preserve"> (</w:t>
      </w:r>
      <w:r w:rsidR="0004766C" w:rsidRPr="00151BD7">
        <w:t>M</w:t>
      </w:r>
      <w:r w:rsidR="0030687A" w:rsidRPr="00151BD7">
        <w:t>&amp;</w:t>
      </w:r>
      <w:r w:rsidR="0004766C" w:rsidRPr="00151BD7">
        <w:t>L</w:t>
      </w:r>
      <w:r w:rsidRPr="00151BD7">
        <w:t xml:space="preserve"> ammunition), MUST Solutions (</w:t>
      </w:r>
      <w:r w:rsidR="00E735E3" w:rsidRPr="00151BD7">
        <w:t xml:space="preserve">advanced </w:t>
      </w:r>
      <w:r w:rsidR="0030687A" w:rsidRPr="00151BD7">
        <w:t xml:space="preserve">propulsion systems for </w:t>
      </w:r>
      <w:r w:rsidR="00E735E3" w:rsidRPr="00151BD7">
        <w:t>unmanned aerial vehicles</w:t>
      </w:r>
      <w:r w:rsidRPr="00151BD7">
        <w:t>) and GAMA OCEL</w:t>
      </w:r>
      <w:r w:rsidR="00E735E3" w:rsidRPr="00151BD7">
        <w:t xml:space="preserve"> (</w:t>
      </w:r>
      <w:r w:rsidR="006E1F35" w:rsidRPr="00151BD7">
        <w:t>armoured</w:t>
      </w:r>
      <w:r w:rsidR="00E735E3" w:rsidRPr="00151BD7">
        <w:t xml:space="preserve"> steel plates)</w:t>
      </w:r>
      <w:r w:rsidRPr="00151BD7">
        <w:t xml:space="preserve">, alongside a </w:t>
      </w:r>
      <w:r w:rsidR="00F623FB" w:rsidRPr="00151BD7">
        <w:t xml:space="preserve">new </w:t>
      </w:r>
      <w:r w:rsidR="0004766C" w:rsidRPr="00151BD7">
        <w:t>JV</w:t>
      </w:r>
      <w:r w:rsidRPr="00151BD7">
        <w:t xml:space="preserve"> </w:t>
      </w:r>
      <w:r w:rsidR="00F623FB" w:rsidRPr="00151BD7">
        <w:t>in Greece for the supply of TNT</w:t>
      </w:r>
    </w:p>
    <w:p w14:paraId="588B7D6A" w14:textId="797AE1E7" w:rsidR="00D4578A" w:rsidRPr="00151BD7" w:rsidRDefault="00D4578A" w:rsidP="00642C89">
      <w:pPr>
        <w:pStyle w:val="Odstavecseseznamem"/>
        <w:numPr>
          <w:ilvl w:val="0"/>
          <w:numId w:val="10"/>
        </w:numPr>
        <w:spacing w:after="40" w:line="240" w:lineRule="auto"/>
        <w:ind w:left="357" w:hanging="357"/>
        <w:contextualSpacing w:val="0"/>
        <w:jc w:val="both"/>
      </w:pPr>
      <w:r w:rsidRPr="00151BD7">
        <w:t xml:space="preserve">Strengthened strategic partnerships, including a cooperation agreement with KNDS Deutschland for Leopard 2A8 main battle tank hull production, reinforcing </w:t>
      </w:r>
      <w:r w:rsidR="0004766C" w:rsidRPr="00151BD7">
        <w:t xml:space="preserve">CSG’s </w:t>
      </w:r>
      <w:r w:rsidRPr="00151BD7">
        <w:t xml:space="preserve">position within key European defence </w:t>
      </w:r>
      <w:r w:rsidR="0004766C" w:rsidRPr="00151BD7">
        <w:t>programs</w:t>
      </w:r>
      <w:r w:rsidR="00E210B8" w:rsidRPr="00151BD7">
        <w:t>, and a new India JV to capitali</w:t>
      </w:r>
      <w:r w:rsidR="00F033BD" w:rsidRPr="00151BD7">
        <w:t>s</w:t>
      </w:r>
      <w:r w:rsidR="00E210B8" w:rsidRPr="00151BD7">
        <w:t>e on procure</w:t>
      </w:r>
      <w:r w:rsidR="004E0585" w:rsidRPr="00151BD7">
        <w:t>ment</w:t>
      </w:r>
      <w:r w:rsidR="00E210B8" w:rsidRPr="00151BD7">
        <w:t xml:space="preserve"> opportunities in this high-growth market</w:t>
      </w:r>
    </w:p>
    <w:p w14:paraId="248DCC1C" w14:textId="1D8BA5F7" w:rsidR="00E210B8" w:rsidRPr="00151BD7" w:rsidRDefault="0003021B" w:rsidP="00E210B8">
      <w:pPr>
        <w:pStyle w:val="Odstavecseseznamem"/>
        <w:numPr>
          <w:ilvl w:val="0"/>
          <w:numId w:val="10"/>
        </w:numPr>
        <w:spacing w:after="40" w:line="240" w:lineRule="auto"/>
        <w:ind w:left="357" w:hanging="357"/>
        <w:contextualSpacing w:val="0"/>
        <w:jc w:val="both"/>
      </w:pPr>
      <w:r w:rsidRPr="00151BD7">
        <w:t>Expanded production capacity, including licensed large-</w:t>
      </w:r>
      <w:r w:rsidR="006E1F35" w:rsidRPr="00151BD7">
        <w:t>calibre</w:t>
      </w:r>
      <w:r w:rsidRPr="00151BD7">
        <w:t xml:space="preserve"> ammunition production in Ukraine, automated 155mm filling lines in Slovakia </w:t>
      </w:r>
      <w:r w:rsidR="00E210B8" w:rsidRPr="00151BD7">
        <w:t xml:space="preserve">and </w:t>
      </w:r>
      <w:r w:rsidRPr="00151BD7">
        <w:t xml:space="preserve">completion of a new </w:t>
      </w:r>
      <w:r w:rsidR="00970C48" w:rsidRPr="00151BD7">
        <w:t xml:space="preserve">manufacturing </w:t>
      </w:r>
      <w:r w:rsidRPr="00151BD7">
        <w:t xml:space="preserve">facility at Excalibur Army </w:t>
      </w:r>
    </w:p>
    <w:p w14:paraId="3C3D8EB5" w14:textId="2E3E3E58" w:rsidR="0004766C" w:rsidRPr="00151BD7" w:rsidRDefault="00D4578A" w:rsidP="00642C89">
      <w:pPr>
        <w:pStyle w:val="Odstavecseseznamem"/>
        <w:numPr>
          <w:ilvl w:val="0"/>
          <w:numId w:val="10"/>
        </w:numPr>
        <w:spacing w:after="40" w:line="240" w:lineRule="auto"/>
        <w:ind w:left="357" w:hanging="357"/>
        <w:contextualSpacing w:val="0"/>
        <w:jc w:val="both"/>
      </w:pPr>
      <w:r w:rsidRPr="00151BD7">
        <w:t>Successfully completed IPO and admission to Euronext Amsterdam, with fast-track inclusion in MSCI Standard and FTSE All-World indices</w:t>
      </w:r>
      <w:r w:rsidR="0004766C" w:rsidRPr="00151BD7">
        <w:t xml:space="preserve"> </w:t>
      </w:r>
    </w:p>
    <w:p w14:paraId="5C220281" w14:textId="2112C670" w:rsidR="0004766C" w:rsidRPr="00151BD7" w:rsidRDefault="00642C89" w:rsidP="00642C89">
      <w:pPr>
        <w:pStyle w:val="Odstavecseseznamem"/>
        <w:numPr>
          <w:ilvl w:val="0"/>
          <w:numId w:val="10"/>
        </w:numPr>
        <w:spacing w:after="40" w:line="240" w:lineRule="auto"/>
        <w:ind w:left="357" w:hanging="357"/>
        <w:contextualSpacing w:val="0"/>
        <w:jc w:val="both"/>
      </w:pPr>
      <w:r w:rsidRPr="00151BD7">
        <w:t>Streamlined</w:t>
      </w:r>
      <w:r w:rsidR="0004766C" w:rsidRPr="00151BD7">
        <w:t xml:space="preserve"> reporting into two core segments, CSG Defence Systems and CSG Ammo+, divesting 35+ non-core entities and launching the Advanced Systems division to focus on next-generation propulsion, missile and UAV technologies</w:t>
      </w:r>
    </w:p>
    <w:p w14:paraId="1D4422BB" w14:textId="77777777" w:rsidR="0004766C" w:rsidRPr="00151BD7" w:rsidRDefault="0004766C" w:rsidP="0004766C">
      <w:pPr>
        <w:spacing w:after="0" w:line="240" w:lineRule="auto"/>
      </w:pPr>
    </w:p>
    <w:p w14:paraId="54A7C802" w14:textId="77777777" w:rsidR="002C7565" w:rsidRPr="00151BD7" w:rsidRDefault="002C7565" w:rsidP="002C7565">
      <w:pPr>
        <w:spacing w:after="0"/>
        <w:rPr>
          <w:b/>
        </w:rPr>
      </w:pPr>
      <w:r w:rsidRPr="00151BD7">
        <w:rPr>
          <w:b/>
        </w:rPr>
        <w:t xml:space="preserve">Michal Strnad, </w:t>
      </w:r>
      <w:bookmarkStart w:id="0" w:name="_Hlk222219469"/>
      <w:r w:rsidRPr="00151BD7">
        <w:rPr>
          <w:b/>
        </w:rPr>
        <w:t>Chairman and CEO</w:t>
      </w:r>
      <w:bookmarkEnd w:id="0"/>
      <w:r w:rsidRPr="00151BD7">
        <w:rPr>
          <w:b/>
        </w:rPr>
        <w:t>, CSG said:</w:t>
      </w:r>
    </w:p>
    <w:p w14:paraId="43B0CFEA" w14:textId="77777777" w:rsidR="002C7565" w:rsidRPr="00151BD7" w:rsidRDefault="002C7565" w:rsidP="002C7565">
      <w:pPr>
        <w:spacing w:after="0"/>
      </w:pPr>
    </w:p>
    <w:p w14:paraId="71252004" w14:textId="3D5F5288" w:rsidR="002C7565" w:rsidRPr="00151BD7" w:rsidRDefault="002C7565" w:rsidP="002C7565">
      <w:pPr>
        <w:spacing w:after="0"/>
        <w:jc w:val="both"/>
      </w:pPr>
      <w:r w:rsidRPr="00151BD7">
        <w:t xml:space="preserve">“2025 </w:t>
      </w:r>
      <w:r w:rsidR="00F033BD" w:rsidRPr="00151BD7">
        <w:t>was</w:t>
      </w:r>
      <w:r w:rsidRPr="00151BD7">
        <w:t xml:space="preserve"> a defining year for the Group. We delivered strong financial results </w:t>
      </w:r>
      <w:r w:rsidR="007E2AB6" w:rsidRPr="00151BD7">
        <w:t xml:space="preserve">in line or </w:t>
      </w:r>
      <w:r w:rsidR="001154F2" w:rsidRPr="00151BD7">
        <w:t>ahead of</w:t>
      </w:r>
      <w:r w:rsidRPr="00151BD7">
        <w:t xml:space="preserve"> expectations set out at </w:t>
      </w:r>
      <w:r w:rsidR="00F033BD" w:rsidRPr="00151BD7">
        <w:t xml:space="preserve">our </w:t>
      </w:r>
      <w:r w:rsidRPr="00151BD7">
        <w:t xml:space="preserve">IPO, while also executing at pace across the business. We secured major long-term contracts, expanded our production footprint and advanced our vertical integration strategy. At the same time, we undertook extensive preparation for becoming a public company, strengthening governance, reporting and </w:t>
      </w:r>
      <w:r w:rsidRPr="00151BD7">
        <w:lastRenderedPageBreak/>
        <w:t xml:space="preserve">capital structure. Building on that work, we successfully completed our listing on Euronext Amsterdam at the start of 2026, providing a strong platform for our next phase of growth. </w:t>
      </w:r>
    </w:p>
    <w:p w14:paraId="384A3BC1" w14:textId="77777777" w:rsidR="002C7565" w:rsidRPr="00151BD7" w:rsidRDefault="002C7565" w:rsidP="002C7565">
      <w:pPr>
        <w:spacing w:after="0"/>
        <w:jc w:val="both"/>
      </w:pPr>
    </w:p>
    <w:p w14:paraId="12E33029" w14:textId="6D24127A" w:rsidR="002C7565" w:rsidRPr="00151BD7" w:rsidRDefault="002C7565" w:rsidP="002C7565">
      <w:pPr>
        <w:spacing w:after="0"/>
        <w:jc w:val="both"/>
      </w:pPr>
      <w:r w:rsidRPr="00151BD7">
        <w:t>“</w:t>
      </w:r>
      <w:r w:rsidR="00F033BD" w:rsidRPr="00151BD7">
        <w:t xml:space="preserve">We are well placed to capitalise on a strong </w:t>
      </w:r>
      <w:r w:rsidRPr="00151BD7">
        <w:t xml:space="preserve">demand environment </w:t>
      </w:r>
      <w:r w:rsidR="00F033BD" w:rsidRPr="00151BD7">
        <w:t xml:space="preserve">driven by </w:t>
      </w:r>
      <w:r w:rsidRPr="00151BD7">
        <w:t xml:space="preserve">near-term geopolitical developments, multi-year procurement frameworks and structural defence budget increases across NATO and allied nations. </w:t>
      </w:r>
      <w:r w:rsidR="00F033BD" w:rsidRPr="00151BD7">
        <w:t>Our</w:t>
      </w:r>
      <w:r w:rsidR="001154F2" w:rsidRPr="00151BD7">
        <w:t xml:space="preserve"> record order </w:t>
      </w:r>
      <w:r w:rsidR="001154F2" w:rsidRPr="00151BD7">
        <w:rPr>
          <w:rFonts w:hint="eastAsia"/>
        </w:rPr>
        <w:t xml:space="preserve">backlog </w:t>
      </w:r>
      <w:r w:rsidR="001154F2" w:rsidRPr="00151BD7">
        <w:t>of</w:t>
      </w:r>
      <w:r w:rsidR="001154F2" w:rsidRPr="00151BD7">
        <w:rPr>
          <w:rFonts w:hint="eastAsia"/>
        </w:rPr>
        <w:t xml:space="preserve"> </w:t>
      </w:r>
      <w:r w:rsidR="00645558" w:rsidRPr="00151BD7">
        <w:t>€</w:t>
      </w:r>
      <w:r w:rsidR="00B5765D" w:rsidRPr="00151BD7">
        <w:t>1</w:t>
      </w:r>
      <w:r w:rsidR="00645558" w:rsidRPr="00151BD7">
        <w:t>5</w:t>
      </w:r>
      <w:r w:rsidR="001154F2" w:rsidRPr="00151BD7">
        <w:rPr>
          <w:rFonts w:hint="eastAsia"/>
        </w:rPr>
        <w:t xml:space="preserve">bn </w:t>
      </w:r>
      <w:r w:rsidR="00F033BD" w:rsidRPr="00151BD7">
        <w:t>provides</w:t>
      </w:r>
      <w:r w:rsidR="001154F2" w:rsidRPr="00151BD7">
        <w:rPr>
          <w:rFonts w:hint="eastAsia"/>
        </w:rPr>
        <w:t xml:space="preserve"> strong </w:t>
      </w:r>
      <w:r w:rsidR="001154F2" w:rsidRPr="00151BD7">
        <w:t>multi-year</w:t>
      </w:r>
      <w:r w:rsidR="001154F2" w:rsidRPr="00151BD7">
        <w:rPr>
          <w:rFonts w:hint="eastAsia"/>
        </w:rPr>
        <w:t xml:space="preserve"> visibility</w:t>
      </w:r>
      <w:r w:rsidR="001154F2" w:rsidRPr="00151BD7">
        <w:t>.</w:t>
      </w:r>
    </w:p>
    <w:p w14:paraId="30BB4E97" w14:textId="77777777" w:rsidR="002C7565" w:rsidRPr="00151BD7" w:rsidRDefault="002C7565" w:rsidP="002C7565">
      <w:pPr>
        <w:spacing w:after="0"/>
        <w:jc w:val="both"/>
      </w:pPr>
    </w:p>
    <w:p w14:paraId="1CC2CB74" w14:textId="4D0A2184" w:rsidR="002C7565" w:rsidRPr="00151BD7" w:rsidRDefault="002C7565" w:rsidP="002C7565">
      <w:pPr>
        <w:spacing w:after="0"/>
        <w:jc w:val="both"/>
      </w:pPr>
      <w:r w:rsidRPr="00151BD7">
        <w:t>“</w:t>
      </w:r>
      <w:r w:rsidR="00F033BD" w:rsidRPr="00151BD7">
        <w:t xml:space="preserve">Our </w:t>
      </w:r>
      <w:r w:rsidRPr="00151BD7">
        <w:t xml:space="preserve">focus remains on disciplined execution. We have built scale in core defence systems, expanded capacity and strengthened control over critical inputs. </w:t>
      </w:r>
      <w:r w:rsidR="001154F2" w:rsidRPr="00151BD7">
        <w:t>Our</w:t>
      </w:r>
      <w:r w:rsidRPr="00151BD7">
        <w:t xml:space="preserve"> </w:t>
      </w:r>
      <w:r w:rsidR="001154F2" w:rsidRPr="00151BD7">
        <w:t xml:space="preserve">order </w:t>
      </w:r>
      <w:r w:rsidRPr="00151BD7">
        <w:t xml:space="preserve">backlog, enhanced capacity and disciplined balance sheet give supports </w:t>
      </w:r>
      <w:r w:rsidR="00F033BD" w:rsidRPr="00151BD7">
        <w:t xml:space="preserve">our ability to deliver </w:t>
      </w:r>
      <w:r w:rsidRPr="00151BD7">
        <w:t xml:space="preserve">sustainable growth and </w:t>
      </w:r>
      <w:r w:rsidR="00F033BD" w:rsidRPr="00151BD7">
        <w:t xml:space="preserve">drive </w:t>
      </w:r>
      <w:r w:rsidRPr="00151BD7">
        <w:t>continued efficiency improvements. We look to the remainder of the year and beyond with confidence.”</w:t>
      </w:r>
    </w:p>
    <w:p w14:paraId="6F4E29C7" w14:textId="77777777" w:rsidR="00A96F18" w:rsidRPr="00151BD7" w:rsidRDefault="00A96F18" w:rsidP="00E268AA">
      <w:pPr>
        <w:spacing w:after="0"/>
        <w:jc w:val="both"/>
        <w:rPr>
          <w:b/>
        </w:rPr>
      </w:pPr>
    </w:p>
    <w:p w14:paraId="01E3187F" w14:textId="24A59BEC" w:rsidR="00EE3F64" w:rsidRPr="00151BD7" w:rsidRDefault="00654BAE" w:rsidP="00E268AA">
      <w:pPr>
        <w:spacing w:after="0"/>
        <w:jc w:val="both"/>
        <w:rPr>
          <w:b/>
        </w:rPr>
      </w:pPr>
      <w:r w:rsidRPr="00151BD7">
        <w:rPr>
          <w:b/>
        </w:rPr>
        <w:t>Key Group financials</w:t>
      </w:r>
      <w:r w:rsidR="00D05C6F" w:rsidRPr="00151BD7">
        <w:rPr>
          <w:b/>
        </w:rPr>
        <w:t xml:space="preserve"> </w:t>
      </w:r>
    </w:p>
    <w:p w14:paraId="002F61A2" w14:textId="77777777" w:rsidR="00EE3F64" w:rsidRPr="00151BD7" w:rsidRDefault="00EE3F64" w:rsidP="00E268AA">
      <w:pPr>
        <w:spacing w:after="0"/>
        <w:jc w:val="both"/>
      </w:pPr>
    </w:p>
    <w:p w14:paraId="5760172A" w14:textId="37F77580" w:rsidR="0012322B" w:rsidRPr="00151BD7" w:rsidRDefault="0012322B" w:rsidP="00E268AA">
      <w:pPr>
        <w:spacing w:after="0"/>
        <w:jc w:val="both"/>
      </w:pPr>
      <w:r w:rsidRPr="00151BD7">
        <w:t xml:space="preserve">Year </w:t>
      </w:r>
      <w:r w:rsidR="00F033BD" w:rsidRPr="00151BD7">
        <w:t xml:space="preserve">ending 31 December </w:t>
      </w:r>
      <w:r w:rsidRPr="00151BD7">
        <w:t>2025</w:t>
      </w:r>
    </w:p>
    <w:p w14:paraId="7EDE7A82" w14:textId="77777777" w:rsidR="0012322B" w:rsidRPr="00151BD7" w:rsidRDefault="0012322B" w:rsidP="00E268AA">
      <w:pPr>
        <w:spacing w:after="0"/>
        <w:jc w:val="both"/>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85"/>
        <w:gridCol w:w="1185"/>
        <w:gridCol w:w="1186"/>
        <w:gridCol w:w="1185"/>
        <w:gridCol w:w="1186"/>
      </w:tblGrid>
      <w:tr w:rsidR="00595246" w:rsidRPr="00151BD7" w14:paraId="3F897FCD" w14:textId="77777777" w:rsidTr="001A0274">
        <w:trPr>
          <w:trHeight w:val="340"/>
        </w:trPr>
        <w:tc>
          <w:tcPr>
            <w:tcW w:w="3397" w:type="dxa"/>
          </w:tcPr>
          <w:p w14:paraId="34C13EC0" w14:textId="7155E656" w:rsidR="00595246" w:rsidRPr="00151BD7" w:rsidRDefault="00F10018" w:rsidP="00E268AA">
            <w:pPr>
              <w:spacing w:after="0" w:line="312" w:lineRule="auto"/>
              <w:jc w:val="both"/>
              <w:rPr>
                <w:b/>
              </w:rPr>
            </w:pPr>
            <w:r w:rsidRPr="00151BD7">
              <w:rPr>
                <w:b/>
                <w:bCs/>
              </w:rPr>
              <w:t>€</w:t>
            </w:r>
            <w:r w:rsidR="00595246" w:rsidRPr="00151BD7">
              <w:rPr>
                <w:b/>
              </w:rPr>
              <w:t xml:space="preserve"> m</w:t>
            </w:r>
          </w:p>
        </w:tc>
        <w:tc>
          <w:tcPr>
            <w:tcW w:w="1185" w:type="dxa"/>
          </w:tcPr>
          <w:p w14:paraId="620EF394" w14:textId="77777777" w:rsidR="00595246" w:rsidRPr="00151BD7" w:rsidRDefault="00595246" w:rsidP="00E268AA">
            <w:pPr>
              <w:spacing w:after="0" w:line="312" w:lineRule="auto"/>
              <w:jc w:val="both"/>
              <w:rPr>
                <w:b/>
              </w:rPr>
            </w:pPr>
            <w:r w:rsidRPr="00151BD7">
              <w:rPr>
                <w:b/>
              </w:rPr>
              <w:t xml:space="preserve">FY25 </w:t>
            </w:r>
          </w:p>
        </w:tc>
        <w:tc>
          <w:tcPr>
            <w:tcW w:w="1185" w:type="dxa"/>
          </w:tcPr>
          <w:p w14:paraId="72A3539F" w14:textId="77777777" w:rsidR="00595246" w:rsidRPr="00151BD7" w:rsidRDefault="00595246" w:rsidP="00E268AA">
            <w:pPr>
              <w:spacing w:after="0" w:line="312" w:lineRule="auto"/>
              <w:jc w:val="both"/>
              <w:rPr>
                <w:b/>
              </w:rPr>
            </w:pPr>
            <w:r w:rsidRPr="00151BD7">
              <w:rPr>
                <w:b/>
              </w:rPr>
              <w:t xml:space="preserve">FY24 </w:t>
            </w:r>
          </w:p>
        </w:tc>
        <w:tc>
          <w:tcPr>
            <w:tcW w:w="1186" w:type="dxa"/>
          </w:tcPr>
          <w:p w14:paraId="54992597" w14:textId="527F3FCB" w:rsidR="00595246" w:rsidRPr="00151BD7" w:rsidRDefault="00595246" w:rsidP="00E268AA">
            <w:pPr>
              <w:spacing w:after="0" w:line="312" w:lineRule="auto"/>
              <w:jc w:val="both"/>
              <w:rPr>
                <w:b/>
              </w:rPr>
            </w:pPr>
            <w:r w:rsidRPr="00151BD7">
              <w:rPr>
                <w:b/>
              </w:rPr>
              <w:t xml:space="preserve">FY24 </w:t>
            </w:r>
          </w:p>
          <w:p w14:paraId="6FE8C3B5" w14:textId="6127F2C4" w:rsidR="00595246" w:rsidRPr="00151BD7" w:rsidRDefault="00595246" w:rsidP="00E268AA">
            <w:pPr>
              <w:spacing w:after="0" w:line="312" w:lineRule="auto"/>
              <w:jc w:val="both"/>
              <w:rPr>
                <w:b/>
              </w:rPr>
            </w:pPr>
            <w:r w:rsidRPr="00151BD7">
              <w:rPr>
                <w:b/>
              </w:rPr>
              <w:t>Pro forma</w:t>
            </w:r>
          </w:p>
        </w:tc>
        <w:tc>
          <w:tcPr>
            <w:tcW w:w="1185" w:type="dxa"/>
          </w:tcPr>
          <w:p w14:paraId="7ECBF950" w14:textId="05BE484F" w:rsidR="00595246" w:rsidRPr="00151BD7" w:rsidRDefault="00595246" w:rsidP="00E268AA">
            <w:pPr>
              <w:spacing w:after="0" w:line="312" w:lineRule="auto"/>
              <w:jc w:val="both"/>
              <w:rPr>
                <w:b/>
              </w:rPr>
            </w:pPr>
            <w:r w:rsidRPr="00151BD7">
              <w:rPr>
                <w:b/>
              </w:rPr>
              <w:t>Change</w:t>
            </w:r>
          </w:p>
          <w:p w14:paraId="72286A52" w14:textId="6D84EB72" w:rsidR="00595246" w:rsidRPr="00151BD7" w:rsidRDefault="00595246" w:rsidP="00E268AA">
            <w:pPr>
              <w:spacing w:after="0" w:line="312" w:lineRule="auto"/>
              <w:jc w:val="both"/>
              <w:rPr>
                <w:b/>
              </w:rPr>
            </w:pPr>
            <w:r w:rsidRPr="00151BD7">
              <w:rPr>
                <w:b/>
              </w:rPr>
              <w:t>Reported</w:t>
            </w:r>
          </w:p>
        </w:tc>
        <w:tc>
          <w:tcPr>
            <w:tcW w:w="1186" w:type="dxa"/>
          </w:tcPr>
          <w:p w14:paraId="3B2BD396" w14:textId="77777777" w:rsidR="00595246" w:rsidRPr="00151BD7" w:rsidRDefault="00595246" w:rsidP="00E268AA">
            <w:pPr>
              <w:spacing w:after="0" w:line="312" w:lineRule="auto"/>
              <w:jc w:val="both"/>
              <w:rPr>
                <w:b/>
              </w:rPr>
            </w:pPr>
            <w:r w:rsidRPr="00151BD7">
              <w:rPr>
                <w:b/>
              </w:rPr>
              <w:t xml:space="preserve">Change </w:t>
            </w:r>
          </w:p>
          <w:p w14:paraId="1383BA29" w14:textId="5E091A38" w:rsidR="00595246" w:rsidRPr="00151BD7" w:rsidRDefault="00595246" w:rsidP="00E268AA">
            <w:pPr>
              <w:spacing w:after="0" w:line="312" w:lineRule="auto"/>
              <w:jc w:val="both"/>
              <w:rPr>
                <w:b/>
              </w:rPr>
            </w:pPr>
            <w:r w:rsidRPr="00151BD7">
              <w:rPr>
                <w:b/>
              </w:rPr>
              <w:t>Pro forma</w:t>
            </w:r>
          </w:p>
        </w:tc>
      </w:tr>
      <w:tr w:rsidR="00595246" w:rsidRPr="00151BD7" w14:paraId="5B48DCC5" w14:textId="77777777" w:rsidTr="001A0274">
        <w:trPr>
          <w:trHeight w:val="432"/>
        </w:trPr>
        <w:tc>
          <w:tcPr>
            <w:tcW w:w="3397" w:type="dxa"/>
          </w:tcPr>
          <w:p w14:paraId="18F8AB33" w14:textId="77777777" w:rsidR="00595246" w:rsidRPr="00151BD7" w:rsidRDefault="00595246" w:rsidP="007B2C77">
            <w:pPr>
              <w:spacing w:after="0" w:line="312" w:lineRule="auto"/>
            </w:pPr>
            <w:r w:rsidRPr="00151BD7">
              <w:t>Revenue</w:t>
            </w:r>
          </w:p>
        </w:tc>
        <w:tc>
          <w:tcPr>
            <w:tcW w:w="1185" w:type="dxa"/>
          </w:tcPr>
          <w:p w14:paraId="6781F232" w14:textId="314A4825" w:rsidR="00595246" w:rsidRPr="00151BD7" w:rsidRDefault="00A9486F" w:rsidP="00E268AA">
            <w:pPr>
              <w:spacing w:after="0" w:line="312" w:lineRule="auto"/>
              <w:jc w:val="both"/>
            </w:pPr>
            <w:r w:rsidRPr="00151BD7">
              <w:t>6,741</w:t>
            </w:r>
          </w:p>
        </w:tc>
        <w:tc>
          <w:tcPr>
            <w:tcW w:w="1185" w:type="dxa"/>
          </w:tcPr>
          <w:p w14:paraId="7F3547B2" w14:textId="1B9E0C78" w:rsidR="00595246" w:rsidRPr="00151BD7" w:rsidRDefault="00645558" w:rsidP="00E268AA">
            <w:pPr>
              <w:spacing w:after="0" w:line="312" w:lineRule="auto"/>
              <w:jc w:val="both"/>
            </w:pPr>
            <w:r w:rsidRPr="00151BD7">
              <w:t>3,925</w:t>
            </w:r>
          </w:p>
        </w:tc>
        <w:tc>
          <w:tcPr>
            <w:tcW w:w="1186" w:type="dxa"/>
          </w:tcPr>
          <w:p w14:paraId="1C0375A0" w14:textId="1B81CD77" w:rsidR="00595246" w:rsidRPr="00151BD7" w:rsidRDefault="00A9486F" w:rsidP="00E268AA">
            <w:pPr>
              <w:spacing w:after="0" w:line="312" w:lineRule="auto"/>
              <w:jc w:val="both"/>
            </w:pPr>
            <w:r w:rsidRPr="00151BD7">
              <w:t>5,</w:t>
            </w:r>
            <w:r w:rsidR="007B2C77" w:rsidRPr="00151BD7">
              <w:t>182</w:t>
            </w:r>
          </w:p>
        </w:tc>
        <w:tc>
          <w:tcPr>
            <w:tcW w:w="1185" w:type="dxa"/>
          </w:tcPr>
          <w:p w14:paraId="3A0C6835" w14:textId="63A9C89E" w:rsidR="00595246" w:rsidRPr="00151BD7" w:rsidRDefault="00645558" w:rsidP="00E268AA">
            <w:pPr>
              <w:spacing w:after="0" w:line="312" w:lineRule="auto"/>
              <w:jc w:val="both"/>
            </w:pPr>
            <w:r w:rsidRPr="00151BD7">
              <w:t>71.7</w:t>
            </w:r>
            <w:r w:rsidR="003552A1" w:rsidRPr="00151BD7">
              <w:t>%</w:t>
            </w:r>
          </w:p>
        </w:tc>
        <w:tc>
          <w:tcPr>
            <w:tcW w:w="1186" w:type="dxa"/>
          </w:tcPr>
          <w:p w14:paraId="09068C81" w14:textId="5E0B9DA5" w:rsidR="00595246" w:rsidRPr="00151BD7" w:rsidRDefault="00A9486F" w:rsidP="00E268AA">
            <w:pPr>
              <w:spacing w:after="0" w:line="312" w:lineRule="auto"/>
              <w:jc w:val="both"/>
            </w:pPr>
            <w:r w:rsidRPr="00151BD7">
              <w:t>3</w:t>
            </w:r>
            <w:r w:rsidR="007B2C77" w:rsidRPr="00151BD7">
              <w:t>0</w:t>
            </w:r>
            <w:r w:rsidR="00645558" w:rsidRPr="00151BD7">
              <w:t>.</w:t>
            </w:r>
            <w:r w:rsidR="007B2C77" w:rsidRPr="00151BD7">
              <w:t>1</w:t>
            </w:r>
            <w:r w:rsidR="003552A1" w:rsidRPr="00151BD7">
              <w:t>%</w:t>
            </w:r>
          </w:p>
        </w:tc>
      </w:tr>
      <w:tr w:rsidR="00595246" w:rsidRPr="00151BD7" w14:paraId="528ECF24" w14:textId="77777777" w:rsidTr="001A0274">
        <w:trPr>
          <w:trHeight w:val="432"/>
        </w:trPr>
        <w:tc>
          <w:tcPr>
            <w:tcW w:w="3397" w:type="dxa"/>
          </w:tcPr>
          <w:p w14:paraId="154A5C58" w14:textId="68FF84C1" w:rsidR="00595246" w:rsidRPr="00151BD7" w:rsidRDefault="00595246" w:rsidP="007B2C77">
            <w:pPr>
              <w:spacing w:after="0" w:line="312" w:lineRule="auto"/>
            </w:pPr>
            <w:r w:rsidRPr="00151BD7">
              <w:t>Adjusted Operating EBITDA</w:t>
            </w:r>
          </w:p>
        </w:tc>
        <w:tc>
          <w:tcPr>
            <w:tcW w:w="1185" w:type="dxa"/>
          </w:tcPr>
          <w:p w14:paraId="2150D800" w14:textId="4DE4213A" w:rsidR="00595246" w:rsidRPr="00151BD7" w:rsidRDefault="00A9486F" w:rsidP="00E268AA">
            <w:pPr>
              <w:spacing w:after="0" w:line="312" w:lineRule="auto"/>
              <w:jc w:val="both"/>
            </w:pPr>
            <w:r w:rsidRPr="00151BD7">
              <w:t>1,78</w:t>
            </w:r>
            <w:r w:rsidR="00645558" w:rsidRPr="00151BD7">
              <w:t>2</w:t>
            </w:r>
          </w:p>
        </w:tc>
        <w:tc>
          <w:tcPr>
            <w:tcW w:w="1185" w:type="dxa"/>
          </w:tcPr>
          <w:p w14:paraId="357B3524" w14:textId="5B1EA31B" w:rsidR="00595246" w:rsidRPr="00151BD7" w:rsidRDefault="00A9486F" w:rsidP="00E268AA">
            <w:pPr>
              <w:spacing w:after="0" w:line="312" w:lineRule="auto"/>
              <w:jc w:val="both"/>
            </w:pPr>
            <w:r w:rsidRPr="00151BD7">
              <w:t>1,07</w:t>
            </w:r>
            <w:r w:rsidR="00645558" w:rsidRPr="00151BD7">
              <w:t>0</w:t>
            </w:r>
          </w:p>
        </w:tc>
        <w:tc>
          <w:tcPr>
            <w:tcW w:w="1186" w:type="dxa"/>
          </w:tcPr>
          <w:p w14:paraId="4022BCC8" w14:textId="1CDD85F6" w:rsidR="00595246" w:rsidRPr="00151BD7" w:rsidRDefault="00A9486F" w:rsidP="00E268AA">
            <w:pPr>
              <w:spacing w:after="0" w:line="312" w:lineRule="auto"/>
              <w:jc w:val="both"/>
            </w:pPr>
            <w:r w:rsidRPr="00151BD7">
              <w:t>1,3</w:t>
            </w:r>
            <w:r w:rsidR="00406D0C" w:rsidRPr="00151BD7">
              <w:t>8</w:t>
            </w:r>
            <w:r w:rsidR="007B2C77" w:rsidRPr="00151BD7">
              <w:t>9</w:t>
            </w:r>
          </w:p>
        </w:tc>
        <w:tc>
          <w:tcPr>
            <w:tcW w:w="1185" w:type="dxa"/>
          </w:tcPr>
          <w:p w14:paraId="52B2884F" w14:textId="08885CFE" w:rsidR="00595246" w:rsidRPr="00151BD7" w:rsidRDefault="00A9486F" w:rsidP="00E268AA">
            <w:pPr>
              <w:spacing w:after="0" w:line="312" w:lineRule="auto"/>
              <w:jc w:val="both"/>
            </w:pPr>
            <w:r w:rsidRPr="00151BD7">
              <w:t>6</w:t>
            </w:r>
            <w:r w:rsidR="00645558" w:rsidRPr="00151BD7">
              <w:t>6</w:t>
            </w:r>
            <w:r w:rsidRPr="00151BD7">
              <w:t>.</w:t>
            </w:r>
            <w:r w:rsidR="00645558" w:rsidRPr="00151BD7">
              <w:t>6</w:t>
            </w:r>
            <w:r w:rsidRPr="00151BD7">
              <w:t>%</w:t>
            </w:r>
          </w:p>
        </w:tc>
        <w:tc>
          <w:tcPr>
            <w:tcW w:w="1186" w:type="dxa"/>
          </w:tcPr>
          <w:p w14:paraId="26241D8F" w14:textId="46BA78E9" w:rsidR="00595246" w:rsidRPr="00151BD7" w:rsidRDefault="00A9486F" w:rsidP="00E268AA">
            <w:pPr>
              <w:spacing w:after="0" w:line="312" w:lineRule="auto"/>
              <w:jc w:val="both"/>
            </w:pPr>
            <w:r w:rsidRPr="00151BD7">
              <w:t>2</w:t>
            </w:r>
            <w:r w:rsidR="007B2C77" w:rsidRPr="00151BD7">
              <w:t>8</w:t>
            </w:r>
            <w:r w:rsidRPr="00151BD7">
              <w:t>.</w:t>
            </w:r>
            <w:r w:rsidR="007B2C77" w:rsidRPr="00151BD7">
              <w:t>2</w:t>
            </w:r>
            <w:r w:rsidRPr="00151BD7">
              <w:t>%</w:t>
            </w:r>
          </w:p>
        </w:tc>
      </w:tr>
      <w:tr w:rsidR="00595246" w:rsidRPr="00151BD7" w14:paraId="3F1CA4ED" w14:textId="77777777" w:rsidTr="001A0274">
        <w:trPr>
          <w:trHeight w:val="432"/>
        </w:trPr>
        <w:tc>
          <w:tcPr>
            <w:tcW w:w="3397" w:type="dxa"/>
          </w:tcPr>
          <w:p w14:paraId="4BAD69E6" w14:textId="77777777" w:rsidR="00595246" w:rsidRPr="00151BD7" w:rsidRDefault="00595246" w:rsidP="007B2C77">
            <w:pPr>
              <w:spacing w:after="0" w:line="312" w:lineRule="auto"/>
            </w:pPr>
            <w:r w:rsidRPr="00151BD7">
              <w:t>Adjusted Operating EBIT</w:t>
            </w:r>
          </w:p>
        </w:tc>
        <w:tc>
          <w:tcPr>
            <w:tcW w:w="1185" w:type="dxa"/>
          </w:tcPr>
          <w:p w14:paraId="2769D813" w14:textId="46BFEBD4" w:rsidR="00595246" w:rsidRPr="00151BD7" w:rsidRDefault="00A9486F" w:rsidP="00E268AA">
            <w:pPr>
              <w:spacing w:after="0" w:line="312" w:lineRule="auto"/>
              <w:jc w:val="both"/>
            </w:pPr>
            <w:r w:rsidRPr="00151BD7">
              <w:t>1,62</w:t>
            </w:r>
            <w:r w:rsidR="00B20B99" w:rsidRPr="00151BD7">
              <w:t>6</w:t>
            </w:r>
          </w:p>
        </w:tc>
        <w:tc>
          <w:tcPr>
            <w:tcW w:w="1185" w:type="dxa"/>
          </w:tcPr>
          <w:p w14:paraId="22930894" w14:textId="2EA34E19" w:rsidR="00595246" w:rsidRPr="00151BD7" w:rsidRDefault="00A9486F" w:rsidP="00E268AA">
            <w:pPr>
              <w:spacing w:after="0" w:line="312" w:lineRule="auto"/>
              <w:jc w:val="both"/>
            </w:pPr>
            <w:r w:rsidRPr="00151BD7">
              <w:t>1,01</w:t>
            </w:r>
            <w:r w:rsidR="00B20B99" w:rsidRPr="00151BD7">
              <w:t>1</w:t>
            </w:r>
          </w:p>
        </w:tc>
        <w:tc>
          <w:tcPr>
            <w:tcW w:w="1186" w:type="dxa"/>
          </w:tcPr>
          <w:p w14:paraId="18A9A2C9" w14:textId="4EE51A76" w:rsidR="00595246" w:rsidRPr="00151BD7" w:rsidRDefault="00A9486F" w:rsidP="00E268AA">
            <w:pPr>
              <w:spacing w:after="0" w:line="312" w:lineRule="auto"/>
              <w:jc w:val="both"/>
            </w:pPr>
            <w:r w:rsidRPr="00151BD7">
              <w:t>1,23</w:t>
            </w:r>
            <w:r w:rsidR="007B2C77" w:rsidRPr="00151BD7">
              <w:t>9</w:t>
            </w:r>
          </w:p>
        </w:tc>
        <w:tc>
          <w:tcPr>
            <w:tcW w:w="1185" w:type="dxa"/>
          </w:tcPr>
          <w:p w14:paraId="7DBCC7AA" w14:textId="31EEB1F4" w:rsidR="00595246" w:rsidRPr="00151BD7" w:rsidRDefault="00A9486F" w:rsidP="00E268AA">
            <w:pPr>
              <w:spacing w:after="0" w:line="312" w:lineRule="auto"/>
              <w:jc w:val="both"/>
            </w:pPr>
            <w:r w:rsidRPr="00151BD7">
              <w:t>60.</w:t>
            </w:r>
            <w:r w:rsidR="00B20B99" w:rsidRPr="00151BD7">
              <w:t>7</w:t>
            </w:r>
            <w:r w:rsidRPr="00151BD7">
              <w:t>%</w:t>
            </w:r>
          </w:p>
        </w:tc>
        <w:tc>
          <w:tcPr>
            <w:tcW w:w="1186" w:type="dxa"/>
          </w:tcPr>
          <w:p w14:paraId="4E44C3E9" w14:textId="79F5BE40" w:rsidR="00595246" w:rsidRPr="00151BD7" w:rsidRDefault="00A9486F" w:rsidP="00E268AA">
            <w:pPr>
              <w:spacing w:after="0" w:line="312" w:lineRule="auto"/>
              <w:jc w:val="both"/>
            </w:pPr>
            <w:r w:rsidRPr="00151BD7">
              <w:t>31.</w:t>
            </w:r>
            <w:r w:rsidR="007B2C77" w:rsidRPr="00151BD7">
              <w:t>2</w:t>
            </w:r>
            <w:r w:rsidRPr="00151BD7">
              <w:t>%</w:t>
            </w:r>
          </w:p>
        </w:tc>
      </w:tr>
      <w:tr w:rsidR="00595246" w:rsidRPr="00151BD7" w14:paraId="7D6EB25F" w14:textId="77777777" w:rsidTr="001A0274">
        <w:trPr>
          <w:trHeight w:val="432"/>
        </w:trPr>
        <w:tc>
          <w:tcPr>
            <w:tcW w:w="3397" w:type="dxa"/>
          </w:tcPr>
          <w:p w14:paraId="48EFE56C" w14:textId="77777777" w:rsidR="00595246" w:rsidRPr="00151BD7" w:rsidRDefault="00595246" w:rsidP="007B2C77">
            <w:pPr>
              <w:spacing w:after="0" w:line="312" w:lineRule="auto"/>
            </w:pPr>
            <w:r w:rsidRPr="00151BD7">
              <w:t>Adjusted Operating EBIT margin</w:t>
            </w:r>
          </w:p>
        </w:tc>
        <w:tc>
          <w:tcPr>
            <w:tcW w:w="1185" w:type="dxa"/>
          </w:tcPr>
          <w:p w14:paraId="19A3E505" w14:textId="1124F860" w:rsidR="00595246" w:rsidRPr="00151BD7" w:rsidRDefault="00A9486F" w:rsidP="00E268AA">
            <w:pPr>
              <w:spacing w:after="0" w:line="312" w:lineRule="auto"/>
              <w:jc w:val="both"/>
            </w:pPr>
            <w:r w:rsidRPr="00151BD7">
              <w:t>24.1%</w:t>
            </w:r>
          </w:p>
        </w:tc>
        <w:tc>
          <w:tcPr>
            <w:tcW w:w="1185" w:type="dxa"/>
          </w:tcPr>
          <w:p w14:paraId="3F95A1D2" w14:textId="07B86B62" w:rsidR="00595246" w:rsidRPr="00151BD7" w:rsidRDefault="00A9486F" w:rsidP="00E268AA">
            <w:pPr>
              <w:spacing w:after="0" w:line="312" w:lineRule="auto"/>
              <w:jc w:val="both"/>
            </w:pPr>
            <w:r w:rsidRPr="00151BD7">
              <w:t>25.</w:t>
            </w:r>
            <w:r w:rsidR="00B20B99" w:rsidRPr="00151BD7">
              <w:t>8</w:t>
            </w:r>
            <w:r w:rsidRPr="00151BD7">
              <w:t>%</w:t>
            </w:r>
          </w:p>
        </w:tc>
        <w:tc>
          <w:tcPr>
            <w:tcW w:w="1186" w:type="dxa"/>
          </w:tcPr>
          <w:p w14:paraId="4F47D76B" w14:textId="5ECBD8B8" w:rsidR="00595246" w:rsidRPr="00151BD7" w:rsidRDefault="00A9486F" w:rsidP="00E268AA">
            <w:pPr>
              <w:spacing w:after="0" w:line="312" w:lineRule="auto"/>
              <w:jc w:val="both"/>
            </w:pPr>
            <w:r w:rsidRPr="00151BD7">
              <w:t>2</w:t>
            </w:r>
            <w:r w:rsidR="007B2C77" w:rsidRPr="00151BD7">
              <w:t>3</w:t>
            </w:r>
            <w:r w:rsidR="00B20B99" w:rsidRPr="00151BD7">
              <w:t>.</w:t>
            </w:r>
            <w:r w:rsidR="007B2C77" w:rsidRPr="00151BD7">
              <w:t>9</w:t>
            </w:r>
            <w:r w:rsidRPr="00151BD7">
              <w:t>%</w:t>
            </w:r>
          </w:p>
        </w:tc>
        <w:tc>
          <w:tcPr>
            <w:tcW w:w="1185" w:type="dxa"/>
          </w:tcPr>
          <w:p w14:paraId="6A6DC72F" w14:textId="5215BDAA" w:rsidR="00595246" w:rsidRPr="00151BD7" w:rsidRDefault="003A1093" w:rsidP="00E268AA">
            <w:pPr>
              <w:spacing w:after="0" w:line="312" w:lineRule="auto"/>
              <w:jc w:val="both"/>
            </w:pPr>
            <w:r w:rsidRPr="00151BD7">
              <w:t>(1</w:t>
            </w:r>
            <w:r w:rsidR="00B20B99" w:rsidRPr="00151BD7">
              <w:t>7</w:t>
            </w:r>
            <w:r w:rsidRPr="00151BD7">
              <w:t>0)bps</w:t>
            </w:r>
          </w:p>
        </w:tc>
        <w:tc>
          <w:tcPr>
            <w:tcW w:w="1186" w:type="dxa"/>
          </w:tcPr>
          <w:p w14:paraId="107F445F" w14:textId="1B93DB97" w:rsidR="00595246" w:rsidRPr="00151BD7" w:rsidRDefault="003A1093" w:rsidP="00E268AA">
            <w:pPr>
              <w:spacing w:after="0" w:line="312" w:lineRule="auto"/>
              <w:jc w:val="both"/>
            </w:pPr>
            <w:r w:rsidRPr="00151BD7">
              <w:t>20bps</w:t>
            </w:r>
          </w:p>
        </w:tc>
      </w:tr>
      <w:tr w:rsidR="00B20B99" w:rsidRPr="00151BD7" w14:paraId="0B669FFA" w14:textId="77777777" w:rsidTr="001A0274">
        <w:trPr>
          <w:trHeight w:val="432"/>
        </w:trPr>
        <w:tc>
          <w:tcPr>
            <w:tcW w:w="3397" w:type="dxa"/>
          </w:tcPr>
          <w:p w14:paraId="1EAD6D28" w14:textId="6D5E771E" w:rsidR="00B20B99" w:rsidRPr="00151BD7" w:rsidRDefault="008F221B" w:rsidP="007B2C77">
            <w:pPr>
              <w:spacing w:after="0" w:line="312" w:lineRule="auto"/>
            </w:pPr>
            <w:r w:rsidRPr="00151BD7">
              <w:t>N</w:t>
            </w:r>
            <w:r w:rsidR="00B20B99" w:rsidRPr="00151BD7">
              <w:t xml:space="preserve">et </w:t>
            </w:r>
            <w:r w:rsidRPr="00151BD7">
              <w:t>P</w:t>
            </w:r>
            <w:r w:rsidR="00B20B99" w:rsidRPr="00151BD7">
              <w:t xml:space="preserve">rofit from </w:t>
            </w:r>
            <w:r w:rsidRPr="00151BD7">
              <w:t>C</w:t>
            </w:r>
            <w:r w:rsidR="00B20B99" w:rsidRPr="00151BD7">
              <w:t xml:space="preserve">ontinuing </w:t>
            </w:r>
            <w:r w:rsidRPr="00151BD7">
              <w:t>O</w:t>
            </w:r>
            <w:r w:rsidR="00B20B99" w:rsidRPr="00151BD7">
              <w:t>perations</w:t>
            </w:r>
          </w:p>
        </w:tc>
        <w:tc>
          <w:tcPr>
            <w:tcW w:w="1185" w:type="dxa"/>
          </w:tcPr>
          <w:p w14:paraId="7E416CDF" w14:textId="60F7F293" w:rsidR="00B20B99" w:rsidRPr="00151BD7" w:rsidRDefault="007B2C77" w:rsidP="00E268AA">
            <w:pPr>
              <w:spacing w:after="0" w:line="312" w:lineRule="auto"/>
              <w:jc w:val="both"/>
            </w:pPr>
            <w:r w:rsidRPr="00151BD7">
              <w:t>872</w:t>
            </w:r>
          </w:p>
        </w:tc>
        <w:tc>
          <w:tcPr>
            <w:tcW w:w="1185" w:type="dxa"/>
          </w:tcPr>
          <w:p w14:paraId="2EFAA2F2" w14:textId="2C5400EC" w:rsidR="00B20B99" w:rsidRPr="00151BD7" w:rsidRDefault="00B20B99" w:rsidP="00E268AA">
            <w:pPr>
              <w:spacing w:after="0" w:line="312" w:lineRule="auto"/>
              <w:jc w:val="both"/>
            </w:pPr>
            <w:r w:rsidRPr="00151BD7">
              <w:t>644</w:t>
            </w:r>
          </w:p>
        </w:tc>
        <w:tc>
          <w:tcPr>
            <w:tcW w:w="1186" w:type="dxa"/>
          </w:tcPr>
          <w:p w14:paraId="6049E22C" w14:textId="3445F8EB" w:rsidR="00B20B99" w:rsidRPr="00151BD7" w:rsidRDefault="007B2C77" w:rsidP="00E268AA">
            <w:pPr>
              <w:spacing w:after="0" w:line="312" w:lineRule="auto"/>
              <w:jc w:val="both"/>
            </w:pPr>
            <w:r w:rsidRPr="00151BD7">
              <w:t>657</w:t>
            </w:r>
          </w:p>
        </w:tc>
        <w:tc>
          <w:tcPr>
            <w:tcW w:w="1185" w:type="dxa"/>
          </w:tcPr>
          <w:p w14:paraId="0D769E09" w14:textId="5EA5784A" w:rsidR="00B20B99" w:rsidRPr="00151BD7" w:rsidRDefault="007B2C77" w:rsidP="00E268AA">
            <w:pPr>
              <w:spacing w:after="0" w:line="312" w:lineRule="auto"/>
              <w:jc w:val="both"/>
            </w:pPr>
            <w:r w:rsidRPr="00151BD7">
              <w:t>35</w:t>
            </w:r>
            <w:r w:rsidR="00EB28C3" w:rsidRPr="00151BD7">
              <w:t>.5%</w:t>
            </w:r>
          </w:p>
        </w:tc>
        <w:tc>
          <w:tcPr>
            <w:tcW w:w="1186" w:type="dxa"/>
          </w:tcPr>
          <w:p w14:paraId="1A996FE7" w14:textId="28D04C8F" w:rsidR="00B20B99" w:rsidRPr="00151BD7" w:rsidRDefault="007B2C77" w:rsidP="00E268AA">
            <w:pPr>
              <w:spacing w:after="0" w:line="312" w:lineRule="auto"/>
              <w:jc w:val="both"/>
            </w:pPr>
            <w:r w:rsidRPr="00151BD7">
              <w:t>32.9%</w:t>
            </w:r>
          </w:p>
        </w:tc>
      </w:tr>
      <w:tr w:rsidR="00AC6BD3" w:rsidRPr="00151BD7" w14:paraId="17B7D6C9" w14:textId="77777777" w:rsidTr="001A0274">
        <w:trPr>
          <w:trHeight w:val="432"/>
        </w:trPr>
        <w:tc>
          <w:tcPr>
            <w:tcW w:w="3397" w:type="dxa"/>
          </w:tcPr>
          <w:p w14:paraId="2149C85E" w14:textId="14B97B7F" w:rsidR="00AC6BD3" w:rsidRPr="00151BD7" w:rsidRDefault="00AC6BD3" w:rsidP="007B2C77">
            <w:pPr>
              <w:spacing w:after="0" w:line="312" w:lineRule="auto"/>
            </w:pPr>
            <w:r w:rsidRPr="00151BD7">
              <w:t>Pre-tax Operating cash flow</w:t>
            </w:r>
          </w:p>
        </w:tc>
        <w:tc>
          <w:tcPr>
            <w:tcW w:w="1185" w:type="dxa"/>
          </w:tcPr>
          <w:p w14:paraId="26988854" w14:textId="1149F6AB" w:rsidR="00AC6BD3" w:rsidRPr="00151BD7" w:rsidRDefault="007B2C77" w:rsidP="00E268AA">
            <w:pPr>
              <w:spacing w:after="0" w:line="312" w:lineRule="auto"/>
              <w:jc w:val="both"/>
            </w:pPr>
            <w:r w:rsidRPr="00151BD7">
              <w:t>61</w:t>
            </w:r>
          </w:p>
        </w:tc>
        <w:tc>
          <w:tcPr>
            <w:tcW w:w="1185" w:type="dxa"/>
          </w:tcPr>
          <w:p w14:paraId="44B2D19C" w14:textId="27D162C0" w:rsidR="00AC6BD3" w:rsidRPr="00151BD7" w:rsidRDefault="007B2C77" w:rsidP="00E268AA">
            <w:pPr>
              <w:spacing w:after="0" w:line="312" w:lineRule="auto"/>
              <w:jc w:val="both"/>
            </w:pPr>
            <w:r w:rsidRPr="00151BD7">
              <w:t>771</w:t>
            </w:r>
          </w:p>
        </w:tc>
        <w:tc>
          <w:tcPr>
            <w:tcW w:w="1186" w:type="dxa"/>
          </w:tcPr>
          <w:p w14:paraId="1B20385F" w14:textId="2CCD1920" w:rsidR="00AC6BD3" w:rsidRPr="00151BD7" w:rsidRDefault="007B2C77" w:rsidP="00E268AA">
            <w:pPr>
              <w:spacing w:after="0" w:line="312" w:lineRule="auto"/>
              <w:jc w:val="both"/>
            </w:pPr>
            <w:r w:rsidRPr="00151BD7">
              <w:t>N/A</w:t>
            </w:r>
          </w:p>
        </w:tc>
        <w:tc>
          <w:tcPr>
            <w:tcW w:w="1185" w:type="dxa"/>
          </w:tcPr>
          <w:p w14:paraId="3E1F612A" w14:textId="3F3E4CB5" w:rsidR="00AC6BD3" w:rsidRPr="00151BD7" w:rsidRDefault="007B2C77" w:rsidP="00E268AA">
            <w:pPr>
              <w:spacing w:after="0" w:line="312" w:lineRule="auto"/>
              <w:jc w:val="both"/>
            </w:pPr>
            <w:r w:rsidRPr="00151BD7">
              <w:t>(710)</w:t>
            </w:r>
          </w:p>
        </w:tc>
        <w:tc>
          <w:tcPr>
            <w:tcW w:w="1186" w:type="dxa"/>
          </w:tcPr>
          <w:p w14:paraId="54DF5B21" w14:textId="7974098A" w:rsidR="00AC6BD3" w:rsidRPr="00151BD7" w:rsidRDefault="007B2C77" w:rsidP="00E268AA">
            <w:pPr>
              <w:spacing w:after="0" w:line="312" w:lineRule="auto"/>
              <w:jc w:val="both"/>
            </w:pPr>
            <w:r w:rsidRPr="00151BD7">
              <w:t>N/A</w:t>
            </w:r>
          </w:p>
        </w:tc>
      </w:tr>
      <w:tr w:rsidR="00AC6BD3" w:rsidRPr="00151BD7" w14:paraId="0F6556B6" w14:textId="77777777" w:rsidTr="001A0274">
        <w:trPr>
          <w:trHeight w:val="432"/>
        </w:trPr>
        <w:tc>
          <w:tcPr>
            <w:tcW w:w="3397" w:type="dxa"/>
          </w:tcPr>
          <w:p w14:paraId="14A7A4DB" w14:textId="3A854843" w:rsidR="00AC6BD3" w:rsidRPr="00151BD7" w:rsidRDefault="00AC6BD3" w:rsidP="007B2C77">
            <w:pPr>
              <w:spacing w:after="0" w:line="312" w:lineRule="auto"/>
            </w:pPr>
            <w:r w:rsidRPr="00151BD7">
              <w:t xml:space="preserve">Cash </w:t>
            </w:r>
            <w:r w:rsidR="008F221B" w:rsidRPr="00151BD7">
              <w:t>C</w:t>
            </w:r>
            <w:r w:rsidRPr="00151BD7">
              <w:t>onversion</w:t>
            </w:r>
            <w:r w:rsidR="00A15DC8" w:rsidRPr="00151BD7">
              <w:rPr>
                <w:vertAlign w:val="superscript"/>
              </w:rPr>
              <w:t>2</w:t>
            </w:r>
          </w:p>
        </w:tc>
        <w:tc>
          <w:tcPr>
            <w:tcW w:w="1185" w:type="dxa"/>
          </w:tcPr>
          <w:p w14:paraId="7E6C217F" w14:textId="5918980A" w:rsidR="00AC6BD3" w:rsidRPr="00151BD7" w:rsidRDefault="007B2C77" w:rsidP="00E268AA">
            <w:pPr>
              <w:spacing w:after="0" w:line="312" w:lineRule="auto"/>
              <w:jc w:val="both"/>
            </w:pPr>
            <w:r w:rsidRPr="00151BD7">
              <w:t>87.4%</w:t>
            </w:r>
          </w:p>
        </w:tc>
        <w:tc>
          <w:tcPr>
            <w:tcW w:w="1185" w:type="dxa"/>
          </w:tcPr>
          <w:p w14:paraId="154E1155" w14:textId="4A999A16" w:rsidR="00AC6BD3" w:rsidRPr="00151BD7" w:rsidRDefault="007B2C77" w:rsidP="00E268AA">
            <w:pPr>
              <w:spacing w:after="0" w:line="312" w:lineRule="auto"/>
              <w:jc w:val="both"/>
            </w:pPr>
            <w:r w:rsidRPr="00151BD7">
              <w:t>89.1%</w:t>
            </w:r>
          </w:p>
        </w:tc>
        <w:tc>
          <w:tcPr>
            <w:tcW w:w="1186" w:type="dxa"/>
          </w:tcPr>
          <w:p w14:paraId="6EFB97A8" w14:textId="37541349" w:rsidR="00AC6BD3" w:rsidRPr="00151BD7" w:rsidRDefault="007B2C77" w:rsidP="00E268AA">
            <w:pPr>
              <w:spacing w:after="0" w:line="312" w:lineRule="auto"/>
              <w:jc w:val="both"/>
            </w:pPr>
            <w:r w:rsidRPr="00151BD7">
              <w:t>90.7%</w:t>
            </w:r>
          </w:p>
        </w:tc>
        <w:tc>
          <w:tcPr>
            <w:tcW w:w="1185" w:type="dxa"/>
          </w:tcPr>
          <w:p w14:paraId="44F6078F" w14:textId="28EA59A5" w:rsidR="00AC6BD3" w:rsidRPr="00151BD7" w:rsidRDefault="007B2C77" w:rsidP="00E268AA">
            <w:pPr>
              <w:spacing w:after="0" w:line="312" w:lineRule="auto"/>
              <w:jc w:val="both"/>
            </w:pPr>
            <w:r w:rsidRPr="00151BD7">
              <w:t>(170)bps</w:t>
            </w:r>
          </w:p>
        </w:tc>
        <w:tc>
          <w:tcPr>
            <w:tcW w:w="1186" w:type="dxa"/>
          </w:tcPr>
          <w:p w14:paraId="2D8CD8C9" w14:textId="6C778D30" w:rsidR="00AC6BD3" w:rsidRPr="00151BD7" w:rsidRDefault="007B2C77" w:rsidP="00E268AA">
            <w:pPr>
              <w:spacing w:after="0" w:line="312" w:lineRule="auto"/>
              <w:jc w:val="both"/>
            </w:pPr>
            <w:r w:rsidRPr="00151BD7">
              <w:t>(330)bps</w:t>
            </w:r>
          </w:p>
        </w:tc>
      </w:tr>
      <w:tr w:rsidR="00AC6BD3" w:rsidRPr="00151BD7" w14:paraId="4D18A697" w14:textId="77777777" w:rsidTr="001A0274">
        <w:trPr>
          <w:trHeight w:val="432"/>
        </w:trPr>
        <w:tc>
          <w:tcPr>
            <w:tcW w:w="3397" w:type="dxa"/>
          </w:tcPr>
          <w:p w14:paraId="11E220D0" w14:textId="277CEAA8" w:rsidR="00AC6BD3" w:rsidRPr="00151BD7" w:rsidRDefault="00AC6BD3" w:rsidP="007B2C77">
            <w:pPr>
              <w:spacing w:after="0" w:line="312" w:lineRule="auto"/>
            </w:pPr>
            <w:r w:rsidRPr="00151BD7">
              <w:t>Capex Intensity</w:t>
            </w:r>
          </w:p>
        </w:tc>
        <w:tc>
          <w:tcPr>
            <w:tcW w:w="1185" w:type="dxa"/>
          </w:tcPr>
          <w:p w14:paraId="2B11785F" w14:textId="489D256E" w:rsidR="00AC6BD3" w:rsidRPr="00151BD7" w:rsidRDefault="007B2C77" w:rsidP="00E268AA">
            <w:pPr>
              <w:spacing w:after="0" w:line="312" w:lineRule="auto"/>
              <w:jc w:val="both"/>
            </w:pPr>
            <w:r w:rsidRPr="00151BD7">
              <w:t>3.3%</w:t>
            </w:r>
          </w:p>
        </w:tc>
        <w:tc>
          <w:tcPr>
            <w:tcW w:w="1185" w:type="dxa"/>
          </w:tcPr>
          <w:p w14:paraId="58439FD0" w14:textId="69CD5863" w:rsidR="00AC6BD3" w:rsidRPr="00151BD7" w:rsidRDefault="007B2C77" w:rsidP="00E268AA">
            <w:pPr>
              <w:spacing w:after="0" w:line="312" w:lineRule="auto"/>
              <w:jc w:val="both"/>
            </w:pPr>
            <w:r w:rsidRPr="00151BD7">
              <w:t>3.0%</w:t>
            </w:r>
          </w:p>
        </w:tc>
        <w:tc>
          <w:tcPr>
            <w:tcW w:w="1186" w:type="dxa"/>
          </w:tcPr>
          <w:p w14:paraId="3556DD75" w14:textId="586C35F6" w:rsidR="00AC6BD3" w:rsidRPr="00151BD7" w:rsidRDefault="007B2C77" w:rsidP="00E268AA">
            <w:pPr>
              <w:spacing w:after="0" w:line="312" w:lineRule="auto"/>
              <w:jc w:val="both"/>
            </w:pPr>
            <w:r w:rsidRPr="00151BD7">
              <w:t>2.3%</w:t>
            </w:r>
          </w:p>
        </w:tc>
        <w:tc>
          <w:tcPr>
            <w:tcW w:w="1185" w:type="dxa"/>
          </w:tcPr>
          <w:p w14:paraId="607AA4BF" w14:textId="4304BB87" w:rsidR="00AC6BD3" w:rsidRPr="00151BD7" w:rsidRDefault="007B2C77" w:rsidP="00E268AA">
            <w:pPr>
              <w:spacing w:after="0" w:line="312" w:lineRule="auto"/>
              <w:jc w:val="both"/>
            </w:pPr>
            <w:r w:rsidRPr="00151BD7">
              <w:t>30bps</w:t>
            </w:r>
          </w:p>
        </w:tc>
        <w:tc>
          <w:tcPr>
            <w:tcW w:w="1186" w:type="dxa"/>
          </w:tcPr>
          <w:p w14:paraId="5C0F2C05" w14:textId="39B8803D" w:rsidR="00AC6BD3" w:rsidRPr="00151BD7" w:rsidRDefault="007B2C77" w:rsidP="00E268AA">
            <w:pPr>
              <w:spacing w:after="0" w:line="312" w:lineRule="auto"/>
              <w:jc w:val="both"/>
            </w:pPr>
            <w:r w:rsidRPr="00151BD7">
              <w:t>100bps</w:t>
            </w:r>
          </w:p>
        </w:tc>
      </w:tr>
      <w:tr w:rsidR="00AC6BD3" w:rsidRPr="00151BD7" w14:paraId="29829EA3" w14:textId="77777777" w:rsidTr="001A0274">
        <w:trPr>
          <w:trHeight w:val="432"/>
        </w:trPr>
        <w:tc>
          <w:tcPr>
            <w:tcW w:w="3397" w:type="dxa"/>
          </w:tcPr>
          <w:p w14:paraId="54A2877F" w14:textId="5EFEAFC0" w:rsidR="00AC6BD3" w:rsidRPr="00151BD7" w:rsidRDefault="00647BBF" w:rsidP="007B2C77">
            <w:pPr>
              <w:spacing w:after="0" w:line="312" w:lineRule="auto"/>
            </w:pPr>
            <w:r w:rsidRPr="00151BD7">
              <w:t xml:space="preserve">Adjusted </w:t>
            </w:r>
            <w:r w:rsidR="00AC6BD3" w:rsidRPr="00151BD7">
              <w:t>Net Working Capital</w:t>
            </w:r>
            <w:r w:rsidR="00A06E06" w:rsidRPr="00151BD7">
              <w:rPr>
                <w:vertAlign w:val="superscript"/>
              </w:rPr>
              <w:t>3</w:t>
            </w:r>
          </w:p>
        </w:tc>
        <w:tc>
          <w:tcPr>
            <w:tcW w:w="1185" w:type="dxa"/>
          </w:tcPr>
          <w:p w14:paraId="7A34EFD2" w14:textId="67E92493" w:rsidR="00AC6BD3" w:rsidRPr="00151BD7" w:rsidRDefault="00647BBF" w:rsidP="00E268AA">
            <w:pPr>
              <w:spacing w:after="0" w:line="312" w:lineRule="auto"/>
              <w:jc w:val="both"/>
            </w:pPr>
            <w:r w:rsidRPr="00151BD7">
              <w:t>1,6</w:t>
            </w:r>
            <w:r w:rsidR="007B2C77" w:rsidRPr="00151BD7">
              <w:t>20</w:t>
            </w:r>
          </w:p>
        </w:tc>
        <w:tc>
          <w:tcPr>
            <w:tcW w:w="1185" w:type="dxa"/>
          </w:tcPr>
          <w:p w14:paraId="5BE13F94" w14:textId="3F524B77" w:rsidR="00AC6BD3" w:rsidRPr="00151BD7" w:rsidRDefault="00647BBF" w:rsidP="00E268AA">
            <w:pPr>
              <w:spacing w:after="0" w:line="312" w:lineRule="auto"/>
              <w:jc w:val="both"/>
            </w:pPr>
            <w:r w:rsidRPr="00151BD7">
              <w:t>518</w:t>
            </w:r>
          </w:p>
        </w:tc>
        <w:tc>
          <w:tcPr>
            <w:tcW w:w="1186" w:type="dxa"/>
          </w:tcPr>
          <w:p w14:paraId="6B50E701" w14:textId="4919D801" w:rsidR="00AC6BD3" w:rsidRPr="00151BD7" w:rsidRDefault="003A1093" w:rsidP="00E268AA">
            <w:pPr>
              <w:spacing w:after="0" w:line="312" w:lineRule="auto"/>
              <w:jc w:val="both"/>
            </w:pPr>
            <w:r w:rsidRPr="00151BD7">
              <w:t>518</w:t>
            </w:r>
          </w:p>
        </w:tc>
        <w:tc>
          <w:tcPr>
            <w:tcW w:w="1185" w:type="dxa"/>
          </w:tcPr>
          <w:p w14:paraId="19BB1431" w14:textId="73CFDB8B" w:rsidR="00AC6BD3" w:rsidRPr="00151BD7" w:rsidRDefault="00647BBF" w:rsidP="00E268AA">
            <w:pPr>
              <w:spacing w:after="0" w:line="312" w:lineRule="auto"/>
              <w:jc w:val="both"/>
            </w:pPr>
            <w:r w:rsidRPr="00151BD7">
              <w:t>1,1</w:t>
            </w:r>
            <w:r w:rsidR="007B2C77" w:rsidRPr="00151BD7">
              <w:t>02</w:t>
            </w:r>
          </w:p>
        </w:tc>
        <w:tc>
          <w:tcPr>
            <w:tcW w:w="1186" w:type="dxa"/>
          </w:tcPr>
          <w:p w14:paraId="390254F9" w14:textId="6062B6A7" w:rsidR="00AC6BD3" w:rsidRPr="00151BD7" w:rsidRDefault="003A1093" w:rsidP="00E268AA">
            <w:pPr>
              <w:spacing w:after="0" w:line="312" w:lineRule="auto"/>
              <w:jc w:val="both"/>
            </w:pPr>
            <w:r w:rsidRPr="00151BD7">
              <w:t>1,</w:t>
            </w:r>
            <w:r w:rsidR="007B2C77" w:rsidRPr="00151BD7">
              <w:t>102</w:t>
            </w:r>
          </w:p>
        </w:tc>
      </w:tr>
      <w:tr w:rsidR="00AC6BD3" w:rsidRPr="00151BD7" w14:paraId="04ED096D" w14:textId="77777777" w:rsidTr="001A0274">
        <w:trPr>
          <w:trHeight w:val="432"/>
        </w:trPr>
        <w:tc>
          <w:tcPr>
            <w:tcW w:w="3397" w:type="dxa"/>
          </w:tcPr>
          <w:p w14:paraId="2DCB89CB" w14:textId="7818C979" w:rsidR="00AC6BD3" w:rsidRPr="00151BD7" w:rsidRDefault="00647BBF" w:rsidP="007B2C77">
            <w:pPr>
              <w:spacing w:after="0" w:line="312" w:lineRule="auto"/>
            </w:pPr>
            <w:r w:rsidRPr="00151BD7">
              <w:t xml:space="preserve">Adjusted </w:t>
            </w:r>
            <w:r w:rsidR="00AC6BD3" w:rsidRPr="00151BD7">
              <w:t xml:space="preserve">Net </w:t>
            </w:r>
            <w:r w:rsidR="009B1242" w:rsidRPr="00151BD7">
              <w:t>W</w:t>
            </w:r>
            <w:r w:rsidR="00AC6BD3" w:rsidRPr="00151BD7">
              <w:t xml:space="preserve">orking Capital </w:t>
            </w:r>
            <w:r w:rsidR="00F161EB" w:rsidRPr="00151BD7">
              <w:t>as % of LTM</w:t>
            </w:r>
            <w:r w:rsidR="00AC6BD3" w:rsidRPr="00151BD7">
              <w:t xml:space="preserve"> Revenue</w:t>
            </w:r>
          </w:p>
        </w:tc>
        <w:tc>
          <w:tcPr>
            <w:tcW w:w="1185" w:type="dxa"/>
          </w:tcPr>
          <w:p w14:paraId="7471F3E1" w14:textId="43DCDB00" w:rsidR="00AC6BD3" w:rsidRPr="00151BD7" w:rsidRDefault="00790DD6" w:rsidP="00E268AA">
            <w:pPr>
              <w:spacing w:after="0" w:line="312" w:lineRule="auto"/>
              <w:jc w:val="both"/>
            </w:pPr>
            <w:r w:rsidRPr="00151BD7">
              <w:t>24.</w:t>
            </w:r>
            <w:r w:rsidR="007B2C77" w:rsidRPr="00151BD7">
              <w:t>0</w:t>
            </w:r>
            <w:r w:rsidRPr="00151BD7">
              <w:t>%</w:t>
            </w:r>
          </w:p>
        </w:tc>
        <w:tc>
          <w:tcPr>
            <w:tcW w:w="1185" w:type="dxa"/>
          </w:tcPr>
          <w:p w14:paraId="52A5F559" w14:textId="09CE1E88" w:rsidR="00AC6BD3" w:rsidRPr="00151BD7" w:rsidRDefault="00647BBF" w:rsidP="00E268AA">
            <w:pPr>
              <w:spacing w:after="0" w:line="312" w:lineRule="auto"/>
              <w:jc w:val="both"/>
            </w:pPr>
            <w:r w:rsidRPr="00151BD7">
              <w:t>1</w:t>
            </w:r>
            <w:r w:rsidR="007B2C77" w:rsidRPr="00151BD7">
              <w:t>3.2</w:t>
            </w:r>
            <w:r w:rsidRPr="00151BD7">
              <w:t>%</w:t>
            </w:r>
          </w:p>
        </w:tc>
        <w:tc>
          <w:tcPr>
            <w:tcW w:w="1186" w:type="dxa"/>
          </w:tcPr>
          <w:p w14:paraId="43C245DA" w14:textId="61FDD222" w:rsidR="00AC6BD3" w:rsidRPr="00151BD7" w:rsidRDefault="007B2C77" w:rsidP="00E268AA">
            <w:pPr>
              <w:spacing w:after="0" w:line="312" w:lineRule="auto"/>
              <w:jc w:val="both"/>
            </w:pPr>
            <w:r w:rsidRPr="00151BD7">
              <w:t>10.0%</w:t>
            </w:r>
          </w:p>
        </w:tc>
        <w:tc>
          <w:tcPr>
            <w:tcW w:w="1185" w:type="dxa"/>
          </w:tcPr>
          <w:p w14:paraId="0EFE92F7" w14:textId="3C0A4BF8" w:rsidR="00AC6BD3" w:rsidRPr="00151BD7" w:rsidRDefault="007B2C77" w:rsidP="00E268AA">
            <w:pPr>
              <w:spacing w:after="0" w:line="312" w:lineRule="auto"/>
              <w:jc w:val="both"/>
            </w:pPr>
            <w:r w:rsidRPr="00151BD7">
              <w:t>1,080bps</w:t>
            </w:r>
          </w:p>
        </w:tc>
        <w:tc>
          <w:tcPr>
            <w:tcW w:w="1186" w:type="dxa"/>
          </w:tcPr>
          <w:p w14:paraId="5758CE3E" w14:textId="42CCC7BB" w:rsidR="00AC6BD3" w:rsidRPr="00151BD7" w:rsidRDefault="007B2C77" w:rsidP="00E268AA">
            <w:pPr>
              <w:spacing w:after="0" w:line="312" w:lineRule="auto"/>
              <w:jc w:val="both"/>
            </w:pPr>
            <w:r w:rsidRPr="00151BD7">
              <w:t>1,400bps</w:t>
            </w:r>
          </w:p>
        </w:tc>
      </w:tr>
      <w:tr w:rsidR="00AC6BD3" w:rsidRPr="00151BD7" w14:paraId="60D9DC17" w14:textId="77777777" w:rsidTr="001A0274">
        <w:trPr>
          <w:trHeight w:val="432"/>
        </w:trPr>
        <w:tc>
          <w:tcPr>
            <w:tcW w:w="3397" w:type="dxa"/>
          </w:tcPr>
          <w:p w14:paraId="298AA8CB" w14:textId="77777777" w:rsidR="00AC6BD3" w:rsidRPr="00151BD7" w:rsidRDefault="00AC6BD3" w:rsidP="007B2C77">
            <w:pPr>
              <w:spacing w:after="0" w:line="312" w:lineRule="auto"/>
            </w:pPr>
            <w:r w:rsidRPr="00151BD7">
              <w:t>Net debt</w:t>
            </w:r>
          </w:p>
        </w:tc>
        <w:tc>
          <w:tcPr>
            <w:tcW w:w="1185" w:type="dxa"/>
          </w:tcPr>
          <w:p w14:paraId="5AB19185" w14:textId="24D95F37" w:rsidR="00AC6BD3" w:rsidRPr="00151BD7" w:rsidRDefault="00647BBF" w:rsidP="00E268AA">
            <w:pPr>
              <w:spacing w:after="0" w:line="312" w:lineRule="auto"/>
              <w:jc w:val="both"/>
            </w:pPr>
            <w:r w:rsidRPr="00151BD7">
              <w:t>3,00</w:t>
            </w:r>
            <w:r w:rsidR="007B2C77" w:rsidRPr="00151BD7">
              <w:t>4</w:t>
            </w:r>
          </w:p>
        </w:tc>
        <w:tc>
          <w:tcPr>
            <w:tcW w:w="1185" w:type="dxa"/>
          </w:tcPr>
          <w:p w14:paraId="69287D8C" w14:textId="1C487B95" w:rsidR="00AC6BD3" w:rsidRPr="00151BD7" w:rsidRDefault="00647BBF" w:rsidP="00E268AA">
            <w:pPr>
              <w:spacing w:after="0" w:line="312" w:lineRule="auto"/>
              <w:jc w:val="both"/>
            </w:pPr>
            <w:r w:rsidRPr="00151BD7">
              <w:t>1,769</w:t>
            </w:r>
          </w:p>
        </w:tc>
        <w:tc>
          <w:tcPr>
            <w:tcW w:w="1186" w:type="dxa"/>
          </w:tcPr>
          <w:p w14:paraId="5B175925" w14:textId="50794156" w:rsidR="00AC6BD3" w:rsidRPr="00151BD7" w:rsidRDefault="003A1093" w:rsidP="00E268AA">
            <w:pPr>
              <w:spacing w:after="0" w:line="312" w:lineRule="auto"/>
              <w:jc w:val="both"/>
            </w:pPr>
            <w:r w:rsidRPr="00151BD7">
              <w:t>1,769</w:t>
            </w:r>
          </w:p>
        </w:tc>
        <w:tc>
          <w:tcPr>
            <w:tcW w:w="1185" w:type="dxa"/>
          </w:tcPr>
          <w:p w14:paraId="516542B8" w14:textId="2FF3560C" w:rsidR="00AC6BD3" w:rsidRPr="00151BD7" w:rsidRDefault="007B2C77" w:rsidP="00E268AA">
            <w:pPr>
              <w:spacing w:after="0" w:line="312" w:lineRule="auto"/>
              <w:jc w:val="both"/>
            </w:pPr>
            <w:r w:rsidRPr="00151BD7">
              <w:t>1,236</w:t>
            </w:r>
          </w:p>
        </w:tc>
        <w:tc>
          <w:tcPr>
            <w:tcW w:w="1186" w:type="dxa"/>
          </w:tcPr>
          <w:p w14:paraId="34BD6509" w14:textId="799907EB" w:rsidR="00AC6BD3" w:rsidRPr="00151BD7" w:rsidRDefault="007B2C77" w:rsidP="00E268AA">
            <w:pPr>
              <w:spacing w:after="0" w:line="312" w:lineRule="auto"/>
              <w:jc w:val="both"/>
            </w:pPr>
            <w:r w:rsidRPr="00151BD7">
              <w:t>1,236</w:t>
            </w:r>
          </w:p>
        </w:tc>
      </w:tr>
    </w:tbl>
    <w:p w14:paraId="785C4F6C" w14:textId="77777777" w:rsidR="000D7F33" w:rsidRPr="00151BD7" w:rsidRDefault="000D7F33" w:rsidP="00E268AA">
      <w:pPr>
        <w:spacing w:after="0"/>
        <w:jc w:val="both"/>
      </w:pPr>
    </w:p>
    <w:p w14:paraId="0E192621" w14:textId="6AA61759" w:rsidR="0012322B" w:rsidRPr="00151BD7" w:rsidRDefault="0012322B" w:rsidP="00E268AA">
      <w:pPr>
        <w:spacing w:after="0"/>
        <w:jc w:val="both"/>
      </w:pPr>
      <w:r w:rsidRPr="00151BD7">
        <w:t>Q4 2025</w:t>
      </w:r>
    </w:p>
    <w:p w14:paraId="3374D526" w14:textId="77777777" w:rsidR="0012322B" w:rsidRPr="00151BD7" w:rsidRDefault="0012322B" w:rsidP="00E268AA">
      <w:pPr>
        <w:spacing w:after="0"/>
        <w:jc w:val="both"/>
      </w:pPr>
    </w:p>
    <w:tbl>
      <w:tblPr>
        <w:tblW w:w="6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85"/>
        <w:gridCol w:w="1185"/>
        <w:gridCol w:w="1185"/>
      </w:tblGrid>
      <w:tr w:rsidR="0012322B" w:rsidRPr="00151BD7" w14:paraId="3D36892C" w14:textId="77777777" w:rsidTr="0012322B">
        <w:trPr>
          <w:trHeight w:val="340"/>
        </w:trPr>
        <w:tc>
          <w:tcPr>
            <w:tcW w:w="3397" w:type="dxa"/>
          </w:tcPr>
          <w:p w14:paraId="73EB573F" w14:textId="28CA77CF" w:rsidR="0012322B" w:rsidRPr="00151BD7" w:rsidRDefault="00F10018" w:rsidP="00DA5EE4">
            <w:pPr>
              <w:spacing w:after="0" w:line="312" w:lineRule="auto"/>
              <w:jc w:val="both"/>
              <w:rPr>
                <w:b/>
              </w:rPr>
            </w:pPr>
            <w:r w:rsidRPr="00151BD7">
              <w:rPr>
                <w:b/>
                <w:bCs/>
              </w:rPr>
              <w:t>€</w:t>
            </w:r>
            <w:r w:rsidR="0012322B" w:rsidRPr="00151BD7">
              <w:rPr>
                <w:b/>
              </w:rPr>
              <w:t xml:space="preserve"> m</w:t>
            </w:r>
          </w:p>
        </w:tc>
        <w:tc>
          <w:tcPr>
            <w:tcW w:w="1185" w:type="dxa"/>
          </w:tcPr>
          <w:p w14:paraId="267F0C3E" w14:textId="431F0AD1" w:rsidR="0012322B" w:rsidRPr="00151BD7" w:rsidRDefault="0012322B" w:rsidP="00DA5EE4">
            <w:pPr>
              <w:spacing w:after="0" w:line="312" w:lineRule="auto"/>
              <w:jc w:val="both"/>
              <w:rPr>
                <w:b/>
              </w:rPr>
            </w:pPr>
            <w:r w:rsidRPr="00151BD7">
              <w:rPr>
                <w:b/>
              </w:rPr>
              <w:t xml:space="preserve">Q4 25 </w:t>
            </w:r>
          </w:p>
        </w:tc>
        <w:tc>
          <w:tcPr>
            <w:tcW w:w="1185" w:type="dxa"/>
          </w:tcPr>
          <w:p w14:paraId="73055FD7" w14:textId="09D685EF" w:rsidR="0012322B" w:rsidRPr="00151BD7" w:rsidRDefault="0012322B" w:rsidP="00DA5EE4">
            <w:pPr>
              <w:spacing w:after="0" w:line="312" w:lineRule="auto"/>
              <w:jc w:val="both"/>
              <w:rPr>
                <w:b/>
              </w:rPr>
            </w:pPr>
            <w:r w:rsidRPr="00151BD7">
              <w:rPr>
                <w:b/>
              </w:rPr>
              <w:t xml:space="preserve">Q4 24 </w:t>
            </w:r>
          </w:p>
        </w:tc>
        <w:tc>
          <w:tcPr>
            <w:tcW w:w="1185" w:type="dxa"/>
          </w:tcPr>
          <w:p w14:paraId="72D86D6A" w14:textId="77777777" w:rsidR="0012322B" w:rsidRPr="00151BD7" w:rsidRDefault="0012322B" w:rsidP="00DA5EE4">
            <w:pPr>
              <w:spacing w:after="0" w:line="312" w:lineRule="auto"/>
              <w:jc w:val="both"/>
              <w:rPr>
                <w:b/>
              </w:rPr>
            </w:pPr>
            <w:r w:rsidRPr="00151BD7">
              <w:rPr>
                <w:b/>
              </w:rPr>
              <w:t>Change</w:t>
            </w:r>
          </w:p>
          <w:p w14:paraId="73EA677A" w14:textId="77777777" w:rsidR="0012322B" w:rsidRPr="00151BD7" w:rsidRDefault="0012322B" w:rsidP="00DA5EE4">
            <w:pPr>
              <w:spacing w:after="0" w:line="312" w:lineRule="auto"/>
              <w:jc w:val="both"/>
              <w:rPr>
                <w:b/>
              </w:rPr>
            </w:pPr>
            <w:r w:rsidRPr="00151BD7">
              <w:rPr>
                <w:b/>
              </w:rPr>
              <w:t>Reported</w:t>
            </w:r>
          </w:p>
        </w:tc>
      </w:tr>
      <w:tr w:rsidR="0012322B" w:rsidRPr="00151BD7" w14:paraId="689D6B55" w14:textId="77777777" w:rsidTr="0012322B">
        <w:trPr>
          <w:trHeight w:val="432"/>
        </w:trPr>
        <w:tc>
          <w:tcPr>
            <w:tcW w:w="3397" w:type="dxa"/>
          </w:tcPr>
          <w:p w14:paraId="703933BE" w14:textId="77777777" w:rsidR="0012322B" w:rsidRPr="00151BD7" w:rsidRDefault="0012322B" w:rsidP="00DA5EE4">
            <w:pPr>
              <w:spacing w:after="0" w:line="312" w:lineRule="auto"/>
              <w:jc w:val="both"/>
            </w:pPr>
            <w:r w:rsidRPr="00151BD7">
              <w:t>Revenue</w:t>
            </w:r>
          </w:p>
        </w:tc>
        <w:tc>
          <w:tcPr>
            <w:tcW w:w="1185" w:type="dxa"/>
          </w:tcPr>
          <w:p w14:paraId="5D83059E" w14:textId="4A753768" w:rsidR="0012322B" w:rsidRPr="00151BD7" w:rsidRDefault="009672B6" w:rsidP="00DA5EE4">
            <w:pPr>
              <w:spacing w:after="0" w:line="312" w:lineRule="auto"/>
              <w:jc w:val="both"/>
            </w:pPr>
            <w:r w:rsidRPr="00151BD7">
              <w:t>2,255</w:t>
            </w:r>
          </w:p>
        </w:tc>
        <w:tc>
          <w:tcPr>
            <w:tcW w:w="1185" w:type="dxa"/>
          </w:tcPr>
          <w:p w14:paraId="067B7982" w14:textId="449DEA4F" w:rsidR="0012322B" w:rsidRPr="00151BD7" w:rsidRDefault="009672B6" w:rsidP="00DA5EE4">
            <w:pPr>
              <w:spacing w:after="0" w:line="312" w:lineRule="auto"/>
              <w:jc w:val="both"/>
            </w:pPr>
            <w:r w:rsidRPr="00151BD7">
              <w:t>1,466</w:t>
            </w:r>
          </w:p>
        </w:tc>
        <w:tc>
          <w:tcPr>
            <w:tcW w:w="1185" w:type="dxa"/>
          </w:tcPr>
          <w:p w14:paraId="45748539" w14:textId="0DA5143A" w:rsidR="0012322B" w:rsidRPr="00151BD7" w:rsidRDefault="009672B6" w:rsidP="00DA5EE4">
            <w:pPr>
              <w:spacing w:after="0" w:line="312" w:lineRule="auto"/>
              <w:jc w:val="both"/>
            </w:pPr>
            <w:r w:rsidRPr="00151BD7">
              <w:t>53.</w:t>
            </w:r>
            <w:r w:rsidR="007B2C77" w:rsidRPr="00151BD7">
              <w:t>9</w:t>
            </w:r>
            <w:r w:rsidRPr="00151BD7">
              <w:t>%</w:t>
            </w:r>
          </w:p>
        </w:tc>
      </w:tr>
      <w:tr w:rsidR="0012322B" w:rsidRPr="00151BD7" w14:paraId="23F67B9C" w14:textId="77777777" w:rsidTr="0012322B">
        <w:trPr>
          <w:trHeight w:val="432"/>
        </w:trPr>
        <w:tc>
          <w:tcPr>
            <w:tcW w:w="3397" w:type="dxa"/>
          </w:tcPr>
          <w:p w14:paraId="7A2B7BEF" w14:textId="77777777" w:rsidR="0012322B" w:rsidRPr="00151BD7" w:rsidRDefault="0012322B" w:rsidP="00DA5EE4">
            <w:pPr>
              <w:spacing w:after="0" w:line="312" w:lineRule="auto"/>
              <w:jc w:val="both"/>
            </w:pPr>
            <w:r w:rsidRPr="00151BD7">
              <w:t>Adjusted Operating EBITDA</w:t>
            </w:r>
          </w:p>
        </w:tc>
        <w:tc>
          <w:tcPr>
            <w:tcW w:w="1185" w:type="dxa"/>
          </w:tcPr>
          <w:p w14:paraId="713E7AC7" w14:textId="3B102D7C" w:rsidR="0012322B" w:rsidRPr="00151BD7" w:rsidRDefault="009672B6" w:rsidP="00DA5EE4">
            <w:pPr>
              <w:spacing w:after="0" w:line="312" w:lineRule="auto"/>
              <w:jc w:val="both"/>
            </w:pPr>
            <w:r w:rsidRPr="00151BD7">
              <w:t>565</w:t>
            </w:r>
          </w:p>
        </w:tc>
        <w:tc>
          <w:tcPr>
            <w:tcW w:w="1185" w:type="dxa"/>
          </w:tcPr>
          <w:p w14:paraId="04F92759" w14:textId="2180DD70" w:rsidR="0012322B" w:rsidRPr="00151BD7" w:rsidRDefault="009672B6" w:rsidP="00DA5EE4">
            <w:pPr>
              <w:spacing w:after="0" w:line="312" w:lineRule="auto"/>
              <w:jc w:val="both"/>
            </w:pPr>
            <w:r w:rsidRPr="00151BD7">
              <w:t>408</w:t>
            </w:r>
          </w:p>
        </w:tc>
        <w:tc>
          <w:tcPr>
            <w:tcW w:w="1185" w:type="dxa"/>
          </w:tcPr>
          <w:p w14:paraId="419B8F4E" w14:textId="21539235" w:rsidR="0012322B" w:rsidRPr="00151BD7" w:rsidRDefault="009672B6" w:rsidP="00DA5EE4">
            <w:pPr>
              <w:spacing w:after="0" w:line="312" w:lineRule="auto"/>
              <w:jc w:val="both"/>
            </w:pPr>
            <w:r w:rsidRPr="00151BD7">
              <w:t>38.</w:t>
            </w:r>
            <w:r w:rsidR="007B2C77" w:rsidRPr="00151BD7">
              <w:t>9</w:t>
            </w:r>
            <w:r w:rsidRPr="00151BD7">
              <w:t>%</w:t>
            </w:r>
          </w:p>
        </w:tc>
      </w:tr>
      <w:tr w:rsidR="0012322B" w:rsidRPr="00151BD7" w14:paraId="0D4F81C6" w14:textId="77777777" w:rsidTr="0012322B">
        <w:trPr>
          <w:trHeight w:val="432"/>
        </w:trPr>
        <w:tc>
          <w:tcPr>
            <w:tcW w:w="3397" w:type="dxa"/>
          </w:tcPr>
          <w:p w14:paraId="41F0C865" w14:textId="77777777" w:rsidR="0012322B" w:rsidRPr="00151BD7" w:rsidRDefault="0012322B" w:rsidP="00DA5EE4">
            <w:pPr>
              <w:spacing w:after="0" w:line="312" w:lineRule="auto"/>
              <w:jc w:val="both"/>
            </w:pPr>
            <w:r w:rsidRPr="00151BD7">
              <w:t>Adjusted Operating EBIT</w:t>
            </w:r>
          </w:p>
        </w:tc>
        <w:tc>
          <w:tcPr>
            <w:tcW w:w="1185" w:type="dxa"/>
          </w:tcPr>
          <w:p w14:paraId="4D44916C" w14:textId="4DB889FC" w:rsidR="0012322B" w:rsidRPr="00151BD7" w:rsidRDefault="009672B6" w:rsidP="00DA5EE4">
            <w:pPr>
              <w:spacing w:after="0" w:line="312" w:lineRule="auto"/>
              <w:jc w:val="both"/>
            </w:pPr>
            <w:r w:rsidRPr="00151BD7">
              <w:t>52</w:t>
            </w:r>
            <w:r w:rsidR="007B2C77" w:rsidRPr="00151BD7">
              <w:t>8</w:t>
            </w:r>
          </w:p>
        </w:tc>
        <w:tc>
          <w:tcPr>
            <w:tcW w:w="1185" w:type="dxa"/>
          </w:tcPr>
          <w:p w14:paraId="5A8BC80E" w14:textId="79B882ED" w:rsidR="0012322B" w:rsidRPr="00151BD7" w:rsidRDefault="009672B6" w:rsidP="00DA5EE4">
            <w:pPr>
              <w:spacing w:after="0" w:line="312" w:lineRule="auto"/>
              <w:jc w:val="both"/>
            </w:pPr>
            <w:r w:rsidRPr="00151BD7">
              <w:t>39</w:t>
            </w:r>
            <w:r w:rsidR="007B2C77" w:rsidRPr="00151BD7">
              <w:t>1</w:t>
            </w:r>
          </w:p>
        </w:tc>
        <w:tc>
          <w:tcPr>
            <w:tcW w:w="1185" w:type="dxa"/>
          </w:tcPr>
          <w:p w14:paraId="2C22CE8D" w14:textId="77845D94" w:rsidR="0012322B" w:rsidRPr="00151BD7" w:rsidRDefault="009672B6" w:rsidP="00DA5EE4">
            <w:pPr>
              <w:spacing w:after="0" w:line="312" w:lineRule="auto"/>
              <w:jc w:val="both"/>
            </w:pPr>
            <w:r w:rsidRPr="00151BD7">
              <w:t>34.</w:t>
            </w:r>
            <w:r w:rsidR="007B2C77" w:rsidRPr="00151BD7">
              <w:t>8</w:t>
            </w:r>
            <w:r w:rsidRPr="00151BD7">
              <w:t>%</w:t>
            </w:r>
          </w:p>
        </w:tc>
      </w:tr>
      <w:tr w:rsidR="0012322B" w:rsidRPr="00151BD7" w14:paraId="73BC993D" w14:textId="77777777" w:rsidTr="0012322B">
        <w:trPr>
          <w:trHeight w:val="432"/>
        </w:trPr>
        <w:tc>
          <w:tcPr>
            <w:tcW w:w="3397" w:type="dxa"/>
          </w:tcPr>
          <w:p w14:paraId="3E323224" w14:textId="77777777" w:rsidR="0012322B" w:rsidRPr="00151BD7" w:rsidRDefault="0012322B" w:rsidP="00DA5EE4">
            <w:pPr>
              <w:spacing w:after="0" w:line="312" w:lineRule="auto"/>
              <w:jc w:val="both"/>
            </w:pPr>
            <w:r w:rsidRPr="00151BD7">
              <w:t>Adjusted Operating EBIT margin</w:t>
            </w:r>
          </w:p>
        </w:tc>
        <w:tc>
          <w:tcPr>
            <w:tcW w:w="1185" w:type="dxa"/>
          </w:tcPr>
          <w:p w14:paraId="26BA652C" w14:textId="20B38BA3" w:rsidR="0012322B" w:rsidRPr="00151BD7" w:rsidRDefault="009672B6" w:rsidP="00DA5EE4">
            <w:pPr>
              <w:spacing w:after="0" w:line="312" w:lineRule="auto"/>
              <w:jc w:val="both"/>
            </w:pPr>
            <w:r w:rsidRPr="00151BD7">
              <w:t>23.</w:t>
            </w:r>
            <w:r w:rsidR="007B2C77" w:rsidRPr="00151BD7">
              <w:t>4</w:t>
            </w:r>
            <w:r w:rsidRPr="00151BD7">
              <w:t>%</w:t>
            </w:r>
          </w:p>
        </w:tc>
        <w:tc>
          <w:tcPr>
            <w:tcW w:w="1185" w:type="dxa"/>
          </w:tcPr>
          <w:p w14:paraId="57C81782" w14:textId="101AAA90" w:rsidR="0012322B" w:rsidRPr="00151BD7" w:rsidRDefault="009672B6" w:rsidP="00DA5EE4">
            <w:pPr>
              <w:spacing w:after="0" w:line="312" w:lineRule="auto"/>
              <w:jc w:val="both"/>
            </w:pPr>
            <w:r w:rsidRPr="00151BD7">
              <w:t>26.7%</w:t>
            </w:r>
          </w:p>
        </w:tc>
        <w:tc>
          <w:tcPr>
            <w:tcW w:w="1185" w:type="dxa"/>
          </w:tcPr>
          <w:p w14:paraId="1292360E" w14:textId="6A5FB672" w:rsidR="0012322B" w:rsidRPr="00151BD7" w:rsidRDefault="009672B6" w:rsidP="00DA5EE4">
            <w:pPr>
              <w:spacing w:after="0" w:line="312" w:lineRule="auto"/>
              <w:jc w:val="both"/>
            </w:pPr>
            <w:r w:rsidRPr="00151BD7">
              <w:t>(3</w:t>
            </w:r>
            <w:r w:rsidR="007B2C77" w:rsidRPr="00151BD7">
              <w:t>3</w:t>
            </w:r>
            <w:r w:rsidRPr="00151BD7">
              <w:t>0)bps</w:t>
            </w:r>
          </w:p>
        </w:tc>
      </w:tr>
    </w:tbl>
    <w:p w14:paraId="0BE32A3D" w14:textId="77777777" w:rsidR="003A1093" w:rsidRPr="00151BD7" w:rsidRDefault="003A1093" w:rsidP="00E268AA">
      <w:pPr>
        <w:spacing w:after="0"/>
        <w:jc w:val="both"/>
      </w:pPr>
    </w:p>
    <w:p w14:paraId="63C7108E" w14:textId="2130F467" w:rsidR="00EE3F64" w:rsidRPr="00151BD7" w:rsidRDefault="0066514A" w:rsidP="00E268AA">
      <w:pPr>
        <w:spacing w:after="0"/>
        <w:jc w:val="both"/>
        <w:rPr>
          <w:b/>
        </w:rPr>
      </w:pPr>
      <w:r w:rsidRPr="00151BD7">
        <w:rPr>
          <w:b/>
        </w:rPr>
        <w:lastRenderedPageBreak/>
        <w:t xml:space="preserve">FY 2026 </w:t>
      </w:r>
      <w:r w:rsidR="00654BAE" w:rsidRPr="00151BD7">
        <w:rPr>
          <w:b/>
        </w:rPr>
        <w:t xml:space="preserve">Outlook </w:t>
      </w:r>
    </w:p>
    <w:p w14:paraId="66D30A73" w14:textId="77777777" w:rsidR="006B375B" w:rsidRPr="00151BD7" w:rsidRDefault="006B375B" w:rsidP="00E268AA">
      <w:pPr>
        <w:spacing w:after="0"/>
        <w:jc w:val="both"/>
      </w:pPr>
    </w:p>
    <w:p w14:paraId="573D8F21" w14:textId="68FC746F" w:rsidR="0066514A" w:rsidRPr="00151BD7" w:rsidRDefault="0066514A" w:rsidP="007857FB">
      <w:pPr>
        <w:spacing w:after="0"/>
        <w:jc w:val="both"/>
      </w:pPr>
      <w:r w:rsidRPr="00151BD7">
        <w:t xml:space="preserve">The Group expects continued strong demand across its core defence markets, supported by elevated defence budgets and a record backlog. </w:t>
      </w:r>
      <w:r w:rsidR="007857FB" w:rsidRPr="00151BD7">
        <w:t>Revenue growth in the year ahead will be driven mainly by the Group's Land Systems and M&amp;L Ammo units within the Defence Systems business segment, in addition to a recovery in the Ammo+ segment. This will be supported by margin expansion due to the benefits of vertical integration and operating leverage related to production capacity ramp-up in both M&amp;L Ammo and Land Systems.</w:t>
      </w:r>
    </w:p>
    <w:p w14:paraId="36C2140F" w14:textId="77777777" w:rsidR="00E53353" w:rsidRPr="00151BD7" w:rsidRDefault="00E53353" w:rsidP="007857FB">
      <w:pPr>
        <w:spacing w:after="0"/>
        <w:jc w:val="both"/>
      </w:pPr>
    </w:p>
    <w:p w14:paraId="1910B887" w14:textId="4D697B7F" w:rsidR="00E53353" w:rsidRPr="00151BD7" w:rsidRDefault="00E53353" w:rsidP="00E53353">
      <w:pPr>
        <w:spacing w:after="0"/>
        <w:jc w:val="both"/>
      </w:pPr>
      <w:r w:rsidRPr="00151BD7">
        <w:t xml:space="preserve">Any potential cease-fire in the Russia Ukraine conflict is expected to result in the reallocation of orders between Ukraine and NATO countries, </w:t>
      </w:r>
      <w:r w:rsidR="00C97C31" w:rsidRPr="00151BD7">
        <w:t xml:space="preserve">and </w:t>
      </w:r>
      <w:r w:rsidRPr="00151BD7">
        <w:t xml:space="preserve">the modernisation </w:t>
      </w:r>
      <w:r w:rsidR="007E2AB6" w:rsidRPr="00151BD7">
        <w:t xml:space="preserve">and replenishment </w:t>
      </w:r>
      <w:r w:rsidRPr="00151BD7">
        <w:t>of stockpiles to NATO standards</w:t>
      </w:r>
      <w:r w:rsidR="00C97C31" w:rsidRPr="00151BD7">
        <w:t xml:space="preserve">. </w:t>
      </w:r>
      <w:r w:rsidRPr="00151BD7">
        <w:t>Europe's rearmament</w:t>
      </w:r>
      <w:r w:rsidR="00C97C31" w:rsidRPr="00151BD7">
        <w:t xml:space="preserve"> continues to be driven by an increasing geopolitical threat environment that will persist regardless of any ceasefire</w:t>
      </w:r>
      <w:r w:rsidRPr="00151BD7">
        <w:t>.</w:t>
      </w:r>
    </w:p>
    <w:p w14:paraId="21D17D86" w14:textId="77777777" w:rsidR="0066514A" w:rsidRPr="00151BD7" w:rsidRDefault="0066514A" w:rsidP="0066514A">
      <w:pPr>
        <w:spacing w:after="0"/>
        <w:jc w:val="both"/>
      </w:pPr>
    </w:p>
    <w:p w14:paraId="7CF13802" w14:textId="15E9B737" w:rsidR="00CF2D14" w:rsidRPr="00151BD7" w:rsidRDefault="007E2AB6" w:rsidP="0066514A">
      <w:pPr>
        <w:spacing w:after="0"/>
        <w:jc w:val="both"/>
      </w:pPr>
      <w:r w:rsidRPr="00151BD7">
        <w:t xml:space="preserve">As communicated at </w:t>
      </w:r>
      <w:r w:rsidR="00F033BD" w:rsidRPr="00151BD7">
        <w:t xml:space="preserve">the time of the </w:t>
      </w:r>
      <w:r w:rsidRPr="00151BD7">
        <w:t xml:space="preserve">IPO, </w:t>
      </w:r>
      <w:r w:rsidR="007857FB" w:rsidRPr="00151BD7">
        <w:t xml:space="preserve">FY 2026 </w:t>
      </w:r>
      <w:r w:rsidR="0066514A" w:rsidRPr="00151BD7">
        <w:t>revenue is expected to be in the range of €7.4-7.6bn, with Adjusted Operating EBIT margin maintained at approximately 24-25%. Capital expenditure is projected to increase to around 8.5% of revenue and net working capital is expected to reduce further to below 20% of revenue.</w:t>
      </w:r>
    </w:p>
    <w:p w14:paraId="78774411" w14:textId="77777777" w:rsidR="00D77193" w:rsidRPr="00151BD7" w:rsidRDefault="00D77193" w:rsidP="0066514A">
      <w:pPr>
        <w:spacing w:after="0"/>
        <w:jc w:val="both"/>
      </w:pPr>
    </w:p>
    <w:p w14:paraId="1A56B50A" w14:textId="5D11682A" w:rsidR="00D77193" w:rsidRPr="00151BD7" w:rsidRDefault="00D77193" w:rsidP="0066514A">
      <w:pPr>
        <w:spacing w:after="0"/>
        <w:jc w:val="both"/>
      </w:pPr>
      <w:r w:rsidRPr="00151BD7">
        <w:t xml:space="preserve">IPO-related costs were incurred subsequent to year-end </w:t>
      </w:r>
      <w:r w:rsidR="00C97C31" w:rsidRPr="00151BD7">
        <w:t>and</w:t>
      </w:r>
      <w:r w:rsidR="004B390E" w:rsidRPr="00151BD7">
        <w:t xml:space="preserve"> </w:t>
      </w:r>
      <w:r w:rsidRPr="00151BD7">
        <w:t xml:space="preserve">will </w:t>
      </w:r>
      <w:r w:rsidR="00C97C31" w:rsidRPr="00151BD7">
        <w:t xml:space="preserve">therefore </w:t>
      </w:r>
      <w:r w:rsidRPr="00151BD7">
        <w:t xml:space="preserve">be reflected in Q1 2026 results. </w:t>
      </w:r>
    </w:p>
    <w:p w14:paraId="4E38D426" w14:textId="77777777" w:rsidR="0066514A" w:rsidRPr="00151BD7" w:rsidRDefault="0066514A" w:rsidP="0066514A">
      <w:pPr>
        <w:spacing w:after="0"/>
        <w:jc w:val="both"/>
      </w:pPr>
    </w:p>
    <w:p w14:paraId="3F585F93" w14:textId="47485830" w:rsidR="0066514A" w:rsidRPr="00151BD7" w:rsidRDefault="0066514A" w:rsidP="0066514A">
      <w:pPr>
        <w:spacing w:after="0"/>
        <w:jc w:val="both"/>
        <w:rPr>
          <w:b/>
          <w:bCs/>
        </w:rPr>
      </w:pPr>
      <w:r w:rsidRPr="00151BD7">
        <w:rPr>
          <w:b/>
          <w:bCs/>
        </w:rPr>
        <w:t>Medium Term Outlook</w:t>
      </w:r>
    </w:p>
    <w:p w14:paraId="72C3D81A" w14:textId="77777777" w:rsidR="0066514A" w:rsidRPr="00151BD7" w:rsidRDefault="0066514A" w:rsidP="0066514A">
      <w:pPr>
        <w:spacing w:after="0"/>
        <w:jc w:val="both"/>
      </w:pPr>
    </w:p>
    <w:p w14:paraId="30265AAA" w14:textId="6AE7AA88" w:rsidR="0066514A" w:rsidRPr="00151BD7" w:rsidRDefault="0066514A" w:rsidP="0066514A">
      <w:pPr>
        <w:spacing w:after="0"/>
      </w:pPr>
      <w:r w:rsidRPr="00151BD7">
        <w:t xml:space="preserve">Over the medium-term, the Group </w:t>
      </w:r>
      <w:r w:rsidR="007E2AB6" w:rsidRPr="00151BD7">
        <w:t>confirms</w:t>
      </w:r>
      <w:r w:rsidRPr="00151BD7">
        <w:t xml:space="preserve"> mid-teens organic revenue CAGR, with expected segment and sub-segment growth as follows: </w:t>
      </w:r>
    </w:p>
    <w:p w14:paraId="0B371BDF" w14:textId="4CAD51C2" w:rsidR="0066514A" w:rsidRPr="00151BD7" w:rsidRDefault="0066514A" w:rsidP="0066514A">
      <w:pPr>
        <w:spacing w:after="0"/>
      </w:pPr>
      <w:r w:rsidRPr="00151BD7">
        <w:t xml:space="preserve"> </w:t>
      </w:r>
    </w:p>
    <w:p w14:paraId="4FE54081" w14:textId="77777777" w:rsidR="00A97640" w:rsidRDefault="0066514A" w:rsidP="00A97640">
      <w:pPr>
        <w:pStyle w:val="Odstavecseseznamem"/>
        <w:numPr>
          <w:ilvl w:val="0"/>
          <w:numId w:val="15"/>
        </w:numPr>
        <w:spacing w:after="0"/>
      </w:pPr>
      <w:r w:rsidRPr="00151BD7">
        <w:t>Defence Systems: high-teens CAGR</w:t>
      </w:r>
    </w:p>
    <w:p w14:paraId="67FD8BA9" w14:textId="77777777" w:rsidR="00A97640" w:rsidRDefault="0066514A" w:rsidP="00A97640">
      <w:pPr>
        <w:pStyle w:val="Odstavecseseznamem"/>
        <w:numPr>
          <w:ilvl w:val="1"/>
          <w:numId w:val="15"/>
        </w:numPr>
        <w:spacing w:after="0"/>
      </w:pPr>
      <w:r w:rsidRPr="00151BD7">
        <w:t>M</w:t>
      </w:r>
      <w:r w:rsidR="007857FB" w:rsidRPr="00151BD7">
        <w:t>&amp;</w:t>
      </w:r>
      <w:r w:rsidRPr="00151BD7">
        <w:t xml:space="preserve">L Ammo: mid to high single digit CAGR </w:t>
      </w:r>
      <w:r w:rsidR="00C97C31" w:rsidRPr="00151BD7">
        <w:t>(20% CAGR in own production)</w:t>
      </w:r>
    </w:p>
    <w:p w14:paraId="57DAD8D5" w14:textId="77777777" w:rsidR="00A97640" w:rsidRDefault="0066514A" w:rsidP="00A97640">
      <w:pPr>
        <w:pStyle w:val="Odstavecseseznamem"/>
        <w:numPr>
          <w:ilvl w:val="1"/>
          <w:numId w:val="15"/>
        </w:numPr>
        <w:spacing w:after="0"/>
      </w:pPr>
      <w:r w:rsidRPr="00151BD7">
        <w:t>Land Systems: 40–50% revenue CAGR</w:t>
      </w:r>
    </w:p>
    <w:p w14:paraId="7E69A7F4" w14:textId="77777777" w:rsidR="00A97640" w:rsidRDefault="000F25CA" w:rsidP="00A97640">
      <w:pPr>
        <w:pStyle w:val="Odstavecseseznamem"/>
        <w:numPr>
          <w:ilvl w:val="1"/>
          <w:numId w:val="15"/>
        </w:numPr>
        <w:spacing w:after="0"/>
      </w:pPr>
      <w:r w:rsidRPr="00151BD7">
        <w:t xml:space="preserve">Aerospace &amp; </w:t>
      </w:r>
      <w:r w:rsidR="0086177C" w:rsidRPr="00151BD7">
        <w:t>Defence Electronics</w:t>
      </w:r>
      <w:r w:rsidR="0066514A" w:rsidRPr="00151BD7">
        <w:t xml:space="preserve">: 50–60% revenue CAGR </w:t>
      </w:r>
    </w:p>
    <w:p w14:paraId="134342E2" w14:textId="47F0DD61" w:rsidR="0066514A" w:rsidRPr="00151BD7" w:rsidRDefault="0066514A" w:rsidP="00A97640">
      <w:pPr>
        <w:pStyle w:val="Odstavecseseznamem"/>
        <w:numPr>
          <w:ilvl w:val="1"/>
          <w:numId w:val="15"/>
        </w:numPr>
        <w:spacing w:after="0"/>
      </w:pPr>
      <w:r w:rsidRPr="00151BD7">
        <w:t>Advanced Systems is forecast to generate mid-hundred-million-euro revenue by the mid-term horizon</w:t>
      </w:r>
    </w:p>
    <w:p w14:paraId="5F18C7D0" w14:textId="64B7F801" w:rsidR="0066514A" w:rsidRPr="00151BD7" w:rsidRDefault="0066514A" w:rsidP="00A70FD4">
      <w:pPr>
        <w:pStyle w:val="Odstavecseseznamem"/>
        <w:numPr>
          <w:ilvl w:val="0"/>
          <w:numId w:val="15"/>
        </w:numPr>
        <w:spacing w:after="0"/>
      </w:pPr>
      <w:r w:rsidRPr="00151BD7">
        <w:t>Ammo+: mid-single digit CAGR</w:t>
      </w:r>
    </w:p>
    <w:p w14:paraId="7464CC7D" w14:textId="77777777" w:rsidR="0066514A" w:rsidRPr="00151BD7" w:rsidRDefault="0066514A" w:rsidP="0066514A">
      <w:pPr>
        <w:spacing w:after="0"/>
      </w:pPr>
    </w:p>
    <w:p w14:paraId="25CDAE5A" w14:textId="7DD54717" w:rsidR="0066514A" w:rsidRPr="00151BD7" w:rsidRDefault="0066514A" w:rsidP="0066514A">
      <w:pPr>
        <w:spacing w:after="0"/>
      </w:pPr>
      <w:r w:rsidRPr="00151BD7">
        <w:t>Group Adjusted Operating EBIT margin is expected to increase to approximately 26–28%,</w:t>
      </w:r>
      <w:r w:rsidR="00890C6C" w:rsidRPr="00151BD7">
        <w:t xml:space="preserve"> </w:t>
      </w:r>
      <w:r w:rsidRPr="00151BD7">
        <w:t xml:space="preserve">reflecting benefits from vertical integration (achieved by the end of 2027) and scale. </w:t>
      </w:r>
    </w:p>
    <w:p w14:paraId="34FD25DE" w14:textId="77777777" w:rsidR="0066514A" w:rsidRPr="00151BD7" w:rsidRDefault="0066514A" w:rsidP="0066514A">
      <w:pPr>
        <w:spacing w:after="0"/>
      </w:pPr>
    </w:p>
    <w:p w14:paraId="4FAC44D6" w14:textId="77777777" w:rsidR="00890C6C" w:rsidRPr="00151BD7" w:rsidRDefault="0066514A" w:rsidP="00890C6C">
      <w:pPr>
        <w:pStyle w:val="Odstavecseseznamem"/>
        <w:numPr>
          <w:ilvl w:val="0"/>
          <w:numId w:val="15"/>
        </w:numPr>
        <w:spacing w:after="0"/>
      </w:pPr>
      <w:r w:rsidRPr="00151BD7">
        <w:t>Defence Systems</w:t>
      </w:r>
      <w:r w:rsidR="00890C6C" w:rsidRPr="00151BD7">
        <w:t xml:space="preserve"> </w:t>
      </w:r>
      <w:r w:rsidRPr="00151BD7">
        <w:t xml:space="preserve">margin expansion will be primarily driven by </w:t>
      </w:r>
      <w:r w:rsidR="00890C6C" w:rsidRPr="00151BD7">
        <w:t xml:space="preserve">a </w:t>
      </w:r>
      <w:r w:rsidRPr="00151BD7">
        <w:t>material increase of M</w:t>
      </w:r>
      <w:r w:rsidR="00890C6C" w:rsidRPr="00151BD7">
        <w:t>&amp;</w:t>
      </w:r>
      <w:r w:rsidRPr="00151BD7">
        <w:t xml:space="preserve">L Ammo margin. </w:t>
      </w:r>
    </w:p>
    <w:p w14:paraId="6077CED2" w14:textId="1B315C3D" w:rsidR="00890C6C" w:rsidRPr="00151BD7" w:rsidRDefault="0066514A" w:rsidP="00890C6C">
      <w:pPr>
        <w:pStyle w:val="Odstavecseseznamem"/>
        <w:numPr>
          <w:ilvl w:val="0"/>
          <w:numId w:val="15"/>
        </w:numPr>
        <w:spacing w:after="0"/>
      </w:pPr>
      <w:r w:rsidRPr="00151BD7">
        <w:t>Land Systems</w:t>
      </w:r>
      <w:r w:rsidR="00890C6C" w:rsidRPr="00151BD7">
        <w:t xml:space="preserve"> </w:t>
      </w:r>
      <w:r w:rsidRPr="00151BD7">
        <w:t xml:space="preserve">margin </w:t>
      </w:r>
      <w:r w:rsidR="00890C6C" w:rsidRPr="00151BD7">
        <w:t xml:space="preserve">is expected to </w:t>
      </w:r>
      <w:r w:rsidRPr="00151BD7">
        <w:t>expand moderately</w:t>
      </w:r>
    </w:p>
    <w:p w14:paraId="595C98DC" w14:textId="6545F74B" w:rsidR="0066514A" w:rsidRPr="00151BD7" w:rsidRDefault="000F25CA" w:rsidP="00890C6C">
      <w:pPr>
        <w:pStyle w:val="Odstavecseseznamem"/>
        <w:numPr>
          <w:ilvl w:val="0"/>
          <w:numId w:val="15"/>
        </w:numPr>
        <w:spacing w:after="0"/>
      </w:pPr>
      <w:r w:rsidRPr="00151BD7">
        <w:t xml:space="preserve">Aerospace &amp; </w:t>
      </w:r>
      <w:r w:rsidR="0086177C" w:rsidRPr="00151BD7">
        <w:t>Defence Electronics</w:t>
      </w:r>
      <w:r w:rsidR="0066514A" w:rsidRPr="00151BD7">
        <w:t xml:space="preserve"> </w:t>
      </w:r>
      <w:r w:rsidR="00890C6C" w:rsidRPr="00151BD7">
        <w:t xml:space="preserve">is expected to benefit from </w:t>
      </w:r>
      <w:r w:rsidR="0066514A" w:rsidRPr="00151BD7">
        <w:t>significant margin expansion</w:t>
      </w:r>
    </w:p>
    <w:p w14:paraId="5061068A" w14:textId="17F9BC53" w:rsidR="0066514A" w:rsidRPr="00151BD7" w:rsidRDefault="0066514A" w:rsidP="00890C6C">
      <w:pPr>
        <w:pStyle w:val="Odstavecseseznamem"/>
        <w:numPr>
          <w:ilvl w:val="0"/>
          <w:numId w:val="15"/>
        </w:numPr>
        <w:spacing w:after="0"/>
      </w:pPr>
      <w:r w:rsidRPr="00151BD7">
        <w:t xml:space="preserve">Advanced Systems will positively contribute to </w:t>
      </w:r>
      <w:r w:rsidR="00890C6C" w:rsidRPr="00151BD7">
        <w:t>near-term Group margin</w:t>
      </w:r>
      <w:r w:rsidRPr="00151BD7">
        <w:t xml:space="preserve">, with </w:t>
      </w:r>
      <w:r w:rsidR="00890C6C" w:rsidRPr="00151BD7">
        <w:t xml:space="preserve">its </w:t>
      </w:r>
      <w:r w:rsidRPr="00151BD7">
        <w:t xml:space="preserve">margin to align with the Group by </w:t>
      </w:r>
      <w:r w:rsidR="00890C6C" w:rsidRPr="00151BD7">
        <w:t xml:space="preserve">the </w:t>
      </w:r>
      <w:r w:rsidRPr="00151BD7">
        <w:t>mid</w:t>
      </w:r>
      <w:r w:rsidR="00890C6C" w:rsidRPr="00151BD7">
        <w:t>-</w:t>
      </w:r>
      <w:r w:rsidRPr="00151BD7">
        <w:t>term.</w:t>
      </w:r>
    </w:p>
    <w:p w14:paraId="5C1670D6" w14:textId="2CC1A05A" w:rsidR="00890C6C" w:rsidRPr="00151BD7" w:rsidRDefault="0066514A" w:rsidP="00890C6C">
      <w:pPr>
        <w:pStyle w:val="Odstavecseseznamem"/>
        <w:numPr>
          <w:ilvl w:val="0"/>
          <w:numId w:val="15"/>
        </w:numPr>
        <w:spacing w:after="0"/>
      </w:pPr>
      <w:r w:rsidRPr="00151BD7">
        <w:t xml:space="preserve">Ammo+ </w:t>
      </w:r>
      <w:r w:rsidR="00890C6C" w:rsidRPr="00151BD7">
        <w:t xml:space="preserve">is expected to </w:t>
      </w:r>
      <w:r w:rsidRPr="00151BD7">
        <w:t>experience low to moderate margin improvement</w:t>
      </w:r>
    </w:p>
    <w:p w14:paraId="182800D1" w14:textId="77777777" w:rsidR="00890C6C" w:rsidRPr="00151BD7" w:rsidRDefault="00890C6C" w:rsidP="0066514A">
      <w:pPr>
        <w:spacing w:after="0"/>
      </w:pPr>
    </w:p>
    <w:p w14:paraId="4A8991D0" w14:textId="2D4F67D7" w:rsidR="0066514A" w:rsidRPr="00151BD7" w:rsidRDefault="0066514A" w:rsidP="0066514A">
      <w:pPr>
        <w:spacing w:after="0"/>
      </w:pPr>
      <w:r w:rsidRPr="00151BD7">
        <w:t>Capital expenditure is</w:t>
      </w:r>
      <w:r w:rsidR="00890C6C" w:rsidRPr="00151BD7">
        <w:t xml:space="preserve"> </w:t>
      </w:r>
      <w:r w:rsidRPr="00151BD7">
        <w:t>anticipated to normali</w:t>
      </w:r>
      <w:r w:rsidR="00890C6C" w:rsidRPr="00151BD7">
        <w:t>s</w:t>
      </w:r>
      <w:r w:rsidRPr="00151BD7">
        <w:t>e after 2026/2027 at approximately 4-5% of revenue, with maintenance capex</w:t>
      </w:r>
      <w:r w:rsidR="00890C6C" w:rsidRPr="00151BD7">
        <w:t xml:space="preserve"> comprising </w:t>
      </w:r>
      <w:r w:rsidRPr="00151BD7">
        <w:t>approximately one-third of</w:t>
      </w:r>
      <w:r w:rsidR="00890C6C" w:rsidRPr="00151BD7">
        <w:t xml:space="preserve"> the</w:t>
      </w:r>
      <w:r w:rsidRPr="00151BD7">
        <w:t xml:space="preserve"> total.</w:t>
      </w:r>
    </w:p>
    <w:p w14:paraId="7A37AA48" w14:textId="77777777" w:rsidR="003552A1" w:rsidRPr="00151BD7" w:rsidRDefault="003552A1" w:rsidP="00E268AA">
      <w:pPr>
        <w:spacing w:after="0"/>
        <w:jc w:val="both"/>
        <w:rPr>
          <w:b/>
        </w:rPr>
      </w:pPr>
    </w:p>
    <w:p w14:paraId="0B50BE75" w14:textId="18DD3B46" w:rsidR="00EE3F64" w:rsidRPr="00151BD7" w:rsidRDefault="006B375B" w:rsidP="00E268AA">
      <w:pPr>
        <w:spacing w:after="0"/>
        <w:jc w:val="both"/>
        <w:rPr>
          <w:b/>
        </w:rPr>
      </w:pPr>
      <w:r w:rsidRPr="00151BD7">
        <w:rPr>
          <w:b/>
        </w:rPr>
        <w:t>Presentation N</w:t>
      </w:r>
      <w:r w:rsidR="00654BAE" w:rsidRPr="00151BD7">
        <w:rPr>
          <w:b/>
        </w:rPr>
        <w:t>otice</w:t>
      </w:r>
    </w:p>
    <w:p w14:paraId="33A74115" w14:textId="77777777" w:rsidR="006B375B" w:rsidRPr="00151BD7" w:rsidRDefault="006B375B" w:rsidP="00E268AA">
      <w:pPr>
        <w:spacing w:after="0"/>
        <w:jc w:val="both"/>
      </w:pPr>
    </w:p>
    <w:p w14:paraId="587545D2" w14:textId="0C95A17E" w:rsidR="00197406" w:rsidRPr="00151BD7" w:rsidRDefault="00654BAE" w:rsidP="00197406">
      <w:pPr>
        <w:spacing w:after="0"/>
        <w:jc w:val="both"/>
      </w:pPr>
      <w:r w:rsidRPr="00151BD7">
        <w:lastRenderedPageBreak/>
        <w:t>A management presentation and Q&amp;A for analysts and investors will be held today</w:t>
      </w:r>
      <w:r w:rsidR="00E36DA2" w:rsidRPr="00151BD7">
        <w:t>, 26 March</w:t>
      </w:r>
      <w:r w:rsidRPr="00151BD7">
        <w:t xml:space="preserve"> via live webcast </w:t>
      </w:r>
      <w:r w:rsidR="00197406" w:rsidRPr="00151BD7">
        <w:t xml:space="preserve">and conference call </w:t>
      </w:r>
      <w:r w:rsidR="00E36DA2" w:rsidRPr="00151BD7">
        <w:t xml:space="preserve">beginning </w:t>
      </w:r>
      <w:r w:rsidRPr="00151BD7">
        <w:t>at 1</w:t>
      </w:r>
      <w:r w:rsidR="003552A1" w:rsidRPr="00151BD7">
        <w:t>0</w:t>
      </w:r>
      <w:r w:rsidRPr="00151BD7">
        <w:t>:00 CET. A recording will be made available following the conclusion of the presentation.</w:t>
      </w:r>
      <w:r w:rsidR="00197406" w:rsidRPr="00151BD7">
        <w:t xml:space="preserve"> Registration for the webcast </w:t>
      </w:r>
      <w:r w:rsidR="009E28A9" w:rsidRPr="00151BD7">
        <w:t>and</w:t>
      </w:r>
      <w:r w:rsidR="00197406" w:rsidRPr="00151BD7">
        <w:t xml:space="preserve"> conference call is available at</w:t>
      </w:r>
      <w:r w:rsidR="009E28A9" w:rsidRPr="00151BD7">
        <w:t xml:space="preserve"> the company’s IR website, </w:t>
      </w:r>
      <w:hyperlink r:id="rId9" w:history="1">
        <w:r w:rsidR="00350523" w:rsidRPr="00151BD7">
          <w:rPr>
            <w:rStyle w:val="Hypertextovodkaz"/>
          </w:rPr>
          <w:t>https://ir.czechoslovakgroup.com/en</w:t>
        </w:r>
      </w:hyperlink>
      <w:r w:rsidR="00197406" w:rsidRPr="00151BD7">
        <w:t xml:space="preserve">. Participants who wish to ask </w:t>
      </w:r>
      <w:r w:rsidR="009E28A9" w:rsidRPr="00151BD7">
        <w:t>questions</w:t>
      </w:r>
      <w:r w:rsidR="00197406" w:rsidRPr="00151BD7">
        <w:t xml:space="preserve"> during the presentation are encouraged to join via the conference call.</w:t>
      </w:r>
    </w:p>
    <w:p w14:paraId="4FD15B84" w14:textId="77777777" w:rsidR="00C97C31" w:rsidRPr="00151BD7" w:rsidRDefault="00C97C31" w:rsidP="00E268AA">
      <w:pPr>
        <w:spacing w:after="0"/>
        <w:jc w:val="both"/>
      </w:pPr>
    </w:p>
    <w:p w14:paraId="7177CB04" w14:textId="3598DBC6" w:rsidR="00C97C31" w:rsidRPr="00151BD7" w:rsidRDefault="00C97C31" w:rsidP="00E268AA">
      <w:pPr>
        <w:spacing w:after="0"/>
        <w:jc w:val="both"/>
        <w:rPr>
          <w:b/>
          <w:bCs/>
        </w:rPr>
      </w:pPr>
      <w:r w:rsidRPr="00151BD7">
        <w:rPr>
          <w:b/>
          <w:bCs/>
        </w:rPr>
        <w:t>Q1 Results</w:t>
      </w:r>
    </w:p>
    <w:p w14:paraId="1BCE8999" w14:textId="77777777" w:rsidR="00C97C31" w:rsidRPr="00151BD7" w:rsidRDefault="00C97C31" w:rsidP="00E268AA">
      <w:pPr>
        <w:spacing w:after="0"/>
        <w:jc w:val="both"/>
      </w:pPr>
    </w:p>
    <w:p w14:paraId="47B3C4F1" w14:textId="335E8431" w:rsidR="00C97C31" w:rsidRPr="00151BD7" w:rsidRDefault="00C97C31" w:rsidP="00E268AA">
      <w:pPr>
        <w:spacing w:after="0"/>
        <w:jc w:val="both"/>
      </w:pPr>
      <w:r w:rsidRPr="00151BD7">
        <w:t>The Group’s first quarter results for the period ending 31 March 2026 will be announced on 20 May 2026.</w:t>
      </w:r>
    </w:p>
    <w:p w14:paraId="1C68058C" w14:textId="77777777" w:rsidR="00350523" w:rsidRPr="00151BD7" w:rsidRDefault="00350523" w:rsidP="00E268AA">
      <w:pPr>
        <w:spacing w:after="0"/>
        <w:jc w:val="both"/>
      </w:pPr>
    </w:p>
    <w:p w14:paraId="024ADB13" w14:textId="77777777" w:rsidR="00E521E8" w:rsidRPr="00151BD7" w:rsidRDefault="00E521E8" w:rsidP="00E268AA">
      <w:pPr>
        <w:spacing w:after="0"/>
        <w:jc w:val="both"/>
        <w:rPr>
          <w:b/>
        </w:rPr>
      </w:pPr>
      <w:r w:rsidRPr="00151BD7">
        <w:rPr>
          <w:b/>
        </w:rPr>
        <w:t>Notes</w:t>
      </w:r>
    </w:p>
    <w:p w14:paraId="0CC31131" w14:textId="77777777" w:rsidR="00E521E8" w:rsidRPr="00151BD7" w:rsidRDefault="00E521E8" w:rsidP="00E268AA">
      <w:pPr>
        <w:spacing w:after="0"/>
        <w:jc w:val="both"/>
        <w:rPr>
          <w:b/>
        </w:rPr>
      </w:pPr>
    </w:p>
    <w:p w14:paraId="39AF35C9" w14:textId="115B0F34" w:rsidR="00F02556" w:rsidRPr="00151BD7" w:rsidRDefault="00F02556" w:rsidP="00E268AA">
      <w:pPr>
        <w:spacing w:after="0"/>
        <w:jc w:val="both"/>
        <w:rPr>
          <w:bCs/>
        </w:rPr>
      </w:pPr>
      <w:r w:rsidRPr="00151BD7">
        <w:rPr>
          <w:bCs/>
        </w:rPr>
        <w:t xml:space="preserve">The financial information contained in this announcement is a summary. The full audited consolidated financial statements for the year ended 31 December 2025, together with the independent auditor's report, are contained in the Company's Annual Report 2025, published simultaneously with this announcement. The Annual Report is available on the Company's </w:t>
      </w:r>
      <w:r w:rsidR="00993E78" w:rsidRPr="00151BD7">
        <w:rPr>
          <w:bCs/>
        </w:rPr>
        <w:t xml:space="preserve">IR </w:t>
      </w:r>
      <w:r w:rsidRPr="00151BD7">
        <w:rPr>
          <w:bCs/>
        </w:rPr>
        <w:t>website</w:t>
      </w:r>
      <w:r w:rsidR="00993E78" w:rsidRPr="00151BD7">
        <w:rPr>
          <w:bCs/>
        </w:rPr>
        <w:t xml:space="preserve">, </w:t>
      </w:r>
      <w:hyperlink r:id="rId10" w:history="1">
        <w:r w:rsidR="00993E78" w:rsidRPr="00151BD7">
          <w:rPr>
            <w:rStyle w:val="Hypertextovodkaz"/>
          </w:rPr>
          <w:t>https://ir.czechoslovakgroup.com/en</w:t>
        </w:r>
      </w:hyperlink>
      <w:r w:rsidR="00993E78" w:rsidRPr="00151BD7">
        <w:t>.</w:t>
      </w:r>
    </w:p>
    <w:p w14:paraId="0B6531EC" w14:textId="77777777" w:rsidR="00F02556" w:rsidRPr="00151BD7" w:rsidRDefault="00F02556" w:rsidP="00E268AA">
      <w:pPr>
        <w:spacing w:after="0"/>
        <w:jc w:val="both"/>
        <w:rPr>
          <w:b/>
        </w:rPr>
      </w:pPr>
    </w:p>
    <w:p w14:paraId="5410BE78" w14:textId="2AA643ED" w:rsidR="008D4A23" w:rsidRPr="00151BD7" w:rsidRDefault="00E36DA2" w:rsidP="00E268AA">
      <w:pPr>
        <w:spacing w:after="0"/>
        <w:jc w:val="both"/>
        <w:rPr>
          <w:i/>
          <w:sz w:val="18"/>
          <w:szCs w:val="18"/>
        </w:rPr>
      </w:pPr>
      <w:r w:rsidRPr="00151BD7">
        <w:rPr>
          <w:vertAlign w:val="superscript"/>
        </w:rPr>
        <w:t>1</w:t>
      </w:r>
      <w:r w:rsidR="00232023" w:rsidRPr="00151BD7">
        <w:rPr>
          <w:i/>
          <w:sz w:val="18"/>
          <w:szCs w:val="18"/>
        </w:rPr>
        <w:t>G</w:t>
      </w:r>
      <w:r w:rsidR="00E521E8" w:rsidRPr="00151BD7">
        <w:rPr>
          <w:i/>
          <w:sz w:val="18"/>
          <w:szCs w:val="18"/>
        </w:rPr>
        <w:t>rowth</w:t>
      </w:r>
      <w:r w:rsidR="00232023" w:rsidRPr="00151BD7">
        <w:rPr>
          <w:i/>
          <w:sz w:val="18"/>
          <w:szCs w:val="18"/>
        </w:rPr>
        <w:t xml:space="preserve"> on a</w:t>
      </w:r>
      <w:r w:rsidR="00F05CE4" w:rsidRPr="00151BD7">
        <w:rPr>
          <w:i/>
          <w:sz w:val="18"/>
          <w:szCs w:val="18"/>
        </w:rPr>
        <w:t>n (unaudited)</w:t>
      </w:r>
      <w:r w:rsidR="00232023" w:rsidRPr="00151BD7">
        <w:rPr>
          <w:i/>
          <w:sz w:val="18"/>
          <w:szCs w:val="18"/>
        </w:rPr>
        <w:t xml:space="preserve"> pro forma basis</w:t>
      </w:r>
      <w:r w:rsidR="00E521E8" w:rsidRPr="00151BD7">
        <w:rPr>
          <w:i/>
          <w:sz w:val="18"/>
          <w:szCs w:val="18"/>
        </w:rPr>
        <w:t xml:space="preserve"> is presented as if The Kinetic Group had been consolidated for the full prior financial year; in FY 2024</w:t>
      </w:r>
      <w:r w:rsidR="00041DAA" w:rsidRPr="00151BD7">
        <w:rPr>
          <w:i/>
          <w:sz w:val="18"/>
          <w:szCs w:val="18"/>
        </w:rPr>
        <w:t>,</w:t>
      </w:r>
      <w:r w:rsidR="00E521E8" w:rsidRPr="00151BD7">
        <w:rPr>
          <w:i/>
          <w:sz w:val="18"/>
          <w:szCs w:val="18"/>
        </w:rPr>
        <w:t xml:space="preserve"> </w:t>
      </w:r>
      <w:r w:rsidR="00041DAA" w:rsidRPr="00151BD7">
        <w:rPr>
          <w:i/>
          <w:sz w:val="18"/>
          <w:szCs w:val="18"/>
        </w:rPr>
        <w:t>t</w:t>
      </w:r>
      <w:r w:rsidR="00E521E8" w:rsidRPr="00151BD7">
        <w:rPr>
          <w:i/>
          <w:sz w:val="18"/>
          <w:szCs w:val="18"/>
        </w:rPr>
        <w:t>he Kinetic Group contributed only one month of results.</w:t>
      </w:r>
    </w:p>
    <w:p w14:paraId="36F5BA1F" w14:textId="09EB178F" w:rsidR="006A0973" w:rsidRPr="00151BD7" w:rsidRDefault="00A15DC8" w:rsidP="00E268AA">
      <w:pPr>
        <w:spacing w:after="0"/>
        <w:jc w:val="both"/>
        <w:rPr>
          <w:i/>
          <w:sz w:val="18"/>
          <w:szCs w:val="18"/>
        </w:rPr>
      </w:pPr>
      <w:r w:rsidRPr="00151BD7">
        <w:rPr>
          <w:vertAlign w:val="superscript"/>
        </w:rPr>
        <w:t>2</w:t>
      </w:r>
      <w:r w:rsidRPr="00151BD7">
        <w:rPr>
          <w:i/>
          <w:sz w:val="18"/>
          <w:szCs w:val="18"/>
        </w:rPr>
        <w:t>This announcement includes certain alternative performance measures (APMs) that are not defined or specified under International Financial Reporting Standards (IFRS). These measures are used by management to provide additional insight into the underlying performance of the business and to enhance comparability between reporting periods by adjusting for items that may distort the view of the Group’s ongoing operational performance. Definitions of the APMs used in this announcement are provided in the notes to this announcement.</w:t>
      </w:r>
      <w:r w:rsidR="00F913BA" w:rsidRPr="00151BD7">
        <w:rPr>
          <w:i/>
          <w:sz w:val="18"/>
          <w:szCs w:val="18"/>
        </w:rPr>
        <w:t xml:space="preserve"> </w:t>
      </w:r>
      <w:r w:rsidR="006A0973" w:rsidRPr="00151BD7">
        <w:rPr>
          <w:i/>
          <w:sz w:val="18"/>
          <w:szCs w:val="18"/>
        </w:rPr>
        <w:t xml:space="preserve">Adjusted Operating EBIT </w:t>
      </w:r>
      <w:r w:rsidR="00704C69" w:rsidRPr="00151BD7">
        <w:rPr>
          <w:i/>
          <w:sz w:val="18"/>
          <w:szCs w:val="18"/>
        </w:rPr>
        <w:t xml:space="preserve">is calculated by </w:t>
      </w:r>
      <w:r w:rsidR="00EE0931" w:rsidRPr="00151BD7">
        <w:rPr>
          <w:i/>
          <w:sz w:val="18"/>
          <w:szCs w:val="18"/>
        </w:rPr>
        <w:t>deducting</w:t>
      </w:r>
      <w:r w:rsidR="00704C69" w:rsidRPr="00151BD7">
        <w:rPr>
          <w:i/>
          <w:sz w:val="18"/>
          <w:szCs w:val="18"/>
        </w:rPr>
        <w:t xml:space="preserve"> the €32m non-cash impact in FY 2025 of the inventory fair value step-up (Purchase Price Allocation) included in operating expenses (FY 2024 pro forma: €47m). No adjustment is made for the PPA-related step-up in depreciation and amortisation of PP&amp;E and intangible assets. </w:t>
      </w:r>
      <w:r w:rsidRPr="00151BD7">
        <w:rPr>
          <w:i/>
          <w:sz w:val="18"/>
          <w:szCs w:val="18"/>
        </w:rPr>
        <w:t>Conversion means Adjusted Operating EBITDA less Capex divided by Adjusted Operating EBITDA.</w:t>
      </w:r>
      <w:r w:rsidR="00F913BA" w:rsidRPr="00151BD7">
        <w:rPr>
          <w:i/>
          <w:sz w:val="18"/>
          <w:szCs w:val="18"/>
        </w:rPr>
        <w:t xml:space="preserve"> </w:t>
      </w:r>
      <w:r w:rsidR="006A0973" w:rsidRPr="00151BD7">
        <w:rPr>
          <w:i/>
          <w:sz w:val="18"/>
          <w:szCs w:val="18"/>
        </w:rPr>
        <w:t xml:space="preserve">Pre-tax Operating Cash Flow means </w:t>
      </w:r>
      <w:r w:rsidR="00BC2BC1" w:rsidRPr="00151BD7">
        <w:rPr>
          <w:i/>
          <w:sz w:val="18"/>
          <w:szCs w:val="18"/>
        </w:rPr>
        <w:t xml:space="preserve">Adjusted </w:t>
      </w:r>
      <w:r w:rsidR="006A0973" w:rsidRPr="00151BD7">
        <w:rPr>
          <w:i/>
          <w:sz w:val="18"/>
          <w:szCs w:val="18"/>
        </w:rPr>
        <w:t xml:space="preserve">Operating </w:t>
      </w:r>
      <w:r w:rsidR="00F913BA" w:rsidRPr="00151BD7">
        <w:rPr>
          <w:i/>
          <w:sz w:val="18"/>
          <w:szCs w:val="18"/>
        </w:rPr>
        <w:t>EBITDA,</w:t>
      </w:r>
      <w:r w:rsidR="006A0973" w:rsidRPr="00151BD7">
        <w:rPr>
          <w:i/>
          <w:sz w:val="18"/>
          <w:szCs w:val="18"/>
        </w:rPr>
        <w:t xml:space="preserve"> less change in Working Capital less Capex.</w:t>
      </w:r>
    </w:p>
    <w:p w14:paraId="129992E0" w14:textId="0B15BA94" w:rsidR="00A06E06" w:rsidRPr="00151BD7" w:rsidRDefault="00A06E06" w:rsidP="00E268AA">
      <w:pPr>
        <w:spacing w:after="0"/>
        <w:jc w:val="both"/>
        <w:rPr>
          <w:i/>
          <w:sz w:val="18"/>
          <w:szCs w:val="18"/>
        </w:rPr>
      </w:pPr>
      <w:r w:rsidRPr="00151BD7">
        <w:rPr>
          <w:vertAlign w:val="superscript"/>
        </w:rPr>
        <w:t>3</w:t>
      </w:r>
      <w:r w:rsidR="000E5065" w:rsidRPr="00151BD7">
        <w:rPr>
          <w:i/>
          <w:sz w:val="18"/>
          <w:szCs w:val="18"/>
        </w:rPr>
        <w:t>FY 2025 Adjusted Net Working Capital e</w:t>
      </w:r>
      <w:r w:rsidRPr="00151BD7">
        <w:rPr>
          <w:i/>
          <w:sz w:val="18"/>
          <w:szCs w:val="18"/>
        </w:rPr>
        <w:t xml:space="preserve">xcludes a receivable of </w:t>
      </w:r>
      <w:r w:rsidR="00704C69" w:rsidRPr="00151BD7">
        <w:rPr>
          <w:i/>
          <w:sz w:val="18"/>
          <w:szCs w:val="18"/>
        </w:rPr>
        <w:t>€</w:t>
      </w:r>
      <w:r w:rsidRPr="00151BD7">
        <w:rPr>
          <w:i/>
          <w:sz w:val="18"/>
          <w:szCs w:val="18"/>
        </w:rPr>
        <w:t>275m related to the Group structure optimisation (carve-out of non-core activities).</w:t>
      </w:r>
    </w:p>
    <w:p w14:paraId="633B0D3D" w14:textId="77777777" w:rsidR="00C215C8" w:rsidRPr="00151BD7" w:rsidRDefault="00C215C8" w:rsidP="00E268AA">
      <w:pPr>
        <w:spacing w:after="0"/>
        <w:jc w:val="both"/>
        <w:rPr>
          <w:b/>
        </w:rPr>
      </w:pPr>
    </w:p>
    <w:p w14:paraId="6E957006" w14:textId="77777777" w:rsidR="00EE3F64" w:rsidRPr="00151BD7" w:rsidRDefault="00654BAE" w:rsidP="00E268AA">
      <w:pPr>
        <w:spacing w:after="0"/>
        <w:jc w:val="both"/>
        <w:rPr>
          <w:b/>
        </w:rPr>
      </w:pPr>
      <w:r w:rsidRPr="00151BD7">
        <w:rPr>
          <w:b/>
        </w:rPr>
        <w:t>Group Performance Review</w:t>
      </w:r>
    </w:p>
    <w:p w14:paraId="75F7952E" w14:textId="77777777" w:rsidR="00CA5825" w:rsidRPr="00151BD7" w:rsidRDefault="00CA5825" w:rsidP="00E268AA">
      <w:pPr>
        <w:spacing w:after="0"/>
        <w:jc w:val="both"/>
      </w:pPr>
    </w:p>
    <w:p w14:paraId="3623016B" w14:textId="77777777" w:rsidR="00EE3F64" w:rsidRPr="00151BD7" w:rsidRDefault="00654BAE" w:rsidP="00E268AA">
      <w:pPr>
        <w:spacing w:after="0"/>
        <w:jc w:val="both"/>
        <w:rPr>
          <w:b/>
          <w:bCs/>
          <w:i/>
        </w:rPr>
      </w:pPr>
      <w:r w:rsidRPr="00151BD7">
        <w:rPr>
          <w:b/>
          <w:bCs/>
          <w:i/>
        </w:rPr>
        <w:t>Market environment and demand</w:t>
      </w:r>
    </w:p>
    <w:p w14:paraId="77FA3B83" w14:textId="77777777" w:rsidR="00CA5825" w:rsidRPr="00151BD7" w:rsidRDefault="00CA5825" w:rsidP="00E268AA">
      <w:pPr>
        <w:spacing w:after="0"/>
        <w:jc w:val="both"/>
      </w:pPr>
    </w:p>
    <w:p w14:paraId="0D9BAED8" w14:textId="48AC2CE8" w:rsidR="005B63AC" w:rsidRPr="00151BD7" w:rsidRDefault="005B63AC" w:rsidP="005B63AC">
      <w:pPr>
        <w:spacing w:after="0"/>
        <w:jc w:val="both"/>
      </w:pPr>
      <w:r w:rsidRPr="00151BD7">
        <w:t xml:space="preserve">In 2025, defence spending across NATO and partner countries continued to increase in response to a volatile geopolitical environment. Demand for medium and large calibre ammunition, land systems and </w:t>
      </w:r>
      <w:r w:rsidR="000F25CA" w:rsidRPr="00151BD7">
        <w:t>aerospace &amp; d</w:t>
      </w:r>
      <w:r w:rsidR="0086177C" w:rsidRPr="00151BD7">
        <w:t xml:space="preserve">efence </w:t>
      </w:r>
      <w:r w:rsidR="000F25CA" w:rsidRPr="00151BD7">
        <w:t>e</w:t>
      </w:r>
      <w:r w:rsidR="0086177C" w:rsidRPr="00151BD7">
        <w:t>lectronics</w:t>
      </w:r>
      <w:r w:rsidRPr="00151BD7">
        <w:t xml:space="preserve"> remained markedly strong.</w:t>
      </w:r>
    </w:p>
    <w:p w14:paraId="288F3E35" w14:textId="77777777" w:rsidR="005B63AC" w:rsidRPr="00151BD7" w:rsidRDefault="005B63AC" w:rsidP="005B63AC">
      <w:pPr>
        <w:spacing w:after="0"/>
        <w:jc w:val="both"/>
      </w:pPr>
    </w:p>
    <w:p w14:paraId="3A185B51" w14:textId="6DBA8A11" w:rsidR="005B63AC" w:rsidRPr="00151BD7" w:rsidRDefault="005B63AC" w:rsidP="005B63AC">
      <w:pPr>
        <w:spacing w:after="0"/>
        <w:jc w:val="both"/>
      </w:pPr>
      <w:r w:rsidRPr="00151BD7">
        <w:t>The ongoing conflict in Ukraine and the broader reassessment of collective defence within Europe drove sustained procurement activity, including replenishment of depleted stockpiles and multi-year framework agreements. Commitments by NATO members to materially increase defence expenditure over the coming decade reinforced the structural nature of this demand environment. Beyond Europe, heightened geopolitical tensions in the Asia Pacific and Middle East regions contributed to elevated defence budgets and modernisation programmes. At the same time, in the United States, demand in the commercial small-calibre ammunition market remained resilient, underpinned by a strong domestic customer base and local manufacturing footprint.</w:t>
      </w:r>
    </w:p>
    <w:p w14:paraId="242753F9" w14:textId="77777777" w:rsidR="005B63AC" w:rsidRPr="00151BD7" w:rsidRDefault="005B63AC" w:rsidP="005B63AC">
      <w:pPr>
        <w:spacing w:after="0"/>
        <w:jc w:val="both"/>
      </w:pPr>
    </w:p>
    <w:p w14:paraId="022CDE8C" w14:textId="6FA03FF8" w:rsidR="00B00D1A" w:rsidRPr="00151BD7" w:rsidRDefault="005B63AC" w:rsidP="005B63AC">
      <w:pPr>
        <w:spacing w:after="0"/>
        <w:jc w:val="both"/>
      </w:pPr>
      <w:r w:rsidRPr="00151BD7">
        <w:t xml:space="preserve">Governments across Europe and other regions continued to prioritise supply chain security and domestic production capabilities. This supported investment in ammunition manufacturing capacity and vertically integrated defence platforms, areas where CSG maintains established industrial capabilities and long-term customer relationships. </w:t>
      </w:r>
    </w:p>
    <w:p w14:paraId="0E624368" w14:textId="77777777" w:rsidR="00EE3F64" w:rsidRPr="00151BD7" w:rsidRDefault="00EE3F64" w:rsidP="00E268AA">
      <w:pPr>
        <w:spacing w:after="0"/>
        <w:jc w:val="both"/>
      </w:pPr>
    </w:p>
    <w:p w14:paraId="6AC09624" w14:textId="3C5684CC" w:rsidR="00EE3F64" w:rsidRPr="00151BD7" w:rsidRDefault="00654BAE" w:rsidP="00E268AA">
      <w:pPr>
        <w:spacing w:after="0"/>
        <w:jc w:val="both"/>
        <w:rPr>
          <w:b/>
          <w:bCs/>
          <w:i/>
        </w:rPr>
      </w:pPr>
      <w:r w:rsidRPr="00151BD7">
        <w:rPr>
          <w:b/>
          <w:bCs/>
          <w:i/>
        </w:rPr>
        <w:t xml:space="preserve">Group </w:t>
      </w:r>
      <w:r w:rsidR="00325D5E" w:rsidRPr="00151BD7">
        <w:rPr>
          <w:b/>
          <w:bCs/>
          <w:i/>
        </w:rPr>
        <w:t>revenue and profit</w:t>
      </w:r>
      <w:r w:rsidRPr="00151BD7">
        <w:rPr>
          <w:b/>
          <w:bCs/>
          <w:i/>
        </w:rPr>
        <w:t xml:space="preserve"> performance</w:t>
      </w:r>
    </w:p>
    <w:p w14:paraId="794CDE1B" w14:textId="77777777" w:rsidR="00CA5825" w:rsidRPr="00151BD7" w:rsidRDefault="00CA5825" w:rsidP="00E268AA">
      <w:pPr>
        <w:spacing w:after="0"/>
        <w:jc w:val="both"/>
      </w:pPr>
    </w:p>
    <w:p w14:paraId="14F1BBC1" w14:textId="77814945" w:rsidR="00B00D1A" w:rsidRPr="00151BD7" w:rsidRDefault="00654BAE" w:rsidP="00E268AA">
      <w:pPr>
        <w:spacing w:after="0"/>
        <w:jc w:val="both"/>
      </w:pPr>
      <w:r w:rsidRPr="00151BD7">
        <w:t xml:space="preserve">Revenues increased by </w:t>
      </w:r>
      <w:r w:rsidR="00C31F4E" w:rsidRPr="00151BD7">
        <w:t>71.7</w:t>
      </w:r>
      <w:r w:rsidRPr="00151BD7">
        <w:t>%</w:t>
      </w:r>
      <w:r w:rsidR="00C31F4E" w:rsidRPr="00151BD7">
        <w:t xml:space="preserve"> on a like-for-like basis</w:t>
      </w:r>
      <w:r w:rsidRPr="00151BD7">
        <w:t xml:space="preserve"> </w:t>
      </w:r>
      <w:r w:rsidR="00A023B3" w:rsidRPr="00151BD7">
        <w:t xml:space="preserve">in the year </w:t>
      </w:r>
      <w:r w:rsidRPr="00151BD7">
        <w:t>to €</w:t>
      </w:r>
      <w:r w:rsidR="00E266D0" w:rsidRPr="00151BD7">
        <w:t>6.7</w:t>
      </w:r>
      <w:r w:rsidRPr="00151BD7">
        <w:t>bn, driven by strong organic growth in Defence Systems and the full period contribution from The Kinetic Group.</w:t>
      </w:r>
      <w:r w:rsidR="00D42102" w:rsidRPr="00151BD7">
        <w:t xml:space="preserve"> </w:t>
      </w:r>
      <w:r w:rsidR="00CF2D14" w:rsidRPr="00151BD7">
        <w:t xml:space="preserve">This exceeded the guidance of €6.4bn issued at the time of the IPO. </w:t>
      </w:r>
      <w:r w:rsidR="00B00D1A" w:rsidRPr="00151BD7">
        <w:t xml:space="preserve">The year-on-year growth was mainly driven by strong demand across all major product lines, particularly medium and large </w:t>
      </w:r>
      <w:r w:rsidR="00C31F4E" w:rsidRPr="00151BD7">
        <w:t>calibre</w:t>
      </w:r>
      <w:r w:rsidR="00B00D1A" w:rsidRPr="00151BD7">
        <w:t xml:space="preserve"> ammunition, reflecting both the elevated geopolitical environment and the Group’s expanded production and delivery capabilities.</w:t>
      </w:r>
    </w:p>
    <w:p w14:paraId="18BC9E07" w14:textId="77777777" w:rsidR="00B00D1A" w:rsidRPr="00151BD7" w:rsidRDefault="00B00D1A" w:rsidP="00E268AA">
      <w:pPr>
        <w:spacing w:after="0"/>
        <w:jc w:val="both"/>
      </w:pPr>
    </w:p>
    <w:p w14:paraId="17072DE4" w14:textId="07A69DF9" w:rsidR="00EE3F64" w:rsidRPr="00151BD7" w:rsidRDefault="00654BAE" w:rsidP="00E268AA">
      <w:pPr>
        <w:spacing w:after="0"/>
        <w:jc w:val="both"/>
      </w:pPr>
      <w:r w:rsidRPr="00151BD7">
        <w:t xml:space="preserve">Adjusted Operating EBIT increased by </w:t>
      </w:r>
      <w:r w:rsidR="00CF2D14" w:rsidRPr="00151BD7">
        <w:t>60.</w:t>
      </w:r>
      <w:r w:rsidR="00C31F4E" w:rsidRPr="00151BD7">
        <w:t>7</w:t>
      </w:r>
      <w:r w:rsidRPr="00151BD7">
        <w:t>% to €</w:t>
      </w:r>
      <w:r w:rsidR="00CF2D14" w:rsidRPr="00151BD7">
        <w:t>1.6</w:t>
      </w:r>
      <w:r w:rsidRPr="00151BD7">
        <w:t xml:space="preserve">bn, with margins robust at </w:t>
      </w:r>
      <w:r w:rsidR="00CF2D14" w:rsidRPr="00151BD7">
        <w:t>24.1</w:t>
      </w:r>
      <w:r w:rsidRPr="00151BD7">
        <w:t>%</w:t>
      </w:r>
      <w:r w:rsidR="00CF2D14" w:rsidRPr="00151BD7">
        <w:t xml:space="preserve">, in-line with the guidance </w:t>
      </w:r>
      <w:r w:rsidR="00C31F4E" w:rsidRPr="00151BD7">
        <w:t xml:space="preserve">range </w:t>
      </w:r>
      <w:r w:rsidR="00CF2D14" w:rsidRPr="00151BD7">
        <w:t>stated at the time of the IPO</w:t>
      </w:r>
      <w:r w:rsidRPr="00151BD7">
        <w:t>.</w:t>
      </w:r>
      <w:r w:rsidR="00D42102" w:rsidRPr="00151BD7">
        <w:t xml:space="preserve"> </w:t>
      </w:r>
      <w:r w:rsidR="00B00D1A" w:rsidRPr="00151BD7">
        <w:t xml:space="preserve">Margin benefited in particular from scale effects in medium and large calibre ammunition and disciplined cost control, partially offset by higher input costs and integration-related expenses. </w:t>
      </w:r>
      <w:r w:rsidR="00C31F4E" w:rsidRPr="00151BD7">
        <w:t>N</w:t>
      </w:r>
      <w:r w:rsidRPr="00151BD7">
        <w:t xml:space="preserve">et </w:t>
      </w:r>
      <w:r w:rsidR="00C31F4E" w:rsidRPr="00151BD7">
        <w:t>P</w:t>
      </w:r>
      <w:r w:rsidRPr="00151BD7">
        <w:t xml:space="preserve">rofit </w:t>
      </w:r>
      <w:r w:rsidR="00CF2D14" w:rsidRPr="00151BD7">
        <w:t xml:space="preserve">from </w:t>
      </w:r>
      <w:r w:rsidR="00C31F4E" w:rsidRPr="00151BD7">
        <w:t>C</w:t>
      </w:r>
      <w:r w:rsidR="00CF2D14" w:rsidRPr="00151BD7">
        <w:t xml:space="preserve">ontinuing </w:t>
      </w:r>
      <w:r w:rsidR="00C31F4E" w:rsidRPr="00151BD7">
        <w:t>O</w:t>
      </w:r>
      <w:r w:rsidR="00CF2D14" w:rsidRPr="00151BD7">
        <w:t xml:space="preserve">perations </w:t>
      </w:r>
      <w:r w:rsidRPr="00151BD7">
        <w:t>increased to €</w:t>
      </w:r>
      <w:r w:rsidR="007B2C77" w:rsidRPr="00151BD7">
        <w:t>872</w:t>
      </w:r>
      <w:r w:rsidR="00CF2D14" w:rsidRPr="00151BD7">
        <w:t>m</w:t>
      </w:r>
      <w:r w:rsidRPr="00151BD7">
        <w:t>, reflecting higher operating profit partially offset by increased financing costs.</w:t>
      </w:r>
    </w:p>
    <w:p w14:paraId="097831EA" w14:textId="77777777" w:rsidR="00EE3F64" w:rsidRPr="00151BD7" w:rsidRDefault="00EE3F64" w:rsidP="00E268AA">
      <w:pPr>
        <w:spacing w:after="0"/>
        <w:jc w:val="both"/>
      </w:pPr>
    </w:p>
    <w:p w14:paraId="631F8651" w14:textId="77777777" w:rsidR="00EE3F64" w:rsidRPr="00151BD7" w:rsidRDefault="00654BAE" w:rsidP="00E268AA">
      <w:pPr>
        <w:spacing w:after="0"/>
        <w:jc w:val="both"/>
        <w:rPr>
          <w:b/>
          <w:bCs/>
          <w:i/>
        </w:rPr>
      </w:pPr>
      <w:r w:rsidRPr="00151BD7">
        <w:rPr>
          <w:b/>
          <w:bCs/>
          <w:i/>
        </w:rPr>
        <w:t>Order intake backlog and visibility</w:t>
      </w:r>
    </w:p>
    <w:p w14:paraId="4B70C6FD" w14:textId="77777777" w:rsidR="00CA5825" w:rsidRPr="00151BD7" w:rsidRDefault="00CA5825" w:rsidP="00E268AA">
      <w:pPr>
        <w:spacing w:after="0"/>
        <w:jc w:val="both"/>
      </w:pPr>
    </w:p>
    <w:p w14:paraId="19878E4E" w14:textId="2F54A1B9" w:rsidR="00AF3C44" w:rsidRPr="00151BD7" w:rsidRDefault="000055A4" w:rsidP="000055A4">
      <w:pPr>
        <w:spacing w:after="0"/>
        <w:jc w:val="both"/>
      </w:pPr>
      <w:r w:rsidRPr="00151BD7">
        <w:t xml:space="preserve">The Group monitors backlog and pipeline as key indicators of future revenue visibility. </w:t>
      </w:r>
      <w:r w:rsidR="00654BAE" w:rsidRPr="00151BD7">
        <w:t>Order backlog</w:t>
      </w:r>
      <w:r w:rsidR="007B6B46" w:rsidRPr="00151BD7">
        <w:t xml:space="preserve"> </w:t>
      </w:r>
      <w:r w:rsidR="00654BAE" w:rsidRPr="00151BD7">
        <w:t>reached €</w:t>
      </w:r>
      <w:r w:rsidR="009672B6" w:rsidRPr="00151BD7">
        <w:t>1</w:t>
      </w:r>
      <w:r w:rsidR="00C31F4E" w:rsidRPr="00151BD7">
        <w:t>5</w:t>
      </w:r>
      <w:r w:rsidR="00654BAE" w:rsidRPr="00151BD7">
        <w:t>bn at period end</w:t>
      </w:r>
      <w:r w:rsidR="005532BC" w:rsidRPr="00151BD7">
        <w:t xml:space="preserve"> (up 36% year-on-year)</w:t>
      </w:r>
      <w:r w:rsidR="00654BAE" w:rsidRPr="00151BD7">
        <w:t>, with a pipeline under negotiation of €</w:t>
      </w:r>
      <w:r w:rsidR="009672B6" w:rsidRPr="00151BD7">
        <w:t>2</w:t>
      </w:r>
      <w:r w:rsidR="00C31F4E" w:rsidRPr="00151BD7">
        <w:t>7</w:t>
      </w:r>
      <w:r w:rsidR="00654BAE" w:rsidRPr="00151BD7">
        <w:t>bn, providing strong multi</w:t>
      </w:r>
      <w:r w:rsidRPr="00151BD7">
        <w:t>-</w:t>
      </w:r>
      <w:r w:rsidR="00654BAE" w:rsidRPr="00151BD7">
        <w:t>year revenue visibility.</w:t>
      </w:r>
      <w:r w:rsidR="00701C69" w:rsidRPr="00151BD7">
        <w:t xml:space="preserve"> </w:t>
      </w:r>
      <w:r w:rsidRPr="00151BD7">
        <w:t>The M&amp;L Ammunition business accounted for the largest share of the Group's total</w:t>
      </w:r>
      <w:r w:rsidR="00C31F4E" w:rsidRPr="00151BD7">
        <w:t xml:space="preserve"> backlog (45%)</w:t>
      </w:r>
      <w:r w:rsidRPr="00151BD7">
        <w:t xml:space="preserve">, </w:t>
      </w:r>
      <w:r w:rsidR="00C31F4E" w:rsidRPr="00151BD7">
        <w:t>followed by Land Systems (40%)</w:t>
      </w:r>
      <w:r w:rsidR="005532BC" w:rsidRPr="00151BD7">
        <w:t xml:space="preserve">, Ammo+ (10%), </w:t>
      </w:r>
      <w:r w:rsidR="000F25CA" w:rsidRPr="00151BD7">
        <w:t xml:space="preserve">Aerospace &amp; </w:t>
      </w:r>
      <w:r w:rsidR="0086177C" w:rsidRPr="00151BD7">
        <w:t>Defence Electronics</w:t>
      </w:r>
      <w:r w:rsidR="005532BC" w:rsidRPr="00151BD7">
        <w:t xml:space="preserve"> (3%) and Advanced Systems (1%)</w:t>
      </w:r>
      <w:r w:rsidRPr="00151BD7">
        <w:t>.</w:t>
      </w:r>
    </w:p>
    <w:p w14:paraId="1FFB4F04" w14:textId="77777777" w:rsidR="009C16EA" w:rsidRPr="00151BD7" w:rsidRDefault="009C16EA" w:rsidP="000055A4">
      <w:pPr>
        <w:spacing w:after="0"/>
        <w:jc w:val="both"/>
      </w:pPr>
    </w:p>
    <w:tbl>
      <w:tblPr>
        <w:tblStyle w:val="Mkatabulky"/>
        <w:tblW w:w="0" w:type="auto"/>
        <w:tblInd w:w="-5" w:type="dxa"/>
        <w:tblLook w:val="04A0" w:firstRow="1" w:lastRow="0" w:firstColumn="1" w:lastColumn="0" w:noHBand="0" w:noVBand="1"/>
      </w:tblPr>
      <w:tblGrid>
        <w:gridCol w:w="2552"/>
        <w:gridCol w:w="1644"/>
        <w:gridCol w:w="1644"/>
      </w:tblGrid>
      <w:tr w:rsidR="00C31F4E" w:rsidRPr="00151BD7" w14:paraId="39A727FE" w14:textId="77777777" w:rsidTr="00C31F4E">
        <w:tc>
          <w:tcPr>
            <w:tcW w:w="2552" w:type="dxa"/>
          </w:tcPr>
          <w:p w14:paraId="0163C2F2" w14:textId="775D9B85" w:rsidR="00C31F4E" w:rsidRPr="00151BD7" w:rsidRDefault="00C31F4E" w:rsidP="009C16EA">
            <w:pPr>
              <w:jc w:val="both"/>
            </w:pPr>
            <w:r w:rsidRPr="00151BD7">
              <w:t>As of 31 December 2025</w:t>
            </w:r>
          </w:p>
          <w:p w14:paraId="7D4EEB38" w14:textId="77777777" w:rsidR="00C31F4E" w:rsidRPr="00151BD7" w:rsidRDefault="00C31F4E" w:rsidP="009C16EA">
            <w:pPr>
              <w:spacing w:line="276" w:lineRule="auto"/>
              <w:jc w:val="both"/>
            </w:pPr>
          </w:p>
        </w:tc>
        <w:tc>
          <w:tcPr>
            <w:tcW w:w="1644" w:type="dxa"/>
          </w:tcPr>
          <w:p w14:paraId="57A2C02C" w14:textId="2C9CBCB9" w:rsidR="00C31F4E" w:rsidRPr="00151BD7" w:rsidRDefault="00C31F4E" w:rsidP="009C16EA">
            <w:pPr>
              <w:spacing w:line="276" w:lineRule="auto"/>
              <w:jc w:val="both"/>
            </w:pPr>
            <w:r w:rsidRPr="00151BD7">
              <w:t>€ billion</w:t>
            </w:r>
          </w:p>
        </w:tc>
        <w:tc>
          <w:tcPr>
            <w:tcW w:w="1644" w:type="dxa"/>
          </w:tcPr>
          <w:p w14:paraId="19B34981" w14:textId="77777777" w:rsidR="00C31F4E" w:rsidRPr="00151BD7" w:rsidRDefault="00C31F4E" w:rsidP="009C16EA">
            <w:pPr>
              <w:spacing w:line="276" w:lineRule="auto"/>
            </w:pPr>
            <w:r w:rsidRPr="00151BD7">
              <w:t>Backlog Coverage Ratio</w:t>
            </w:r>
          </w:p>
        </w:tc>
      </w:tr>
      <w:tr w:rsidR="00C31F4E" w:rsidRPr="00151BD7" w14:paraId="1DDCD46B" w14:textId="77777777" w:rsidTr="00C31F4E">
        <w:tc>
          <w:tcPr>
            <w:tcW w:w="2552" w:type="dxa"/>
          </w:tcPr>
          <w:p w14:paraId="5CB60CCB" w14:textId="24636F5A" w:rsidR="00C31F4E" w:rsidRPr="00151BD7" w:rsidRDefault="00C31F4E" w:rsidP="009672B6">
            <w:pPr>
              <w:spacing w:line="312" w:lineRule="auto"/>
              <w:jc w:val="both"/>
            </w:pPr>
            <w:r w:rsidRPr="00151BD7">
              <w:t>Fixed backlog</w:t>
            </w:r>
          </w:p>
        </w:tc>
        <w:tc>
          <w:tcPr>
            <w:tcW w:w="1644" w:type="dxa"/>
            <w:tcBorders>
              <w:top w:val="single" w:sz="6" w:space="0" w:color="auto"/>
              <w:left w:val="single" w:sz="6" w:space="0" w:color="auto"/>
              <w:bottom w:val="single" w:sz="6" w:space="0" w:color="auto"/>
              <w:right w:val="single" w:sz="6" w:space="0" w:color="auto"/>
            </w:tcBorders>
          </w:tcPr>
          <w:p w14:paraId="4F15B990" w14:textId="11983AEB" w:rsidR="00C31F4E" w:rsidRPr="00151BD7" w:rsidRDefault="00C31F4E" w:rsidP="00C31F4E">
            <w:pPr>
              <w:spacing w:line="312" w:lineRule="auto"/>
              <w:jc w:val="center"/>
            </w:pPr>
            <w:r w:rsidRPr="00151BD7">
              <w:rPr>
                <w:rStyle w:val="normaltextrun"/>
                <w:rFonts w:cs="Arial"/>
                <w:sz w:val="18"/>
                <w:szCs w:val="18"/>
              </w:rPr>
              <w:t>7</w:t>
            </w:r>
          </w:p>
        </w:tc>
        <w:tc>
          <w:tcPr>
            <w:tcW w:w="1644" w:type="dxa"/>
            <w:tcBorders>
              <w:top w:val="single" w:sz="6" w:space="0" w:color="auto"/>
              <w:left w:val="single" w:sz="6" w:space="0" w:color="auto"/>
              <w:bottom w:val="single" w:sz="6" w:space="0" w:color="auto"/>
              <w:right w:val="single" w:sz="6" w:space="0" w:color="auto"/>
            </w:tcBorders>
          </w:tcPr>
          <w:p w14:paraId="0F7C9FC8" w14:textId="1568F750" w:rsidR="00C31F4E" w:rsidRPr="00151BD7" w:rsidRDefault="00C31F4E" w:rsidP="00C31F4E">
            <w:pPr>
              <w:spacing w:line="312" w:lineRule="auto"/>
              <w:jc w:val="center"/>
            </w:pPr>
            <w:r w:rsidRPr="00151BD7">
              <w:rPr>
                <w:rStyle w:val="normaltextrun"/>
                <w:rFonts w:cs="Arial"/>
                <w:sz w:val="18"/>
                <w:szCs w:val="18"/>
              </w:rPr>
              <w:t>1.0x</w:t>
            </w:r>
          </w:p>
        </w:tc>
      </w:tr>
      <w:tr w:rsidR="00C31F4E" w:rsidRPr="00151BD7" w14:paraId="36413311" w14:textId="77777777" w:rsidTr="00C31F4E">
        <w:tc>
          <w:tcPr>
            <w:tcW w:w="2552" w:type="dxa"/>
          </w:tcPr>
          <w:p w14:paraId="3BCDCA3D" w14:textId="280BA37D" w:rsidR="00C31F4E" w:rsidRPr="00151BD7" w:rsidRDefault="00C31F4E" w:rsidP="009672B6">
            <w:pPr>
              <w:spacing w:line="312" w:lineRule="auto"/>
              <w:jc w:val="both"/>
            </w:pPr>
            <w:r w:rsidRPr="00151BD7">
              <w:t>Frame backlog</w:t>
            </w:r>
          </w:p>
        </w:tc>
        <w:tc>
          <w:tcPr>
            <w:tcW w:w="1644" w:type="dxa"/>
            <w:tcBorders>
              <w:top w:val="single" w:sz="6" w:space="0" w:color="auto"/>
              <w:left w:val="single" w:sz="6" w:space="0" w:color="auto"/>
              <w:bottom w:val="single" w:sz="6" w:space="0" w:color="auto"/>
              <w:right w:val="single" w:sz="6" w:space="0" w:color="auto"/>
            </w:tcBorders>
          </w:tcPr>
          <w:p w14:paraId="60D456EE" w14:textId="76E46FBB" w:rsidR="00C31F4E" w:rsidRPr="00151BD7" w:rsidRDefault="00C31F4E" w:rsidP="00C31F4E">
            <w:pPr>
              <w:spacing w:line="312" w:lineRule="auto"/>
              <w:jc w:val="center"/>
            </w:pPr>
            <w:r w:rsidRPr="00151BD7">
              <w:rPr>
                <w:rStyle w:val="normaltextrun"/>
                <w:rFonts w:cs="Arial"/>
                <w:sz w:val="18"/>
                <w:szCs w:val="18"/>
              </w:rPr>
              <w:t>6</w:t>
            </w:r>
          </w:p>
        </w:tc>
        <w:tc>
          <w:tcPr>
            <w:tcW w:w="1644" w:type="dxa"/>
            <w:tcBorders>
              <w:top w:val="single" w:sz="6" w:space="0" w:color="auto"/>
              <w:left w:val="single" w:sz="6" w:space="0" w:color="auto"/>
              <w:bottom w:val="single" w:sz="6" w:space="0" w:color="auto"/>
              <w:right w:val="single" w:sz="6" w:space="0" w:color="auto"/>
            </w:tcBorders>
          </w:tcPr>
          <w:p w14:paraId="4D17E152" w14:textId="5FEF0840" w:rsidR="00C31F4E" w:rsidRPr="00151BD7" w:rsidRDefault="00C31F4E" w:rsidP="00C31F4E">
            <w:pPr>
              <w:spacing w:line="312" w:lineRule="auto"/>
              <w:jc w:val="center"/>
            </w:pPr>
            <w:r w:rsidRPr="00151BD7">
              <w:rPr>
                <w:rStyle w:val="normaltextrun"/>
                <w:rFonts w:cs="Arial"/>
                <w:sz w:val="18"/>
                <w:szCs w:val="18"/>
              </w:rPr>
              <w:t>0.9x</w:t>
            </w:r>
          </w:p>
        </w:tc>
      </w:tr>
      <w:tr w:rsidR="00C31F4E" w:rsidRPr="00151BD7" w14:paraId="4EF8FF2A" w14:textId="77777777" w:rsidTr="00C31F4E">
        <w:tc>
          <w:tcPr>
            <w:tcW w:w="2552" w:type="dxa"/>
          </w:tcPr>
          <w:p w14:paraId="7E50E30C" w14:textId="466D5B5E" w:rsidR="00C31F4E" w:rsidRPr="00151BD7" w:rsidRDefault="00C31F4E" w:rsidP="009672B6">
            <w:pPr>
              <w:spacing w:line="312" w:lineRule="auto"/>
              <w:jc w:val="both"/>
            </w:pPr>
            <w:r w:rsidRPr="00151BD7">
              <w:t>Soft backlog</w:t>
            </w:r>
          </w:p>
        </w:tc>
        <w:tc>
          <w:tcPr>
            <w:tcW w:w="1644" w:type="dxa"/>
            <w:tcBorders>
              <w:top w:val="single" w:sz="6" w:space="0" w:color="auto"/>
              <w:left w:val="single" w:sz="6" w:space="0" w:color="auto"/>
              <w:bottom w:val="single" w:sz="6" w:space="0" w:color="auto"/>
              <w:right w:val="single" w:sz="6" w:space="0" w:color="auto"/>
            </w:tcBorders>
          </w:tcPr>
          <w:p w14:paraId="00233554" w14:textId="0E1090CF" w:rsidR="00C31F4E" w:rsidRPr="00151BD7" w:rsidRDefault="00C31F4E" w:rsidP="00C31F4E">
            <w:pPr>
              <w:spacing w:line="312" w:lineRule="auto"/>
              <w:jc w:val="center"/>
            </w:pPr>
            <w:r w:rsidRPr="00151BD7">
              <w:rPr>
                <w:rStyle w:val="normaltextrun"/>
                <w:rFonts w:cs="Arial"/>
                <w:sz w:val="18"/>
                <w:szCs w:val="18"/>
              </w:rPr>
              <w:t>2</w:t>
            </w:r>
          </w:p>
        </w:tc>
        <w:tc>
          <w:tcPr>
            <w:tcW w:w="1644" w:type="dxa"/>
            <w:tcBorders>
              <w:top w:val="single" w:sz="6" w:space="0" w:color="auto"/>
              <w:left w:val="single" w:sz="6" w:space="0" w:color="auto"/>
              <w:bottom w:val="single" w:sz="6" w:space="0" w:color="auto"/>
              <w:right w:val="single" w:sz="6" w:space="0" w:color="auto"/>
            </w:tcBorders>
          </w:tcPr>
          <w:p w14:paraId="61C195A1" w14:textId="30023FFB" w:rsidR="00C31F4E" w:rsidRPr="00151BD7" w:rsidRDefault="00C31F4E" w:rsidP="00C31F4E">
            <w:pPr>
              <w:spacing w:line="312" w:lineRule="auto"/>
              <w:jc w:val="center"/>
            </w:pPr>
            <w:r w:rsidRPr="00151BD7">
              <w:rPr>
                <w:rStyle w:val="normaltextrun"/>
                <w:rFonts w:cs="Arial"/>
                <w:sz w:val="18"/>
                <w:szCs w:val="18"/>
              </w:rPr>
              <w:t>0.3x</w:t>
            </w:r>
          </w:p>
        </w:tc>
      </w:tr>
      <w:tr w:rsidR="00C31F4E" w:rsidRPr="00151BD7" w14:paraId="35190F5C" w14:textId="77777777" w:rsidTr="00C31F4E">
        <w:tc>
          <w:tcPr>
            <w:tcW w:w="2552" w:type="dxa"/>
          </w:tcPr>
          <w:p w14:paraId="4161C686" w14:textId="61BA537C" w:rsidR="00C31F4E" w:rsidRPr="00151BD7" w:rsidRDefault="00C31F4E" w:rsidP="009672B6">
            <w:pPr>
              <w:spacing w:line="312" w:lineRule="auto"/>
              <w:jc w:val="both"/>
            </w:pPr>
            <w:r w:rsidRPr="00151BD7">
              <w:t>Total backlog</w:t>
            </w:r>
          </w:p>
        </w:tc>
        <w:tc>
          <w:tcPr>
            <w:tcW w:w="1644" w:type="dxa"/>
            <w:tcBorders>
              <w:top w:val="single" w:sz="6" w:space="0" w:color="auto"/>
              <w:left w:val="single" w:sz="6" w:space="0" w:color="auto"/>
              <w:bottom w:val="single" w:sz="6" w:space="0" w:color="auto"/>
              <w:right w:val="single" w:sz="6" w:space="0" w:color="auto"/>
            </w:tcBorders>
          </w:tcPr>
          <w:p w14:paraId="5F09DB78" w14:textId="5530EB67" w:rsidR="00C31F4E" w:rsidRPr="00151BD7" w:rsidRDefault="00C31F4E" w:rsidP="00C31F4E">
            <w:pPr>
              <w:spacing w:line="312" w:lineRule="auto"/>
              <w:jc w:val="center"/>
            </w:pPr>
            <w:r w:rsidRPr="00151BD7">
              <w:rPr>
                <w:rStyle w:val="normaltextrun"/>
                <w:rFonts w:cs="Arial"/>
                <w:sz w:val="18"/>
                <w:szCs w:val="18"/>
              </w:rPr>
              <w:t>15</w:t>
            </w:r>
          </w:p>
        </w:tc>
        <w:tc>
          <w:tcPr>
            <w:tcW w:w="1644" w:type="dxa"/>
            <w:tcBorders>
              <w:top w:val="single" w:sz="6" w:space="0" w:color="auto"/>
              <w:left w:val="single" w:sz="6" w:space="0" w:color="auto"/>
              <w:bottom w:val="single" w:sz="6" w:space="0" w:color="auto"/>
              <w:right w:val="single" w:sz="6" w:space="0" w:color="auto"/>
            </w:tcBorders>
          </w:tcPr>
          <w:p w14:paraId="18356DCD" w14:textId="7EB2EB48" w:rsidR="00C31F4E" w:rsidRPr="00151BD7" w:rsidRDefault="00C31F4E" w:rsidP="00C31F4E">
            <w:pPr>
              <w:spacing w:line="312" w:lineRule="auto"/>
              <w:jc w:val="center"/>
            </w:pPr>
            <w:r w:rsidRPr="00151BD7">
              <w:rPr>
                <w:rStyle w:val="normaltextrun"/>
                <w:rFonts w:cs="Arial"/>
                <w:sz w:val="18"/>
                <w:szCs w:val="18"/>
              </w:rPr>
              <w:t>2.2x</w:t>
            </w:r>
          </w:p>
        </w:tc>
      </w:tr>
      <w:tr w:rsidR="00C31F4E" w:rsidRPr="00151BD7" w14:paraId="75771AE5" w14:textId="77777777" w:rsidTr="00C31F4E">
        <w:tc>
          <w:tcPr>
            <w:tcW w:w="2552" w:type="dxa"/>
          </w:tcPr>
          <w:p w14:paraId="1D6F131E" w14:textId="591DE483" w:rsidR="00C31F4E" w:rsidRPr="00151BD7" w:rsidRDefault="00C31F4E" w:rsidP="009672B6">
            <w:pPr>
              <w:spacing w:line="312" w:lineRule="auto"/>
              <w:jc w:val="both"/>
            </w:pPr>
            <w:r w:rsidRPr="00151BD7">
              <w:t>Pipeline under negotiation</w:t>
            </w:r>
          </w:p>
        </w:tc>
        <w:tc>
          <w:tcPr>
            <w:tcW w:w="1644" w:type="dxa"/>
            <w:tcBorders>
              <w:top w:val="single" w:sz="6" w:space="0" w:color="auto"/>
              <w:left w:val="single" w:sz="6" w:space="0" w:color="auto"/>
              <w:bottom w:val="single" w:sz="6" w:space="0" w:color="auto"/>
              <w:right w:val="single" w:sz="6" w:space="0" w:color="auto"/>
            </w:tcBorders>
          </w:tcPr>
          <w:p w14:paraId="493D1F71" w14:textId="602D91C1" w:rsidR="00C31F4E" w:rsidRPr="00151BD7" w:rsidRDefault="00C31F4E" w:rsidP="00C31F4E">
            <w:pPr>
              <w:spacing w:line="312" w:lineRule="auto"/>
              <w:jc w:val="center"/>
            </w:pPr>
            <w:r w:rsidRPr="00151BD7">
              <w:rPr>
                <w:rStyle w:val="normaltextrun"/>
                <w:rFonts w:cs="Arial"/>
                <w:sz w:val="18"/>
                <w:szCs w:val="18"/>
              </w:rPr>
              <w:t>27</w:t>
            </w:r>
          </w:p>
        </w:tc>
        <w:tc>
          <w:tcPr>
            <w:tcW w:w="1644" w:type="dxa"/>
            <w:tcBorders>
              <w:top w:val="single" w:sz="6" w:space="0" w:color="auto"/>
              <w:left w:val="single" w:sz="6" w:space="0" w:color="auto"/>
              <w:bottom w:val="single" w:sz="6" w:space="0" w:color="auto"/>
              <w:right w:val="single" w:sz="6" w:space="0" w:color="auto"/>
            </w:tcBorders>
          </w:tcPr>
          <w:p w14:paraId="48EC1F12" w14:textId="184C1937" w:rsidR="00C31F4E" w:rsidRPr="00151BD7" w:rsidRDefault="00C31F4E" w:rsidP="00C31F4E">
            <w:pPr>
              <w:spacing w:line="312" w:lineRule="auto"/>
              <w:jc w:val="center"/>
            </w:pPr>
            <w:r w:rsidRPr="00151BD7">
              <w:t>4.0x</w:t>
            </w:r>
          </w:p>
        </w:tc>
      </w:tr>
      <w:tr w:rsidR="00C31F4E" w:rsidRPr="00151BD7" w14:paraId="20EBD951" w14:textId="77777777" w:rsidTr="00C31F4E">
        <w:tc>
          <w:tcPr>
            <w:tcW w:w="2552" w:type="dxa"/>
          </w:tcPr>
          <w:p w14:paraId="754FCAF5" w14:textId="47C0DE22" w:rsidR="00C31F4E" w:rsidRPr="00151BD7" w:rsidRDefault="00C31F4E" w:rsidP="009672B6">
            <w:pPr>
              <w:spacing w:line="312" w:lineRule="auto"/>
              <w:jc w:val="both"/>
            </w:pPr>
            <w:r w:rsidRPr="00151BD7">
              <w:t>Total opportunity</w:t>
            </w:r>
          </w:p>
        </w:tc>
        <w:tc>
          <w:tcPr>
            <w:tcW w:w="1644" w:type="dxa"/>
            <w:tcBorders>
              <w:top w:val="single" w:sz="6" w:space="0" w:color="auto"/>
              <w:left w:val="single" w:sz="6" w:space="0" w:color="auto"/>
              <w:bottom w:val="single" w:sz="6" w:space="0" w:color="auto"/>
              <w:right w:val="single" w:sz="6" w:space="0" w:color="auto"/>
            </w:tcBorders>
          </w:tcPr>
          <w:p w14:paraId="112A1E4E" w14:textId="52BCFCD3" w:rsidR="00C31F4E" w:rsidRPr="00151BD7" w:rsidRDefault="00C31F4E" w:rsidP="00C31F4E">
            <w:pPr>
              <w:spacing w:line="312" w:lineRule="auto"/>
              <w:jc w:val="center"/>
            </w:pPr>
            <w:r w:rsidRPr="00151BD7">
              <w:rPr>
                <w:rStyle w:val="normaltextrun"/>
                <w:rFonts w:cs="Arial"/>
                <w:sz w:val="18"/>
                <w:szCs w:val="18"/>
              </w:rPr>
              <w:t>42</w:t>
            </w:r>
          </w:p>
        </w:tc>
        <w:tc>
          <w:tcPr>
            <w:tcW w:w="1644" w:type="dxa"/>
            <w:tcBorders>
              <w:top w:val="single" w:sz="6" w:space="0" w:color="auto"/>
              <w:left w:val="single" w:sz="6" w:space="0" w:color="auto"/>
              <w:bottom w:val="single" w:sz="6" w:space="0" w:color="auto"/>
              <w:right w:val="single" w:sz="6" w:space="0" w:color="auto"/>
            </w:tcBorders>
          </w:tcPr>
          <w:p w14:paraId="17D94F36" w14:textId="46514E41" w:rsidR="00C31F4E" w:rsidRPr="00151BD7" w:rsidRDefault="00C31F4E" w:rsidP="00C31F4E">
            <w:pPr>
              <w:spacing w:line="312" w:lineRule="auto"/>
              <w:jc w:val="center"/>
            </w:pPr>
            <w:r w:rsidRPr="00151BD7">
              <w:t>6.2x</w:t>
            </w:r>
          </w:p>
        </w:tc>
      </w:tr>
    </w:tbl>
    <w:p w14:paraId="7D2C906B" w14:textId="77777777" w:rsidR="006D722F" w:rsidRPr="00151BD7" w:rsidRDefault="006D722F" w:rsidP="000055A4">
      <w:pPr>
        <w:spacing w:after="0"/>
        <w:jc w:val="both"/>
        <w:rPr>
          <w:rFonts w:cs="Arial"/>
          <w:i/>
          <w:iCs/>
          <w:szCs w:val="18"/>
        </w:rPr>
      </w:pPr>
    </w:p>
    <w:p w14:paraId="3D3D44CF" w14:textId="31AD424C" w:rsidR="00BF451B" w:rsidRPr="00151BD7" w:rsidRDefault="000055A4" w:rsidP="000055A4">
      <w:pPr>
        <w:spacing w:after="0"/>
        <w:jc w:val="both"/>
        <w:rPr>
          <w:rFonts w:cs="Arial"/>
          <w:i/>
          <w:iCs/>
          <w:sz w:val="18"/>
          <w:szCs w:val="18"/>
        </w:rPr>
      </w:pPr>
      <w:r w:rsidRPr="00151BD7">
        <w:rPr>
          <w:rFonts w:cs="Arial"/>
          <w:i/>
          <w:iCs/>
          <w:sz w:val="18"/>
          <w:szCs w:val="18"/>
        </w:rPr>
        <w:t>The Group categorises backlog orders as orders from signed and effective contracts, long-term framework agreements and contracts that are not yet fully finalised and effective but based on the previous experience and nature of negotiation, are counted towards forecasts as nearly certain. The Group's multistage backlog, comprising fixed (signed and effective), frame (long-term framework agreements for which the specific conditions of fulfilment to be negotiated at later stages), and soft backlog (contracts that are not yet fully finalised and effective but based on previous experience and nature of negotiations), provides high revenue visibility, with historically strong conversion rates from soft to frame and fixed backlog, underscoring the reliability of backlog as an indicator of future revenue.</w:t>
      </w:r>
    </w:p>
    <w:p w14:paraId="67B586CC" w14:textId="77777777" w:rsidR="000055A4" w:rsidRPr="00151BD7" w:rsidRDefault="000055A4" w:rsidP="000055A4">
      <w:pPr>
        <w:spacing w:after="0"/>
        <w:jc w:val="both"/>
        <w:rPr>
          <w:rFonts w:cs="Arial"/>
          <w:i/>
          <w:iCs/>
          <w:sz w:val="18"/>
          <w:szCs w:val="18"/>
        </w:rPr>
      </w:pPr>
    </w:p>
    <w:p w14:paraId="5D2CAD4F" w14:textId="42B3C8E1" w:rsidR="000055A4" w:rsidRPr="00151BD7" w:rsidRDefault="000055A4" w:rsidP="000055A4">
      <w:pPr>
        <w:spacing w:after="0"/>
        <w:jc w:val="both"/>
        <w:rPr>
          <w:rFonts w:cs="Arial"/>
          <w:i/>
          <w:iCs/>
          <w:sz w:val="18"/>
          <w:szCs w:val="18"/>
        </w:rPr>
      </w:pPr>
      <w:r w:rsidRPr="00151BD7">
        <w:rPr>
          <w:rFonts w:cs="Arial"/>
          <w:i/>
          <w:iCs/>
          <w:sz w:val="18"/>
          <w:szCs w:val="18"/>
        </w:rPr>
        <w:t>Pipeline projects include projects in various stages of negotiation deemed reasonably achievable based on previous experience in the market and with customer</w:t>
      </w:r>
      <w:r w:rsidR="005532BC" w:rsidRPr="00151BD7">
        <w:rPr>
          <w:rFonts w:cs="Arial"/>
          <w:i/>
          <w:iCs/>
          <w:sz w:val="18"/>
          <w:szCs w:val="18"/>
        </w:rPr>
        <w:t>. The 2025 pipeline value includes c.€1bn relating to the seven-year agreement with the Slovak Ministry of Defence for medium and large-calibre ammunition.</w:t>
      </w:r>
    </w:p>
    <w:p w14:paraId="65B7C435" w14:textId="77777777" w:rsidR="000055A4" w:rsidRPr="00151BD7" w:rsidRDefault="000055A4" w:rsidP="000055A4">
      <w:pPr>
        <w:spacing w:after="0"/>
        <w:jc w:val="both"/>
      </w:pPr>
    </w:p>
    <w:p w14:paraId="72859EF3" w14:textId="6F3B3E9A" w:rsidR="00BF451B" w:rsidRPr="00151BD7" w:rsidRDefault="00E36DA2" w:rsidP="00E268AA">
      <w:pPr>
        <w:spacing w:after="0"/>
        <w:jc w:val="both"/>
        <w:rPr>
          <w:b/>
          <w:bCs/>
          <w:i/>
        </w:rPr>
      </w:pPr>
      <w:r w:rsidRPr="00151BD7">
        <w:rPr>
          <w:b/>
          <w:bCs/>
          <w:i/>
        </w:rPr>
        <w:t>Contract wins and order momentum</w:t>
      </w:r>
    </w:p>
    <w:p w14:paraId="0B2FC3BF" w14:textId="77777777" w:rsidR="00BF451B" w:rsidRPr="00151BD7" w:rsidRDefault="00BF451B" w:rsidP="00E268AA">
      <w:pPr>
        <w:spacing w:after="0"/>
        <w:jc w:val="both"/>
      </w:pPr>
    </w:p>
    <w:p w14:paraId="4275266A" w14:textId="56193D4A" w:rsidR="00BF451B" w:rsidRPr="00151BD7" w:rsidRDefault="00E36DA2" w:rsidP="00E268AA">
      <w:pPr>
        <w:spacing w:after="0"/>
        <w:jc w:val="both"/>
      </w:pPr>
      <w:r w:rsidRPr="00151BD7">
        <w:t>During</w:t>
      </w:r>
      <w:r w:rsidR="00BF451B" w:rsidRPr="00151BD7">
        <w:t xml:space="preserve"> the fourth quarter of 2025, </w:t>
      </w:r>
      <w:r w:rsidRPr="00151BD7">
        <w:t xml:space="preserve">building on the contracts announced in the first nine months of the year, </w:t>
      </w:r>
      <w:r w:rsidR="00BF451B" w:rsidRPr="00151BD7">
        <w:t>the Group secured several</w:t>
      </w:r>
      <w:r w:rsidRPr="00151BD7">
        <w:t xml:space="preserve"> additional</w:t>
      </w:r>
      <w:r w:rsidR="00BF451B" w:rsidRPr="00151BD7">
        <w:t xml:space="preserve"> significant contracts that are expected to support future growth and reinforce its position in the defence and manufacturing sectors:</w:t>
      </w:r>
    </w:p>
    <w:p w14:paraId="234F9AE8" w14:textId="77777777" w:rsidR="00BF451B" w:rsidRPr="00151BD7" w:rsidRDefault="00BF451B" w:rsidP="00E268AA">
      <w:pPr>
        <w:spacing w:after="0"/>
        <w:jc w:val="both"/>
      </w:pPr>
    </w:p>
    <w:p w14:paraId="6B624232" w14:textId="1C085ECA" w:rsidR="004E0585" w:rsidRPr="00151BD7" w:rsidRDefault="004E0585" w:rsidP="004E0585">
      <w:pPr>
        <w:pStyle w:val="Odstavecseseznamem"/>
        <w:numPr>
          <w:ilvl w:val="0"/>
          <w:numId w:val="10"/>
        </w:numPr>
        <w:spacing w:after="0"/>
        <w:jc w:val="both"/>
      </w:pPr>
      <w:r w:rsidRPr="00151BD7">
        <w:lastRenderedPageBreak/>
        <w:t>The Group's Slovak subsidiary, ZVS Holding, secured a framework agreement with Slovakia's Ministry of Defence in December 2025 to supply up to €58 billion worth of large and medium-</w:t>
      </w:r>
      <w:r w:rsidR="00BD2C45" w:rsidRPr="00151BD7">
        <w:t>calibre</w:t>
      </w:r>
      <w:r w:rsidRPr="00151BD7">
        <w:t xml:space="preserve"> ammunition to Slovakia and other EU member states over seven years</w:t>
      </w:r>
    </w:p>
    <w:p w14:paraId="3FF68D6C" w14:textId="3148F947" w:rsidR="00BF451B" w:rsidRPr="00151BD7" w:rsidRDefault="00BF451B" w:rsidP="00E268AA">
      <w:pPr>
        <w:pStyle w:val="Odstavecseseznamem"/>
        <w:numPr>
          <w:ilvl w:val="0"/>
          <w:numId w:val="10"/>
        </w:numPr>
        <w:spacing w:after="0"/>
        <w:jc w:val="both"/>
      </w:pPr>
      <w:r w:rsidRPr="00151BD7">
        <w:t>A contract valued at several hundred million US dollars to supply small-</w:t>
      </w:r>
      <w:r w:rsidR="00BD2C45" w:rsidRPr="00151BD7">
        <w:t>calibre</w:t>
      </w:r>
      <w:r w:rsidRPr="00151BD7">
        <w:t xml:space="preserve"> ammunition to the Ministry of Defence of a Southeast Asian state.</w:t>
      </w:r>
    </w:p>
    <w:p w14:paraId="709C4B96" w14:textId="77777777" w:rsidR="00BF451B" w:rsidRPr="00151BD7" w:rsidRDefault="00BF451B" w:rsidP="00E268AA">
      <w:pPr>
        <w:pStyle w:val="Odstavecseseznamem"/>
        <w:numPr>
          <w:ilvl w:val="0"/>
          <w:numId w:val="10"/>
        </w:numPr>
        <w:spacing w:after="0"/>
        <w:jc w:val="both"/>
      </w:pPr>
      <w:r w:rsidRPr="00151BD7">
        <w:t>TATRA Defence signed a strategic contract with KNDS Deutschland for the production of hulls for Leopard 2A8 main battle tanks.</w:t>
      </w:r>
    </w:p>
    <w:p w14:paraId="370CB427" w14:textId="6FFFD00D" w:rsidR="00BF451B" w:rsidRPr="00151BD7" w:rsidRDefault="00BF451B" w:rsidP="00E268AA">
      <w:pPr>
        <w:pStyle w:val="Odstavecseseznamem"/>
        <w:numPr>
          <w:ilvl w:val="0"/>
          <w:numId w:val="10"/>
        </w:numPr>
        <w:spacing w:after="0"/>
        <w:jc w:val="both"/>
      </w:pPr>
      <w:r w:rsidRPr="00151BD7">
        <w:t>TATRA Defence Slovakia was awarded a $1 billion+ production contract for Tatra vehicles for a South-East Asian client.</w:t>
      </w:r>
    </w:p>
    <w:p w14:paraId="19610799" w14:textId="77777777" w:rsidR="00EE3F64" w:rsidRPr="00151BD7" w:rsidRDefault="00EE3F64" w:rsidP="00E268AA">
      <w:pPr>
        <w:spacing w:after="0"/>
        <w:jc w:val="both"/>
      </w:pPr>
    </w:p>
    <w:p w14:paraId="7F5695FE" w14:textId="385D2ED2" w:rsidR="00701C69" w:rsidRPr="00151BD7" w:rsidRDefault="009504D6" w:rsidP="00E268AA">
      <w:pPr>
        <w:spacing w:after="0"/>
        <w:jc w:val="both"/>
        <w:rPr>
          <w:b/>
          <w:i/>
          <w:iCs/>
        </w:rPr>
      </w:pPr>
      <w:r w:rsidRPr="00151BD7">
        <w:rPr>
          <w:b/>
          <w:i/>
          <w:iCs/>
        </w:rPr>
        <w:t>Strategic acquisitions and vertical integration</w:t>
      </w:r>
    </w:p>
    <w:p w14:paraId="7E70CE9C" w14:textId="77777777" w:rsidR="00307884" w:rsidRPr="00151BD7" w:rsidRDefault="00307884" w:rsidP="00E268AA">
      <w:pPr>
        <w:spacing w:after="0"/>
        <w:jc w:val="both"/>
        <w:rPr>
          <w:b/>
        </w:rPr>
      </w:pPr>
    </w:p>
    <w:p w14:paraId="16D61641" w14:textId="10F3FC93" w:rsidR="009504D6" w:rsidRPr="00151BD7" w:rsidRDefault="009504D6" w:rsidP="009504D6">
      <w:pPr>
        <w:spacing w:after="0"/>
        <w:jc w:val="both"/>
        <w:rPr>
          <w:bCs/>
        </w:rPr>
      </w:pPr>
      <w:r w:rsidRPr="00151BD7">
        <w:rPr>
          <w:bCs/>
        </w:rPr>
        <w:t>In 2025, CSG continued to execute a focused M&amp;A programme designed to expand capacity, secure critical inputs and enter adjacent high-growth technologies. The emphasis remained on transactions that reinforce control over the value chain and strengthen the Group’s long-term competitive positioning.</w:t>
      </w:r>
    </w:p>
    <w:p w14:paraId="2831C783" w14:textId="77777777" w:rsidR="009504D6" w:rsidRPr="00151BD7" w:rsidRDefault="009504D6" w:rsidP="009504D6">
      <w:pPr>
        <w:spacing w:after="0"/>
        <w:jc w:val="both"/>
        <w:rPr>
          <w:bCs/>
        </w:rPr>
      </w:pPr>
    </w:p>
    <w:p w14:paraId="0FD03FC6" w14:textId="4BC2950E" w:rsidR="009504D6" w:rsidRPr="00151BD7" w:rsidRDefault="009504D6" w:rsidP="009504D6">
      <w:pPr>
        <w:pStyle w:val="Odstavecseseznamem"/>
        <w:numPr>
          <w:ilvl w:val="0"/>
          <w:numId w:val="10"/>
        </w:numPr>
        <w:spacing w:after="0"/>
        <w:jc w:val="both"/>
      </w:pPr>
      <w:r w:rsidRPr="00151BD7">
        <w:t xml:space="preserve">In May 2025, CSG acquired the MSM </w:t>
      </w:r>
      <w:proofErr w:type="spellStart"/>
      <w:r w:rsidRPr="00151BD7">
        <w:t>Walsrode</w:t>
      </w:r>
      <w:proofErr w:type="spellEnd"/>
      <w:r w:rsidRPr="00151BD7">
        <w:t xml:space="preserve"> industrial park and nitrocellulose production plant in Germany. The facility is being converted from industrial-grade to energetic-grade nitrocellulose production, a critical component in large calibre ammunition. Management expects the conversion to deliver material cost efficiencies compared to outsourced supply, while reducing exposure to market bottlenecks.</w:t>
      </w:r>
      <w:r w:rsidR="00D77193" w:rsidRPr="00151BD7">
        <w:t xml:space="preserve"> This project remains on track to be completed by the end of 2027 and will help underpin medium term margin expansion.</w:t>
      </w:r>
    </w:p>
    <w:p w14:paraId="201BF688" w14:textId="1B0D6F47" w:rsidR="009504D6" w:rsidRPr="00151BD7" w:rsidRDefault="009504D6" w:rsidP="009504D6">
      <w:pPr>
        <w:pStyle w:val="Odstavecseseznamem"/>
        <w:numPr>
          <w:ilvl w:val="0"/>
          <w:numId w:val="10"/>
        </w:numPr>
        <w:spacing w:after="0"/>
        <w:jc w:val="both"/>
      </w:pPr>
      <w:r w:rsidRPr="00151BD7">
        <w:t xml:space="preserve">CSG </w:t>
      </w:r>
      <w:r w:rsidR="003B7E74" w:rsidRPr="00151BD7">
        <w:t xml:space="preserve">agreed to </w:t>
      </w:r>
      <w:r w:rsidRPr="00151BD7">
        <w:t xml:space="preserve">commit €50 million to establish </w:t>
      </w:r>
      <w:proofErr w:type="spellStart"/>
      <w:r w:rsidR="00F623FB" w:rsidRPr="00151BD7">
        <w:t>Ellinika</w:t>
      </w:r>
      <w:proofErr w:type="spellEnd"/>
      <w:r w:rsidR="00F623FB" w:rsidRPr="00151BD7">
        <w:t xml:space="preserve"> </w:t>
      </w:r>
      <w:proofErr w:type="spellStart"/>
      <w:r w:rsidR="00F623FB" w:rsidRPr="00151BD7">
        <w:t>Pyromachika</w:t>
      </w:r>
      <w:proofErr w:type="spellEnd"/>
      <w:r w:rsidR="00F623FB" w:rsidRPr="00151BD7">
        <w:t xml:space="preserve"> </w:t>
      </w:r>
      <w:r w:rsidR="003B7E74" w:rsidRPr="00151BD7">
        <w:t xml:space="preserve">in Greece </w:t>
      </w:r>
      <w:r w:rsidRPr="00151BD7">
        <w:t xml:space="preserve">and reinstate TNT production at the </w:t>
      </w:r>
      <w:proofErr w:type="spellStart"/>
      <w:r w:rsidRPr="00151BD7">
        <w:t>Lavrio</w:t>
      </w:r>
      <w:proofErr w:type="spellEnd"/>
      <w:r w:rsidRPr="00151BD7">
        <w:t xml:space="preserve"> site. This investment strengthens security of supply for explosives. </w:t>
      </w:r>
    </w:p>
    <w:p w14:paraId="50F2BB1A" w14:textId="145DD145" w:rsidR="009504D6" w:rsidRPr="00151BD7" w:rsidRDefault="009504D6" w:rsidP="009504D6">
      <w:pPr>
        <w:pStyle w:val="Odstavecseseznamem"/>
        <w:numPr>
          <w:ilvl w:val="0"/>
          <w:numId w:val="10"/>
        </w:numPr>
        <w:spacing w:after="0"/>
        <w:jc w:val="both"/>
      </w:pPr>
      <w:r w:rsidRPr="00151BD7">
        <w:rPr>
          <w:bCs/>
        </w:rPr>
        <w:t xml:space="preserve">CSG also broadened its technological capabilities with the acquisition of </w:t>
      </w:r>
      <w:proofErr w:type="spellStart"/>
      <w:r w:rsidRPr="00151BD7">
        <w:rPr>
          <w:bCs/>
        </w:rPr>
        <w:t>AviaNera</w:t>
      </w:r>
      <w:proofErr w:type="spellEnd"/>
      <w:r w:rsidRPr="00151BD7">
        <w:rPr>
          <w:bCs/>
        </w:rPr>
        <w:t xml:space="preserve"> Technologies </w:t>
      </w:r>
      <w:proofErr w:type="spellStart"/>
      <w:r w:rsidRPr="00151BD7">
        <w:rPr>
          <w:bCs/>
        </w:rPr>
        <w:t>a.s.</w:t>
      </w:r>
      <w:proofErr w:type="spellEnd"/>
      <w:r w:rsidRPr="00151BD7">
        <w:rPr>
          <w:bCs/>
        </w:rPr>
        <w:t xml:space="preserve"> </w:t>
      </w:r>
      <w:r w:rsidR="00F920CF" w:rsidRPr="00151BD7">
        <w:rPr>
          <w:bCs/>
        </w:rPr>
        <w:t xml:space="preserve">This </w:t>
      </w:r>
      <w:r w:rsidRPr="00151BD7">
        <w:rPr>
          <w:bCs/>
        </w:rPr>
        <w:t xml:space="preserve">marked the launch of the Advanced Systems </w:t>
      </w:r>
      <w:r w:rsidR="00F920CF" w:rsidRPr="00151BD7">
        <w:rPr>
          <w:bCs/>
        </w:rPr>
        <w:t xml:space="preserve">business </w:t>
      </w:r>
      <w:r w:rsidRPr="00151BD7">
        <w:rPr>
          <w:bCs/>
        </w:rPr>
        <w:t>segment, providing in-house R&amp;D expertise in turbo jet and turbo fan engines for UAVs and missile platforms</w:t>
      </w:r>
      <w:r w:rsidR="00F920CF" w:rsidRPr="00151BD7">
        <w:rPr>
          <w:bCs/>
        </w:rPr>
        <w:t>.</w:t>
      </w:r>
    </w:p>
    <w:p w14:paraId="1BA4877C" w14:textId="77777777" w:rsidR="00F920CF" w:rsidRPr="00151BD7" w:rsidRDefault="00F920CF" w:rsidP="009504D6">
      <w:pPr>
        <w:pStyle w:val="Odstavecseseznamem"/>
        <w:numPr>
          <w:ilvl w:val="0"/>
          <w:numId w:val="10"/>
        </w:numPr>
        <w:spacing w:after="0"/>
        <w:jc w:val="both"/>
        <w:rPr>
          <w:bCs/>
        </w:rPr>
      </w:pPr>
      <w:r w:rsidRPr="00151BD7">
        <w:rPr>
          <w:bCs/>
        </w:rPr>
        <w:t xml:space="preserve">Additional targeted acquisitions during the year strengthened control over critical materials and advanced technologies. These included MUST Solutions, focused on advanced propulsion systems for unmanned aerial vehicles, and GAMA OCEL, a producer of armoured steel plates, enhancing upstream capabilities in protected vehicle platforms. CSG also expanded its ammunition portfolio through the acquisition of ZVI </w:t>
      </w:r>
      <w:r w:rsidRPr="00151BD7">
        <w:rPr>
          <w:rFonts w:cs="Arial"/>
          <w:bCs/>
          <w:szCs w:val="20"/>
        </w:rPr>
        <w:t>Vsetín</w:t>
      </w:r>
      <w:r w:rsidRPr="00151BD7">
        <w:rPr>
          <w:bCs/>
        </w:rPr>
        <w:t>, supporting the development of its medium calibre offering.</w:t>
      </w:r>
    </w:p>
    <w:p w14:paraId="4414423E" w14:textId="536601D0" w:rsidR="009504D6" w:rsidRPr="00151BD7" w:rsidRDefault="00467031" w:rsidP="009504D6">
      <w:pPr>
        <w:pStyle w:val="Odstavecseseznamem"/>
        <w:numPr>
          <w:ilvl w:val="0"/>
          <w:numId w:val="10"/>
        </w:numPr>
        <w:spacing w:after="0"/>
        <w:jc w:val="both"/>
        <w:rPr>
          <w:bCs/>
        </w:rPr>
      </w:pPr>
      <w:r w:rsidRPr="00151BD7">
        <w:rPr>
          <w:bCs/>
        </w:rPr>
        <w:t>CSG</w:t>
      </w:r>
      <w:r w:rsidR="009504D6" w:rsidRPr="00151BD7">
        <w:rPr>
          <w:bCs/>
        </w:rPr>
        <w:t xml:space="preserve"> completed the acquisition of the remaining 30% stake in Fiocchi, consolidating full ownership of the Ammo+ platform</w:t>
      </w:r>
      <w:r w:rsidRPr="00151BD7">
        <w:rPr>
          <w:bCs/>
        </w:rPr>
        <w:t xml:space="preserve">, </w:t>
      </w:r>
      <w:r w:rsidRPr="00151BD7">
        <w:rPr>
          <w:rFonts w:cs="Arial"/>
          <w:bCs/>
          <w:szCs w:val="20"/>
        </w:rPr>
        <w:t>and substantially integrated The Kinetic Group following its November 2024 acquisition.</w:t>
      </w:r>
    </w:p>
    <w:p w14:paraId="37420C25" w14:textId="77777777" w:rsidR="00307884" w:rsidRPr="00151BD7" w:rsidRDefault="00307884" w:rsidP="00E268AA">
      <w:pPr>
        <w:spacing w:after="0"/>
        <w:jc w:val="both"/>
        <w:rPr>
          <w:b/>
        </w:rPr>
      </w:pPr>
    </w:p>
    <w:p w14:paraId="3A6D26F7" w14:textId="125FC6B4" w:rsidR="00EE3F64" w:rsidRPr="00151BD7" w:rsidRDefault="00654BAE" w:rsidP="00E268AA">
      <w:pPr>
        <w:spacing w:after="0"/>
        <w:jc w:val="both"/>
        <w:rPr>
          <w:b/>
        </w:rPr>
      </w:pPr>
      <w:r w:rsidRPr="00151BD7">
        <w:rPr>
          <w:b/>
        </w:rPr>
        <w:t xml:space="preserve">Segment </w:t>
      </w:r>
      <w:r w:rsidR="00DF2DA2" w:rsidRPr="00151BD7">
        <w:rPr>
          <w:b/>
        </w:rPr>
        <w:t>Performance</w:t>
      </w:r>
      <w:r w:rsidRPr="00151BD7">
        <w:rPr>
          <w:b/>
        </w:rPr>
        <w:t xml:space="preserve"> Review</w:t>
      </w:r>
    </w:p>
    <w:p w14:paraId="087C95EB" w14:textId="77777777" w:rsidR="00CA5825" w:rsidRPr="00151BD7" w:rsidRDefault="00CA5825" w:rsidP="00E268AA">
      <w:pPr>
        <w:spacing w:after="0"/>
        <w:jc w:val="both"/>
      </w:pPr>
    </w:p>
    <w:p w14:paraId="6B78DBA5" w14:textId="62D68251" w:rsidR="005F6D77" w:rsidRPr="00151BD7" w:rsidRDefault="005F6D77" w:rsidP="005F6D77">
      <w:pPr>
        <w:spacing w:after="0"/>
        <w:jc w:val="both"/>
      </w:pPr>
      <w:r w:rsidRPr="00151BD7">
        <w:t>The Group reports two core business segments: CSG Defence Systems and CSG Ammo+. This structure reflects both the industrial logic of the portfolio and the way management allocates capital, drives operational performance and engages with customers.</w:t>
      </w:r>
      <w:r w:rsidR="00DF5A2D" w:rsidRPr="00151BD7">
        <w:t xml:space="preserve"> </w:t>
      </w:r>
    </w:p>
    <w:p w14:paraId="168F3D88" w14:textId="77777777" w:rsidR="005F6D77" w:rsidRPr="00151BD7" w:rsidRDefault="005F6D77" w:rsidP="005F6D77">
      <w:pPr>
        <w:spacing w:after="0"/>
        <w:jc w:val="both"/>
      </w:pPr>
    </w:p>
    <w:p w14:paraId="5053A3B4" w14:textId="4819CAD4" w:rsidR="0091679F" w:rsidRPr="00151BD7" w:rsidRDefault="005F6D77" w:rsidP="005F6D77">
      <w:pPr>
        <w:spacing w:after="0"/>
        <w:jc w:val="both"/>
      </w:pPr>
      <w:r w:rsidRPr="00151BD7">
        <w:t xml:space="preserve">Defence Systems brings together the Group’s activities in military land systems, medium and large calibre ammunition and related defence technologies. It integrates traditional heavy industrial platforms with modern defence capabilities, operating primarily across European markets and serving NATO and allied customers. </w:t>
      </w:r>
    </w:p>
    <w:p w14:paraId="75E546FA" w14:textId="77777777" w:rsidR="005F6D77" w:rsidRPr="00151BD7" w:rsidRDefault="005F6D77" w:rsidP="005F6D77">
      <w:pPr>
        <w:spacing w:after="0"/>
        <w:jc w:val="both"/>
      </w:pPr>
    </w:p>
    <w:p w14:paraId="0A574200" w14:textId="7E5752D8" w:rsidR="005F6D77" w:rsidRPr="00151BD7" w:rsidRDefault="005F6D77" w:rsidP="005F6D77">
      <w:pPr>
        <w:spacing w:after="0"/>
        <w:jc w:val="both"/>
      </w:pPr>
      <w:r w:rsidRPr="00151BD7">
        <w:t>CSG Ammo+ represents the Group’s global small calibre ammunition platform. The segment was materially strengthened by the acquisition of the Kinetic Group in 2024, transforming the Group into a global leader in small calibre ammunition with significant scale in the United States</w:t>
      </w:r>
      <w:r w:rsidR="009E10FC" w:rsidRPr="00151BD7">
        <w:t xml:space="preserve">. </w:t>
      </w:r>
      <w:r w:rsidRPr="00151BD7">
        <w:t xml:space="preserve">The subsequent consolidation of Fiocchi </w:t>
      </w:r>
      <w:r w:rsidR="009E10FC" w:rsidRPr="00151BD7">
        <w:t xml:space="preserve">has </w:t>
      </w:r>
      <w:r w:rsidRPr="00151BD7">
        <w:t>further streamlined the structure</w:t>
      </w:r>
      <w:r w:rsidR="009E10FC" w:rsidRPr="00151BD7">
        <w:t>.</w:t>
      </w:r>
    </w:p>
    <w:p w14:paraId="4373E387" w14:textId="77777777" w:rsidR="00DF5A2D" w:rsidRPr="00151BD7" w:rsidRDefault="00DF5A2D" w:rsidP="005F6D77">
      <w:pPr>
        <w:spacing w:after="0"/>
        <w:jc w:val="both"/>
      </w:pPr>
    </w:p>
    <w:p w14:paraId="26D0FD41" w14:textId="6DC8505C" w:rsidR="00B14911" w:rsidRPr="00151BD7" w:rsidRDefault="00DF5A2D" w:rsidP="00E268AA">
      <w:pPr>
        <w:spacing w:after="0"/>
        <w:jc w:val="both"/>
      </w:pPr>
      <w:r w:rsidRPr="00151BD7">
        <w:lastRenderedPageBreak/>
        <w:t>Total revenue from Defence Systems increased significantly, up 55.</w:t>
      </w:r>
      <w:r w:rsidR="00D319AD" w:rsidRPr="00151BD7">
        <w:t>3</w:t>
      </w:r>
      <w:r w:rsidRPr="00151BD7">
        <w:t>% year on year, to €5,34</w:t>
      </w:r>
      <w:r w:rsidR="00D319AD" w:rsidRPr="00151BD7">
        <w:t>6</w:t>
      </w:r>
      <w:r w:rsidRPr="00151BD7">
        <w:t xml:space="preserve"> million. This growth was primarily driven by sustained demand for large-calibre artillery systems and ammunition linked to the conflict in Ukraine, including direct deliveries as well as sales to companies engaged in supplying Ukraine’s defence requirements, against the backdrop of broader NATO re-stocking and procurement activity. Defence Systems </w:t>
      </w:r>
      <w:r w:rsidR="00D319AD" w:rsidRPr="00151BD7">
        <w:t xml:space="preserve">Adjusted Operating </w:t>
      </w:r>
      <w:r w:rsidRPr="00151BD7">
        <w:t>EBIT grew slightly ahead of revenue, up 55.</w:t>
      </w:r>
      <w:r w:rsidR="00D319AD" w:rsidRPr="00151BD7">
        <w:t>8</w:t>
      </w:r>
      <w:r w:rsidRPr="00151BD7">
        <w:t>% to €</w:t>
      </w:r>
      <w:r w:rsidR="00D319AD" w:rsidRPr="00151BD7">
        <w:t>1,502</w:t>
      </w:r>
      <w:r w:rsidRPr="00151BD7">
        <w:t xml:space="preserve"> million, reflecting operating leverage across expanded production volumes, improved capacity utilisation and the benefits of vertical integration and disciplined cost control</w:t>
      </w:r>
      <w:r w:rsidR="00DC11E3" w:rsidRPr="00151BD7">
        <w:t>.</w:t>
      </w:r>
    </w:p>
    <w:p w14:paraId="449AB6D8" w14:textId="77777777" w:rsidR="000460A6" w:rsidRPr="00151BD7" w:rsidRDefault="000460A6" w:rsidP="00E268AA">
      <w:pPr>
        <w:spacing w:after="0"/>
        <w:jc w:val="both"/>
      </w:pPr>
    </w:p>
    <w:p w14:paraId="10764ED1" w14:textId="475E7C2B" w:rsidR="00DF5A2D" w:rsidRPr="00151BD7" w:rsidRDefault="000460A6" w:rsidP="00E268AA">
      <w:pPr>
        <w:spacing w:after="0"/>
        <w:jc w:val="both"/>
      </w:pPr>
      <w:r w:rsidRPr="00151BD7">
        <w:t xml:space="preserve">On a reported basis, Ammo+ revenue increased significantly year on year, up 189.4%, reflecting the full-period contribution of the Kinetic acquisition. On a pro forma basis, revenue declined, driven by softer demand in </w:t>
      </w:r>
      <w:r w:rsidR="000711DA" w:rsidRPr="00151BD7">
        <w:t>commercial</w:t>
      </w:r>
      <w:r w:rsidRPr="00151BD7">
        <w:t xml:space="preserve"> markets compared to the elevated levels seen in prior periods. </w:t>
      </w:r>
      <w:r w:rsidR="00D319AD" w:rsidRPr="00151BD7">
        <w:t xml:space="preserve">Adjusted Operating </w:t>
      </w:r>
      <w:r w:rsidRPr="00151BD7">
        <w:t xml:space="preserve">EBIT decreased as lower volumes reduced operating leverage and the segment absorbed higher input costs, including copper, propellants and other raw materials, as well as the impact of tariffs on certain imports. In response, management introduced targeted pricing adjustments across selected product categories to mitigate margin pressure and better align realised prices with the current cost base. </w:t>
      </w:r>
    </w:p>
    <w:p w14:paraId="0BED72CC" w14:textId="77777777" w:rsidR="000460A6" w:rsidRPr="00151BD7" w:rsidRDefault="000460A6" w:rsidP="00E268AA">
      <w:pPr>
        <w:spacing w:after="0"/>
        <w:jc w:val="both"/>
      </w:pPr>
    </w:p>
    <w:p w14:paraId="3A907B5C" w14:textId="63DC3111" w:rsidR="00B14911" w:rsidRPr="00151BD7" w:rsidRDefault="004B2943" w:rsidP="00E268AA">
      <w:pPr>
        <w:spacing w:after="0"/>
        <w:jc w:val="both"/>
      </w:pPr>
      <w:r w:rsidRPr="00151BD7">
        <w:t xml:space="preserve">Segment </w:t>
      </w:r>
      <w:r w:rsidR="00B14911" w:rsidRPr="00151BD7">
        <w:t>Revenue</w:t>
      </w:r>
    </w:p>
    <w:p w14:paraId="53D93C9B" w14:textId="77777777" w:rsidR="00483F21" w:rsidRPr="00151BD7" w:rsidRDefault="00483F21" w:rsidP="00E268AA">
      <w:pPr>
        <w:spacing w:after="0"/>
        <w:jc w:val="both"/>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1322"/>
        <w:gridCol w:w="1322"/>
        <w:gridCol w:w="1322"/>
        <w:gridCol w:w="1322"/>
        <w:gridCol w:w="1322"/>
      </w:tblGrid>
      <w:tr w:rsidR="00C3648C" w:rsidRPr="00151BD7" w14:paraId="470EC938" w14:textId="357F9645" w:rsidTr="009B1242">
        <w:trPr>
          <w:trHeight w:val="581"/>
        </w:trPr>
        <w:tc>
          <w:tcPr>
            <w:tcW w:w="2842" w:type="dxa"/>
          </w:tcPr>
          <w:p w14:paraId="4FF6EB63" w14:textId="5109BA8D" w:rsidR="00C3648C" w:rsidRPr="00151BD7" w:rsidRDefault="00F10018" w:rsidP="00E268AA">
            <w:pPr>
              <w:spacing w:after="0"/>
              <w:jc w:val="both"/>
              <w:rPr>
                <w:b/>
              </w:rPr>
            </w:pPr>
            <w:r w:rsidRPr="00151BD7">
              <w:rPr>
                <w:b/>
                <w:bCs/>
              </w:rPr>
              <w:t>€</w:t>
            </w:r>
            <w:r w:rsidR="00C3648C" w:rsidRPr="00151BD7">
              <w:rPr>
                <w:b/>
              </w:rPr>
              <w:t xml:space="preserve"> m</w:t>
            </w:r>
          </w:p>
        </w:tc>
        <w:tc>
          <w:tcPr>
            <w:tcW w:w="1322" w:type="dxa"/>
          </w:tcPr>
          <w:p w14:paraId="4EB11014" w14:textId="77777777" w:rsidR="00C3648C" w:rsidRPr="00151BD7" w:rsidRDefault="00C3648C" w:rsidP="00E268AA">
            <w:pPr>
              <w:spacing w:after="0"/>
              <w:jc w:val="both"/>
              <w:rPr>
                <w:b/>
              </w:rPr>
            </w:pPr>
            <w:r w:rsidRPr="00151BD7">
              <w:rPr>
                <w:b/>
              </w:rPr>
              <w:t>FY25</w:t>
            </w:r>
          </w:p>
        </w:tc>
        <w:tc>
          <w:tcPr>
            <w:tcW w:w="1322" w:type="dxa"/>
          </w:tcPr>
          <w:p w14:paraId="79C2A44E" w14:textId="77777777" w:rsidR="00C3648C" w:rsidRPr="00151BD7" w:rsidRDefault="00C3648C" w:rsidP="00E268AA">
            <w:pPr>
              <w:spacing w:after="0"/>
              <w:jc w:val="both"/>
              <w:rPr>
                <w:b/>
              </w:rPr>
            </w:pPr>
            <w:r w:rsidRPr="00151BD7">
              <w:rPr>
                <w:b/>
              </w:rPr>
              <w:t>FY24</w:t>
            </w:r>
          </w:p>
        </w:tc>
        <w:tc>
          <w:tcPr>
            <w:tcW w:w="1322" w:type="dxa"/>
          </w:tcPr>
          <w:p w14:paraId="731B56F1" w14:textId="77777777" w:rsidR="00C3648C" w:rsidRPr="00151BD7" w:rsidRDefault="00C3648C" w:rsidP="00E268AA">
            <w:pPr>
              <w:spacing w:after="0"/>
              <w:jc w:val="both"/>
              <w:rPr>
                <w:b/>
              </w:rPr>
            </w:pPr>
            <w:r w:rsidRPr="00151BD7">
              <w:rPr>
                <w:b/>
              </w:rPr>
              <w:t xml:space="preserve">FY24 </w:t>
            </w:r>
          </w:p>
          <w:p w14:paraId="14394069" w14:textId="3E6EA520" w:rsidR="00C3648C" w:rsidRPr="00151BD7" w:rsidRDefault="00C3648C" w:rsidP="00E268AA">
            <w:pPr>
              <w:spacing w:after="0"/>
              <w:jc w:val="both"/>
              <w:rPr>
                <w:b/>
              </w:rPr>
            </w:pPr>
            <w:r w:rsidRPr="00151BD7">
              <w:rPr>
                <w:b/>
              </w:rPr>
              <w:t>Pro forma</w:t>
            </w:r>
          </w:p>
        </w:tc>
        <w:tc>
          <w:tcPr>
            <w:tcW w:w="1322" w:type="dxa"/>
          </w:tcPr>
          <w:p w14:paraId="3B264AC2" w14:textId="5406640E" w:rsidR="00C3648C" w:rsidRPr="00151BD7" w:rsidRDefault="00C3648C" w:rsidP="00E268AA">
            <w:pPr>
              <w:spacing w:after="0"/>
              <w:jc w:val="both"/>
              <w:rPr>
                <w:b/>
              </w:rPr>
            </w:pPr>
            <w:r w:rsidRPr="00151BD7">
              <w:rPr>
                <w:b/>
              </w:rPr>
              <w:t>Change</w:t>
            </w:r>
          </w:p>
        </w:tc>
        <w:tc>
          <w:tcPr>
            <w:tcW w:w="1322" w:type="dxa"/>
          </w:tcPr>
          <w:p w14:paraId="7AB4B545" w14:textId="1AB19D61" w:rsidR="00C3648C" w:rsidRPr="00151BD7" w:rsidRDefault="00C3648C" w:rsidP="00E268AA">
            <w:pPr>
              <w:spacing w:after="0"/>
              <w:jc w:val="both"/>
              <w:rPr>
                <w:b/>
              </w:rPr>
            </w:pPr>
            <w:r w:rsidRPr="00151BD7">
              <w:rPr>
                <w:b/>
              </w:rPr>
              <w:t>Change Pro forma</w:t>
            </w:r>
          </w:p>
        </w:tc>
      </w:tr>
      <w:tr w:rsidR="00C3648C" w:rsidRPr="00151BD7" w14:paraId="1678AC5C" w14:textId="019B20F7" w:rsidTr="009B1242">
        <w:trPr>
          <w:trHeight w:val="290"/>
        </w:trPr>
        <w:tc>
          <w:tcPr>
            <w:tcW w:w="2842" w:type="dxa"/>
          </w:tcPr>
          <w:p w14:paraId="1D4A53E5" w14:textId="77777777" w:rsidR="00C3648C" w:rsidRPr="00151BD7" w:rsidRDefault="00C3648C" w:rsidP="00E268AA">
            <w:pPr>
              <w:spacing w:after="0"/>
              <w:jc w:val="both"/>
            </w:pPr>
            <w:r w:rsidRPr="00151BD7">
              <w:t>CSG Defence Systems</w:t>
            </w:r>
          </w:p>
        </w:tc>
        <w:tc>
          <w:tcPr>
            <w:tcW w:w="1322" w:type="dxa"/>
          </w:tcPr>
          <w:p w14:paraId="478136E8" w14:textId="3E3AD5BE" w:rsidR="00C3648C" w:rsidRPr="00151BD7" w:rsidRDefault="00694B27" w:rsidP="00E268AA">
            <w:pPr>
              <w:spacing w:after="0"/>
              <w:jc w:val="both"/>
            </w:pPr>
            <w:r w:rsidRPr="00151BD7">
              <w:t>5,34</w:t>
            </w:r>
            <w:r w:rsidR="00952437" w:rsidRPr="00151BD7">
              <w:t>6</w:t>
            </w:r>
          </w:p>
        </w:tc>
        <w:tc>
          <w:tcPr>
            <w:tcW w:w="1322" w:type="dxa"/>
          </w:tcPr>
          <w:p w14:paraId="43243D65" w14:textId="5AE96C66" w:rsidR="00C3648C" w:rsidRPr="00151BD7" w:rsidRDefault="00694B27" w:rsidP="00E268AA">
            <w:pPr>
              <w:spacing w:after="0"/>
              <w:jc w:val="both"/>
            </w:pPr>
            <w:r w:rsidRPr="00151BD7">
              <w:t>3,443</w:t>
            </w:r>
          </w:p>
        </w:tc>
        <w:tc>
          <w:tcPr>
            <w:tcW w:w="1322" w:type="dxa"/>
          </w:tcPr>
          <w:p w14:paraId="120F3979" w14:textId="1B72D280" w:rsidR="00C3648C" w:rsidRPr="00151BD7" w:rsidRDefault="00694B27" w:rsidP="00E268AA">
            <w:pPr>
              <w:spacing w:after="0"/>
              <w:jc w:val="both"/>
            </w:pPr>
            <w:r w:rsidRPr="00151BD7">
              <w:t>3,443</w:t>
            </w:r>
          </w:p>
        </w:tc>
        <w:tc>
          <w:tcPr>
            <w:tcW w:w="1322" w:type="dxa"/>
          </w:tcPr>
          <w:p w14:paraId="605420BC" w14:textId="479E4B0F" w:rsidR="00C3648C" w:rsidRPr="00151BD7" w:rsidRDefault="00694B27" w:rsidP="00E268AA">
            <w:pPr>
              <w:spacing w:after="0"/>
              <w:jc w:val="both"/>
            </w:pPr>
            <w:r w:rsidRPr="00151BD7">
              <w:t>55.</w:t>
            </w:r>
            <w:r w:rsidR="00BD2C45" w:rsidRPr="00151BD7">
              <w:t>3</w:t>
            </w:r>
            <w:r w:rsidRPr="00151BD7">
              <w:t>%</w:t>
            </w:r>
          </w:p>
        </w:tc>
        <w:tc>
          <w:tcPr>
            <w:tcW w:w="1322" w:type="dxa"/>
          </w:tcPr>
          <w:p w14:paraId="374C51D0" w14:textId="3B64DB62" w:rsidR="00C3648C" w:rsidRPr="00151BD7" w:rsidRDefault="00694B27" w:rsidP="00E268AA">
            <w:pPr>
              <w:spacing w:after="0"/>
              <w:jc w:val="both"/>
            </w:pPr>
            <w:r w:rsidRPr="00151BD7">
              <w:t>55.</w:t>
            </w:r>
            <w:r w:rsidR="00BD2C45" w:rsidRPr="00151BD7">
              <w:t>3</w:t>
            </w:r>
            <w:r w:rsidRPr="00151BD7">
              <w:t>%</w:t>
            </w:r>
          </w:p>
        </w:tc>
      </w:tr>
      <w:tr w:rsidR="00C3648C" w:rsidRPr="00151BD7" w14:paraId="0D040884" w14:textId="05EB673E" w:rsidTr="009B1242">
        <w:trPr>
          <w:trHeight w:val="290"/>
        </w:trPr>
        <w:tc>
          <w:tcPr>
            <w:tcW w:w="2842" w:type="dxa"/>
          </w:tcPr>
          <w:p w14:paraId="2E78F3A7" w14:textId="4275E6D2" w:rsidR="00C3648C" w:rsidRPr="00151BD7" w:rsidRDefault="00C3648C" w:rsidP="00E268AA">
            <w:pPr>
              <w:spacing w:after="0"/>
              <w:jc w:val="both"/>
            </w:pPr>
            <w:r w:rsidRPr="00151BD7">
              <w:t>CSG Ammo+</w:t>
            </w:r>
          </w:p>
        </w:tc>
        <w:tc>
          <w:tcPr>
            <w:tcW w:w="1322" w:type="dxa"/>
          </w:tcPr>
          <w:p w14:paraId="71282A47" w14:textId="221DE4CA" w:rsidR="00C3648C" w:rsidRPr="00151BD7" w:rsidRDefault="00694B27" w:rsidP="00E268AA">
            <w:pPr>
              <w:spacing w:after="0"/>
              <w:jc w:val="both"/>
            </w:pPr>
            <w:r w:rsidRPr="00151BD7">
              <w:t>1,39</w:t>
            </w:r>
            <w:r w:rsidR="00406D0C" w:rsidRPr="00151BD7">
              <w:t>5</w:t>
            </w:r>
          </w:p>
        </w:tc>
        <w:tc>
          <w:tcPr>
            <w:tcW w:w="1322" w:type="dxa"/>
          </w:tcPr>
          <w:p w14:paraId="2CEAD31D" w14:textId="4F4D6EA4" w:rsidR="00C3648C" w:rsidRPr="00151BD7" w:rsidRDefault="00694B27" w:rsidP="00E268AA">
            <w:pPr>
              <w:spacing w:after="0"/>
              <w:jc w:val="both"/>
            </w:pPr>
            <w:r w:rsidRPr="00151BD7">
              <w:t>482</w:t>
            </w:r>
          </w:p>
        </w:tc>
        <w:tc>
          <w:tcPr>
            <w:tcW w:w="1322" w:type="dxa"/>
          </w:tcPr>
          <w:p w14:paraId="7A1D1FD2" w14:textId="68E14CB9" w:rsidR="00C3648C" w:rsidRPr="00151BD7" w:rsidRDefault="00694B27" w:rsidP="00E268AA">
            <w:pPr>
              <w:spacing w:after="0"/>
              <w:jc w:val="both"/>
            </w:pPr>
            <w:r w:rsidRPr="00151BD7">
              <w:t>1,656</w:t>
            </w:r>
          </w:p>
        </w:tc>
        <w:tc>
          <w:tcPr>
            <w:tcW w:w="1322" w:type="dxa"/>
          </w:tcPr>
          <w:p w14:paraId="47B1D9F9" w14:textId="2147F852" w:rsidR="00C3648C" w:rsidRPr="00151BD7" w:rsidRDefault="00694B27" w:rsidP="00E268AA">
            <w:pPr>
              <w:spacing w:after="0"/>
              <w:jc w:val="both"/>
            </w:pPr>
            <w:r w:rsidRPr="00151BD7">
              <w:t>189.4%</w:t>
            </w:r>
          </w:p>
        </w:tc>
        <w:tc>
          <w:tcPr>
            <w:tcW w:w="1322" w:type="dxa"/>
          </w:tcPr>
          <w:p w14:paraId="32E469D3" w14:textId="39E9B910" w:rsidR="00C3648C" w:rsidRPr="00151BD7" w:rsidRDefault="00694B27" w:rsidP="00E268AA">
            <w:pPr>
              <w:spacing w:after="0"/>
              <w:jc w:val="both"/>
            </w:pPr>
            <w:r w:rsidRPr="00151BD7">
              <w:t>(15.7%)</w:t>
            </w:r>
          </w:p>
        </w:tc>
      </w:tr>
      <w:tr w:rsidR="00C3648C" w:rsidRPr="00151BD7" w14:paraId="745823B9" w14:textId="7FBC953F" w:rsidTr="009B1242">
        <w:trPr>
          <w:trHeight w:val="290"/>
        </w:trPr>
        <w:tc>
          <w:tcPr>
            <w:tcW w:w="2842" w:type="dxa"/>
          </w:tcPr>
          <w:p w14:paraId="6EC7685F" w14:textId="089171EE" w:rsidR="00C3648C" w:rsidRPr="00151BD7" w:rsidRDefault="00C3648C" w:rsidP="00E268AA">
            <w:pPr>
              <w:spacing w:after="0"/>
              <w:jc w:val="both"/>
            </w:pPr>
            <w:r w:rsidRPr="00151BD7">
              <w:t>Other</w:t>
            </w:r>
            <w:r w:rsidR="007B6B46" w:rsidRPr="00151BD7">
              <w:t xml:space="preserve"> </w:t>
            </w:r>
          </w:p>
        </w:tc>
        <w:tc>
          <w:tcPr>
            <w:tcW w:w="1322" w:type="dxa"/>
          </w:tcPr>
          <w:p w14:paraId="72FBFC18" w14:textId="058D4D29" w:rsidR="00C3648C" w:rsidRPr="00151BD7" w:rsidRDefault="00694B27" w:rsidP="00E268AA">
            <w:pPr>
              <w:spacing w:after="0"/>
              <w:jc w:val="both"/>
            </w:pPr>
            <w:r w:rsidRPr="00151BD7">
              <w:t>11</w:t>
            </w:r>
            <w:r w:rsidR="00BD2C45" w:rsidRPr="00151BD7">
              <w:t>6</w:t>
            </w:r>
          </w:p>
        </w:tc>
        <w:tc>
          <w:tcPr>
            <w:tcW w:w="1322" w:type="dxa"/>
          </w:tcPr>
          <w:p w14:paraId="48032106" w14:textId="24A9CDA7" w:rsidR="00C3648C" w:rsidRPr="00151BD7" w:rsidRDefault="00BD2C45" w:rsidP="00E268AA">
            <w:pPr>
              <w:spacing w:after="0"/>
              <w:jc w:val="both"/>
            </w:pPr>
            <w:r w:rsidRPr="00151BD7">
              <w:t>81</w:t>
            </w:r>
          </w:p>
        </w:tc>
        <w:tc>
          <w:tcPr>
            <w:tcW w:w="1322" w:type="dxa"/>
          </w:tcPr>
          <w:p w14:paraId="16BD982D" w14:textId="26A553D4" w:rsidR="00C3648C" w:rsidRPr="00151BD7" w:rsidRDefault="00BD2C45" w:rsidP="00E268AA">
            <w:pPr>
              <w:spacing w:after="0"/>
              <w:jc w:val="both"/>
            </w:pPr>
            <w:r w:rsidRPr="00151BD7">
              <w:t>81</w:t>
            </w:r>
          </w:p>
        </w:tc>
        <w:tc>
          <w:tcPr>
            <w:tcW w:w="1322" w:type="dxa"/>
          </w:tcPr>
          <w:p w14:paraId="3B16CA35" w14:textId="4494D8BC" w:rsidR="00C3648C" w:rsidRPr="00151BD7" w:rsidRDefault="00694B27" w:rsidP="00E268AA">
            <w:pPr>
              <w:spacing w:after="0"/>
              <w:jc w:val="both"/>
            </w:pPr>
            <w:r w:rsidRPr="00151BD7">
              <w:t>4</w:t>
            </w:r>
            <w:r w:rsidR="00BD2C45" w:rsidRPr="00151BD7">
              <w:t>2.8</w:t>
            </w:r>
            <w:r w:rsidRPr="00151BD7">
              <w:t>%</w:t>
            </w:r>
          </w:p>
        </w:tc>
        <w:tc>
          <w:tcPr>
            <w:tcW w:w="1322" w:type="dxa"/>
          </w:tcPr>
          <w:p w14:paraId="00B68AAD" w14:textId="3373747F" w:rsidR="00C3648C" w:rsidRPr="00151BD7" w:rsidRDefault="00694B27" w:rsidP="00E268AA">
            <w:pPr>
              <w:spacing w:after="0"/>
              <w:jc w:val="both"/>
            </w:pPr>
            <w:r w:rsidRPr="00151BD7">
              <w:t>4</w:t>
            </w:r>
            <w:r w:rsidR="00BD2C45" w:rsidRPr="00151BD7">
              <w:t>2.8</w:t>
            </w:r>
            <w:r w:rsidRPr="00151BD7">
              <w:t>%</w:t>
            </w:r>
          </w:p>
        </w:tc>
      </w:tr>
      <w:tr w:rsidR="00C3648C" w:rsidRPr="00151BD7" w14:paraId="2A0F6303" w14:textId="75F2BAD4" w:rsidTr="009B1242">
        <w:trPr>
          <w:trHeight w:val="277"/>
        </w:trPr>
        <w:tc>
          <w:tcPr>
            <w:tcW w:w="2842" w:type="dxa"/>
          </w:tcPr>
          <w:p w14:paraId="745F738E" w14:textId="14664B2C" w:rsidR="00C3648C" w:rsidRPr="00151BD7" w:rsidRDefault="00C3648C" w:rsidP="00E268AA">
            <w:pPr>
              <w:spacing w:after="0"/>
              <w:jc w:val="both"/>
            </w:pPr>
            <w:r w:rsidRPr="00151BD7">
              <w:t xml:space="preserve">Elimination of intersegment </w:t>
            </w:r>
          </w:p>
        </w:tc>
        <w:tc>
          <w:tcPr>
            <w:tcW w:w="1322" w:type="dxa"/>
          </w:tcPr>
          <w:p w14:paraId="0CE0F877" w14:textId="51874BFC" w:rsidR="00C3648C" w:rsidRPr="00151BD7" w:rsidRDefault="00694B27" w:rsidP="00E268AA">
            <w:pPr>
              <w:spacing w:after="0"/>
              <w:jc w:val="both"/>
            </w:pPr>
            <w:r w:rsidRPr="00151BD7">
              <w:t>(117)</w:t>
            </w:r>
          </w:p>
        </w:tc>
        <w:tc>
          <w:tcPr>
            <w:tcW w:w="1322" w:type="dxa"/>
          </w:tcPr>
          <w:p w14:paraId="2DA893AC" w14:textId="56DEAE18" w:rsidR="00C3648C" w:rsidRPr="00151BD7" w:rsidRDefault="00406D0C" w:rsidP="00E268AA">
            <w:pPr>
              <w:spacing w:after="0"/>
              <w:jc w:val="both"/>
            </w:pPr>
            <w:r w:rsidRPr="00151BD7">
              <w:t>(</w:t>
            </w:r>
            <w:r w:rsidR="00694B27" w:rsidRPr="00151BD7">
              <w:t>8</w:t>
            </w:r>
            <w:r w:rsidR="00BD2C45" w:rsidRPr="00151BD7">
              <w:t>2</w:t>
            </w:r>
            <w:r w:rsidRPr="00151BD7">
              <w:t>)</w:t>
            </w:r>
          </w:p>
        </w:tc>
        <w:tc>
          <w:tcPr>
            <w:tcW w:w="1322" w:type="dxa"/>
          </w:tcPr>
          <w:p w14:paraId="1366CF2D" w14:textId="195C8562" w:rsidR="00C3648C" w:rsidRPr="00151BD7" w:rsidRDefault="00406D0C" w:rsidP="00E268AA">
            <w:pPr>
              <w:spacing w:after="0"/>
              <w:jc w:val="both"/>
            </w:pPr>
            <w:r w:rsidRPr="00151BD7">
              <w:t>(</w:t>
            </w:r>
            <w:r w:rsidR="00694B27" w:rsidRPr="00151BD7">
              <w:t>8</w:t>
            </w:r>
            <w:r w:rsidR="00D319AD" w:rsidRPr="00151BD7">
              <w:t>2</w:t>
            </w:r>
            <w:r w:rsidRPr="00151BD7">
              <w:t>)</w:t>
            </w:r>
          </w:p>
        </w:tc>
        <w:tc>
          <w:tcPr>
            <w:tcW w:w="1322" w:type="dxa"/>
          </w:tcPr>
          <w:p w14:paraId="3735E7EE" w14:textId="63479AF1" w:rsidR="00C3648C" w:rsidRPr="00151BD7" w:rsidRDefault="00D319AD" w:rsidP="00E268AA">
            <w:pPr>
              <w:spacing w:after="0"/>
              <w:jc w:val="both"/>
            </w:pPr>
            <w:r w:rsidRPr="00151BD7">
              <w:t>42.5</w:t>
            </w:r>
            <w:r w:rsidR="00694B27" w:rsidRPr="00151BD7">
              <w:t>%</w:t>
            </w:r>
          </w:p>
        </w:tc>
        <w:tc>
          <w:tcPr>
            <w:tcW w:w="1322" w:type="dxa"/>
          </w:tcPr>
          <w:p w14:paraId="7BF648C1" w14:textId="2EF56387" w:rsidR="00C3648C" w:rsidRPr="00151BD7" w:rsidRDefault="00D319AD" w:rsidP="00E268AA">
            <w:pPr>
              <w:spacing w:after="0"/>
              <w:jc w:val="both"/>
            </w:pPr>
            <w:r w:rsidRPr="00151BD7">
              <w:t>42.5</w:t>
            </w:r>
            <w:r w:rsidR="00694B27" w:rsidRPr="00151BD7">
              <w:t>%</w:t>
            </w:r>
          </w:p>
        </w:tc>
      </w:tr>
    </w:tbl>
    <w:p w14:paraId="4CE616DD" w14:textId="77777777" w:rsidR="00DF5A2D" w:rsidRPr="00151BD7" w:rsidRDefault="00DF5A2D" w:rsidP="00E268AA">
      <w:pPr>
        <w:spacing w:after="0"/>
        <w:jc w:val="both"/>
      </w:pPr>
    </w:p>
    <w:p w14:paraId="6448B45F" w14:textId="7CA6A93E" w:rsidR="00B14911" w:rsidRPr="00151BD7" w:rsidRDefault="004B2943" w:rsidP="00E268AA">
      <w:pPr>
        <w:spacing w:after="0"/>
        <w:jc w:val="both"/>
      </w:pPr>
      <w:r w:rsidRPr="00151BD7">
        <w:t xml:space="preserve">Segment </w:t>
      </w:r>
      <w:r w:rsidR="000074E4" w:rsidRPr="00151BD7">
        <w:t xml:space="preserve">Adjusted </w:t>
      </w:r>
      <w:r w:rsidR="00B14911" w:rsidRPr="00151BD7">
        <w:t>Operating EBIT</w:t>
      </w:r>
    </w:p>
    <w:p w14:paraId="137DF53D" w14:textId="77777777" w:rsidR="00C3648C" w:rsidRPr="00151BD7" w:rsidRDefault="00C3648C" w:rsidP="00E268AA">
      <w:pPr>
        <w:spacing w:after="0"/>
        <w:jc w:val="both"/>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6"/>
        <w:gridCol w:w="1324"/>
        <w:gridCol w:w="1324"/>
        <w:gridCol w:w="1324"/>
        <w:gridCol w:w="1324"/>
        <w:gridCol w:w="1324"/>
      </w:tblGrid>
      <w:tr w:rsidR="00C3648C" w:rsidRPr="00151BD7" w14:paraId="03934086" w14:textId="77777777" w:rsidTr="009B1242">
        <w:trPr>
          <w:trHeight w:val="831"/>
        </w:trPr>
        <w:tc>
          <w:tcPr>
            <w:tcW w:w="2846" w:type="dxa"/>
          </w:tcPr>
          <w:p w14:paraId="495475D0" w14:textId="161A3670" w:rsidR="00C3648C" w:rsidRPr="00151BD7" w:rsidRDefault="00F10018" w:rsidP="00E268AA">
            <w:pPr>
              <w:spacing w:after="0"/>
              <w:jc w:val="both"/>
              <w:rPr>
                <w:b/>
              </w:rPr>
            </w:pPr>
            <w:r w:rsidRPr="00151BD7">
              <w:rPr>
                <w:b/>
                <w:bCs/>
              </w:rPr>
              <w:t>€</w:t>
            </w:r>
            <w:r w:rsidR="00C3648C" w:rsidRPr="00151BD7">
              <w:rPr>
                <w:b/>
              </w:rPr>
              <w:t xml:space="preserve"> m</w:t>
            </w:r>
          </w:p>
        </w:tc>
        <w:tc>
          <w:tcPr>
            <w:tcW w:w="1324" w:type="dxa"/>
          </w:tcPr>
          <w:p w14:paraId="3465A74A" w14:textId="77777777" w:rsidR="00C3648C" w:rsidRPr="00151BD7" w:rsidRDefault="00C3648C" w:rsidP="00E268AA">
            <w:pPr>
              <w:spacing w:after="0"/>
              <w:jc w:val="both"/>
              <w:rPr>
                <w:b/>
              </w:rPr>
            </w:pPr>
            <w:r w:rsidRPr="00151BD7">
              <w:rPr>
                <w:b/>
              </w:rPr>
              <w:t>FY25</w:t>
            </w:r>
          </w:p>
          <w:p w14:paraId="48387ADD" w14:textId="64D2EF06" w:rsidR="007B6B46" w:rsidRPr="00151BD7" w:rsidRDefault="007B6B46" w:rsidP="00E268AA">
            <w:pPr>
              <w:spacing w:after="0"/>
              <w:jc w:val="both"/>
              <w:rPr>
                <w:b/>
              </w:rPr>
            </w:pPr>
          </w:p>
        </w:tc>
        <w:tc>
          <w:tcPr>
            <w:tcW w:w="1324" w:type="dxa"/>
          </w:tcPr>
          <w:p w14:paraId="1722F006" w14:textId="77777777" w:rsidR="00C3648C" w:rsidRPr="00151BD7" w:rsidRDefault="00C3648C" w:rsidP="00E268AA">
            <w:pPr>
              <w:spacing w:after="0"/>
              <w:jc w:val="both"/>
              <w:rPr>
                <w:b/>
              </w:rPr>
            </w:pPr>
            <w:r w:rsidRPr="00151BD7">
              <w:rPr>
                <w:b/>
              </w:rPr>
              <w:t>FY24</w:t>
            </w:r>
          </w:p>
          <w:p w14:paraId="39CE4302" w14:textId="179DDE0A" w:rsidR="009B1242" w:rsidRPr="00151BD7" w:rsidRDefault="009B1242" w:rsidP="00E268AA">
            <w:pPr>
              <w:spacing w:after="0"/>
              <w:jc w:val="both"/>
              <w:rPr>
                <w:b/>
                <w:sz w:val="18"/>
                <w:szCs w:val="18"/>
              </w:rPr>
            </w:pPr>
            <w:r w:rsidRPr="00151BD7">
              <w:rPr>
                <w:b/>
                <w:sz w:val="18"/>
                <w:szCs w:val="18"/>
              </w:rPr>
              <w:t>Unadjusted</w:t>
            </w:r>
          </w:p>
        </w:tc>
        <w:tc>
          <w:tcPr>
            <w:tcW w:w="1324" w:type="dxa"/>
          </w:tcPr>
          <w:p w14:paraId="38ED6B95" w14:textId="77777777" w:rsidR="00C3648C" w:rsidRPr="00151BD7" w:rsidRDefault="00C3648C" w:rsidP="00E268AA">
            <w:pPr>
              <w:spacing w:after="0"/>
              <w:jc w:val="both"/>
              <w:rPr>
                <w:b/>
              </w:rPr>
            </w:pPr>
            <w:r w:rsidRPr="00151BD7">
              <w:rPr>
                <w:b/>
              </w:rPr>
              <w:t xml:space="preserve">FY24 </w:t>
            </w:r>
          </w:p>
          <w:p w14:paraId="154DA377" w14:textId="77777777" w:rsidR="00C3648C" w:rsidRPr="00151BD7" w:rsidRDefault="00C3648C" w:rsidP="00E268AA">
            <w:pPr>
              <w:spacing w:after="0"/>
              <w:jc w:val="both"/>
              <w:rPr>
                <w:b/>
              </w:rPr>
            </w:pPr>
            <w:r w:rsidRPr="00151BD7">
              <w:rPr>
                <w:b/>
              </w:rPr>
              <w:t>Pro forma</w:t>
            </w:r>
          </w:p>
          <w:p w14:paraId="07451464" w14:textId="5B785D49" w:rsidR="007B6B46" w:rsidRPr="00151BD7" w:rsidRDefault="007B6B46" w:rsidP="00E268AA">
            <w:pPr>
              <w:spacing w:after="0"/>
              <w:jc w:val="both"/>
              <w:rPr>
                <w:b/>
              </w:rPr>
            </w:pPr>
          </w:p>
        </w:tc>
        <w:tc>
          <w:tcPr>
            <w:tcW w:w="1324" w:type="dxa"/>
          </w:tcPr>
          <w:p w14:paraId="002BEAF7" w14:textId="77777777" w:rsidR="00C3648C" w:rsidRPr="00151BD7" w:rsidRDefault="00C3648C" w:rsidP="00E268AA">
            <w:pPr>
              <w:spacing w:after="0"/>
              <w:jc w:val="both"/>
              <w:rPr>
                <w:b/>
              </w:rPr>
            </w:pPr>
            <w:r w:rsidRPr="00151BD7">
              <w:rPr>
                <w:b/>
              </w:rPr>
              <w:t>Change</w:t>
            </w:r>
          </w:p>
        </w:tc>
        <w:tc>
          <w:tcPr>
            <w:tcW w:w="1324" w:type="dxa"/>
          </w:tcPr>
          <w:p w14:paraId="2FE1C6C5" w14:textId="3CA21D7E" w:rsidR="00C3648C" w:rsidRPr="00151BD7" w:rsidRDefault="00C3648C" w:rsidP="00E268AA">
            <w:pPr>
              <w:spacing w:after="0"/>
              <w:jc w:val="both"/>
              <w:rPr>
                <w:b/>
              </w:rPr>
            </w:pPr>
            <w:r w:rsidRPr="00151BD7">
              <w:rPr>
                <w:b/>
              </w:rPr>
              <w:t>Change Pro forma</w:t>
            </w:r>
          </w:p>
        </w:tc>
      </w:tr>
      <w:tr w:rsidR="00C3648C" w:rsidRPr="00151BD7" w14:paraId="56F64D8F" w14:textId="77777777" w:rsidTr="009B1242">
        <w:trPr>
          <w:trHeight w:val="277"/>
        </w:trPr>
        <w:tc>
          <w:tcPr>
            <w:tcW w:w="2846" w:type="dxa"/>
          </w:tcPr>
          <w:p w14:paraId="431F0515" w14:textId="77777777" w:rsidR="00C3648C" w:rsidRPr="00151BD7" w:rsidRDefault="00C3648C" w:rsidP="00E268AA">
            <w:pPr>
              <w:spacing w:after="0"/>
              <w:jc w:val="both"/>
            </w:pPr>
            <w:r w:rsidRPr="00151BD7">
              <w:t>CSG Defence Systems</w:t>
            </w:r>
          </w:p>
        </w:tc>
        <w:tc>
          <w:tcPr>
            <w:tcW w:w="1324" w:type="dxa"/>
          </w:tcPr>
          <w:p w14:paraId="1812DD82" w14:textId="6EA18197" w:rsidR="00C3648C" w:rsidRPr="00151BD7" w:rsidRDefault="00FC2349" w:rsidP="00E268AA">
            <w:pPr>
              <w:spacing w:after="0"/>
              <w:jc w:val="both"/>
            </w:pPr>
            <w:r w:rsidRPr="00151BD7">
              <w:t>1,502</w:t>
            </w:r>
          </w:p>
        </w:tc>
        <w:tc>
          <w:tcPr>
            <w:tcW w:w="1324" w:type="dxa"/>
          </w:tcPr>
          <w:p w14:paraId="26C886C4" w14:textId="7F141CCA" w:rsidR="00C3648C" w:rsidRPr="00151BD7" w:rsidRDefault="00FC2349" w:rsidP="00E268AA">
            <w:pPr>
              <w:spacing w:after="0"/>
              <w:jc w:val="both"/>
            </w:pPr>
            <w:r w:rsidRPr="00151BD7">
              <w:t>96</w:t>
            </w:r>
            <w:r w:rsidR="00406D0C" w:rsidRPr="00151BD7">
              <w:t>4</w:t>
            </w:r>
          </w:p>
        </w:tc>
        <w:tc>
          <w:tcPr>
            <w:tcW w:w="1324" w:type="dxa"/>
          </w:tcPr>
          <w:p w14:paraId="75E6CC11" w14:textId="67DA6CE5" w:rsidR="00C3648C" w:rsidRPr="00151BD7" w:rsidRDefault="00FC2349" w:rsidP="00E268AA">
            <w:pPr>
              <w:spacing w:after="0"/>
              <w:jc w:val="both"/>
            </w:pPr>
            <w:r w:rsidRPr="00151BD7">
              <w:t>96</w:t>
            </w:r>
            <w:r w:rsidR="00406D0C" w:rsidRPr="00151BD7">
              <w:t>4</w:t>
            </w:r>
          </w:p>
        </w:tc>
        <w:tc>
          <w:tcPr>
            <w:tcW w:w="1324" w:type="dxa"/>
          </w:tcPr>
          <w:p w14:paraId="322F913A" w14:textId="20CCBB34" w:rsidR="00C3648C" w:rsidRPr="00151BD7" w:rsidRDefault="00FC2349" w:rsidP="00E268AA">
            <w:pPr>
              <w:spacing w:after="0"/>
              <w:jc w:val="both"/>
            </w:pPr>
            <w:r w:rsidRPr="00151BD7">
              <w:t>55.</w:t>
            </w:r>
            <w:r w:rsidR="00D319AD" w:rsidRPr="00151BD7">
              <w:t>8</w:t>
            </w:r>
            <w:r w:rsidRPr="00151BD7">
              <w:t>%</w:t>
            </w:r>
          </w:p>
        </w:tc>
        <w:tc>
          <w:tcPr>
            <w:tcW w:w="1324" w:type="dxa"/>
          </w:tcPr>
          <w:p w14:paraId="65E32B05" w14:textId="6AC341A7" w:rsidR="00C3648C" w:rsidRPr="00151BD7" w:rsidRDefault="00FC2349" w:rsidP="00E268AA">
            <w:pPr>
              <w:spacing w:after="0"/>
              <w:jc w:val="both"/>
            </w:pPr>
            <w:r w:rsidRPr="00151BD7">
              <w:t>55.</w:t>
            </w:r>
            <w:r w:rsidR="00D319AD" w:rsidRPr="00151BD7">
              <w:t>8</w:t>
            </w:r>
            <w:r w:rsidRPr="00151BD7">
              <w:t>%</w:t>
            </w:r>
          </w:p>
        </w:tc>
      </w:tr>
      <w:tr w:rsidR="00C3648C" w:rsidRPr="00151BD7" w14:paraId="01B420BD" w14:textId="77777777" w:rsidTr="009B1242">
        <w:trPr>
          <w:trHeight w:val="277"/>
        </w:trPr>
        <w:tc>
          <w:tcPr>
            <w:tcW w:w="2846" w:type="dxa"/>
          </w:tcPr>
          <w:p w14:paraId="420A529F" w14:textId="77777777" w:rsidR="00C3648C" w:rsidRPr="00151BD7" w:rsidRDefault="00C3648C" w:rsidP="00E268AA">
            <w:pPr>
              <w:spacing w:after="0"/>
              <w:jc w:val="both"/>
            </w:pPr>
            <w:r w:rsidRPr="00151BD7">
              <w:t>CSG Ammo+</w:t>
            </w:r>
          </w:p>
        </w:tc>
        <w:tc>
          <w:tcPr>
            <w:tcW w:w="1324" w:type="dxa"/>
          </w:tcPr>
          <w:p w14:paraId="21107847" w14:textId="41C0820F" w:rsidR="00C3648C" w:rsidRPr="00151BD7" w:rsidRDefault="00FC2349" w:rsidP="00E268AA">
            <w:pPr>
              <w:spacing w:after="0"/>
              <w:jc w:val="both"/>
            </w:pPr>
            <w:r w:rsidRPr="00151BD7">
              <w:t>11</w:t>
            </w:r>
            <w:r w:rsidR="00517381" w:rsidRPr="00151BD7">
              <w:t>7</w:t>
            </w:r>
          </w:p>
        </w:tc>
        <w:tc>
          <w:tcPr>
            <w:tcW w:w="1324" w:type="dxa"/>
          </w:tcPr>
          <w:p w14:paraId="0FE2FF75" w14:textId="5F4066F9" w:rsidR="00C3648C" w:rsidRPr="00151BD7" w:rsidRDefault="00FC2349" w:rsidP="00E268AA">
            <w:pPr>
              <w:spacing w:after="0"/>
              <w:jc w:val="both"/>
            </w:pPr>
            <w:r w:rsidRPr="00151BD7">
              <w:t>50</w:t>
            </w:r>
          </w:p>
        </w:tc>
        <w:tc>
          <w:tcPr>
            <w:tcW w:w="1324" w:type="dxa"/>
          </w:tcPr>
          <w:p w14:paraId="126EDFCF" w14:textId="24D05A20" w:rsidR="00C3648C" w:rsidRPr="00151BD7" w:rsidRDefault="00FC2349" w:rsidP="00E268AA">
            <w:pPr>
              <w:spacing w:after="0"/>
              <w:jc w:val="both"/>
            </w:pPr>
            <w:r w:rsidRPr="00151BD7">
              <w:t>276</w:t>
            </w:r>
          </w:p>
        </w:tc>
        <w:tc>
          <w:tcPr>
            <w:tcW w:w="1324" w:type="dxa"/>
          </w:tcPr>
          <w:p w14:paraId="428CB36F" w14:textId="6B6A0F8D" w:rsidR="00C3648C" w:rsidRPr="00151BD7" w:rsidRDefault="00FC2349" w:rsidP="00E268AA">
            <w:pPr>
              <w:spacing w:after="0"/>
              <w:jc w:val="both"/>
            </w:pPr>
            <w:r w:rsidRPr="00151BD7">
              <w:t>13</w:t>
            </w:r>
            <w:r w:rsidR="00517381" w:rsidRPr="00151BD7">
              <w:t>3</w:t>
            </w:r>
            <w:r w:rsidRPr="00151BD7">
              <w:t>.7%</w:t>
            </w:r>
          </w:p>
        </w:tc>
        <w:tc>
          <w:tcPr>
            <w:tcW w:w="1324" w:type="dxa"/>
          </w:tcPr>
          <w:p w14:paraId="2ACC7BBF" w14:textId="3A5DAFD9" w:rsidR="00C3648C" w:rsidRPr="00151BD7" w:rsidRDefault="00FC2349" w:rsidP="00E268AA">
            <w:pPr>
              <w:spacing w:after="0"/>
              <w:jc w:val="both"/>
            </w:pPr>
            <w:r w:rsidRPr="00151BD7">
              <w:t>(5</w:t>
            </w:r>
            <w:r w:rsidR="00517381" w:rsidRPr="00151BD7">
              <w:t>7.6</w:t>
            </w:r>
            <w:r w:rsidRPr="00151BD7">
              <w:t>%)</w:t>
            </w:r>
          </w:p>
        </w:tc>
      </w:tr>
      <w:tr w:rsidR="00C3648C" w:rsidRPr="00151BD7" w14:paraId="1DE4259A" w14:textId="77777777" w:rsidTr="009B1242">
        <w:trPr>
          <w:trHeight w:val="277"/>
        </w:trPr>
        <w:tc>
          <w:tcPr>
            <w:tcW w:w="2846" w:type="dxa"/>
          </w:tcPr>
          <w:p w14:paraId="765897AC" w14:textId="77777777" w:rsidR="00C3648C" w:rsidRPr="00151BD7" w:rsidRDefault="00C3648C" w:rsidP="00E268AA">
            <w:pPr>
              <w:spacing w:after="0"/>
              <w:jc w:val="both"/>
            </w:pPr>
            <w:r w:rsidRPr="00151BD7">
              <w:t>Other</w:t>
            </w:r>
          </w:p>
        </w:tc>
        <w:tc>
          <w:tcPr>
            <w:tcW w:w="1324" w:type="dxa"/>
          </w:tcPr>
          <w:p w14:paraId="3FBF9759" w14:textId="653779D2" w:rsidR="00C3648C" w:rsidRPr="00151BD7" w:rsidRDefault="00FC2349" w:rsidP="00E268AA">
            <w:pPr>
              <w:spacing w:after="0"/>
              <w:jc w:val="both"/>
            </w:pPr>
            <w:r w:rsidRPr="00151BD7">
              <w:t>14</w:t>
            </w:r>
          </w:p>
        </w:tc>
        <w:tc>
          <w:tcPr>
            <w:tcW w:w="1324" w:type="dxa"/>
          </w:tcPr>
          <w:p w14:paraId="341E1776" w14:textId="156F7053" w:rsidR="00C3648C" w:rsidRPr="00151BD7" w:rsidRDefault="00D319AD" w:rsidP="00E268AA">
            <w:pPr>
              <w:spacing w:after="0"/>
              <w:jc w:val="both"/>
            </w:pPr>
            <w:r w:rsidRPr="00151BD7">
              <w:t>(3)</w:t>
            </w:r>
          </w:p>
        </w:tc>
        <w:tc>
          <w:tcPr>
            <w:tcW w:w="1324" w:type="dxa"/>
          </w:tcPr>
          <w:p w14:paraId="0176D373" w14:textId="5CAF31D1" w:rsidR="00C3648C" w:rsidRPr="00151BD7" w:rsidRDefault="00D319AD" w:rsidP="00E268AA">
            <w:pPr>
              <w:spacing w:after="0"/>
              <w:jc w:val="both"/>
            </w:pPr>
            <w:r w:rsidRPr="00151BD7">
              <w:t>(3)</w:t>
            </w:r>
          </w:p>
        </w:tc>
        <w:tc>
          <w:tcPr>
            <w:tcW w:w="1324" w:type="dxa"/>
          </w:tcPr>
          <w:p w14:paraId="469AA47D" w14:textId="6DD0A1A8" w:rsidR="00C3648C" w:rsidRPr="00151BD7" w:rsidRDefault="00FC2349" w:rsidP="00E268AA">
            <w:pPr>
              <w:spacing w:after="0"/>
              <w:jc w:val="both"/>
            </w:pPr>
            <w:r w:rsidRPr="00151BD7">
              <w:t>(</w:t>
            </w:r>
            <w:r w:rsidR="00D319AD" w:rsidRPr="00151BD7">
              <w:t>6.5</w:t>
            </w:r>
            <w:r w:rsidRPr="00151BD7">
              <w:t>%)</w:t>
            </w:r>
          </w:p>
        </w:tc>
        <w:tc>
          <w:tcPr>
            <w:tcW w:w="1324" w:type="dxa"/>
          </w:tcPr>
          <w:p w14:paraId="35A534B7" w14:textId="593F6525" w:rsidR="00C3648C" w:rsidRPr="00151BD7" w:rsidRDefault="00FC2349" w:rsidP="00E268AA">
            <w:pPr>
              <w:spacing w:after="0"/>
              <w:jc w:val="both"/>
            </w:pPr>
            <w:r w:rsidRPr="00151BD7">
              <w:t>(</w:t>
            </w:r>
            <w:r w:rsidR="00D319AD" w:rsidRPr="00151BD7">
              <w:t>6.5</w:t>
            </w:r>
            <w:r w:rsidRPr="00151BD7">
              <w:t>%)</w:t>
            </w:r>
          </w:p>
        </w:tc>
      </w:tr>
      <w:tr w:rsidR="00C3648C" w:rsidRPr="00151BD7" w14:paraId="08DB65FB" w14:textId="77777777" w:rsidTr="009B1242">
        <w:trPr>
          <w:trHeight w:val="264"/>
        </w:trPr>
        <w:tc>
          <w:tcPr>
            <w:tcW w:w="2846" w:type="dxa"/>
          </w:tcPr>
          <w:p w14:paraId="5483459C" w14:textId="77777777" w:rsidR="00C3648C" w:rsidRPr="00151BD7" w:rsidRDefault="00C3648C" w:rsidP="00E268AA">
            <w:pPr>
              <w:spacing w:after="0"/>
              <w:jc w:val="both"/>
            </w:pPr>
            <w:r w:rsidRPr="00151BD7">
              <w:t xml:space="preserve">Elimination of intersegment </w:t>
            </w:r>
          </w:p>
        </w:tc>
        <w:tc>
          <w:tcPr>
            <w:tcW w:w="1324" w:type="dxa"/>
          </w:tcPr>
          <w:p w14:paraId="4B124225" w14:textId="696E9F0E" w:rsidR="00C3648C" w:rsidRPr="00151BD7" w:rsidRDefault="00FC2349" w:rsidP="00E268AA">
            <w:pPr>
              <w:spacing w:after="0"/>
              <w:jc w:val="both"/>
            </w:pPr>
            <w:r w:rsidRPr="00151BD7">
              <w:t>(</w:t>
            </w:r>
            <w:r w:rsidR="00D319AD" w:rsidRPr="00151BD7">
              <w:t>8</w:t>
            </w:r>
            <w:r w:rsidRPr="00151BD7">
              <w:t>)</w:t>
            </w:r>
          </w:p>
        </w:tc>
        <w:tc>
          <w:tcPr>
            <w:tcW w:w="1324" w:type="dxa"/>
          </w:tcPr>
          <w:p w14:paraId="1680626E" w14:textId="4EF1DF7F" w:rsidR="00C3648C" w:rsidRPr="00151BD7" w:rsidRDefault="00D319AD" w:rsidP="00E268AA">
            <w:pPr>
              <w:spacing w:after="0"/>
              <w:jc w:val="both"/>
            </w:pPr>
            <w:r w:rsidRPr="00151BD7">
              <w:t>(1)</w:t>
            </w:r>
          </w:p>
        </w:tc>
        <w:tc>
          <w:tcPr>
            <w:tcW w:w="1324" w:type="dxa"/>
          </w:tcPr>
          <w:p w14:paraId="564CD965" w14:textId="33FDF92B" w:rsidR="00C3648C" w:rsidRPr="00151BD7" w:rsidRDefault="00D319AD" w:rsidP="00E268AA">
            <w:pPr>
              <w:spacing w:after="0"/>
              <w:jc w:val="both"/>
            </w:pPr>
            <w:r w:rsidRPr="00151BD7">
              <w:t>(1)</w:t>
            </w:r>
          </w:p>
        </w:tc>
        <w:tc>
          <w:tcPr>
            <w:tcW w:w="1324" w:type="dxa"/>
          </w:tcPr>
          <w:p w14:paraId="5D3CE3D0" w14:textId="4BF52B56" w:rsidR="00C3648C" w:rsidRPr="00151BD7" w:rsidRDefault="00FC2349" w:rsidP="00E268AA">
            <w:pPr>
              <w:spacing w:after="0"/>
              <w:jc w:val="both"/>
            </w:pPr>
            <w:r w:rsidRPr="00151BD7">
              <w:t>1,1</w:t>
            </w:r>
            <w:r w:rsidR="00D319AD" w:rsidRPr="00151BD7">
              <w:t>52.5</w:t>
            </w:r>
            <w:r w:rsidRPr="00151BD7">
              <w:t>%</w:t>
            </w:r>
          </w:p>
        </w:tc>
        <w:tc>
          <w:tcPr>
            <w:tcW w:w="1324" w:type="dxa"/>
          </w:tcPr>
          <w:p w14:paraId="03FC8087" w14:textId="049742BE" w:rsidR="00C3648C" w:rsidRPr="00151BD7" w:rsidRDefault="00FC2349" w:rsidP="00E268AA">
            <w:pPr>
              <w:spacing w:after="0"/>
              <w:jc w:val="both"/>
            </w:pPr>
            <w:r w:rsidRPr="00151BD7">
              <w:t>1,1</w:t>
            </w:r>
            <w:r w:rsidR="00D319AD" w:rsidRPr="00151BD7">
              <w:t>52</w:t>
            </w:r>
            <w:r w:rsidRPr="00151BD7">
              <w:t>.5%</w:t>
            </w:r>
          </w:p>
        </w:tc>
      </w:tr>
    </w:tbl>
    <w:p w14:paraId="26214931" w14:textId="77777777" w:rsidR="00AC09BD" w:rsidRDefault="00AC09BD" w:rsidP="00AC09BD">
      <w:pPr>
        <w:spacing w:after="0"/>
        <w:jc w:val="both"/>
        <w:rPr>
          <w:i/>
          <w:sz w:val="18"/>
          <w:szCs w:val="18"/>
        </w:rPr>
      </w:pPr>
      <w:r w:rsidRPr="00252DBD">
        <w:rPr>
          <w:i/>
          <w:sz w:val="18"/>
          <w:szCs w:val="18"/>
        </w:rPr>
        <w:t>FY24 pro forma figures have not been restated for discontinued activities; discontinued operations are excluded to provide a like-for-like comparison with FY25 continuing operations at segment level.</w:t>
      </w:r>
    </w:p>
    <w:p w14:paraId="6E68A314" w14:textId="4D6BF933" w:rsidR="000074E4" w:rsidRPr="00151BD7" w:rsidRDefault="000074E4" w:rsidP="00E268AA">
      <w:pPr>
        <w:spacing w:after="0"/>
        <w:jc w:val="both"/>
        <w:rPr>
          <w:i/>
        </w:rPr>
      </w:pPr>
    </w:p>
    <w:p w14:paraId="415C7D5F" w14:textId="30121C86" w:rsidR="00E54DED" w:rsidRPr="00151BD7" w:rsidRDefault="00654BAE" w:rsidP="00E268AA">
      <w:pPr>
        <w:spacing w:after="0"/>
        <w:jc w:val="both"/>
        <w:rPr>
          <w:b/>
          <w:bCs/>
          <w:i/>
        </w:rPr>
      </w:pPr>
      <w:r w:rsidRPr="00151BD7">
        <w:rPr>
          <w:iCs/>
        </w:rPr>
        <w:t>Defence Systems</w:t>
      </w:r>
      <w:r w:rsidR="009C5638" w:rsidRPr="00151BD7">
        <w:rPr>
          <w:b/>
          <w:bCs/>
          <w:i/>
        </w:rPr>
        <w:t xml:space="preserve"> </w:t>
      </w:r>
      <w:r w:rsidR="00E54DED" w:rsidRPr="00151BD7">
        <w:rPr>
          <w:iCs/>
        </w:rPr>
        <w:t>Revenue</w:t>
      </w:r>
      <w:r w:rsidR="009C5638" w:rsidRPr="00151BD7">
        <w:rPr>
          <w:iCs/>
        </w:rPr>
        <w:t xml:space="preserve"> by subsegment</w:t>
      </w:r>
    </w:p>
    <w:p w14:paraId="143A0322" w14:textId="77777777" w:rsidR="00F92048" w:rsidRPr="00151BD7" w:rsidRDefault="00F92048" w:rsidP="00E268AA">
      <w:pPr>
        <w:spacing w:after="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644"/>
        <w:gridCol w:w="1644"/>
        <w:gridCol w:w="1645"/>
      </w:tblGrid>
      <w:tr w:rsidR="00AE3437" w:rsidRPr="00151BD7" w14:paraId="40198529" w14:textId="77777777" w:rsidTr="00590A7D">
        <w:tc>
          <w:tcPr>
            <w:tcW w:w="3539" w:type="dxa"/>
          </w:tcPr>
          <w:p w14:paraId="419215CD" w14:textId="533C1396" w:rsidR="00AE3437" w:rsidRPr="00151BD7" w:rsidRDefault="00F10018" w:rsidP="00E268AA">
            <w:pPr>
              <w:spacing w:after="0"/>
              <w:jc w:val="both"/>
              <w:rPr>
                <w:b/>
              </w:rPr>
            </w:pPr>
            <w:r w:rsidRPr="00151BD7">
              <w:rPr>
                <w:b/>
                <w:bCs/>
              </w:rPr>
              <w:t>€</w:t>
            </w:r>
            <w:r w:rsidR="00AE3437" w:rsidRPr="00151BD7">
              <w:rPr>
                <w:b/>
              </w:rPr>
              <w:t xml:space="preserve"> m</w:t>
            </w:r>
          </w:p>
        </w:tc>
        <w:tc>
          <w:tcPr>
            <w:tcW w:w="1644" w:type="dxa"/>
          </w:tcPr>
          <w:p w14:paraId="1C5B369C" w14:textId="77777777" w:rsidR="00AE3437" w:rsidRPr="00151BD7" w:rsidRDefault="00AE3437" w:rsidP="00E268AA">
            <w:pPr>
              <w:spacing w:after="0"/>
              <w:jc w:val="both"/>
              <w:rPr>
                <w:b/>
              </w:rPr>
            </w:pPr>
            <w:r w:rsidRPr="00151BD7">
              <w:rPr>
                <w:b/>
              </w:rPr>
              <w:t>FY25</w:t>
            </w:r>
          </w:p>
        </w:tc>
        <w:tc>
          <w:tcPr>
            <w:tcW w:w="1644" w:type="dxa"/>
          </w:tcPr>
          <w:p w14:paraId="724AD00B" w14:textId="77777777" w:rsidR="00AE3437" w:rsidRPr="00151BD7" w:rsidRDefault="00AE3437" w:rsidP="00E268AA">
            <w:pPr>
              <w:spacing w:after="0"/>
              <w:jc w:val="both"/>
              <w:rPr>
                <w:b/>
              </w:rPr>
            </w:pPr>
            <w:r w:rsidRPr="00151BD7">
              <w:rPr>
                <w:b/>
              </w:rPr>
              <w:t>FY24</w:t>
            </w:r>
          </w:p>
        </w:tc>
        <w:tc>
          <w:tcPr>
            <w:tcW w:w="1645" w:type="dxa"/>
          </w:tcPr>
          <w:p w14:paraId="3B1C19E0" w14:textId="77777777" w:rsidR="00AE3437" w:rsidRPr="00151BD7" w:rsidRDefault="00AE3437" w:rsidP="00E268AA">
            <w:pPr>
              <w:spacing w:after="0"/>
              <w:jc w:val="both"/>
              <w:rPr>
                <w:b/>
              </w:rPr>
            </w:pPr>
            <w:r w:rsidRPr="00151BD7">
              <w:rPr>
                <w:b/>
              </w:rPr>
              <w:t>Change</w:t>
            </w:r>
          </w:p>
        </w:tc>
      </w:tr>
      <w:tr w:rsidR="00AE3437" w:rsidRPr="00151BD7" w14:paraId="35DF4BC0" w14:textId="77777777" w:rsidTr="00590A7D">
        <w:tc>
          <w:tcPr>
            <w:tcW w:w="3539" w:type="dxa"/>
          </w:tcPr>
          <w:p w14:paraId="2E16471E" w14:textId="155B2575" w:rsidR="00AE3437" w:rsidRPr="00151BD7" w:rsidRDefault="00AE3437" w:rsidP="00E268AA">
            <w:pPr>
              <w:spacing w:after="0"/>
              <w:jc w:val="both"/>
            </w:pPr>
            <w:r w:rsidRPr="00151BD7">
              <w:t>M/L Ammunition</w:t>
            </w:r>
          </w:p>
        </w:tc>
        <w:tc>
          <w:tcPr>
            <w:tcW w:w="1644" w:type="dxa"/>
          </w:tcPr>
          <w:p w14:paraId="27B31FD8" w14:textId="42A7145D" w:rsidR="00AE3437" w:rsidRPr="00151BD7" w:rsidRDefault="00DE6DC6" w:rsidP="00E268AA">
            <w:pPr>
              <w:spacing w:after="0"/>
              <w:jc w:val="both"/>
            </w:pPr>
            <w:r w:rsidRPr="00151BD7">
              <w:t>4,</w:t>
            </w:r>
            <w:r w:rsidR="00F7629E" w:rsidRPr="00151BD7">
              <w:t>107</w:t>
            </w:r>
          </w:p>
        </w:tc>
        <w:tc>
          <w:tcPr>
            <w:tcW w:w="1644" w:type="dxa"/>
          </w:tcPr>
          <w:p w14:paraId="1DD9620F" w14:textId="024C2771" w:rsidR="00AE3437" w:rsidRPr="00151BD7" w:rsidRDefault="00DE6DC6" w:rsidP="00E268AA">
            <w:pPr>
              <w:spacing w:after="0"/>
              <w:jc w:val="both"/>
            </w:pPr>
            <w:r w:rsidRPr="00151BD7">
              <w:t>2,508</w:t>
            </w:r>
          </w:p>
        </w:tc>
        <w:tc>
          <w:tcPr>
            <w:tcW w:w="1645" w:type="dxa"/>
          </w:tcPr>
          <w:p w14:paraId="3793A2F4" w14:textId="3ED1A913" w:rsidR="00AE3437" w:rsidRPr="00151BD7" w:rsidRDefault="00F7629E" w:rsidP="00E268AA">
            <w:pPr>
              <w:spacing w:after="0"/>
              <w:jc w:val="both"/>
            </w:pPr>
            <w:r w:rsidRPr="00151BD7">
              <w:t>63.8</w:t>
            </w:r>
            <w:r w:rsidR="002970D0" w:rsidRPr="00151BD7">
              <w:t>%</w:t>
            </w:r>
          </w:p>
        </w:tc>
      </w:tr>
      <w:tr w:rsidR="00AE3437" w:rsidRPr="00151BD7" w14:paraId="68B208CC" w14:textId="77777777" w:rsidTr="00590A7D">
        <w:tc>
          <w:tcPr>
            <w:tcW w:w="3539" w:type="dxa"/>
          </w:tcPr>
          <w:p w14:paraId="5269C7CF" w14:textId="77777777" w:rsidR="00AE3437" w:rsidRPr="00151BD7" w:rsidRDefault="00AE3437" w:rsidP="00E268AA">
            <w:pPr>
              <w:spacing w:after="0"/>
              <w:jc w:val="both"/>
            </w:pPr>
            <w:r w:rsidRPr="00151BD7">
              <w:t>Land Systems</w:t>
            </w:r>
          </w:p>
        </w:tc>
        <w:tc>
          <w:tcPr>
            <w:tcW w:w="1644" w:type="dxa"/>
          </w:tcPr>
          <w:p w14:paraId="3F233FD8" w14:textId="60C89C7F" w:rsidR="00AE3437" w:rsidRPr="00151BD7" w:rsidRDefault="00DE6DC6" w:rsidP="00E268AA">
            <w:pPr>
              <w:spacing w:after="0"/>
              <w:jc w:val="both"/>
            </w:pPr>
            <w:r w:rsidRPr="00151BD7">
              <w:t>1,068</w:t>
            </w:r>
          </w:p>
        </w:tc>
        <w:tc>
          <w:tcPr>
            <w:tcW w:w="1644" w:type="dxa"/>
          </w:tcPr>
          <w:p w14:paraId="46550DAC" w14:textId="7BFA4FF3" w:rsidR="00AE3437" w:rsidRPr="00151BD7" w:rsidRDefault="00DE6DC6" w:rsidP="00E268AA">
            <w:pPr>
              <w:spacing w:after="0"/>
              <w:jc w:val="both"/>
            </w:pPr>
            <w:r w:rsidRPr="00151BD7">
              <w:t>793</w:t>
            </w:r>
          </w:p>
        </w:tc>
        <w:tc>
          <w:tcPr>
            <w:tcW w:w="1645" w:type="dxa"/>
          </w:tcPr>
          <w:p w14:paraId="47FA4EE9" w14:textId="4F5F3491" w:rsidR="00AE3437" w:rsidRPr="00151BD7" w:rsidRDefault="002970D0" w:rsidP="00E268AA">
            <w:pPr>
              <w:spacing w:after="0"/>
              <w:jc w:val="both"/>
            </w:pPr>
            <w:r w:rsidRPr="00151BD7">
              <w:t>34.6%</w:t>
            </w:r>
          </w:p>
        </w:tc>
      </w:tr>
      <w:tr w:rsidR="00AE3437" w:rsidRPr="00151BD7" w14:paraId="53B3DBE1" w14:textId="77777777" w:rsidTr="00590A7D">
        <w:tc>
          <w:tcPr>
            <w:tcW w:w="3539" w:type="dxa"/>
          </w:tcPr>
          <w:p w14:paraId="1108773E" w14:textId="7A616BCB" w:rsidR="00AE3437" w:rsidRPr="00151BD7" w:rsidRDefault="000F25CA" w:rsidP="00E268AA">
            <w:pPr>
              <w:spacing w:after="0"/>
              <w:jc w:val="both"/>
            </w:pPr>
            <w:r w:rsidRPr="00151BD7">
              <w:t xml:space="preserve">Aerospace &amp; </w:t>
            </w:r>
            <w:r w:rsidR="0086177C" w:rsidRPr="00151BD7">
              <w:t>Defence Electronics</w:t>
            </w:r>
          </w:p>
        </w:tc>
        <w:tc>
          <w:tcPr>
            <w:tcW w:w="1644" w:type="dxa"/>
          </w:tcPr>
          <w:p w14:paraId="0CD3460A" w14:textId="6B2C2B0D" w:rsidR="00AE3437" w:rsidRPr="00151BD7" w:rsidRDefault="00DE6DC6" w:rsidP="00E268AA">
            <w:pPr>
              <w:spacing w:after="0"/>
              <w:jc w:val="both"/>
            </w:pPr>
            <w:r w:rsidRPr="00151BD7">
              <w:t>171</w:t>
            </w:r>
          </w:p>
        </w:tc>
        <w:tc>
          <w:tcPr>
            <w:tcW w:w="1644" w:type="dxa"/>
          </w:tcPr>
          <w:p w14:paraId="2032B02C" w14:textId="67252519" w:rsidR="00AE3437" w:rsidRPr="00151BD7" w:rsidRDefault="00DE6DC6" w:rsidP="00E268AA">
            <w:pPr>
              <w:spacing w:after="0"/>
              <w:jc w:val="both"/>
            </w:pPr>
            <w:r w:rsidRPr="00151BD7">
              <w:t>142</w:t>
            </w:r>
          </w:p>
        </w:tc>
        <w:tc>
          <w:tcPr>
            <w:tcW w:w="1645" w:type="dxa"/>
          </w:tcPr>
          <w:p w14:paraId="539D46D9" w14:textId="3BAA0BD0" w:rsidR="00AE3437" w:rsidRPr="00151BD7" w:rsidRDefault="002970D0" w:rsidP="00E268AA">
            <w:pPr>
              <w:spacing w:after="0"/>
              <w:jc w:val="both"/>
            </w:pPr>
            <w:r w:rsidRPr="00151BD7">
              <w:t>19.8%</w:t>
            </w:r>
          </w:p>
        </w:tc>
      </w:tr>
      <w:tr w:rsidR="00AE3437" w:rsidRPr="00151BD7" w14:paraId="171DCE40" w14:textId="77777777" w:rsidTr="00590A7D">
        <w:tc>
          <w:tcPr>
            <w:tcW w:w="3539" w:type="dxa"/>
          </w:tcPr>
          <w:p w14:paraId="360739E7" w14:textId="77777777" w:rsidR="00AE3437" w:rsidRPr="00151BD7" w:rsidRDefault="00AE3437" w:rsidP="00E268AA">
            <w:pPr>
              <w:spacing w:after="0"/>
              <w:jc w:val="both"/>
            </w:pPr>
            <w:r w:rsidRPr="00151BD7">
              <w:t>Advanced Systems</w:t>
            </w:r>
          </w:p>
        </w:tc>
        <w:tc>
          <w:tcPr>
            <w:tcW w:w="1644" w:type="dxa"/>
          </w:tcPr>
          <w:p w14:paraId="4E4533BA" w14:textId="170D1A1C" w:rsidR="00AE3437" w:rsidRPr="00151BD7" w:rsidRDefault="00DE6DC6" w:rsidP="00E268AA">
            <w:pPr>
              <w:spacing w:after="0"/>
              <w:jc w:val="both"/>
            </w:pPr>
            <w:r w:rsidRPr="00151BD7">
              <w:t>-</w:t>
            </w:r>
          </w:p>
        </w:tc>
        <w:tc>
          <w:tcPr>
            <w:tcW w:w="1644" w:type="dxa"/>
          </w:tcPr>
          <w:p w14:paraId="4FDE341F" w14:textId="6CAF5878" w:rsidR="00AE3437" w:rsidRPr="00151BD7" w:rsidRDefault="00DE6DC6" w:rsidP="00E268AA">
            <w:pPr>
              <w:spacing w:after="0"/>
              <w:jc w:val="both"/>
            </w:pPr>
            <w:r w:rsidRPr="00151BD7">
              <w:t>-</w:t>
            </w:r>
          </w:p>
        </w:tc>
        <w:tc>
          <w:tcPr>
            <w:tcW w:w="1645" w:type="dxa"/>
          </w:tcPr>
          <w:p w14:paraId="1A826307" w14:textId="01671601" w:rsidR="00AE3437" w:rsidRPr="00151BD7" w:rsidRDefault="002970D0" w:rsidP="00E268AA">
            <w:pPr>
              <w:spacing w:after="0"/>
              <w:jc w:val="both"/>
            </w:pPr>
            <w:r w:rsidRPr="00151BD7">
              <w:t>-</w:t>
            </w:r>
          </w:p>
        </w:tc>
      </w:tr>
      <w:tr w:rsidR="00C16E40" w:rsidRPr="00151BD7" w14:paraId="3AEDD785" w14:textId="77777777" w:rsidTr="00590A7D">
        <w:tc>
          <w:tcPr>
            <w:tcW w:w="3539" w:type="dxa"/>
          </w:tcPr>
          <w:p w14:paraId="161EB53B" w14:textId="2A24A5C2" w:rsidR="00C16E40" w:rsidRPr="00151BD7" w:rsidRDefault="00C16E40" w:rsidP="00E268AA">
            <w:pPr>
              <w:spacing w:after="0"/>
              <w:jc w:val="both"/>
            </w:pPr>
            <w:r w:rsidRPr="00151BD7">
              <w:t>Total</w:t>
            </w:r>
          </w:p>
        </w:tc>
        <w:tc>
          <w:tcPr>
            <w:tcW w:w="1644" w:type="dxa"/>
          </w:tcPr>
          <w:p w14:paraId="331B60BE" w14:textId="50188057" w:rsidR="00C16E40" w:rsidRPr="00151BD7" w:rsidRDefault="00C16E40" w:rsidP="00E268AA">
            <w:pPr>
              <w:spacing w:after="0"/>
              <w:jc w:val="both"/>
            </w:pPr>
            <w:r w:rsidRPr="00151BD7">
              <w:t>5,</w:t>
            </w:r>
            <w:r w:rsidR="00D77E50" w:rsidRPr="00151BD7">
              <w:t>346</w:t>
            </w:r>
          </w:p>
        </w:tc>
        <w:tc>
          <w:tcPr>
            <w:tcW w:w="1644" w:type="dxa"/>
          </w:tcPr>
          <w:p w14:paraId="3C5B175D" w14:textId="365E0484" w:rsidR="00C16E40" w:rsidRPr="00151BD7" w:rsidRDefault="00D77E50" w:rsidP="00E268AA">
            <w:pPr>
              <w:spacing w:after="0"/>
              <w:jc w:val="both"/>
            </w:pPr>
            <w:r w:rsidRPr="00151BD7">
              <w:t>3,443</w:t>
            </w:r>
          </w:p>
        </w:tc>
        <w:tc>
          <w:tcPr>
            <w:tcW w:w="1645" w:type="dxa"/>
          </w:tcPr>
          <w:p w14:paraId="0D9C296C" w14:textId="0875CE2A" w:rsidR="00C16E40" w:rsidRPr="00151BD7" w:rsidRDefault="00D77E50" w:rsidP="00E268AA">
            <w:pPr>
              <w:spacing w:after="0"/>
              <w:jc w:val="both"/>
            </w:pPr>
            <w:r w:rsidRPr="00151BD7">
              <w:t>55.3%</w:t>
            </w:r>
          </w:p>
        </w:tc>
      </w:tr>
    </w:tbl>
    <w:p w14:paraId="14B05942" w14:textId="77777777" w:rsidR="00EE3F64" w:rsidRPr="00151BD7" w:rsidRDefault="00EE3F64" w:rsidP="00E268AA">
      <w:pPr>
        <w:spacing w:after="0"/>
        <w:jc w:val="both"/>
      </w:pPr>
    </w:p>
    <w:p w14:paraId="4C5CF7D7" w14:textId="77777777" w:rsidR="00EE3F64" w:rsidRPr="00151BD7" w:rsidRDefault="00654BAE" w:rsidP="00E268AA">
      <w:pPr>
        <w:spacing w:after="0"/>
        <w:jc w:val="both"/>
        <w:rPr>
          <w:b/>
        </w:rPr>
      </w:pPr>
      <w:r w:rsidRPr="00151BD7">
        <w:rPr>
          <w:b/>
        </w:rPr>
        <w:t>Revenues by geography and end market</w:t>
      </w:r>
    </w:p>
    <w:p w14:paraId="259CDC28" w14:textId="77777777" w:rsidR="008E296B" w:rsidRPr="00151BD7" w:rsidRDefault="008E296B" w:rsidP="00E268AA">
      <w:pPr>
        <w:spacing w:after="0"/>
        <w:jc w:val="both"/>
      </w:pPr>
    </w:p>
    <w:p w14:paraId="30D10C53" w14:textId="74A198D8" w:rsidR="00307884" w:rsidRPr="00151BD7" w:rsidRDefault="00307884" w:rsidP="00307884">
      <w:pPr>
        <w:spacing w:after="0"/>
        <w:jc w:val="both"/>
      </w:pPr>
      <w:r w:rsidRPr="00151BD7">
        <w:lastRenderedPageBreak/>
        <w:t xml:space="preserve">The Group maintains a strong presence within Europe and NATO, and approximately </w:t>
      </w:r>
      <w:r w:rsidR="002970D0" w:rsidRPr="00151BD7">
        <w:t>65</w:t>
      </w:r>
      <w:r w:rsidRPr="00151BD7">
        <w:t>% of the Group's revenues were derived from NATO countries for FY 2025, underscoring the Group's positioning within NATO-aligned defence markets. The Group believes that the continued increases in defence spending across Europe and NATO member states further reinforce the outlook for its capabilities and strategic relevance in these regions.</w:t>
      </w:r>
    </w:p>
    <w:p w14:paraId="3BFF6709" w14:textId="77777777" w:rsidR="00307884" w:rsidRPr="00151BD7" w:rsidRDefault="00307884" w:rsidP="00E268AA">
      <w:pPr>
        <w:spacing w:after="0"/>
        <w:jc w:val="both"/>
      </w:pPr>
    </w:p>
    <w:p w14:paraId="6015004A" w14:textId="50209DE2" w:rsidR="00F92048" w:rsidRPr="00151BD7" w:rsidRDefault="00A9472E" w:rsidP="00E268AA">
      <w:pPr>
        <w:spacing w:after="0"/>
        <w:jc w:val="both"/>
      </w:pPr>
      <w:r w:rsidRPr="00151BD7">
        <w:t xml:space="preserve">Revenues by geographic region </w:t>
      </w:r>
    </w:p>
    <w:p w14:paraId="35A418B0" w14:textId="77777777" w:rsidR="00A9472E" w:rsidRPr="00151BD7" w:rsidRDefault="00A9472E" w:rsidP="00E268AA">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655"/>
        <w:gridCol w:w="1655"/>
        <w:gridCol w:w="1656"/>
      </w:tblGrid>
      <w:tr w:rsidR="00A9472E" w:rsidRPr="00151BD7" w14:paraId="70097E5F" w14:textId="77777777" w:rsidTr="00A9472E">
        <w:trPr>
          <w:trHeight w:val="288"/>
        </w:trPr>
        <w:tc>
          <w:tcPr>
            <w:tcW w:w="3539" w:type="dxa"/>
          </w:tcPr>
          <w:p w14:paraId="7353E57C" w14:textId="15C44720" w:rsidR="00A9472E" w:rsidRPr="00151BD7" w:rsidRDefault="00F10018" w:rsidP="00E268AA">
            <w:pPr>
              <w:spacing w:after="0"/>
              <w:jc w:val="both"/>
              <w:rPr>
                <w:b/>
              </w:rPr>
            </w:pPr>
            <w:r w:rsidRPr="00151BD7">
              <w:rPr>
                <w:b/>
                <w:bCs/>
              </w:rPr>
              <w:t>€</w:t>
            </w:r>
            <w:r w:rsidR="00A9472E" w:rsidRPr="00151BD7">
              <w:rPr>
                <w:b/>
              </w:rPr>
              <w:t xml:space="preserve"> m</w:t>
            </w:r>
          </w:p>
        </w:tc>
        <w:tc>
          <w:tcPr>
            <w:tcW w:w="1655" w:type="dxa"/>
          </w:tcPr>
          <w:p w14:paraId="7497C62C" w14:textId="77777777" w:rsidR="00A9472E" w:rsidRPr="00151BD7" w:rsidRDefault="00A9472E" w:rsidP="00E268AA">
            <w:pPr>
              <w:spacing w:after="0"/>
              <w:jc w:val="both"/>
              <w:rPr>
                <w:b/>
              </w:rPr>
            </w:pPr>
            <w:r w:rsidRPr="00151BD7">
              <w:rPr>
                <w:b/>
              </w:rPr>
              <w:t>FY25</w:t>
            </w:r>
          </w:p>
        </w:tc>
        <w:tc>
          <w:tcPr>
            <w:tcW w:w="1655" w:type="dxa"/>
          </w:tcPr>
          <w:p w14:paraId="7D9A7733" w14:textId="77777777" w:rsidR="00A9472E" w:rsidRPr="00151BD7" w:rsidRDefault="00A9472E" w:rsidP="00E268AA">
            <w:pPr>
              <w:spacing w:after="0"/>
              <w:jc w:val="both"/>
              <w:rPr>
                <w:b/>
              </w:rPr>
            </w:pPr>
            <w:r w:rsidRPr="00151BD7">
              <w:rPr>
                <w:b/>
              </w:rPr>
              <w:t>FY24</w:t>
            </w:r>
          </w:p>
        </w:tc>
        <w:tc>
          <w:tcPr>
            <w:tcW w:w="1656" w:type="dxa"/>
          </w:tcPr>
          <w:p w14:paraId="29DBCB0D" w14:textId="6D6D5ECC" w:rsidR="00A9472E" w:rsidRPr="00151BD7" w:rsidRDefault="002970D0" w:rsidP="002970D0">
            <w:pPr>
              <w:spacing w:after="0"/>
              <w:rPr>
                <w:b/>
              </w:rPr>
            </w:pPr>
            <w:r w:rsidRPr="00151BD7">
              <w:rPr>
                <w:b/>
              </w:rPr>
              <w:t>Proportion FY25</w:t>
            </w:r>
          </w:p>
        </w:tc>
      </w:tr>
      <w:tr w:rsidR="00A9472E" w:rsidRPr="00151BD7" w14:paraId="44E04A01" w14:textId="77777777" w:rsidTr="00A9472E">
        <w:trPr>
          <w:trHeight w:val="288"/>
        </w:trPr>
        <w:tc>
          <w:tcPr>
            <w:tcW w:w="3539" w:type="dxa"/>
          </w:tcPr>
          <w:p w14:paraId="3741FBBF" w14:textId="77777777" w:rsidR="00A9472E" w:rsidRPr="00151BD7" w:rsidRDefault="00A9472E" w:rsidP="00E268AA">
            <w:pPr>
              <w:spacing w:after="0"/>
              <w:jc w:val="both"/>
            </w:pPr>
            <w:r w:rsidRPr="00151BD7">
              <w:t>Europe excluding Ukraine</w:t>
            </w:r>
          </w:p>
        </w:tc>
        <w:tc>
          <w:tcPr>
            <w:tcW w:w="1655" w:type="dxa"/>
          </w:tcPr>
          <w:p w14:paraId="7963A454" w14:textId="25841E3B" w:rsidR="00A9472E" w:rsidRPr="00151BD7" w:rsidRDefault="002970D0" w:rsidP="00E268AA">
            <w:pPr>
              <w:spacing w:after="0"/>
              <w:jc w:val="both"/>
            </w:pPr>
            <w:r w:rsidRPr="00151BD7">
              <w:t>3,21</w:t>
            </w:r>
            <w:r w:rsidR="00DD6469" w:rsidRPr="00151BD7">
              <w:t>1</w:t>
            </w:r>
          </w:p>
        </w:tc>
        <w:tc>
          <w:tcPr>
            <w:tcW w:w="1655" w:type="dxa"/>
          </w:tcPr>
          <w:p w14:paraId="7EA41177" w14:textId="3FFFBF5F" w:rsidR="00A9472E" w:rsidRPr="00151BD7" w:rsidRDefault="002970D0" w:rsidP="00E268AA">
            <w:pPr>
              <w:spacing w:after="0"/>
              <w:jc w:val="both"/>
            </w:pPr>
            <w:r w:rsidRPr="00151BD7">
              <w:t>1,679</w:t>
            </w:r>
          </w:p>
        </w:tc>
        <w:tc>
          <w:tcPr>
            <w:tcW w:w="1656" w:type="dxa"/>
          </w:tcPr>
          <w:p w14:paraId="773EF23F" w14:textId="36C95F65" w:rsidR="00A9472E" w:rsidRPr="00151BD7" w:rsidRDefault="002970D0" w:rsidP="00E268AA">
            <w:pPr>
              <w:spacing w:after="0"/>
              <w:jc w:val="both"/>
            </w:pPr>
            <w:r w:rsidRPr="00151BD7">
              <w:t>48</w:t>
            </w:r>
            <w:r w:rsidR="003552A1" w:rsidRPr="00151BD7">
              <w:t>%</w:t>
            </w:r>
          </w:p>
        </w:tc>
      </w:tr>
      <w:tr w:rsidR="00A9472E" w:rsidRPr="00151BD7" w14:paraId="0CB141C8" w14:textId="77777777" w:rsidTr="00A9472E">
        <w:trPr>
          <w:trHeight w:val="275"/>
        </w:trPr>
        <w:tc>
          <w:tcPr>
            <w:tcW w:w="3539" w:type="dxa"/>
          </w:tcPr>
          <w:p w14:paraId="6B83F096" w14:textId="756A994C" w:rsidR="00A9472E" w:rsidRPr="00151BD7" w:rsidRDefault="00A9472E" w:rsidP="00E268AA">
            <w:pPr>
              <w:spacing w:after="0"/>
              <w:jc w:val="both"/>
            </w:pPr>
            <w:r w:rsidRPr="00151BD7">
              <w:t>Ukraine</w:t>
            </w:r>
            <w:r w:rsidR="00F75B16" w:rsidRPr="00151BD7">
              <w:t>*</w:t>
            </w:r>
          </w:p>
        </w:tc>
        <w:tc>
          <w:tcPr>
            <w:tcW w:w="1655" w:type="dxa"/>
          </w:tcPr>
          <w:p w14:paraId="3FB19DBB" w14:textId="6B878B34" w:rsidR="00A9472E" w:rsidRPr="00151BD7" w:rsidRDefault="002970D0" w:rsidP="00E268AA">
            <w:pPr>
              <w:spacing w:after="0"/>
              <w:jc w:val="both"/>
            </w:pPr>
            <w:r w:rsidRPr="00151BD7">
              <w:t>1,834</w:t>
            </w:r>
          </w:p>
        </w:tc>
        <w:tc>
          <w:tcPr>
            <w:tcW w:w="1655" w:type="dxa"/>
          </w:tcPr>
          <w:p w14:paraId="1BFCF6DD" w14:textId="2C6ADCEC" w:rsidR="00A9472E" w:rsidRPr="00151BD7" w:rsidRDefault="002970D0" w:rsidP="00E268AA">
            <w:pPr>
              <w:spacing w:after="0"/>
              <w:jc w:val="both"/>
            </w:pPr>
            <w:r w:rsidRPr="00151BD7">
              <w:t>1,715</w:t>
            </w:r>
          </w:p>
        </w:tc>
        <w:tc>
          <w:tcPr>
            <w:tcW w:w="1656" w:type="dxa"/>
          </w:tcPr>
          <w:p w14:paraId="52972D4A" w14:textId="153956BA" w:rsidR="00A9472E" w:rsidRPr="00151BD7" w:rsidRDefault="002970D0" w:rsidP="00E268AA">
            <w:pPr>
              <w:spacing w:after="0"/>
              <w:jc w:val="both"/>
            </w:pPr>
            <w:r w:rsidRPr="00151BD7">
              <w:t>27%</w:t>
            </w:r>
          </w:p>
        </w:tc>
      </w:tr>
      <w:tr w:rsidR="00A9472E" w:rsidRPr="00151BD7" w14:paraId="6A075D30" w14:textId="77777777" w:rsidTr="00A9472E">
        <w:trPr>
          <w:trHeight w:val="288"/>
        </w:trPr>
        <w:tc>
          <w:tcPr>
            <w:tcW w:w="3539" w:type="dxa"/>
          </w:tcPr>
          <w:p w14:paraId="07355D97" w14:textId="77777777" w:rsidR="00A9472E" w:rsidRPr="00151BD7" w:rsidRDefault="00A9472E" w:rsidP="00E268AA">
            <w:pPr>
              <w:spacing w:after="0"/>
              <w:jc w:val="both"/>
            </w:pPr>
            <w:r w:rsidRPr="00151BD7">
              <w:t>United States</w:t>
            </w:r>
          </w:p>
        </w:tc>
        <w:tc>
          <w:tcPr>
            <w:tcW w:w="1655" w:type="dxa"/>
          </w:tcPr>
          <w:p w14:paraId="25542BB8" w14:textId="36173DE6" w:rsidR="00A9472E" w:rsidRPr="00151BD7" w:rsidRDefault="002970D0" w:rsidP="00E268AA">
            <w:pPr>
              <w:spacing w:after="0"/>
              <w:jc w:val="both"/>
            </w:pPr>
            <w:r w:rsidRPr="00151BD7">
              <w:t>1,140</w:t>
            </w:r>
          </w:p>
        </w:tc>
        <w:tc>
          <w:tcPr>
            <w:tcW w:w="1655" w:type="dxa"/>
          </w:tcPr>
          <w:p w14:paraId="291DFEB9" w14:textId="1E8E9578" w:rsidR="00A9472E" w:rsidRPr="00151BD7" w:rsidRDefault="002970D0" w:rsidP="00E268AA">
            <w:pPr>
              <w:spacing w:after="0"/>
              <w:jc w:val="both"/>
            </w:pPr>
            <w:r w:rsidRPr="00151BD7">
              <w:t>269</w:t>
            </w:r>
          </w:p>
        </w:tc>
        <w:tc>
          <w:tcPr>
            <w:tcW w:w="1656" w:type="dxa"/>
          </w:tcPr>
          <w:p w14:paraId="7EC1C09E" w14:textId="3C2906A4" w:rsidR="00A9472E" w:rsidRPr="00151BD7" w:rsidRDefault="002970D0" w:rsidP="00E268AA">
            <w:pPr>
              <w:spacing w:after="0"/>
              <w:jc w:val="both"/>
            </w:pPr>
            <w:r w:rsidRPr="00151BD7">
              <w:t>17%</w:t>
            </w:r>
          </w:p>
        </w:tc>
      </w:tr>
      <w:tr w:rsidR="00A9472E" w:rsidRPr="00151BD7" w14:paraId="23EA5F25" w14:textId="77777777" w:rsidTr="00A9472E">
        <w:trPr>
          <w:trHeight w:val="288"/>
        </w:trPr>
        <w:tc>
          <w:tcPr>
            <w:tcW w:w="3539" w:type="dxa"/>
          </w:tcPr>
          <w:p w14:paraId="378EFAF1" w14:textId="77777777" w:rsidR="00A9472E" w:rsidRPr="00151BD7" w:rsidRDefault="00A9472E" w:rsidP="00E268AA">
            <w:pPr>
              <w:spacing w:after="0"/>
              <w:jc w:val="both"/>
            </w:pPr>
            <w:r w:rsidRPr="00151BD7">
              <w:t>Other</w:t>
            </w:r>
          </w:p>
        </w:tc>
        <w:tc>
          <w:tcPr>
            <w:tcW w:w="1655" w:type="dxa"/>
          </w:tcPr>
          <w:p w14:paraId="033DB6BD" w14:textId="09D2B91B" w:rsidR="00A9472E" w:rsidRPr="00151BD7" w:rsidRDefault="002970D0" w:rsidP="00E268AA">
            <w:pPr>
              <w:spacing w:after="0"/>
              <w:jc w:val="both"/>
            </w:pPr>
            <w:r w:rsidRPr="00151BD7">
              <w:t>55</w:t>
            </w:r>
            <w:r w:rsidR="00DD6469" w:rsidRPr="00151BD7">
              <w:t>6</w:t>
            </w:r>
          </w:p>
        </w:tc>
        <w:tc>
          <w:tcPr>
            <w:tcW w:w="1655" w:type="dxa"/>
          </w:tcPr>
          <w:p w14:paraId="71981333" w14:textId="4F5F7FD4" w:rsidR="00A9472E" w:rsidRPr="00151BD7" w:rsidRDefault="002970D0" w:rsidP="00E268AA">
            <w:pPr>
              <w:spacing w:after="0"/>
              <w:jc w:val="both"/>
            </w:pPr>
            <w:r w:rsidRPr="00151BD7">
              <w:t>263</w:t>
            </w:r>
          </w:p>
        </w:tc>
        <w:tc>
          <w:tcPr>
            <w:tcW w:w="1656" w:type="dxa"/>
          </w:tcPr>
          <w:p w14:paraId="7225819D" w14:textId="041FD9B6" w:rsidR="00A9472E" w:rsidRPr="00151BD7" w:rsidRDefault="002970D0" w:rsidP="00E268AA">
            <w:pPr>
              <w:spacing w:after="0"/>
              <w:jc w:val="both"/>
            </w:pPr>
            <w:r w:rsidRPr="00151BD7">
              <w:t>8%</w:t>
            </w:r>
          </w:p>
        </w:tc>
      </w:tr>
    </w:tbl>
    <w:p w14:paraId="7C9B741B" w14:textId="208AE171" w:rsidR="00A9472E" w:rsidRPr="00151BD7" w:rsidRDefault="00F75B16" w:rsidP="00E268AA">
      <w:pPr>
        <w:spacing w:after="0"/>
        <w:jc w:val="both"/>
        <w:rPr>
          <w:i/>
          <w:iCs/>
          <w:sz w:val="18"/>
          <w:szCs w:val="18"/>
        </w:rPr>
      </w:pPr>
      <w:r w:rsidRPr="00151BD7">
        <w:rPr>
          <w:i/>
          <w:iCs/>
          <w:sz w:val="18"/>
          <w:szCs w:val="18"/>
        </w:rPr>
        <w:t>* Includes purchases intended for the Ukrainian end-market paid for by another nation or party.</w:t>
      </w:r>
    </w:p>
    <w:p w14:paraId="50466223" w14:textId="77777777" w:rsidR="00F75B16" w:rsidRPr="00151BD7" w:rsidRDefault="00F75B16" w:rsidP="00E268AA">
      <w:pPr>
        <w:spacing w:after="0"/>
        <w:jc w:val="both"/>
      </w:pPr>
    </w:p>
    <w:p w14:paraId="72C23AA6" w14:textId="65D28DA7" w:rsidR="00EE3F64" w:rsidRPr="00151BD7" w:rsidRDefault="00654BAE" w:rsidP="00E268AA">
      <w:pPr>
        <w:spacing w:after="0"/>
        <w:jc w:val="both"/>
      </w:pPr>
      <w:r w:rsidRPr="00151BD7">
        <w:t xml:space="preserve">Defence customers represented </w:t>
      </w:r>
      <w:r w:rsidR="002E4112" w:rsidRPr="00151BD7">
        <w:t>80</w:t>
      </w:r>
      <w:r w:rsidRPr="00151BD7">
        <w:t>% of revenues, civil markets</w:t>
      </w:r>
      <w:r w:rsidR="00DD6469" w:rsidRPr="00151BD7">
        <w:t xml:space="preserve"> </w:t>
      </w:r>
      <w:r w:rsidR="002E4112" w:rsidRPr="00151BD7">
        <w:t>16</w:t>
      </w:r>
      <w:r w:rsidRPr="00151BD7">
        <w:t xml:space="preserve">% and industrial </w:t>
      </w:r>
      <w:r w:rsidR="00EE3828" w:rsidRPr="00151BD7">
        <w:t>non-defence</w:t>
      </w:r>
      <w:r w:rsidRPr="00151BD7">
        <w:t xml:space="preserve"> </w:t>
      </w:r>
      <w:r w:rsidR="002E4112" w:rsidRPr="00151BD7">
        <w:t>4</w:t>
      </w:r>
      <w:r w:rsidRPr="00151BD7">
        <w:t>%.</w:t>
      </w:r>
    </w:p>
    <w:p w14:paraId="2050E279" w14:textId="77777777" w:rsidR="00EE3F64" w:rsidRPr="00151BD7" w:rsidRDefault="00EE3F64" w:rsidP="00E268AA">
      <w:pPr>
        <w:spacing w:after="0"/>
        <w:jc w:val="both"/>
      </w:pPr>
    </w:p>
    <w:p w14:paraId="5A0D12A6" w14:textId="77777777" w:rsidR="00EE3F64" w:rsidRPr="00151BD7" w:rsidRDefault="00654BAE" w:rsidP="00E268AA">
      <w:pPr>
        <w:spacing w:after="0"/>
        <w:jc w:val="both"/>
        <w:rPr>
          <w:b/>
        </w:rPr>
      </w:pPr>
      <w:r w:rsidRPr="00151BD7">
        <w:rPr>
          <w:b/>
        </w:rPr>
        <w:t>Financial Review</w:t>
      </w:r>
    </w:p>
    <w:p w14:paraId="4E14E011" w14:textId="77777777" w:rsidR="002202AB" w:rsidRPr="00151BD7" w:rsidRDefault="002202AB" w:rsidP="00E268AA">
      <w:pPr>
        <w:spacing w:after="0"/>
        <w:jc w:val="both"/>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3"/>
        <w:gridCol w:w="1370"/>
        <w:gridCol w:w="1370"/>
        <w:gridCol w:w="1370"/>
        <w:gridCol w:w="1370"/>
        <w:gridCol w:w="1370"/>
      </w:tblGrid>
      <w:tr w:rsidR="00FC2349" w:rsidRPr="00151BD7" w14:paraId="5E1E8682" w14:textId="73D25D52" w:rsidTr="00FC2349">
        <w:trPr>
          <w:trHeight w:val="341"/>
        </w:trPr>
        <w:tc>
          <w:tcPr>
            <w:tcW w:w="2713" w:type="dxa"/>
          </w:tcPr>
          <w:p w14:paraId="11E4D8C0" w14:textId="01709D42" w:rsidR="00FC2349" w:rsidRPr="00151BD7" w:rsidRDefault="00F10018" w:rsidP="00E268AA">
            <w:pPr>
              <w:spacing w:after="0"/>
              <w:jc w:val="both"/>
              <w:rPr>
                <w:b/>
              </w:rPr>
            </w:pPr>
            <w:r w:rsidRPr="00151BD7">
              <w:rPr>
                <w:b/>
                <w:bCs/>
              </w:rPr>
              <w:t>€</w:t>
            </w:r>
            <w:r w:rsidR="00FC2349" w:rsidRPr="00151BD7">
              <w:rPr>
                <w:b/>
              </w:rPr>
              <w:t xml:space="preserve"> m</w:t>
            </w:r>
          </w:p>
        </w:tc>
        <w:tc>
          <w:tcPr>
            <w:tcW w:w="1370" w:type="dxa"/>
          </w:tcPr>
          <w:p w14:paraId="6357E636" w14:textId="77777777" w:rsidR="00FC2349" w:rsidRPr="00151BD7" w:rsidRDefault="00FC2349" w:rsidP="00E268AA">
            <w:pPr>
              <w:spacing w:after="0" w:line="312" w:lineRule="auto"/>
              <w:jc w:val="both"/>
              <w:rPr>
                <w:b/>
              </w:rPr>
            </w:pPr>
            <w:r w:rsidRPr="00151BD7">
              <w:rPr>
                <w:b/>
              </w:rPr>
              <w:t xml:space="preserve">FY25 </w:t>
            </w:r>
          </w:p>
        </w:tc>
        <w:tc>
          <w:tcPr>
            <w:tcW w:w="1370" w:type="dxa"/>
          </w:tcPr>
          <w:p w14:paraId="3E278D52" w14:textId="77777777" w:rsidR="00FC2349" w:rsidRPr="00151BD7" w:rsidRDefault="00FC2349" w:rsidP="00E268AA">
            <w:pPr>
              <w:spacing w:after="0" w:line="312" w:lineRule="auto"/>
              <w:jc w:val="both"/>
              <w:rPr>
                <w:b/>
              </w:rPr>
            </w:pPr>
            <w:r w:rsidRPr="00151BD7">
              <w:rPr>
                <w:b/>
              </w:rPr>
              <w:t xml:space="preserve">FY24 </w:t>
            </w:r>
          </w:p>
        </w:tc>
        <w:tc>
          <w:tcPr>
            <w:tcW w:w="1370" w:type="dxa"/>
          </w:tcPr>
          <w:p w14:paraId="27069F4A" w14:textId="77777777" w:rsidR="00FC2349" w:rsidRPr="00151BD7" w:rsidRDefault="00FC2349" w:rsidP="00E268AA">
            <w:pPr>
              <w:spacing w:after="0" w:line="312" w:lineRule="auto"/>
              <w:jc w:val="both"/>
              <w:rPr>
                <w:b/>
              </w:rPr>
            </w:pPr>
            <w:r w:rsidRPr="00151BD7">
              <w:rPr>
                <w:b/>
              </w:rPr>
              <w:t xml:space="preserve">FY24 </w:t>
            </w:r>
          </w:p>
          <w:p w14:paraId="0E654541" w14:textId="263C3279" w:rsidR="00FC2349" w:rsidRPr="00151BD7" w:rsidRDefault="00FC2349" w:rsidP="00E268AA">
            <w:pPr>
              <w:spacing w:after="0" w:line="312" w:lineRule="auto"/>
              <w:jc w:val="both"/>
              <w:rPr>
                <w:b/>
              </w:rPr>
            </w:pPr>
            <w:r w:rsidRPr="00151BD7">
              <w:rPr>
                <w:b/>
              </w:rPr>
              <w:t>Pro forma</w:t>
            </w:r>
          </w:p>
        </w:tc>
        <w:tc>
          <w:tcPr>
            <w:tcW w:w="1370" w:type="dxa"/>
          </w:tcPr>
          <w:p w14:paraId="7F0C8C07" w14:textId="478AD031" w:rsidR="00FC2349" w:rsidRPr="00151BD7" w:rsidRDefault="00FC2349" w:rsidP="00E268AA">
            <w:pPr>
              <w:spacing w:after="0" w:line="312" w:lineRule="auto"/>
              <w:jc w:val="both"/>
              <w:rPr>
                <w:b/>
              </w:rPr>
            </w:pPr>
            <w:r w:rsidRPr="00151BD7">
              <w:rPr>
                <w:b/>
              </w:rPr>
              <w:t>Change</w:t>
            </w:r>
          </w:p>
        </w:tc>
        <w:tc>
          <w:tcPr>
            <w:tcW w:w="1370" w:type="dxa"/>
          </w:tcPr>
          <w:p w14:paraId="27A7753A" w14:textId="77777777" w:rsidR="00FC2349" w:rsidRPr="00151BD7" w:rsidRDefault="00FC2349" w:rsidP="00E268AA">
            <w:pPr>
              <w:spacing w:after="0" w:line="312" w:lineRule="auto"/>
              <w:jc w:val="both"/>
              <w:rPr>
                <w:b/>
              </w:rPr>
            </w:pPr>
            <w:r w:rsidRPr="00151BD7">
              <w:rPr>
                <w:b/>
              </w:rPr>
              <w:t>Change</w:t>
            </w:r>
          </w:p>
          <w:p w14:paraId="685300A2" w14:textId="4D72531E" w:rsidR="00FC2349" w:rsidRPr="00151BD7" w:rsidRDefault="00FC2349" w:rsidP="00E268AA">
            <w:pPr>
              <w:spacing w:after="0" w:line="312" w:lineRule="auto"/>
              <w:jc w:val="both"/>
              <w:rPr>
                <w:b/>
              </w:rPr>
            </w:pPr>
            <w:r w:rsidRPr="00151BD7">
              <w:rPr>
                <w:b/>
              </w:rPr>
              <w:t>Pro forma</w:t>
            </w:r>
          </w:p>
        </w:tc>
      </w:tr>
      <w:tr w:rsidR="00FC2349" w:rsidRPr="00151BD7" w14:paraId="7D65F308" w14:textId="534C2BC7" w:rsidTr="00FC2349">
        <w:trPr>
          <w:trHeight w:val="341"/>
        </w:trPr>
        <w:tc>
          <w:tcPr>
            <w:tcW w:w="2713" w:type="dxa"/>
          </w:tcPr>
          <w:p w14:paraId="541B1665" w14:textId="77777777" w:rsidR="00FC2349" w:rsidRPr="00151BD7" w:rsidRDefault="00FC2349" w:rsidP="00FC2349">
            <w:pPr>
              <w:spacing w:after="0"/>
            </w:pPr>
            <w:r w:rsidRPr="00151BD7">
              <w:t>Revenues</w:t>
            </w:r>
          </w:p>
        </w:tc>
        <w:tc>
          <w:tcPr>
            <w:tcW w:w="1370" w:type="dxa"/>
          </w:tcPr>
          <w:p w14:paraId="5956B3C7" w14:textId="159626B6" w:rsidR="00FC2349" w:rsidRPr="00151BD7" w:rsidRDefault="00AB74E6" w:rsidP="00E268AA">
            <w:pPr>
              <w:spacing w:after="0"/>
              <w:jc w:val="both"/>
            </w:pPr>
            <w:r w:rsidRPr="00151BD7">
              <w:t>6.741</w:t>
            </w:r>
          </w:p>
        </w:tc>
        <w:tc>
          <w:tcPr>
            <w:tcW w:w="1370" w:type="dxa"/>
          </w:tcPr>
          <w:p w14:paraId="6E3BB59A" w14:textId="1533965B" w:rsidR="00FC2349" w:rsidRPr="00151BD7" w:rsidRDefault="002554B4" w:rsidP="00E268AA">
            <w:pPr>
              <w:spacing w:after="0"/>
              <w:jc w:val="both"/>
            </w:pPr>
            <w:r w:rsidRPr="00151BD7">
              <w:t>3,925</w:t>
            </w:r>
          </w:p>
        </w:tc>
        <w:tc>
          <w:tcPr>
            <w:tcW w:w="1370" w:type="dxa"/>
          </w:tcPr>
          <w:p w14:paraId="03B2CCC2" w14:textId="4C72963F" w:rsidR="00FC2349" w:rsidRPr="00151BD7" w:rsidRDefault="00AB74E6" w:rsidP="00E268AA">
            <w:pPr>
              <w:spacing w:after="0"/>
              <w:jc w:val="both"/>
            </w:pPr>
            <w:r w:rsidRPr="00151BD7">
              <w:t>5,</w:t>
            </w:r>
            <w:r w:rsidR="00B31CBF" w:rsidRPr="00151BD7">
              <w:t>182</w:t>
            </w:r>
          </w:p>
        </w:tc>
        <w:tc>
          <w:tcPr>
            <w:tcW w:w="1370" w:type="dxa"/>
          </w:tcPr>
          <w:p w14:paraId="7C5BC37A" w14:textId="21E9FF85" w:rsidR="00FC2349" w:rsidRPr="00151BD7" w:rsidRDefault="002554B4" w:rsidP="00E268AA">
            <w:pPr>
              <w:spacing w:after="0"/>
              <w:jc w:val="both"/>
            </w:pPr>
            <w:r w:rsidRPr="00151BD7">
              <w:t>71.7</w:t>
            </w:r>
            <w:r w:rsidR="00AB74E6" w:rsidRPr="00151BD7">
              <w:t>%</w:t>
            </w:r>
          </w:p>
        </w:tc>
        <w:tc>
          <w:tcPr>
            <w:tcW w:w="1370" w:type="dxa"/>
          </w:tcPr>
          <w:p w14:paraId="2C3864D5" w14:textId="1B09A165" w:rsidR="00FC2349" w:rsidRPr="00151BD7" w:rsidRDefault="00AB74E6" w:rsidP="00E268AA">
            <w:pPr>
              <w:spacing w:after="0"/>
              <w:jc w:val="both"/>
            </w:pPr>
            <w:r w:rsidRPr="00151BD7">
              <w:t>3</w:t>
            </w:r>
            <w:r w:rsidR="00B31CBF" w:rsidRPr="00151BD7">
              <w:t>0.1</w:t>
            </w:r>
            <w:r w:rsidRPr="00151BD7">
              <w:t>%</w:t>
            </w:r>
          </w:p>
        </w:tc>
      </w:tr>
      <w:tr w:rsidR="00FC2349" w:rsidRPr="00151BD7" w14:paraId="07CA394C" w14:textId="0A811CAB" w:rsidTr="00FC2349">
        <w:trPr>
          <w:trHeight w:val="341"/>
        </w:trPr>
        <w:tc>
          <w:tcPr>
            <w:tcW w:w="2713" w:type="dxa"/>
          </w:tcPr>
          <w:p w14:paraId="4B2981D3" w14:textId="77777777" w:rsidR="00FC2349" w:rsidRPr="00151BD7" w:rsidRDefault="00FC2349" w:rsidP="00FC2349">
            <w:pPr>
              <w:spacing w:after="0"/>
            </w:pPr>
            <w:r w:rsidRPr="00151BD7">
              <w:t>Raw materials and consumables</w:t>
            </w:r>
          </w:p>
        </w:tc>
        <w:tc>
          <w:tcPr>
            <w:tcW w:w="1370" w:type="dxa"/>
          </w:tcPr>
          <w:p w14:paraId="50218B0B" w14:textId="51BE01C4" w:rsidR="00FC2349" w:rsidRPr="00151BD7" w:rsidRDefault="00AB74E6" w:rsidP="00E268AA">
            <w:pPr>
              <w:spacing w:after="0"/>
              <w:jc w:val="both"/>
            </w:pPr>
            <w:r w:rsidRPr="00151BD7">
              <w:t>(3,</w:t>
            </w:r>
            <w:r w:rsidR="00B31CBF" w:rsidRPr="00151BD7">
              <w:t>706</w:t>
            </w:r>
            <w:r w:rsidRPr="00151BD7">
              <w:t>)</w:t>
            </w:r>
          </w:p>
        </w:tc>
        <w:tc>
          <w:tcPr>
            <w:tcW w:w="1370" w:type="dxa"/>
          </w:tcPr>
          <w:p w14:paraId="31E00AE6" w14:textId="4CCBF43A" w:rsidR="00FC2349" w:rsidRPr="00151BD7" w:rsidRDefault="00AB74E6" w:rsidP="00E268AA">
            <w:pPr>
              <w:spacing w:after="0"/>
              <w:jc w:val="both"/>
            </w:pPr>
            <w:r w:rsidRPr="00151BD7">
              <w:t>(2,1</w:t>
            </w:r>
            <w:r w:rsidR="002554B4" w:rsidRPr="00151BD7">
              <w:t>35</w:t>
            </w:r>
            <w:r w:rsidRPr="00151BD7">
              <w:t>)</w:t>
            </w:r>
          </w:p>
        </w:tc>
        <w:tc>
          <w:tcPr>
            <w:tcW w:w="1370" w:type="dxa"/>
          </w:tcPr>
          <w:p w14:paraId="7B0EF497" w14:textId="66B48D14" w:rsidR="00FC2349" w:rsidRPr="00151BD7" w:rsidRDefault="00AB74E6" w:rsidP="00E268AA">
            <w:pPr>
              <w:spacing w:after="0"/>
              <w:jc w:val="both"/>
            </w:pPr>
            <w:r w:rsidRPr="00151BD7">
              <w:t>(2,6</w:t>
            </w:r>
            <w:r w:rsidR="00B31CBF" w:rsidRPr="00151BD7">
              <w:t>28</w:t>
            </w:r>
            <w:r w:rsidRPr="00151BD7">
              <w:t>)</w:t>
            </w:r>
          </w:p>
        </w:tc>
        <w:tc>
          <w:tcPr>
            <w:tcW w:w="1370" w:type="dxa"/>
          </w:tcPr>
          <w:p w14:paraId="78D55926" w14:textId="3E3C461B" w:rsidR="00FC2349" w:rsidRPr="00151BD7" w:rsidRDefault="002554B4" w:rsidP="00E268AA">
            <w:pPr>
              <w:spacing w:after="0"/>
              <w:jc w:val="both"/>
            </w:pPr>
            <w:r w:rsidRPr="00151BD7">
              <w:t>7</w:t>
            </w:r>
            <w:r w:rsidR="00B31CBF" w:rsidRPr="00151BD7">
              <w:t>3.6</w:t>
            </w:r>
            <w:r w:rsidR="00AB74E6" w:rsidRPr="00151BD7">
              <w:t>%</w:t>
            </w:r>
          </w:p>
        </w:tc>
        <w:tc>
          <w:tcPr>
            <w:tcW w:w="1370" w:type="dxa"/>
          </w:tcPr>
          <w:p w14:paraId="16358512" w14:textId="3F4412B6" w:rsidR="00FC2349" w:rsidRPr="00151BD7" w:rsidRDefault="002554B4" w:rsidP="00E268AA">
            <w:pPr>
              <w:spacing w:after="0"/>
              <w:jc w:val="both"/>
            </w:pPr>
            <w:r w:rsidRPr="00151BD7">
              <w:t>4</w:t>
            </w:r>
            <w:r w:rsidR="00B31CBF" w:rsidRPr="00151BD7">
              <w:t>1</w:t>
            </w:r>
            <w:r w:rsidRPr="00151BD7">
              <w:t>.</w:t>
            </w:r>
            <w:r w:rsidR="00B31CBF" w:rsidRPr="00151BD7">
              <w:t>0</w:t>
            </w:r>
            <w:r w:rsidR="00AB74E6" w:rsidRPr="00151BD7">
              <w:t>%</w:t>
            </w:r>
          </w:p>
        </w:tc>
      </w:tr>
      <w:tr w:rsidR="00FC2349" w:rsidRPr="00151BD7" w14:paraId="119BF3D5" w14:textId="1E3EB8D1" w:rsidTr="00FC2349">
        <w:trPr>
          <w:trHeight w:val="341"/>
        </w:trPr>
        <w:tc>
          <w:tcPr>
            <w:tcW w:w="2713" w:type="dxa"/>
          </w:tcPr>
          <w:p w14:paraId="7404D692" w14:textId="77777777" w:rsidR="00FC2349" w:rsidRPr="00151BD7" w:rsidRDefault="00FC2349" w:rsidP="00FC2349">
            <w:pPr>
              <w:spacing w:after="0"/>
            </w:pPr>
            <w:r w:rsidRPr="00151BD7">
              <w:t>External costs</w:t>
            </w:r>
          </w:p>
        </w:tc>
        <w:tc>
          <w:tcPr>
            <w:tcW w:w="1370" w:type="dxa"/>
          </w:tcPr>
          <w:p w14:paraId="60A1420B" w14:textId="36C40F3D" w:rsidR="00FC2349" w:rsidRPr="00151BD7" w:rsidRDefault="00AB74E6" w:rsidP="00E268AA">
            <w:pPr>
              <w:spacing w:after="0"/>
              <w:jc w:val="both"/>
            </w:pPr>
            <w:r w:rsidRPr="00151BD7">
              <w:t>(</w:t>
            </w:r>
            <w:r w:rsidR="002554B4" w:rsidRPr="00151BD7">
              <w:t>602</w:t>
            </w:r>
            <w:r w:rsidRPr="00151BD7">
              <w:t>)</w:t>
            </w:r>
          </w:p>
        </w:tc>
        <w:tc>
          <w:tcPr>
            <w:tcW w:w="1370" w:type="dxa"/>
          </w:tcPr>
          <w:p w14:paraId="256F8E71" w14:textId="4B9AFF33" w:rsidR="00FC2349" w:rsidRPr="00151BD7" w:rsidRDefault="00AB74E6" w:rsidP="00E268AA">
            <w:pPr>
              <w:spacing w:after="0"/>
              <w:jc w:val="both"/>
            </w:pPr>
            <w:r w:rsidRPr="00151BD7">
              <w:t>(4</w:t>
            </w:r>
            <w:r w:rsidR="002554B4" w:rsidRPr="00151BD7">
              <w:t>18</w:t>
            </w:r>
            <w:r w:rsidRPr="00151BD7">
              <w:t>)</w:t>
            </w:r>
          </w:p>
        </w:tc>
        <w:tc>
          <w:tcPr>
            <w:tcW w:w="1370" w:type="dxa"/>
          </w:tcPr>
          <w:p w14:paraId="43B854D9" w14:textId="10A17A2E" w:rsidR="00FC2349" w:rsidRPr="00151BD7" w:rsidRDefault="00AB74E6" w:rsidP="00E268AA">
            <w:pPr>
              <w:spacing w:after="0"/>
              <w:jc w:val="both"/>
            </w:pPr>
            <w:r w:rsidRPr="00151BD7">
              <w:t>(5</w:t>
            </w:r>
            <w:r w:rsidR="00B31CBF" w:rsidRPr="00151BD7">
              <w:t>34</w:t>
            </w:r>
            <w:r w:rsidRPr="00151BD7">
              <w:t>)</w:t>
            </w:r>
          </w:p>
        </w:tc>
        <w:tc>
          <w:tcPr>
            <w:tcW w:w="1370" w:type="dxa"/>
          </w:tcPr>
          <w:p w14:paraId="7CBE749C" w14:textId="2606928D" w:rsidR="00FC2349" w:rsidRPr="00151BD7" w:rsidRDefault="002554B4" w:rsidP="00E268AA">
            <w:pPr>
              <w:spacing w:after="0"/>
              <w:jc w:val="both"/>
            </w:pPr>
            <w:r w:rsidRPr="00151BD7">
              <w:t>43.9</w:t>
            </w:r>
            <w:r w:rsidR="00AB74E6" w:rsidRPr="00151BD7">
              <w:t>%</w:t>
            </w:r>
          </w:p>
        </w:tc>
        <w:tc>
          <w:tcPr>
            <w:tcW w:w="1370" w:type="dxa"/>
          </w:tcPr>
          <w:p w14:paraId="6744E305" w14:textId="01428E7D" w:rsidR="00FC2349" w:rsidRPr="00151BD7" w:rsidRDefault="002554B4" w:rsidP="00E268AA">
            <w:pPr>
              <w:spacing w:after="0"/>
              <w:jc w:val="both"/>
            </w:pPr>
            <w:r w:rsidRPr="00151BD7">
              <w:t>1</w:t>
            </w:r>
            <w:r w:rsidR="00B31CBF" w:rsidRPr="00151BD7">
              <w:t>2.8</w:t>
            </w:r>
            <w:r w:rsidR="00AB74E6" w:rsidRPr="00151BD7">
              <w:t>%</w:t>
            </w:r>
          </w:p>
        </w:tc>
      </w:tr>
      <w:tr w:rsidR="00FC2349" w:rsidRPr="00151BD7" w14:paraId="63816C56" w14:textId="58C62064" w:rsidTr="00FC2349">
        <w:trPr>
          <w:trHeight w:val="341"/>
        </w:trPr>
        <w:tc>
          <w:tcPr>
            <w:tcW w:w="2713" w:type="dxa"/>
          </w:tcPr>
          <w:p w14:paraId="26E5F48B" w14:textId="77777777" w:rsidR="00FC2349" w:rsidRPr="00151BD7" w:rsidRDefault="00FC2349" w:rsidP="00FC2349">
            <w:pPr>
              <w:spacing w:after="0"/>
            </w:pPr>
            <w:r w:rsidRPr="00151BD7">
              <w:t>Employee benefits expense</w:t>
            </w:r>
          </w:p>
        </w:tc>
        <w:tc>
          <w:tcPr>
            <w:tcW w:w="1370" w:type="dxa"/>
          </w:tcPr>
          <w:p w14:paraId="2584F7D1" w14:textId="7F26CB12" w:rsidR="00FC2349" w:rsidRPr="00151BD7" w:rsidRDefault="00AB74E6" w:rsidP="00E268AA">
            <w:pPr>
              <w:spacing w:after="0"/>
              <w:jc w:val="both"/>
            </w:pPr>
            <w:r w:rsidRPr="00151BD7">
              <w:t>(604)</w:t>
            </w:r>
          </w:p>
        </w:tc>
        <w:tc>
          <w:tcPr>
            <w:tcW w:w="1370" w:type="dxa"/>
          </w:tcPr>
          <w:p w14:paraId="7923CE7C" w14:textId="21FC0745" w:rsidR="00FC2349" w:rsidRPr="00151BD7" w:rsidRDefault="00AB74E6" w:rsidP="00E268AA">
            <w:pPr>
              <w:spacing w:after="0"/>
              <w:jc w:val="both"/>
            </w:pPr>
            <w:r w:rsidRPr="00151BD7">
              <w:t>(2</w:t>
            </w:r>
            <w:r w:rsidR="002554B4" w:rsidRPr="00151BD7">
              <w:t>57</w:t>
            </w:r>
            <w:r w:rsidRPr="00151BD7">
              <w:t>)</w:t>
            </w:r>
          </w:p>
        </w:tc>
        <w:tc>
          <w:tcPr>
            <w:tcW w:w="1370" w:type="dxa"/>
          </w:tcPr>
          <w:p w14:paraId="6DB568C6" w14:textId="1E872866" w:rsidR="00FC2349" w:rsidRPr="00151BD7" w:rsidRDefault="00AB74E6" w:rsidP="00E268AA">
            <w:pPr>
              <w:spacing w:after="0"/>
              <w:jc w:val="both"/>
            </w:pPr>
            <w:r w:rsidRPr="00151BD7">
              <w:t>(</w:t>
            </w:r>
            <w:r w:rsidR="00B31CBF" w:rsidRPr="00151BD7">
              <w:t>605</w:t>
            </w:r>
            <w:r w:rsidRPr="00151BD7">
              <w:t>)</w:t>
            </w:r>
          </w:p>
        </w:tc>
        <w:tc>
          <w:tcPr>
            <w:tcW w:w="1370" w:type="dxa"/>
          </w:tcPr>
          <w:p w14:paraId="77876F0C" w14:textId="4D38C34B" w:rsidR="00FC2349" w:rsidRPr="00151BD7" w:rsidRDefault="00AB74E6" w:rsidP="00E268AA">
            <w:pPr>
              <w:spacing w:after="0"/>
              <w:jc w:val="both"/>
            </w:pPr>
            <w:r w:rsidRPr="00151BD7">
              <w:t>1</w:t>
            </w:r>
            <w:r w:rsidR="00454796" w:rsidRPr="00151BD7">
              <w:t>34.9</w:t>
            </w:r>
            <w:r w:rsidRPr="00151BD7">
              <w:t>%</w:t>
            </w:r>
          </w:p>
        </w:tc>
        <w:tc>
          <w:tcPr>
            <w:tcW w:w="1370" w:type="dxa"/>
          </w:tcPr>
          <w:p w14:paraId="43D5738B" w14:textId="344D75CC" w:rsidR="00FC2349" w:rsidRPr="00151BD7" w:rsidRDefault="00B31CBF" w:rsidP="00E268AA">
            <w:pPr>
              <w:spacing w:after="0"/>
              <w:jc w:val="both"/>
            </w:pPr>
            <w:r w:rsidRPr="00151BD7">
              <w:t>(0.2)</w:t>
            </w:r>
            <w:r w:rsidR="00454796" w:rsidRPr="00151BD7">
              <w:t>%</w:t>
            </w:r>
          </w:p>
        </w:tc>
      </w:tr>
      <w:tr w:rsidR="00FC2349" w:rsidRPr="00151BD7" w14:paraId="30625592" w14:textId="6EBE85D1" w:rsidTr="00FC2349">
        <w:trPr>
          <w:trHeight w:val="341"/>
        </w:trPr>
        <w:tc>
          <w:tcPr>
            <w:tcW w:w="2713" w:type="dxa"/>
          </w:tcPr>
          <w:p w14:paraId="77261B8C" w14:textId="65566B18" w:rsidR="00FC2349" w:rsidRPr="00151BD7" w:rsidRDefault="00FC2349" w:rsidP="00FC2349">
            <w:pPr>
              <w:spacing w:after="0"/>
            </w:pPr>
            <w:r w:rsidRPr="00151BD7">
              <w:t>Depreciation and amorti</w:t>
            </w:r>
            <w:r w:rsidR="00F17126" w:rsidRPr="00151BD7">
              <w:t>s</w:t>
            </w:r>
            <w:r w:rsidRPr="00151BD7">
              <w:t>ation</w:t>
            </w:r>
          </w:p>
        </w:tc>
        <w:tc>
          <w:tcPr>
            <w:tcW w:w="1370" w:type="dxa"/>
          </w:tcPr>
          <w:p w14:paraId="183BED5D" w14:textId="44B239CE" w:rsidR="00FC2349" w:rsidRPr="00151BD7" w:rsidRDefault="00AB74E6" w:rsidP="00E268AA">
            <w:pPr>
              <w:spacing w:after="0"/>
              <w:jc w:val="both"/>
            </w:pPr>
            <w:r w:rsidRPr="00151BD7">
              <w:t>(156)</w:t>
            </w:r>
          </w:p>
        </w:tc>
        <w:tc>
          <w:tcPr>
            <w:tcW w:w="1370" w:type="dxa"/>
          </w:tcPr>
          <w:p w14:paraId="4E0DD2D0" w14:textId="6314D7B8" w:rsidR="00FC2349" w:rsidRPr="00151BD7" w:rsidRDefault="00AB74E6" w:rsidP="00E268AA">
            <w:pPr>
              <w:spacing w:after="0"/>
              <w:jc w:val="both"/>
            </w:pPr>
            <w:r w:rsidRPr="00151BD7">
              <w:t>(</w:t>
            </w:r>
            <w:r w:rsidR="002554B4" w:rsidRPr="00151BD7">
              <w:t>58</w:t>
            </w:r>
            <w:r w:rsidRPr="00151BD7">
              <w:t>)</w:t>
            </w:r>
          </w:p>
        </w:tc>
        <w:tc>
          <w:tcPr>
            <w:tcW w:w="1370" w:type="dxa"/>
          </w:tcPr>
          <w:p w14:paraId="035D6117" w14:textId="422E8700" w:rsidR="00FC2349" w:rsidRPr="00151BD7" w:rsidRDefault="00AB74E6" w:rsidP="00E268AA">
            <w:pPr>
              <w:spacing w:after="0"/>
              <w:jc w:val="both"/>
            </w:pPr>
            <w:r w:rsidRPr="00151BD7">
              <w:t>(1</w:t>
            </w:r>
            <w:r w:rsidR="00B31CBF" w:rsidRPr="00151BD7">
              <w:t>51</w:t>
            </w:r>
            <w:r w:rsidRPr="00151BD7">
              <w:t>)</w:t>
            </w:r>
          </w:p>
        </w:tc>
        <w:tc>
          <w:tcPr>
            <w:tcW w:w="1370" w:type="dxa"/>
          </w:tcPr>
          <w:p w14:paraId="46AF64AE" w14:textId="223800F1" w:rsidR="00FC2349" w:rsidRPr="00151BD7" w:rsidRDefault="00AB74E6" w:rsidP="00E268AA">
            <w:pPr>
              <w:spacing w:after="0"/>
              <w:jc w:val="both"/>
            </w:pPr>
            <w:r w:rsidRPr="00151BD7">
              <w:t>1</w:t>
            </w:r>
            <w:r w:rsidR="00454796" w:rsidRPr="00151BD7">
              <w:t>67.9</w:t>
            </w:r>
            <w:r w:rsidRPr="00151BD7">
              <w:t>%</w:t>
            </w:r>
          </w:p>
        </w:tc>
        <w:tc>
          <w:tcPr>
            <w:tcW w:w="1370" w:type="dxa"/>
          </w:tcPr>
          <w:p w14:paraId="1E209977" w14:textId="441767E6" w:rsidR="00FC2349" w:rsidRPr="00151BD7" w:rsidRDefault="00B31CBF" w:rsidP="00E268AA">
            <w:pPr>
              <w:spacing w:after="0"/>
              <w:jc w:val="both"/>
            </w:pPr>
            <w:r w:rsidRPr="00151BD7">
              <w:t>3.6</w:t>
            </w:r>
            <w:r w:rsidR="00AB74E6" w:rsidRPr="00151BD7">
              <w:t>%</w:t>
            </w:r>
          </w:p>
        </w:tc>
      </w:tr>
      <w:tr w:rsidR="00AB74E6" w:rsidRPr="00151BD7" w14:paraId="6B8109F0" w14:textId="77777777" w:rsidTr="00FC2349">
        <w:trPr>
          <w:trHeight w:val="341"/>
        </w:trPr>
        <w:tc>
          <w:tcPr>
            <w:tcW w:w="2713" w:type="dxa"/>
          </w:tcPr>
          <w:p w14:paraId="34BD8B32" w14:textId="52B25E11" w:rsidR="00AB74E6" w:rsidRPr="00151BD7" w:rsidRDefault="00AB74E6" w:rsidP="00FC2349">
            <w:pPr>
              <w:spacing w:after="0"/>
            </w:pPr>
            <w:r w:rsidRPr="00151BD7">
              <w:t>Other operating income</w:t>
            </w:r>
          </w:p>
        </w:tc>
        <w:tc>
          <w:tcPr>
            <w:tcW w:w="1370" w:type="dxa"/>
          </w:tcPr>
          <w:p w14:paraId="6691C984" w14:textId="0D49B794" w:rsidR="00AB74E6" w:rsidRPr="00151BD7" w:rsidRDefault="00E21824" w:rsidP="00E268AA">
            <w:pPr>
              <w:spacing w:after="0"/>
              <w:jc w:val="both"/>
            </w:pPr>
            <w:r w:rsidRPr="00151BD7">
              <w:t>98</w:t>
            </w:r>
          </w:p>
        </w:tc>
        <w:tc>
          <w:tcPr>
            <w:tcW w:w="1370" w:type="dxa"/>
          </w:tcPr>
          <w:p w14:paraId="01ECAA51" w14:textId="6D9D148A" w:rsidR="00AB74E6" w:rsidRPr="00151BD7" w:rsidRDefault="002554B4" w:rsidP="00E268AA">
            <w:pPr>
              <w:spacing w:after="0"/>
              <w:jc w:val="both"/>
            </w:pPr>
            <w:r w:rsidRPr="00151BD7">
              <w:t>44</w:t>
            </w:r>
          </w:p>
        </w:tc>
        <w:tc>
          <w:tcPr>
            <w:tcW w:w="1370" w:type="dxa"/>
          </w:tcPr>
          <w:p w14:paraId="6F4EA556" w14:textId="25312112" w:rsidR="00AB74E6" w:rsidRPr="00151BD7" w:rsidRDefault="002447B6" w:rsidP="00E268AA">
            <w:pPr>
              <w:spacing w:after="0"/>
              <w:jc w:val="both"/>
            </w:pPr>
            <w:r w:rsidRPr="00151BD7">
              <w:t>61</w:t>
            </w:r>
          </w:p>
        </w:tc>
        <w:tc>
          <w:tcPr>
            <w:tcW w:w="1370" w:type="dxa"/>
          </w:tcPr>
          <w:p w14:paraId="3729D220" w14:textId="03DE31B3" w:rsidR="00AB74E6" w:rsidRPr="00151BD7" w:rsidRDefault="00E21824" w:rsidP="00E268AA">
            <w:pPr>
              <w:spacing w:after="0"/>
              <w:jc w:val="both"/>
            </w:pPr>
            <w:r w:rsidRPr="00151BD7">
              <w:t>120.8</w:t>
            </w:r>
            <w:r w:rsidR="00454796" w:rsidRPr="00151BD7">
              <w:t>%</w:t>
            </w:r>
          </w:p>
        </w:tc>
        <w:tc>
          <w:tcPr>
            <w:tcW w:w="1370" w:type="dxa"/>
          </w:tcPr>
          <w:p w14:paraId="5A6EE62C" w14:textId="766F0B26" w:rsidR="00AB74E6" w:rsidRPr="00151BD7" w:rsidRDefault="00E21824" w:rsidP="00E268AA">
            <w:pPr>
              <w:spacing w:after="0"/>
              <w:jc w:val="both"/>
            </w:pPr>
            <w:r w:rsidRPr="00151BD7">
              <w:t>6</w:t>
            </w:r>
            <w:r w:rsidR="002447B6" w:rsidRPr="00151BD7">
              <w:t>1.1</w:t>
            </w:r>
            <w:r w:rsidR="00454796" w:rsidRPr="00151BD7">
              <w:t>%</w:t>
            </w:r>
          </w:p>
        </w:tc>
      </w:tr>
      <w:tr w:rsidR="00FC2349" w:rsidRPr="00151BD7" w14:paraId="2E20C22B" w14:textId="63AC2B7E" w:rsidTr="00FC2349">
        <w:trPr>
          <w:trHeight w:val="341"/>
        </w:trPr>
        <w:tc>
          <w:tcPr>
            <w:tcW w:w="2713" w:type="dxa"/>
          </w:tcPr>
          <w:p w14:paraId="47798DF1" w14:textId="4F4A07CE" w:rsidR="00FC2349" w:rsidRPr="00151BD7" w:rsidRDefault="00FC2349" w:rsidP="00FC2349">
            <w:pPr>
              <w:spacing w:after="0"/>
            </w:pPr>
            <w:r w:rsidRPr="00151BD7">
              <w:t xml:space="preserve">Other operating </w:t>
            </w:r>
            <w:r w:rsidR="00AB74E6" w:rsidRPr="00151BD7">
              <w:t>expense</w:t>
            </w:r>
          </w:p>
        </w:tc>
        <w:tc>
          <w:tcPr>
            <w:tcW w:w="1370" w:type="dxa"/>
          </w:tcPr>
          <w:p w14:paraId="1C179DC2" w14:textId="4003DFF3" w:rsidR="00FC2349" w:rsidRPr="00151BD7" w:rsidRDefault="007417AC" w:rsidP="00E268AA">
            <w:pPr>
              <w:spacing w:after="0"/>
              <w:jc w:val="both"/>
            </w:pPr>
            <w:r w:rsidRPr="00151BD7">
              <w:t>(1</w:t>
            </w:r>
            <w:r w:rsidR="00E21824" w:rsidRPr="00151BD7">
              <w:t>78</w:t>
            </w:r>
            <w:r w:rsidRPr="00151BD7">
              <w:t>)</w:t>
            </w:r>
          </w:p>
        </w:tc>
        <w:tc>
          <w:tcPr>
            <w:tcW w:w="1370" w:type="dxa"/>
          </w:tcPr>
          <w:p w14:paraId="510BE3B5" w14:textId="25726731" w:rsidR="00FC2349" w:rsidRPr="00151BD7" w:rsidRDefault="007417AC" w:rsidP="00E268AA">
            <w:pPr>
              <w:spacing w:after="0"/>
              <w:jc w:val="both"/>
            </w:pPr>
            <w:r w:rsidRPr="00151BD7">
              <w:t>(</w:t>
            </w:r>
            <w:r w:rsidR="002554B4" w:rsidRPr="00151BD7">
              <w:t>89</w:t>
            </w:r>
            <w:r w:rsidRPr="00151BD7">
              <w:t>)</w:t>
            </w:r>
          </w:p>
        </w:tc>
        <w:tc>
          <w:tcPr>
            <w:tcW w:w="1370" w:type="dxa"/>
          </w:tcPr>
          <w:p w14:paraId="502B747D" w14:textId="14A22457" w:rsidR="00FC2349" w:rsidRPr="00151BD7" w:rsidRDefault="007417AC" w:rsidP="00E268AA">
            <w:pPr>
              <w:spacing w:after="0"/>
              <w:jc w:val="both"/>
            </w:pPr>
            <w:r w:rsidRPr="00151BD7">
              <w:t>(1</w:t>
            </w:r>
            <w:r w:rsidR="002447B6" w:rsidRPr="00151BD7">
              <w:t>34</w:t>
            </w:r>
            <w:r w:rsidRPr="00151BD7">
              <w:t>)</w:t>
            </w:r>
          </w:p>
        </w:tc>
        <w:tc>
          <w:tcPr>
            <w:tcW w:w="1370" w:type="dxa"/>
          </w:tcPr>
          <w:p w14:paraId="59407201" w14:textId="767AD5EC" w:rsidR="00FC2349" w:rsidRPr="00151BD7" w:rsidRDefault="00E21824" w:rsidP="00E268AA">
            <w:pPr>
              <w:spacing w:after="0"/>
              <w:jc w:val="both"/>
            </w:pPr>
            <w:r w:rsidRPr="00151BD7">
              <w:t>99.7</w:t>
            </w:r>
            <w:r w:rsidR="007417AC" w:rsidRPr="00151BD7">
              <w:t>%</w:t>
            </w:r>
          </w:p>
        </w:tc>
        <w:tc>
          <w:tcPr>
            <w:tcW w:w="1370" w:type="dxa"/>
          </w:tcPr>
          <w:p w14:paraId="5F0D62A1" w14:textId="2269DD68" w:rsidR="00FC2349" w:rsidRPr="00151BD7" w:rsidRDefault="00E21824" w:rsidP="00E268AA">
            <w:pPr>
              <w:spacing w:after="0"/>
              <w:jc w:val="both"/>
            </w:pPr>
            <w:r w:rsidRPr="00151BD7">
              <w:t>33.0</w:t>
            </w:r>
            <w:r w:rsidR="007417AC" w:rsidRPr="00151BD7">
              <w:t>%</w:t>
            </w:r>
          </w:p>
        </w:tc>
      </w:tr>
      <w:tr w:rsidR="00FC2349" w:rsidRPr="00151BD7" w14:paraId="0DFCEEFD" w14:textId="1F8D9CDF" w:rsidTr="00FC2349">
        <w:trPr>
          <w:trHeight w:val="341"/>
        </w:trPr>
        <w:tc>
          <w:tcPr>
            <w:tcW w:w="2713" w:type="dxa"/>
          </w:tcPr>
          <w:p w14:paraId="39C5AE88" w14:textId="77777777" w:rsidR="00FC2349" w:rsidRPr="00151BD7" w:rsidRDefault="00FC2349" w:rsidP="00FC2349">
            <w:pPr>
              <w:spacing w:after="0"/>
            </w:pPr>
            <w:r w:rsidRPr="00151BD7">
              <w:t>Operating EBITDA</w:t>
            </w:r>
          </w:p>
        </w:tc>
        <w:tc>
          <w:tcPr>
            <w:tcW w:w="1370" w:type="dxa"/>
          </w:tcPr>
          <w:p w14:paraId="6ABE6EFD" w14:textId="727A7727" w:rsidR="00FC2349" w:rsidRPr="00151BD7" w:rsidRDefault="007417AC" w:rsidP="00E268AA">
            <w:pPr>
              <w:spacing w:after="0"/>
              <w:jc w:val="both"/>
            </w:pPr>
            <w:r w:rsidRPr="00151BD7">
              <w:t>1,7</w:t>
            </w:r>
            <w:r w:rsidR="002554B4" w:rsidRPr="00151BD7">
              <w:t>49</w:t>
            </w:r>
          </w:p>
        </w:tc>
        <w:tc>
          <w:tcPr>
            <w:tcW w:w="1370" w:type="dxa"/>
          </w:tcPr>
          <w:p w14:paraId="26B4DBC5" w14:textId="4D7409D2" w:rsidR="00FC2349" w:rsidRPr="00151BD7" w:rsidRDefault="007417AC" w:rsidP="00E268AA">
            <w:pPr>
              <w:spacing w:after="0"/>
              <w:jc w:val="both"/>
            </w:pPr>
            <w:r w:rsidRPr="00151BD7">
              <w:t>1,07</w:t>
            </w:r>
            <w:r w:rsidR="002554B4" w:rsidRPr="00151BD7">
              <w:t>0</w:t>
            </w:r>
          </w:p>
        </w:tc>
        <w:tc>
          <w:tcPr>
            <w:tcW w:w="1370" w:type="dxa"/>
          </w:tcPr>
          <w:p w14:paraId="035FD1B6" w14:textId="78B25A59" w:rsidR="00FC2349" w:rsidRPr="00151BD7" w:rsidRDefault="007417AC" w:rsidP="00E268AA">
            <w:pPr>
              <w:spacing w:after="0"/>
              <w:jc w:val="both"/>
            </w:pPr>
            <w:r w:rsidRPr="00151BD7">
              <w:t>1,3</w:t>
            </w:r>
            <w:r w:rsidR="002447B6" w:rsidRPr="00151BD7">
              <w:t>42</w:t>
            </w:r>
          </w:p>
        </w:tc>
        <w:tc>
          <w:tcPr>
            <w:tcW w:w="1370" w:type="dxa"/>
          </w:tcPr>
          <w:p w14:paraId="13BEF0FC" w14:textId="695D8903" w:rsidR="00FC2349" w:rsidRPr="00151BD7" w:rsidRDefault="007417AC" w:rsidP="00E268AA">
            <w:pPr>
              <w:spacing w:after="0"/>
              <w:jc w:val="both"/>
            </w:pPr>
            <w:r w:rsidRPr="00151BD7">
              <w:t>6</w:t>
            </w:r>
            <w:r w:rsidR="00454796" w:rsidRPr="00151BD7">
              <w:t>3.5</w:t>
            </w:r>
            <w:r w:rsidRPr="00151BD7">
              <w:t>%</w:t>
            </w:r>
          </w:p>
        </w:tc>
        <w:tc>
          <w:tcPr>
            <w:tcW w:w="1370" w:type="dxa"/>
          </w:tcPr>
          <w:p w14:paraId="16C7DD72" w14:textId="08162646" w:rsidR="00FC2349" w:rsidRPr="00151BD7" w:rsidRDefault="007417AC" w:rsidP="00E268AA">
            <w:pPr>
              <w:spacing w:after="0"/>
              <w:jc w:val="both"/>
            </w:pPr>
            <w:r w:rsidRPr="00151BD7">
              <w:t>3</w:t>
            </w:r>
            <w:r w:rsidR="002447B6" w:rsidRPr="00151BD7">
              <w:t>0</w:t>
            </w:r>
            <w:r w:rsidR="00454796" w:rsidRPr="00151BD7">
              <w:t>.</w:t>
            </w:r>
            <w:r w:rsidR="002447B6" w:rsidRPr="00151BD7">
              <w:t>4</w:t>
            </w:r>
            <w:r w:rsidRPr="00151BD7">
              <w:t>%</w:t>
            </w:r>
          </w:p>
        </w:tc>
      </w:tr>
      <w:tr w:rsidR="00FC2349" w:rsidRPr="00151BD7" w14:paraId="58249360" w14:textId="0C872E5E" w:rsidTr="00FC2349">
        <w:trPr>
          <w:trHeight w:val="341"/>
        </w:trPr>
        <w:tc>
          <w:tcPr>
            <w:tcW w:w="2713" w:type="dxa"/>
          </w:tcPr>
          <w:p w14:paraId="3B691868" w14:textId="77777777" w:rsidR="00FC2349" w:rsidRPr="00151BD7" w:rsidRDefault="00FC2349" w:rsidP="00FC2349">
            <w:pPr>
              <w:spacing w:after="0"/>
            </w:pPr>
            <w:r w:rsidRPr="00151BD7">
              <w:t>Operating EBIT</w:t>
            </w:r>
          </w:p>
        </w:tc>
        <w:tc>
          <w:tcPr>
            <w:tcW w:w="1370" w:type="dxa"/>
          </w:tcPr>
          <w:p w14:paraId="09E25540" w14:textId="298E79B3" w:rsidR="00FC2349" w:rsidRPr="00151BD7" w:rsidRDefault="007417AC" w:rsidP="00E268AA">
            <w:pPr>
              <w:spacing w:after="0"/>
              <w:jc w:val="both"/>
            </w:pPr>
            <w:r w:rsidRPr="00151BD7">
              <w:t>1,59</w:t>
            </w:r>
            <w:r w:rsidR="002554B4" w:rsidRPr="00151BD7">
              <w:t>3</w:t>
            </w:r>
          </w:p>
        </w:tc>
        <w:tc>
          <w:tcPr>
            <w:tcW w:w="1370" w:type="dxa"/>
          </w:tcPr>
          <w:p w14:paraId="4AED1E63" w14:textId="72435F79" w:rsidR="00FC2349" w:rsidRPr="00151BD7" w:rsidRDefault="007417AC" w:rsidP="00E268AA">
            <w:pPr>
              <w:spacing w:after="0"/>
              <w:jc w:val="both"/>
            </w:pPr>
            <w:r w:rsidRPr="00151BD7">
              <w:t>1,01</w:t>
            </w:r>
            <w:r w:rsidR="002554B4" w:rsidRPr="00151BD7">
              <w:t>1</w:t>
            </w:r>
          </w:p>
        </w:tc>
        <w:tc>
          <w:tcPr>
            <w:tcW w:w="1370" w:type="dxa"/>
          </w:tcPr>
          <w:p w14:paraId="05B3A744" w14:textId="7CFFF640" w:rsidR="00FC2349" w:rsidRPr="00151BD7" w:rsidRDefault="007417AC" w:rsidP="00E268AA">
            <w:pPr>
              <w:spacing w:after="0"/>
              <w:jc w:val="both"/>
            </w:pPr>
            <w:r w:rsidRPr="00151BD7">
              <w:t>1,19</w:t>
            </w:r>
            <w:r w:rsidR="002447B6" w:rsidRPr="00151BD7">
              <w:t>1</w:t>
            </w:r>
          </w:p>
        </w:tc>
        <w:tc>
          <w:tcPr>
            <w:tcW w:w="1370" w:type="dxa"/>
          </w:tcPr>
          <w:p w14:paraId="063AD3E9" w14:textId="44D4CB7D" w:rsidR="00FC2349" w:rsidRPr="00151BD7" w:rsidRDefault="007417AC" w:rsidP="00E268AA">
            <w:pPr>
              <w:spacing w:after="0"/>
              <w:jc w:val="both"/>
            </w:pPr>
            <w:r w:rsidRPr="00151BD7">
              <w:t>57.</w:t>
            </w:r>
            <w:r w:rsidR="00454796" w:rsidRPr="00151BD7">
              <w:t>5</w:t>
            </w:r>
            <w:r w:rsidRPr="00151BD7">
              <w:t>%</w:t>
            </w:r>
          </w:p>
        </w:tc>
        <w:tc>
          <w:tcPr>
            <w:tcW w:w="1370" w:type="dxa"/>
          </w:tcPr>
          <w:p w14:paraId="390A785B" w14:textId="70000988" w:rsidR="00FC2349" w:rsidRPr="00151BD7" w:rsidRDefault="007417AC" w:rsidP="00E268AA">
            <w:pPr>
              <w:spacing w:after="0"/>
              <w:jc w:val="both"/>
            </w:pPr>
            <w:r w:rsidRPr="00151BD7">
              <w:t>33.</w:t>
            </w:r>
            <w:r w:rsidR="002447B6" w:rsidRPr="00151BD7">
              <w:t>7</w:t>
            </w:r>
            <w:r w:rsidRPr="00151BD7">
              <w:t>%</w:t>
            </w:r>
          </w:p>
        </w:tc>
      </w:tr>
      <w:tr w:rsidR="007417AC" w:rsidRPr="00151BD7" w14:paraId="1E1D5463" w14:textId="61B81B57" w:rsidTr="00FC2349">
        <w:trPr>
          <w:trHeight w:val="341"/>
        </w:trPr>
        <w:tc>
          <w:tcPr>
            <w:tcW w:w="2713" w:type="dxa"/>
          </w:tcPr>
          <w:p w14:paraId="18DC58EF" w14:textId="5C0F22C5" w:rsidR="007417AC" w:rsidRPr="00151BD7" w:rsidRDefault="007417AC" w:rsidP="007417AC">
            <w:pPr>
              <w:spacing w:after="0"/>
            </w:pPr>
            <w:r w:rsidRPr="00151BD7">
              <w:t>Adjusted Operating EBITDA</w:t>
            </w:r>
          </w:p>
        </w:tc>
        <w:tc>
          <w:tcPr>
            <w:tcW w:w="1370" w:type="dxa"/>
          </w:tcPr>
          <w:p w14:paraId="584C8956" w14:textId="07E1B038" w:rsidR="007417AC" w:rsidRPr="00151BD7" w:rsidRDefault="007417AC" w:rsidP="007417AC">
            <w:pPr>
              <w:spacing w:after="0"/>
              <w:jc w:val="both"/>
            </w:pPr>
            <w:r w:rsidRPr="00151BD7">
              <w:t>1,78</w:t>
            </w:r>
            <w:r w:rsidR="002554B4" w:rsidRPr="00151BD7">
              <w:t>2</w:t>
            </w:r>
          </w:p>
        </w:tc>
        <w:tc>
          <w:tcPr>
            <w:tcW w:w="1370" w:type="dxa"/>
          </w:tcPr>
          <w:p w14:paraId="0B3D9125" w14:textId="301B4F37" w:rsidR="007417AC" w:rsidRPr="00151BD7" w:rsidRDefault="007417AC" w:rsidP="007417AC">
            <w:pPr>
              <w:spacing w:after="0"/>
              <w:jc w:val="both"/>
            </w:pPr>
            <w:r w:rsidRPr="00151BD7">
              <w:t>1,07</w:t>
            </w:r>
            <w:r w:rsidR="002554B4" w:rsidRPr="00151BD7">
              <w:t>0</w:t>
            </w:r>
          </w:p>
        </w:tc>
        <w:tc>
          <w:tcPr>
            <w:tcW w:w="1370" w:type="dxa"/>
          </w:tcPr>
          <w:p w14:paraId="53F5F74E" w14:textId="71B29326" w:rsidR="007417AC" w:rsidRPr="00151BD7" w:rsidRDefault="007417AC" w:rsidP="007417AC">
            <w:pPr>
              <w:spacing w:after="0"/>
              <w:jc w:val="both"/>
            </w:pPr>
            <w:r w:rsidRPr="00151BD7">
              <w:t>1,3</w:t>
            </w:r>
            <w:r w:rsidR="00406D0C" w:rsidRPr="00151BD7">
              <w:t>8</w:t>
            </w:r>
            <w:r w:rsidR="002447B6" w:rsidRPr="00151BD7">
              <w:t>9</w:t>
            </w:r>
          </w:p>
        </w:tc>
        <w:tc>
          <w:tcPr>
            <w:tcW w:w="1370" w:type="dxa"/>
          </w:tcPr>
          <w:p w14:paraId="4BBFE852" w14:textId="7C03D862" w:rsidR="007417AC" w:rsidRPr="00151BD7" w:rsidRDefault="007417AC" w:rsidP="007417AC">
            <w:pPr>
              <w:spacing w:after="0"/>
              <w:jc w:val="both"/>
            </w:pPr>
            <w:r w:rsidRPr="00151BD7">
              <w:t>6</w:t>
            </w:r>
            <w:r w:rsidR="00454796" w:rsidRPr="00151BD7">
              <w:t>6.</w:t>
            </w:r>
            <w:r w:rsidR="002447B6" w:rsidRPr="00151BD7">
              <w:t>6</w:t>
            </w:r>
            <w:r w:rsidRPr="00151BD7">
              <w:t>%</w:t>
            </w:r>
          </w:p>
        </w:tc>
        <w:tc>
          <w:tcPr>
            <w:tcW w:w="1370" w:type="dxa"/>
          </w:tcPr>
          <w:p w14:paraId="6EFDC21A" w14:textId="5AC6BEF6" w:rsidR="007417AC" w:rsidRPr="00151BD7" w:rsidRDefault="007417AC" w:rsidP="007417AC">
            <w:pPr>
              <w:spacing w:after="0"/>
              <w:jc w:val="both"/>
            </w:pPr>
            <w:r w:rsidRPr="00151BD7">
              <w:t>2</w:t>
            </w:r>
            <w:r w:rsidR="002447B6" w:rsidRPr="00151BD7">
              <w:t>8.2</w:t>
            </w:r>
            <w:r w:rsidRPr="00151BD7">
              <w:t>%</w:t>
            </w:r>
          </w:p>
        </w:tc>
      </w:tr>
      <w:tr w:rsidR="007417AC" w:rsidRPr="00151BD7" w14:paraId="1275F829" w14:textId="180C560F" w:rsidTr="00FC2349">
        <w:trPr>
          <w:trHeight w:val="341"/>
        </w:trPr>
        <w:tc>
          <w:tcPr>
            <w:tcW w:w="2713" w:type="dxa"/>
          </w:tcPr>
          <w:p w14:paraId="17EF19AD" w14:textId="6F97F34F" w:rsidR="007417AC" w:rsidRPr="00151BD7" w:rsidRDefault="007417AC" w:rsidP="007417AC">
            <w:pPr>
              <w:spacing w:after="0"/>
            </w:pPr>
            <w:r w:rsidRPr="00151BD7">
              <w:t>Adjusted Operating EBIT</w:t>
            </w:r>
          </w:p>
        </w:tc>
        <w:tc>
          <w:tcPr>
            <w:tcW w:w="1370" w:type="dxa"/>
          </w:tcPr>
          <w:p w14:paraId="4AB8B8FF" w14:textId="1E5CACB1" w:rsidR="007417AC" w:rsidRPr="00151BD7" w:rsidRDefault="007417AC" w:rsidP="007417AC">
            <w:pPr>
              <w:spacing w:after="0"/>
              <w:jc w:val="both"/>
            </w:pPr>
            <w:r w:rsidRPr="00151BD7">
              <w:t>1,62</w:t>
            </w:r>
            <w:r w:rsidR="002554B4" w:rsidRPr="00151BD7">
              <w:t>6</w:t>
            </w:r>
          </w:p>
        </w:tc>
        <w:tc>
          <w:tcPr>
            <w:tcW w:w="1370" w:type="dxa"/>
          </w:tcPr>
          <w:p w14:paraId="2B9DDC7D" w14:textId="62B32D0A" w:rsidR="007417AC" w:rsidRPr="00151BD7" w:rsidRDefault="007417AC" w:rsidP="007417AC">
            <w:pPr>
              <w:spacing w:after="0"/>
              <w:jc w:val="both"/>
            </w:pPr>
            <w:r w:rsidRPr="00151BD7">
              <w:t>1,01</w:t>
            </w:r>
            <w:r w:rsidR="002554B4" w:rsidRPr="00151BD7">
              <w:t>1</w:t>
            </w:r>
          </w:p>
        </w:tc>
        <w:tc>
          <w:tcPr>
            <w:tcW w:w="1370" w:type="dxa"/>
          </w:tcPr>
          <w:p w14:paraId="622076AF" w14:textId="67DB58FE" w:rsidR="007417AC" w:rsidRPr="00151BD7" w:rsidRDefault="007417AC" w:rsidP="007417AC">
            <w:pPr>
              <w:spacing w:after="0"/>
              <w:jc w:val="both"/>
            </w:pPr>
            <w:r w:rsidRPr="00151BD7">
              <w:t>1,23</w:t>
            </w:r>
            <w:r w:rsidR="00F75B16" w:rsidRPr="00151BD7">
              <w:t>9</w:t>
            </w:r>
          </w:p>
        </w:tc>
        <w:tc>
          <w:tcPr>
            <w:tcW w:w="1370" w:type="dxa"/>
          </w:tcPr>
          <w:p w14:paraId="7036DC98" w14:textId="25427476" w:rsidR="007417AC" w:rsidRPr="00151BD7" w:rsidRDefault="007417AC" w:rsidP="007417AC">
            <w:pPr>
              <w:spacing w:after="0"/>
              <w:jc w:val="both"/>
            </w:pPr>
            <w:r w:rsidRPr="00151BD7">
              <w:t>60.</w:t>
            </w:r>
            <w:r w:rsidR="00454796" w:rsidRPr="00151BD7">
              <w:t>7</w:t>
            </w:r>
            <w:r w:rsidRPr="00151BD7">
              <w:t>%</w:t>
            </w:r>
          </w:p>
        </w:tc>
        <w:tc>
          <w:tcPr>
            <w:tcW w:w="1370" w:type="dxa"/>
          </w:tcPr>
          <w:p w14:paraId="2C4E459B" w14:textId="3358EC36" w:rsidR="007417AC" w:rsidRPr="00151BD7" w:rsidRDefault="007417AC" w:rsidP="007417AC">
            <w:pPr>
              <w:spacing w:after="0"/>
              <w:jc w:val="both"/>
            </w:pPr>
            <w:r w:rsidRPr="00151BD7">
              <w:t>31.</w:t>
            </w:r>
            <w:r w:rsidR="00F75B16" w:rsidRPr="00151BD7">
              <w:t>2</w:t>
            </w:r>
            <w:r w:rsidRPr="00151BD7">
              <w:t>%</w:t>
            </w:r>
          </w:p>
        </w:tc>
      </w:tr>
    </w:tbl>
    <w:p w14:paraId="6BE1EBFA" w14:textId="77777777" w:rsidR="00906613" w:rsidRPr="00151BD7" w:rsidRDefault="00906613" w:rsidP="00E268AA">
      <w:pPr>
        <w:spacing w:after="0"/>
        <w:jc w:val="both"/>
      </w:pPr>
    </w:p>
    <w:p w14:paraId="2CDF3187" w14:textId="6CC263B7" w:rsidR="00906613" w:rsidRPr="00151BD7" w:rsidRDefault="00906613" w:rsidP="00906613">
      <w:pPr>
        <w:spacing w:after="0"/>
        <w:jc w:val="both"/>
        <w:rPr>
          <w:rFonts w:cs="Arial"/>
          <w:i/>
          <w:iCs/>
          <w:sz w:val="18"/>
          <w:szCs w:val="18"/>
        </w:rPr>
      </w:pPr>
      <w:r w:rsidRPr="00151BD7">
        <w:rPr>
          <w:rFonts w:cs="Arial"/>
          <w:i/>
          <w:iCs/>
          <w:sz w:val="18"/>
          <w:szCs w:val="18"/>
        </w:rPr>
        <w:t>Raw materials and consumables items include consumed materials, movement in stock of products and work in progress, purchase costs of sold goods, change in allowance for inventory</w:t>
      </w:r>
      <w:r w:rsidR="009C5638" w:rsidRPr="00151BD7">
        <w:rPr>
          <w:rFonts w:cs="Arial"/>
          <w:i/>
          <w:iCs/>
          <w:sz w:val="18"/>
          <w:szCs w:val="18"/>
        </w:rPr>
        <w:t>.</w:t>
      </w:r>
      <w:r w:rsidR="00D319AD" w:rsidRPr="00151BD7">
        <w:rPr>
          <w:rFonts w:cs="Arial"/>
          <w:i/>
          <w:iCs/>
          <w:sz w:val="18"/>
          <w:szCs w:val="18"/>
        </w:rPr>
        <w:t xml:space="preserve"> </w:t>
      </w:r>
      <w:r w:rsidRPr="00151BD7">
        <w:rPr>
          <w:rFonts w:cs="Arial"/>
          <w:i/>
          <w:iCs/>
          <w:sz w:val="18"/>
          <w:szCs w:val="18"/>
        </w:rPr>
        <w:t>External costs item includes administrative costs and other external costs, services and supply relating to production, transport and travel expenses, cost of energy, rental, repairs and maintenance</w:t>
      </w:r>
      <w:r w:rsidR="009C5638" w:rsidRPr="00151BD7">
        <w:rPr>
          <w:rFonts w:cs="Arial"/>
          <w:i/>
          <w:iCs/>
          <w:sz w:val="18"/>
          <w:szCs w:val="18"/>
        </w:rPr>
        <w:t>.</w:t>
      </w:r>
    </w:p>
    <w:p w14:paraId="57A4E459" w14:textId="77777777" w:rsidR="003552A1" w:rsidRPr="00151BD7" w:rsidRDefault="003552A1" w:rsidP="00E268AA">
      <w:pPr>
        <w:spacing w:after="0"/>
        <w:jc w:val="both"/>
        <w:rPr>
          <w:b/>
          <w:bCs/>
          <w:i/>
        </w:rPr>
      </w:pPr>
    </w:p>
    <w:p w14:paraId="025B82DC" w14:textId="668E294F" w:rsidR="00EE3F64" w:rsidRPr="00151BD7" w:rsidRDefault="00654BAE" w:rsidP="00E268AA">
      <w:pPr>
        <w:spacing w:after="0"/>
        <w:jc w:val="both"/>
        <w:rPr>
          <w:b/>
          <w:bCs/>
          <w:i/>
        </w:rPr>
      </w:pPr>
      <w:r w:rsidRPr="00151BD7">
        <w:rPr>
          <w:b/>
          <w:bCs/>
          <w:i/>
        </w:rPr>
        <w:t xml:space="preserve">Cost structure </w:t>
      </w:r>
    </w:p>
    <w:p w14:paraId="0BB7D1EB" w14:textId="77777777" w:rsidR="008E296B" w:rsidRPr="00151BD7" w:rsidRDefault="008E296B" w:rsidP="00E268AA">
      <w:pPr>
        <w:spacing w:after="0"/>
        <w:jc w:val="both"/>
      </w:pPr>
    </w:p>
    <w:p w14:paraId="598056D7" w14:textId="45E1C0A3" w:rsidR="00E266D0" w:rsidRPr="00151BD7" w:rsidRDefault="00E266D0" w:rsidP="00E266D0">
      <w:pPr>
        <w:spacing w:after="0"/>
        <w:jc w:val="both"/>
      </w:pPr>
      <w:r w:rsidRPr="00151BD7">
        <w:t xml:space="preserve">Raw material and consumables costs increased by </w:t>
      </w:r>
      <w:r w:rsidR="000D3A48" w:rsidRPr="00151BD7">
        <w:t>4</w:t>
      </w:r>
      <w:r w:rsidR="00B31CBF" w:rsidRPr="00151BD7">
        <w:t>1</w:t>
      </w:r>
      <w:r w:rsidR="000D3A48" w:rsidRPr="00151BD7">
        <w:t>.</w:t>
      </w:r>
      <w:r w:rsidR="00B31CBF" w:rsidRPr="00151BD7">
        <w:t>0</w:t>
      </w:r>
      <w:r w:rsidRPr="00151BD7">
        <w:t>%</w:t>
      </w:r>
      <w:r w:rsidR="003800DD" w:rsidRPr="00151BD7">
        <w:t xml:space="preserve"> on a pro forma basis</w:t>
      </w:r>
      <w:r w:rsidRPr="00151BD7">
        <w:t>, to €3</w:t>
      </w:r>
      <w:r w:rsidR="00B31CBF" w:rsidRPr="00151BD7">
        <w:t>,706</w:t>
      </w:r>
      <w:r w:rsidRPr="00151BD7">
        <w:t xml:space="preserve"> million, primarily driven by higher sales volumes in line with revenue growth and delivery activity, as well as increased costs for copper, propellants and other materials used in ammunition production. Tariff changes </w:t>
      </w:r>
      <w:r w:rsidR="00EE3828" w:rsidRPr="00151BD7">
        <w:t xml:space="preserve">also </w:t>
      </w:r>
      <w:r w:rsidRPr="00151BD7">
        <w:t xml:space="preserve">had a modest </w:t>
      </w:r>
      <w:r w:rsidRPr="00151BD7">
        <w:lastRenderedPageBreak/>
        <w:t xml:space="preserve">impact on the overall increase. The ratio of raw materials and consumables to revenue </w:t>
      </w:r>
      <w:r w:rsidR="00B3553E" w:rsidRPr="00151BD7">
        <w:t>increased marginally</w:t>
      </w:r>
      <w:r w:rsidRPr="00151BD7">
        <w:t xml:space="preserve">, evidencing efficient cost control and production yields despite macroeconomic pressures.  </w:t>
      </w:r>
    </w:p>
    <w:p w14:paraId="5B1B3FCA" w14:textId="77777777" w:rsidR="00E266D0" w:rsidRPr="00151BD7" w:rsidRDefault="00E266D0" w:rsidP="00E266D0">
      <w:pPr>
        <w:spacing w:after="0"/>
        <w:jc w:val="both"/>
      </w:pPr>
    </w:p>
    <w:p w14:paraId="7BB02CD7" w14:textId="51CBACE6" w:rsidR="00E266D0" w:rsidRPr="00151BD7" w:rsidRDefault="00EE3828" w:rsidP="00EE3828">
      <w:pPr>
        <w:spacing w:after="0"/>
        <w:jc w:val="both"/>
      </w:pPr>
      <w:r w:rsidRPr="00151BD7">
        <w:t>External costs increased by</w:t>
      </w:r>
      <w:r w:rsidR="000D3A48" w:rsidRPr="00151BD7">
        <w:t xml:space="preserve"> 1</w:t>
      </w:r>
      <w:r w:rsidR="00B31CBF" w:rsidRPr="00151BD7">
        <w:t>2.8</w:t>
      </w:r>
      <w:r w:rsidRPr="00151BD7">
        <w:t xml:space="preserve">% </w:t>
      </w:r>
      <w:r w:rsidR="003800DD" w:rsidRPr="00151BD7">
        <w:t xml:space="preserve">on a pro forma basis </w:t>
      </w:r>
      <w:r w:rsidRPr="00151BD7">
        <w:t>to €</w:t>
      </w:r>
      <w:r w:rsidR="000D3A48" w:rsidRPr="00151BD7">
        <w:t>602</w:t>
      </w:r>
      <w:r w:rsidRPr="00151BD7">
        <w:t xml:space="preserve"> million due to higher spending on production-related services and external supplies, consistent with increased operational activity and higher production and delivery volumes, especially in the defence and ammunition segments. External costs as a portion of the Group's revenues </w:t>
      </w:r>
      <w:r w:rsidR="003800DD" w:rsidRPr="00151BD7">
        <w:t>reduced slightly</w:t>
      </w:r>
      <w:r w:rsidRPr="00151BD7">
        <w:t xml:space="preserve"> year-on-year. </w:t>
      </w:r>
    </w:p>
    <w:p w14:paraId="05B1070A" w14:textId="77777777" w:rsidR="00EE3828" w:rsidRPr="00151BD7" w:rsidRDefault="00EE3828" w:rsidP="00EE3828">
      <w:pPr>
        <w:spacing w:after="0"/>
        <w:jc w:val="both"/>
      </w:pPr>
    </w:p>
    <w:p w14:paraId="10C9F1AD" w14:textId="209B64C1" w:rsidR="003800DD" w:rsidRPr="00151BD7" w:rsidRDefault="003800DD" w:rsidP="003800DD">
      <w:pPr>
        <w:spacing w:after="0"/>
        <w:jc w:val="both"/>
      </w:pPr>
      <w:r w:rsidRPr="00151BD7">
        <w:t xml:space="preserve">Employee benefits expense </w:t>
      </w:r>
      <w:r w:rsidR="00B31CBF" w:rsidRPr="00151BD7">
        <w:t>de</w:t>
      </w:r>
      <w:r w:rsidR="000D3A48" w:rsidRPr="00151BD7">
        <w:t xml:space="preserve">creased by </w:t>
      </w:r>
      <w:r w:rsidR="00B31CBF" w:rsidRPr="00151BD7">
        <w:t>0.2</w:t>
      </w:r>
      <w:r w:rsidR="000D3A48" w:rsidRPr="00151BD7">
        <w:t>%</w:t>
      </w:r>
      <w:r w:rsidRPr="00151BD7">
        <w:t xml:space="preserve"> year-on-year</w:t>
      </w:r>
      <w:r w:rsidR="00F17126" w:rsidRPr="00151BD7">
        <w:t xml:space="preserve"> on a pro forma basis</w:t>
      </w:r>
      <w:r w:rsidRPr="00151BD7">
        <w:t xml:space="preserve">, supported by payroll discipline and efficiencies gained through integration. </w:t>
      </w:r>
    </w:p>
    <w:p w14:paraId="13A97462" w14:textId="77777777" w:rsidR="00F17126" w:rsidRPr="00151BD7" w:rsidRDefault="00F17126" w:rsidP="003800DD">
      <w:pPr>
        <w:spacing w:after="0"/>
        <w:jc w:val="both"/>
      </w:pPr>
    </w:p>
    <w:p w14:paraId="7ECCE321" w14:textId="5A4F251C" w:rsidR="00F17126" w:rsidRPr="00151BD7" w:rsidRDefault="00F17126" w:rsidP="005F46F2">
      <w:pPr>
        <w:spacing w:after="0"/>
        <w:jc w:val="both"/>
      </w:pPr>
      <w:r w:rsidRPr="00151BD7">
        <w:t xml:space="preserve">Depreciation and amortisation expenses increased by </w:t>
      </w:r>
      <w:r w:rsidR="00B31CBF" w:rsidRPr="00151BD7">
        <w:t>3.6</w:t>
      </w:r>
      <w:r w:rsidRPr="00151BD7">
        <w:t>% on a pro forma basis. This reflects the Group's continued capital investment program within CSG Defence Systems, including the commissioning of new production lines, facility expansions, and automation projects aimed at increasing output across the segments.</w:t>
      </w:r>
      <w:r w:rsidR="005F46F2" w:rsidRPr="00151BD7">
        <w:t xml:space="preserve"> In addition, depreciation and amortisation were affected by the acquisition of The Kinetic Group, completed</w:t>
      </w:r>
      <w:r w:rsidR="00B31CBF" w:rsidRPr="00151BD7">
        <w:t xml:space="preserve"> </w:t>
      </w:r>
      <w:r w:rsidR="005F46F2" w:rsidRPr="00151BD7">
        <w:t xml:space="preserve">in late 2024, which contributed toward amortisation on the newly consolidated asset base in 2025. The increase further includes the impact of purchase price allocation (PPA) adjustments </w:t>
      </w:r>
      <w:r w:rsidR="006B1681" w:rsidRPr="00151BD7">
        <w:t xml:space="preserve">of €61.0m </w:t>
      </w:r>
      <w:r w:rsidR="005F46F2" w:rsidRPr="00151BD7">
        <w:t>related to the</w:t>
      </w:r>
      <w:r w:rsidR="00B31CBF" w:rsidRPr="00151BD7">
        <w:t xml:space="preserve"> </w:t>
      </w:r>
      <w:r w:rsidR="005F46F2" w:rsidRPr="00151BD7">
        <w:t>acquisition</w:t>
      </w:r>
      <w:r w:rsidR="006A6172" w:rsidRPr="00151BD7">
        <w:t xml:space="preserve"> (FY 2024 pro forma: €59.7m)</w:t>
      </w:r>
      <w:r w:rsidR="005F46F2" w:rsidRPr="00151BD7">
        <w:t>.</w:t>
      </w:r>
    </w:p>
    <w:p w14:paraId="666A0735" w14:textId="2E49327F" w:rsidR="00EE3828" w:rsidRPr="00151BD7" w:rsidRDefault="00EE3828" w:rsidP="00EE3828">
      <w:pPr>
        <w:spacing w:after="0"/>
        <w:jc w:val="both"/>
      </w:pPr>
    </w:p>
    <w:p w14:paraId="40FF0E32" w14:textId="39D7F6D3" w:rsidR="00EE3F64" w:rsidRPr="00151BD7" w:rsidRDefault="00654BAE" w:rsidP="00E268AA">
      <w:pPr>
        <w:spacing w:after="0"/>
        <w:jc w:val="both"/>
        <w:rPr>
          <w:b/>
          <w:bCs/>
          <w:i/>
        </w:rPr>
      </w:pPr>
      <w:r w:rsidRPr="00151BD7">
        <w:rPr>
          <w:b/>
          <w:bCs/>
          <w:i/>
        </w:rPr>
        <w:t xml:space="preserve">Cash </w:t>
      </w:r>
      <w:r w:rsidR="00AB600F" w:rsidRPr="00151BD7">
        <w:rPr>
          <w:b/>
          <w:bCs/>
          <w:i/>
        </w:rPr>
        <w:t>F</w:t>
      </w:r>
      <w:r w:rsidRPr="00151BD7">
        <w:rPr>
          <w:b/>
          <w:bCs/>
          <w:i/>
        </w:rPr>
        <w:t xml:space="preserve">low and </w:t>
      </w:r>
      <w:r w:rsidR="00AB600F" w:rsidRPr="00151BD7">
        <w:rPr>
          <w:b/>
          <w:bCs/>
          <w:i/>
        </w:rPr>
        <w:t>Net W</w:t>
      </w:r>
      <w:r w:rsidRPr="00151BD7">
        <w:rPr>
          <w:b/>
          <w:bCs/>
          <w:i/>
        </w:rPr>
        <w:t xml:space="preserve">orking </w:t>
      </w:r>
      <w:r w:rsidR="00AB600F" w:rsidRPr="00151BD7">
        <w:rPr>
          <w:b/>
          <w:bCs/>
          <w:i/>
        </w:rPr>
        <w:t>C</w:t>
      </w:r>
      <w:r w:rsidRPr="00151BD7">
        <w:rPr>
          <w:b/>
          <w:bCs/>
          <w:i/>
        </w:rPr>
        <w:t>apital</w:t>
      </w:r>
    </w:p>
    <w:p w14:paraId="44A761C5" w14:textId="77777777" w:rsidR="00C64583" w:rsidRPr="00151BD7" w:rsidRDefault="00C64583" w:rsidP="00E268AA">
      <w:pPr>
        <w:spacing w:after="0"/>
        <w:jc w:val="both"/>
        <w:rPr>
          <w:b/>
          <w:bCs/>
          <w:i/>
        </w:rPr>
      </w:pPr>
    </w:p>
    <w:p w14:paraId="03312459" w14:textId="53B5C2D4" w:rsidR="00741DC1" w:rsidRPr="00151BD7" w:rsidRDefault="009B1242" w:rsidP="00E268AA">
      <w:pPr>
        <w:spacing w:after="0"/>
        <w:jc w:val="both"/>
      </w:pPr>
      <w:r w:rsidRPr="00151BD7">
        <w:t>Adjusted O</w:t>
      </w:r>
      <w:r w:rsidR="00654BAE" w:rsidRPr="00151BD7">
        <w:t>perating cash flow was €</w:t>
      </w:r>
      <w:r w:rsidR="00B31CBF" w:rsidRPr="00151BD7">
        <w:t>61</w:t>
      </w:r>
      <w:r w:rsidR="00741DC1" w:rsidRPr="00151BD7">
        <w:t xml:space="preserve"> </w:t>
      </w:r>
      <w:r w:rsidR="00654BAE" w:rsidRPr="00151BD7">
        <w:t>m</w:t>
      </w:r>
      <w:r w:rsidR="00741DC1" w:rsidRPr="00151BD7">
        <w:t>illion</w:t>
      </w:r>
      <w:r w:rsidR="00BB6A46" w:rsidRPr="00151BD7">
        <w:t xml:space="preserve">. </w:t>
      </w:r>
      <w:r w:rsidR="00741DC1" w:rsidRPr="00151BD7">
        <w:t>Adjusted net working capital was €1,62</w:t>
      </w:r>
      <w:r w:rsidR="00B31CBF" w:rsidRPr="00151BD7">
        <w:t>0</w:t>
      </w:r>
      <w:r w:rsidR="00741DC1" w:rsidRPr="00151BD7">
        <w:t xml:space="preserve"> million. Adjusted Net Working Capital as a proportion of LTM Revenue was 24.</w:t>
      </w:r>
      <w:r w:rsidR="00B31CBF" w:rsidRPr="00151BD7">
        <w:t>0</w:t>
      </w:r>
      <w:r w:rsidR="00741DC1" w:rsidRPr="00151BD7">
        <w:t>%, in-line with the guidance of below 25% stated at the time of the IPO.</w:t>
      </w:r>
      <w:r w:rsidR="00C01F3E" w:rsidRPr="00151BD7">
        <w:t xml:space="preserve"> The company deliberately increased working capital outflows earlier in the year to secure inventory needed to execute its order backlog, with a seasonal reversal in the fourth quarter as contracted deliveries were completed and working capital was release</w:t>
      </w:r>
      <w:r w:rsidR="00500954" w:rsidRPr="00151BD7">
        <w:t>d.</w:t>
      </w:r>
    </w:p>
    <w:p w14:paraId="3E6F2A28" w14:textId="77777777" w:rsidR="00EE3F64" w:rsidRPr="00151BD7" w:rsidRDefault="00EE3F64" w:rsidP="00E268AA">
      <w:pPr>
        <w:spacing w:after="0"/>
        <w:jc w:val="both"/>
      </w:pPr>
    </w:p>
    <w:p w14:paraId="49B11161" w14:textId="77777777" w:rsidR="00EE3F64" w:rsidRPr="00151BD7" w:rsidRDefault="00654BAE" w:rsidP="00E268AA">
      <w:pPr>
        <w:spacing w:after="0"/>
        <w:jc w:val="both"/>
        <w:rPr>
          <w:b/>
          <w:bCs/>
          <w:i/>
        </w:rPr>
      </w:pPr>
      <w:r w:rsidRPr="00151BD7">
        <w:rPr>
          <w:b/>
          <w:bCs/>
          <w:i/>
        </w:rPr>
        <w:t>Capital expenditure</w:t>
      </w:r>
    </w:p>
    <w:p w14:paraId="28F48FB4" w14:textId="77777777" w:rsidR="008E296B" w:rsidRPr="00151BD7" w:rsidRDefault="008E296B" w:rsidP="00E268AA">
      <w:pPr>
        <w:spacing w:after="0"/>
        <w:jc w:val="both"/>
      </w:pPr>
    </w:p>
    <w:p w14:paraId="47C45F20" w14:textId="576BFD9A" w:rsidR="00EE3F64" w:rsidRPr="00151BD7" w:rsidRDefault="00654BAE" w:rsidP="002F2A89">
      <w:pPr>
        <w:spacing w:after="0"/>
        <w:jc w:val="both"/>
      </w:pPr>
      <w:r w:rsidRPr="00151BD7">
        <w:t>Cap</w:t>
      </w:r>
      <w:r w:rsidR="002F2A89" w:rsidRPr="00151BD7">
        <w:t>ital expenditure</w:t>
      </w:r>
      <w:r w:rsidR="003E1C28" w:rsidRPr="00151BD7">
        <w:t xml:space="preserve"> </w:t>
      </w:r>
      <w:r w:rsidRPr="00151BD7">
        <w:t>amounted to €</w:t>
      </w:r>
      <w:r w:rsidR="00B31CBF" w:rsidRPr="00151BD7">
        <w:t>225</w:t>
      </w:r>
      <w:r w:rsidR="00741DC1" w:rsidRPr="00151BD7">
        <w:t xml:space="preserve"> </w:t>
      </w:r>
      <w:r w:rsidRPr="00151BD7">
        <w:t>m</w:t>
      </w:r>
      <w:r w:rsidR="00741DC1" w:rsidRPr="00151BD7">
        <w:t>illion</w:t>
      </w:r>
      <w:r w:rsidR="002F2A89" w:rsidRPr="00151BD7">
        <w:t xml:space="preserve">. Capex intensity (capex as a proportion of revenue) was </w:t>
      </w:r>
      <w:r w:rsidR="00B31CBF" w:rsidRPr="00151BD7">
        <w:t>3.3</w:t>
      </w:r>
      <w:r w:rsidR="002F2A89" w:rsidRPr="00151BD7">
        <w:t>%. Investments supported the Group's strategy to modernise infrastructure, scale up production capacity and invest in technological upgrades that will sustain long-term operational competitiveness</w:t>
      </w:r>
      <w:r w:rsidR="009504D6" w:rsidRPr="00151BD7">
        <w:t>.</w:t>
      </w:r>
    </w:p>
    <w:p w14:paraId="0EF7584C" w14:textId="77777777" w:rsidR="009504D6" w:rsidRPr="00151BD7" w:rsidRDefault="009504D6" w:rsidP="009504D6">
      <w:pPr>
        <w:spacing w:after="0"/>
        <w:jc w:val="both"/>
      </w:pPr>
    </w:p>
    <w:p w14:paraId="08B7D717" w14:textId="6C211863" w:rsidR="009504D6" w:rsidRPr="00151BD7" w:rsidRDefault="009504D6" w:rsidP="009504D6">
      <w:pPr>
        <w:spacing w:after="0"/>
        <w:jc w:val="both"/>
      </w:pPr>
      <w:r w:rsidRPr="00151BD7">
        <w:t xml:space="preserve">Within Defence Systems, CSG commissioned new filling capacities at </w:t>
      </w:r>
      <w:proofErr w:type="spellStart"/>
      <w:r w:rsidRPr="00151BD7">
        <w:t>Dubnica</w:t>
      </w:r>
      <w:proofErr w:type="spellEnd"/>
      <w:r w:rsidRPr="00151BD7">
        <w:t xml:space="preserve"> </w:t>
      </w:r>
      <w:proofErr w:type="spellStart"/>
      <w:r w:rsidRPr="00151BD7">
        <w:t>nad</w:t>
      </w:r>
      <w:proofErr w:type="spellEnd"/>
      <w:r w:rsidRPr="00151BD7">
        <w:t xml:space="preserve"> </w:t>
      </w:r>
      <w:proofErr w:type="spellStart"/>
      <w:r w:rsidRPr="00151BD7">
        <w:t>Váhom</w:t>
      </w:r>
      <w:proofErr w:type="spellEnd"/>
      <w:r w:rsidRPr="00151BD7">
        <w:t xml:space="preserve"> in Slovakia and implemented automation upgrades at the Nováky facility in 2025, increasing large-</w:t>
      </w:r>
      <w:r w:rsidR="00B31CBF" w:rsidRPr="00151BD7">
        <w:t>calibre</w:t>
      </w:r>
      <w:r w:rsidRPr="00151BD7">
        <w:t xml:space="preserve"> ammunition output. Additional investments in new production lines, facility expansions and automation initiatives across European operations will further increase output and efficiency.</w:t>
      </w:r>
    </w:p>
    <w:p w14:paraId="766D260D" w14:textId="77777777" w:rsidR="002F2A89" w:rsidRPr="00151BD7" w:rsidRDefault="002F2A89" w:rsidP="00E268AA">
      <w:pPr>
        <w:spacing w:after="0"/>
        <w:jc w:val="both"/>
        <w:rPr>
          <w:b/>
          <w:bCs/>
          <w:i/>
        </w:rPr>
      </w:pPr>
    </w:p>
    <w:p w14:paraId="53821AFA" w14:textId="0017442F" w:rsidR="00EE3F64" w:rsidRPr="00151BD7" w:rsidRDefault="00F05CE4" w:rsidP="00E268AA">
      <w:pPr>
        <w:spacing w:after="0"/>
        <w:jc w:val="both"/>
        <w:rPr>
          <w:b/>
          <w:bCs/>
          <w:i/>
        </w:rPr>
      </w:pPr>
      <w:r w:rsidRPr="00151BD7">
        <w:rPr>
          <w:b/>
          <w:bCs/>
          <w:i/>
        </w:rPr>
        <w:t>Tax and i</w:t>
      </w:r>
      <w:r w:rsidR="00654BAE" w:rsidRPr="00151BD7">
        <w:rPr>
          <w:b/>
          <w:bCs/>
          <w:i/>
        </w:rPr>
        <w:t>nterest</w:t>
      </w:r>
    </w:p>
    <w:p w14:paraId="4151C62E" w14:textId="77777777" w:rsidR="008E296B" w:rsidRPr="00151BD7" w:rsidRDefault="008E296B" w:rsidP="00E268AA">
      <w:pPr>
        <w:spacing w:after="0"/>
        <w:jc w:val="both"/>
      </w:pPr>
    </w:p>
    <w:p w14:paraId="05D5037C" w14:textId="273D6DC4" w:rsidR="00767D45" w:rsidRPr="00151BD7" w:rsidRDefault="00F05CE4" w:rsidP="005F46F2">
      <w:pPr>
        <w:spacing w:after="0"/>
        <w:jc w:val="both"/>
      </w:pPr>
      <w:r w:rsidRPr="00151BD7">
        <w:t xml:space="preserve">Income tax expense was €307 million (FY 2024: €210 million). </w:t>
      </w:r>
      <w:r w:rsidR="00E15D4B" w:rsidRPr="00151BD7">
        <w:t xml:space="preserve">The increase was primarily due to increased profit before tax and partially due to an increase in tax deductible finance expense. </w:t>
      </w:r>
      <w:r w:rsidR="00654BAE" w:rsidRPr="00151BD7">
        <w:t xml:space="preserve">Net finance costs increased </w:t>
      </w:r>
      <w:r w:rsidR="005F45BF" w:rsidRPr="00151BD7">
        <w:t>by €</w:t>
      </w:r>
      <w:r w:rsidR="00B31CBF" w:rsidRPr="00151BD7">
        <w:t>252</w:t>
      </w:r>
      <w:r w:rsidR="005F45BF" w:rsidRPr="00151BD7">
        <w:t xml:space="preserve"> million</w:t>
      </w:r>
      <w:r w:rsidR="005F46F2" w:rsidRPr="00151BD7">
        <w:t>, primarily driven by higher interest expense resulting from higher debt levels. This includes the new financing raised for the acquisition of The Kinetic Group at the end of 2024, the additional debt obtained for the nitrocellulose business in Germany during 2025 and further borrowing to support the Group's expansion and investment activities. In addition, financial expenses were affected by foreign exchange losses.</w:t>
      </w:r>
    </w:p>
    <w:p w14:paraId="43C1996D" w14:textId="77777777" w:rsidR="00EE3F64" w:rsidRPr="00151BD7" w:rsidRDefault="00EE3F64" w:rsidP="00E268AA">
      <w:pPr>
        <w:spacing w:after="0"/>
        <w:jc w:val="both"/>
      </w:pPr>
    </w:p>
    <w:p w14:paraId="7527CA6E" w14:textId="77777777" w:rsidR="00EE3F64" w:rsidRPr="00151BD7" w:rsidRDefault="00654BAE" w:rsidP="00E268AA">
      <w:pPr>
        <w:spacing w:after="0"/>
        <w:jc w:val="both"/>
        <w:rPr>
          <w:b/>
          <w:bCs/>
          <w:i/>
        </w:rPr>
      </w:pPr>
      <w:r w:rsidRPr="00151BD7">
        <w:rPr>
          <w:b/>
          <w:bCs/>
          <w:i/>
        </w:rPr>
        <w:t>Capital structure and liquidity</w:t>
      </w:r>
    </w:p>
    <w:p w14:paraId="128DC404" w14:textId="77777777" w:rsidR="008E296B" w:rsidRPr="00151BD7" w:rsidRDefault="008E296B" w:rsidP="00E268AA">
      <w:pPr>
        <w:spacing w:after="0"/>
        <w:jc w:val="both"/>
      </w:pPr>
    </w:p>
    <w:p w14:paraId="2A1A1879" w14:textId="2C7E529C" w:rsidR="00A2743D" w:rsidRPr="00151BD7" w:rsidRDefault="00A2743D" w:rsidP="00A2743D">
      <w:pPr>
        <w:spacing w:after="0"/>
        <w:jc w:val="both"/>
      </w:pPr>
      <w:r w:rsidRPr="00151BD7">
        <w:lastRenderedPageBreak/>
        <w:t>Net debt amounted to €3,00</w:t>
      </w:r>
      <w:r w:rsidR="00DD6469" w:rsidRPr="00151BD7">
        <w:t>4</w:t>
      </w:r>
      <w:r w:rsidRPr="00151BD7">
        <w:t xml:space="preserve"> million at year end, with Net Debt to LTM Adjusted Operating EBITDA of 1.7x, in line with the guidance of below 1.8x communicated at the time of the IPO. This level of leverage reflects the Group’s strong cash generation during the year and disciplined capital expenditure.</w:t>
      </w:r>
    </w:p>
    <w:p w14:paraId="14243CF8" w14:textId="77777777" w:rsidR="006B5F17" w:rsidRPr="00151BD7" w:rsidRDefault="006B5F17" w:rsidP="00A2743D">
      <w:pPr>
        <w:spacing w:after="0"/>
        <w:jc w:val="both"/>
      </w:pPr>
    </w:p>
    <w:p w14:paraId="0B4C3F2E" w14:textId="676BE557" w:rsidR="006B5F17" w:rsidRPr="00151BD7" w:rsidRDefault="006B5F17" w:rsidP="006B5F17">
      <w:pPr>
        <w:spacing w:after="0"/>
        <w:jc w:val="both"/>
      </w:pPr>
      <w:r w:rsidRPr="00151BD7">
        <w:t xml:space="preserve">On 10 June 2025, CSG issued CZK 10 billion notes due 2030, with a fixed rate of 5.75% p.a. These are traded on the Prague Stock Exchange. On 25 June 2025, CSG issued €1 billion of 5.250% senior secured notes due 2031 and $1 billion of 6.500% senior secured notes due 2031. </w:t>
      </w:r>
    </w:p>
    <w:p w14:paraId="7CCD386B" w14:textId="77777777" w:rsidR="006B5F17" w:rsidRPr="00151BD7" w:rsidRDefault="006B5F17" w:rsidP="006B5F17">
      <w:pPr>
        <w:spacing w:after="0"/>
        <w:jc w:val="both"/>
      </w:pPr>
    </w:p>
    <w:p w14:paraId="0F941E38" w14:textId="77777777" w:rsidR="006B5F17" w:rsidRPr="00151BD7" w:rsidRDefault="006B5F17" w:rsidP="006B5F17">
      <w:pPr>
        <w:spacing w:after="0"/>
        <w:jc w:val="both"/>
      </w:pPr>
      <w:r w:rsidRPr="00151BD7">
        <w:t>Liquidity remained robust, supported by solid operating cash flow and a diversified funding base. The Group continues to benefit from high cash conversion, driven by profitability and close control of working capital, providing flexibility to fund ongoing capacity expansion and selective strategic investments while maintaining a prudent balance sheet.</w:t>
      </w:r>
    </w:p>
    <w:p w14:paraId="4F8FDC70" w14:textId="77777777" w:rsidR="006B5F17" w:rsidRPr="00151BD7" w:rsidRDefault="006B5F17" w:rsidP="006B5F17">
      <w:pPr>
        <w:spacing w:after="0"/>
        <w:jc w:val="both"/>
      </w:pPr>
    </w:p>
    <w:p w14:paraId="1B2404B9" w14:textId="0533E9D7" w:rsidR="006B5F17" w:rsidRPr="00151BD7" w:rsidRDefault="006B5F17" w:rsidP="006B5F17">
      <w:pPr>
        <w:spacing w:after="0"/>
        <w:jc w:val="both"/>
      </w:pPr>
      <w:r w:rsidRPr="00151BD7">
        <w:t>For full details of the Group’s financing arrangements s</w:t>
      </w:r>
      <w:r w:rsidRPr="00151BD7">
        <w:rPr>
          <w:rFonts w:hint="eastAsia"/>
        </w:rPr>
        <w:t>ee Notes to the Consolidated Financial Statements</w:t>
      </w:r>
      <w:r w:rsidRPr="00151BD7">
        <w:t>.</w:t>
      </w:r>
    </w:p>
    <w:p w14:paraId="3E83D9C1" w14:textId="77777777" w:rsidR="00C03C13" w:rsidRPr="00151BD7" w:rsidRDefault="00C03C13" w:rsidP="00E268AA">
      <w:pPr>
        <w:spacing w:after="0"/>
        <w:jc w:val="both"/>
      </w:pPr>
    </w:p>
    <w:p w14:paraId="00BAEFCA" w14:textId="33ACF4E7" w:rsidR="00C03C13" w:rsidRPr="00151BD7" w:rsidRDefault="00741DC1" w:rsidP="00E268AA">
      <w:pPr>
        <w:spacing w:after="0"/>
        <w:jc w:val="both"/>
      </w:pPr>
      <w:r w:rsidRPr="00151BD7">
        <w:t>D</w:t>
      </w:r>
      <w:r w:rsidR="00C03C13" w:rsidRPr="00151BD7">
        <w:t xml:space="preserve">ebt structure of the Group </w:t>
      </w:r>
    </w:p>
    <w:p w14:paraId="334D7A3E" w14:textId="77777777" w:rsidR="00C03C13" w:rsidRPr="00151BD7" w:rsidRDefault="00C03C13" w:rsidP="00E268AA">
      <w:pPr>
        <w:spacing w:after="0"/>
        <w:jc w:val="both"/>
      </w:pPr>
    </w:p>
    <w:tbl>
      <w:tblPr>
        <w:tblStyle w:val="Mkatabulky"/>
        <w:tblW w:w="0" w:type="auto"/>
        <w:tblLook w:val="04A0" w:firstRow="1" w:lastRow="0" w:firstColumn="1" w:lastColumn="0" w:noHBand="0" w:noVBand="1"/>
      </w:tblPr>
      <w:tblGrid>
        <w:gridCol w:w="3681"/>
        <w:gridCol w:w="2551"/>
        <w:gridCol w:w="2551"/>
      </w:tblGrid>
      <w:tr w:rsidR="00FA7AF7" w:rsidRPr="00151BD7" w14:paraId="2374D541" w14:textId="41267053" w:rsidTr="00FA7AF7">
        <w:tc>
          <w:tcPr>
            <w:tcW w:w="3681" w:type="dxa"/>
          </w:tcPr>
          <w:p w14:paraId="64724BDF" w14:textId="622DC48E" w:rsidR="00FA7AF7" w:rsidRPr="00151BD7" w:rsidRDefault="00F10018" w:rsidP="00E268AA">
            <w:pPr>
              <w:jc w:val="both"/>
            </w:pPr>
            <w:r w:rsidRPr="00151BD7">
              <w:t>€ m</w:t>
            </w:r>
          </w:p>
        </w:tc>
        <w:tc>
          <w:tcPr>
            <w:tcW w:w="2551" w:type="dxa"/>
          </w:tcPr>
          <w:p w14:paraId="6CCA3EB3" w14:textId="77777777" w:rsidR="00FA7AF7" w:rsidRPr="00151BD7" w:rsidRDefault="00FA7AF7" w:rsidP="00E268AA">
            <w:pPr>
              <w:jc w:val="both"/>
            </w:pPr>
            <w:r w:rsidRPr="00151BD7">
              <w:t xml:space="preserve">As at </w:t>
            </w:r>
          </w:p>
          <w:p w14:paraId="0FD59B02" w14:textId="65C25F2D" w:rsidR="00FA7AF7" w:rsidRPr="00151BD7" w:rsidRDefault="00FA7AF7" w:rsidP="00E268AA">
            <w:pPr>
              <w:jc w:val="both"/>
            </w:pPr>
            <w:r w:rsidRPr="00151BD7">
              <w:t>31 December 2025</w:t>
            </w:r>
          </w:p>
        </w:tc>
        <w:tc>
          <w:tcPr>
            <w:tcW w:w="2551" w:type="dxa"/>
          </w:tcPr>
          <w:p w14:paraId="2805B18F" w14:textId="77777777" w:rsidR="00FA7AF7" w:rsidRPr="00151BD7" w:rsidRDefault="00FA7AF7" w:rsidP="00E268AA">
            <w:pPr>
              <w:jc w:val="both"/>
            </w:pPr>
            <w:r w:rsidRPr="00151BD7">
              <w:t xml:space="preserve">As at </w:t>
            </w:r>
          </w:p>
          <w:p w14:paraId="7AAFEC6D" w14:textId="7BA5F06E" w:rsidR="00FA7AF7" w:rsidRPr="00151BD7" w:rsidRDefault="00FA7AF7" w:rsidP="00E268AA">
            <w:pPr>
              <w:jc w:val="both"/>
            </w:pPr>
            <w:r w:rsidRPr="00151BD7">
              <w:t>31 December 2024</w:t>
            </w:r>
          </w:p>
        </w:tc>
      </w:tr>
      <w:tr w:rsidR="00FA7AF7" w:rsidRPr="00151BD7" w14:paraId="661205E8" w14:textId="5653B8BB" w:rsidTr="00FA7AF7">
        <w:trPr>
          <w:trHeight w:val="432"/>
        </w:trPr>
        <w:tc>
          <w:tcPr>
            <w:tcW w:w="3681" w:type="dxa"/>
          </w:tcPr>
          <w:p w14:paraId="7B0FFD86" w14:textId="5FB04615" w:rsidR="00FA7AF7" w:rsidRPr="00151BD7" w:rsidRDefault="00FA7AF7" w:rsidP="00E268AA">
            <w:pPr>
              <w:jc w:val="both"/>
            </w:pPr>
            <w:r w:rsidRPr="00151BD7">
              <w:t>Loans and borrowings</w:t>
            </w:r>
          </w:p>
        </w:tc>
        <w:tc>
          <w:tcPr>
            <w:tcW w:w="2551" w:type="dxa"/>
          </w:tcPr>
          <w:p w14:paraId="2F7E0022" w14:textId="38E8EAEB" w:rsidR="00FA7AF7" w:rsidRPr="00151BD7" w:rsidRDefault="00FA7AF7" w:rsidP="00E268AA">
            <w:pPr>
              <w:jc w:val="both"/>
            </w:pPr>
            <w:r w:rsidRPr="00151BD7">
              <w:t>1,824</w:t>
            </w:r>
          </w:p>
        </w:tc>
        <w:tc>
          <w:tcPr>
            <w:tcW w:w="2551" w:type="dxa"/>
          </w:tcPr>
          <w:p w14:paraId="64E2BD2A" w14:textId="169A3F10" w:rsidR="00FA7AF7" w:rsidRPr="00151BD7" w:rsidRDefault="00FA7AF7" w:rsidP="00E268AA">
            <w:pPr>
              <w:jc w:val="both"/>
            </w:pPr>
            <w:r w:rsidRPr="00151BD7">
              <w:t>1,91</w:t>
            </w:r>
            <w:r w:rsidR="00406D0C" w:rsidRPr="00151BD7">
              <w:t>2</w:t>
            </w:r>
          </w:p>
        </w:tc>
      </w:tr>
      <w:tr w:rsidR="00FA7AF7" w:rsidRPr="00151BD7" w14:paraId="06CFCC46" w14:textId="1BD61112" w:rsidTr="00FA7AF7">
        <w:trPr>
          <w:trHeight w:val="432"/>
        </w:trPr>
        <w:tc>
          <w:tcPr>
            <w:tcW w:w="3681" w:type="dxa"/>
          </w:tcPr>
          <w:p w14:paraId="0741448F" w14:textId="76832F07" w:rsidR="00FA7AF7" w:rsidRPr="00151BD7" w:rsidRDefault="00FA7AF7" w:rsidP="00E268AA">
            <w:pPr>
              <w:jc w:val="both"/>
            </w:pPr>
            <w:r w:rsidRPr="00151BD7">
              <w:t>Issued bonds</w:t>
            </w:r>
          </w:p>
          <w:p w14:paraId="3FC8FC3C" w14:textId="2D18430E" w:rsidR="00FA7AF7" w:rsidRPr="00151BD7" w:rsidRDefault="00FA7AF7" w:rsidP="00E268AA">
            <w:pPr>
              <w:jc w:val="both"/>
            </w:pPr>
            <w:r w:rsidRPr="00151BD7">
              <w:t xml:space="preserve"> </w:t>
            </w:r>
          </w:p>
        </w:tc>
        <w:tc>
          <w:tcPr>
            <w:tcW w:w="2551" w:type="dxa"/>
          </w:tcPr>
          <w:p w14:paraId="1C815913" w14:textId="62337D99" w:rsidR="00FA7AF7" w:rsidRPr="00151BD7" w:rsidRDefault="00FA7AF7" w:rsidP="00E268AA">
            <w:pPr>
              <w:jc w:val="both"/>
            </w:pPr>
            <w:r w:rsidRPr="00151BD7">
              <w:t>2,568</w:t>
            </w:r>
          </w:p>
        </w:tc>
        <w:tc>
          <w:tcPr>
            <w:tcW w:w="2551" w:type="dxa"/>
          </w:tcPr>
          <w:p w14:paraId="7E5993E9" w14:textId="7D5527A9" w:rsidR="00FA7AF7" w:rsidRPr="00151BD7" w:rsidRDefault="00FA7AF7" w:rsidP="00E268AA">
            <w:pPr>
              <w:jc w:val="both"/>
            </w:pPr>
            <w:r w:rsidRPr="00151BD7">
              <w:t>1,006</w:t>
            </w:r>
          </w:p>
        </w:tc>
      </w:tr>
      <w:tr w:rsidR="00FA7AF7" w:rsidRPr="00151BD7" w14:paraId="0A5A4B45" w14:textId="4D8C5093" w:rsidTr="00FA7AF7">
        <w:trPr>
          <w:trHeight w:val="432"/>
        </w:trPr>
        <w:tc>
          <w:tcPr>
            <w:tcW w:w="3681" w:type="dxa"/>
          </w:tcPr>
          <w:p w14:paraId="72B11D20" w14:textId="71EE324F" w:rsidR="00FA7AF7" w:rsidRPr="00151BD7" w:rsidRDefault="00FA7AF7" w:rsidP="00E268AA">
            <w:pPr>
              <w:jc w:val="both"/>
            </w:pPr>
            <w:r w:rsidRPr="00151BD7">
              <w:t>Liabilities from leases</w:t>
            </w:r>
          </w:p>
        </w:tc>
        <w:tc>
          <w:tcPr>
            <w:tcW w:w="2551" w:type="dxa"/>
          </w:tcPr>
          <w:p w14:paraId="0FB73C68" w14:textId="3F248872" w:rsidR="00FA7AF7" w:rsidRPr="00151BD7" w:rsidRDefault="00FA7AF7" w:rsidP="00E268AA">
            <w:pPr>
              <w:jc w:val="both"/>
            </w:pPr>
            <w:r w:rsidRPr="00151BD7">
              <w:t>11</w:t>
            </w:r>
            <w:r w:rsidR="00DD6469" w:rsidRPr="00151BD7">
              <w:t>8</w:t>
            </w:r>
          </w:p>
        </w:tc>
        <w:tc>
          <w:tcPr>
            <w:tcW w:w="2551" w:type="dxa"/>
          </w:tcPr>
          <w:p w14:paraId="1AFBE5DB" w14:textId="366E377D" w:rsidR="00FA7AF7" w:rsidRPr="00151BD7" w:rsidRDefault="00FA7AF7" w:rsidP="00E268AA">
            <w:pPr>
              <w:jc w:val="both"/>
            </w:pPr>
            <w:r w:rsidRPr="00151BD7">
              <w:t>99</w:t>
            </w:r>
          </w:p>
        </w:tc>
      </w:tr>
      <w:tr w:rsidR="00FA7AF7" w:rsidRPr="00151BD7" w14:paraId="27110912" w14:textId="77777777" w:rsidTr="00FA7AF7">
        <w:trPr>
          <w:trHeight w:val="432"/>
        </w:trPr>
        <w:tc>
          <w:tcPr>
            <w:tcW w:w="3681" w:type="dxa"/>
          </w:tcPr>
          <w:p w14:paraId="0230663D" w14:textId="762DAE1C" w:rsidR="00FA7AF7" w:rsidRPr="00151BD7" w:rsidRDefault="00FA7AF7" w:rsidP="00FA7AF7">
            <w:pPr>
              <w:jc w:val="both"/>
            </w:pPr>
            <w:r w:rsidRPr="00151BD7">
              <w:t>Cash and cash equivalents</w:t>
            </w:r>
          </w:p>
        </w:tc>
        <w:tc>
          <w:tcPr>
            <w:tcW w:w="2551" w:type="dxa"/>
          </w:tcPr>
          <w:p w14:paraId="15CED71A" w14:textId="517D5FD5" w:rsidR="00FA7AF7" w:rsidRPr="00151BD7" w:rsidRDefault="00FA7AF7" w:rsidP="00FA7AF7">
            <w:pPr>
              <w:jc w:val="both"/>
            </w:pPr>
            <w:r w:rsidRPr="00151BD7">
              <w:t>1,505</w:t>
            </w:r>
          </w:p>
        </w:tc>
        <w:tc>
          <w:tcPr>
            <w:tcW w:w="2551" w:type="dxa"/>
          </w:tcPr>
          <w:p w14:paraId="3B1EC8FB" w14:textId="5174CBB0" w:rsidR="00FA7AF7" w:rsidRPr="00151BD7" w:rsidRDefault="00FA7AF7" w:rsidP="00FA7AF7">
            <w:pPr>
              <w:jc w:val="both"/>
            </w:pPr>
            <w:r w:rsidRPr="00151BD7">
              <w:t>1,24</w:t>
            </w:r>
            <w:r w:rsidR="00406D0C" w:rsidRPr="00151BD7">
              <w:t>8</w:t>
            </w:r>
          </w:p>
        </w:tc>
      </w:tr>
      <w:tr w:rsidR="00FA7AF7" w:rsidRPr="00151BD7" w14:paraId="3A9DD124" w14:textId="4CADBCDA" w:rsidTr="00FA7AF7">
        <w:trPr>
          <w:trHeight w:val="432"/>
        </w:trPr>
        <w:tc>
          <w:tcPr>
            <w:tcW w:w="3681" w:type="dxa"/>
          </w:tcPr>
          <w:p w14:paraId="42001AE0" w14:textId="2839FEF6" w:rsidR="00FA7AF7" w:rsidRPr="00151BD7" w:rsidRDefault="00FA7AF7" w:rsidP="00E268AA">
            <w:pPr>
              <w:jc w:val="both"/>
            </w:pPr>
            <w:r w:rsidRPr="00151BD7">
              <w:t xml:space="preserve">Gross debt </w:t>
            </w:r>
          </w:p>
        </w:tc>
        <w:tc>
          <w:tcPr>
            <w:tcW w:w="2551" w:type="dxa"/>
          </w:tcPr>
          <w:p w14:paraId="1913C949" w14:textId="6C2517A9" w:rsidR="00FA7AF7" w:rsidRPr="00151BD7" w:rsidRDefault="00FA7AF7" w:rsidP="00E268AA">
            <w:pPr>
              <w:jc w:val="both"/>
            </w:pPr>
            <w:r w:rsidRPr="00151BD7">
              <w:t>4,50</w:t>
            </w:r>
            <w:r w:rsidR="00DD6469" w:rsidRPr="00151BD7">
              <w:t>9</w:t>
            </w:r>
          </w:p>
        </w:tc>
        <w:tc>
          <w:tcPr>
            <w:tcW w:w="2551" w:type="dxa"/>
          </w:tcPr>
          <w:p w14:paraId="4032DD2C" w14:textId="12DB5B43" w:rsidR="00FA7AF7" w:rsidRPr="00151BD7" w:rsidRDefault="00FA7AF7" w:rsidP="00E268AA">
            <w:pPr>
              <w:jc w:val="both"/>
            </w:pPr>
            <w:r w:rsidRPr="00151BD7">
              <w:t>3,017</w:t>
            </w:r>
          </w:p>
        </w:tc>
      </w:tr>
      <w:tr w:rsidR="00FA7AF7" w:rsidRPr="00151BD7" w14:paraId="1F648A26" w14:textId="7A5BC2FD" w:rsidTr="00FA7AF7">
        <w:trPr>
          <w:trHeight w:val="432"/>
        </w:trPr>
        <w:tc>
          <w:tcPr>
            <w:tcW w:w="3681" w:type="dxa"/>
          </w:tcPr>
          <w:p w14:paraId="2083A989" w14:textId="1A46E817" w:rsidR="00FA7AF7" w:rsidRPr="00151BD7" w:rsidRDefault="00FA7AF7" w:rsidP="00E268AA">
            <w:pPr>
              <w:jc w:val="both"/>
            </w:pPr>
            <w:r w:rsidRPr="00151BD7">
              <w:t>Net debt</w:t>
            </w:r>
          </w:p>
        </w:tc>
        <w:tc>
          <w:tcPr>
            <w:tcW w:w="2551" w:type="dxa"/>
          </w:tcPr>
          <w:p w14:paraId="760B9E5E" w14:textId="19BE94E3" w:rsidR="00FA7AF7" w:rsidRPr="00151BD7" w:rsidRDefault="00FA7AF7" w:rsidP="00E268AA">
            <w:pPr>
              <w:jc w:val="both"/>
            </w:pPr>
            <w:r w:rsidRPr="00151BD7">
              <w:t>3,00</w:t>
            </w:r>
            <w:r w:rsidR="00DD6469" w:rsidRPr="00151BD7">
              <w:t>4</w:t>
            </w:r>
          </w:p>
        </w:tc>
        <w:tc>
          <w:tcPr>
            <w:tcW w:w="2551" w:type="dxa"/>
          </w:tcPr>
          <w:p w14:paraId="2D54543B" w14:textId="6FD94ADA" w:rsidR="00FA7AF7" w:rsidRPr="00151BD7" w:rsidRDefault="00FA7AF7" w:rsidP="00E268AA">
            <w:pPr>
              <w:jc w:val="both"/>
            </w:pPr>
            <w:r w:rsidRPr="00151BD7">
              <w:t>1,769</w:t>
            </w:r>
          </w:p>
        </w:tc>
      </w:tr>
    </w:tbl>
    <w:p w14:paraId="4E197481" w14:textId="77777777" w:rsidR="00270D6A" w:rsidRPr="00151BD7" w:rsidRDefault="00270D6A" w:rsidP="00E268AA">
      <w:pPr>
        <w:spacing w:after="0"/>
        <w:jc w:val="both"/>
      </w:pPr>
    </w:p>
    <w:p w14:paraId="5099DC8C" w14:textId="77777777" w:rsidR="00CC27B0" w:rsidRPr="00151BD7" w:rsidRDefault="00CC27B0" w:rsidP="00E268AA">
      <w:pPr>
        <w:spacing w:after="0"/>
        <w:jc w:val="both"/>
      </w:pPr>
    </w:p>
    <w:p w14:paraId="3B0B9422" w14:textId="77777777" w:rsidR="00CC27B0" w:rsidRPr="00151BD7" w:rsidRDefault="00CC27B0" w:rsidP="00CC27B0">
      <w:pPr>
        <w:spacing w:after="0" w:line="240" w:lineRule="auto"/>
        <w:jc w:val="both"/>
        <w:rPr>
          <w:b/>
          <w:bCs/>
        </w:rPr>
      </w:pPr>
      <w:r w:rsidRPr="00151BD7">
        <w:rPr>
          <w:b/>
          <w:bCs/>
        </w:rPr>
        <w:t>Significant Changes After the Reporting Period</w:t>
      </w:r>
    </w:p>
    <w:p w14:paraId="463E9F44" w14:textId="77777777" w:rsidR="00CC27B0" w:rsidRPr="00151BD7" w:rsidRDefault="00CC27B0" w:rsidP="00CC27B0">
      <w:pPr>
        <w:spacing w:after="0" w:line="240" w:lineRule="auto"/>
        <w:jc w:val="both"/>
      </w:pPr>
    </w:p>
    <w:p w14:paraId="6B70C60C" w14:textId="77777777" w:rsidR="00CC27B0" w:rsidRPr="00151BD7" w:rsidRDefault="00CC27B0" w:rsidP="00CC27B0">
      <w:pPr>
        <w:spacing w:after="0" w:line="240" w:lineRule="auto"/>
        <w:jc w:val="both"/>
        <w:rPr>
          <w:i/>
          <w:iCs/>
        </w:rPr>
      </w:pPr>
      <w:r w:rsidRPr="00151BD7">
        <w:rPr>
          <w:i/>
          <w:iCs/>
        </w:rPr>
        <w:t xml:space="preserve">Initial Public Offering </w:t>
      </w:r>
    </w:p>
    <w:p w14:paraId="606AAC19" w14:textId="77777777" w:rsidR="00CC27B0" w:rsidRPr="00151BD7" w:rsidRDefault="00CC27B0" w:rsidP="00CC27B0">
      <w:pPr>
        <w:spacing w:after="0" w:line="240" w:lineRule="auto"/>
        <w:jc w:val="both"/>
      </w:pPr>
    </w:p>
    <w:p w14:paraId="77593117" w14:textId="77777777" w:rsidR="00CC27B0" w:rsidRPr="00151BD7" w:rsidRDefault="00CC27B0" w:rsidP="00CC27B0">
      <w:pPr>
        <w:spacing w:after="0" w:line="240" w:lineRule="auto"/>
        <w:jc w:val="both"/>
      </w:pPr>
      <w:r w:rsidRPr="00151BD7">
        <w:t xml:space="preserve">After the end of the reporting period, Czechoslovak Group </w:t>
      </w:r>
      <w:proofErr w:type="spellStart"/>
      <w:r w:rsidRPr="00151BD7">
        <w:t>a.s.</w:t>
      </w:r>
      <w:proofErr w:type="spellEnd"/>
      <w:r w:rsidRPr="00151BD7">
        <w:t xml:space="preserve"> completed an initial public offering and the admission to trading of shares of CSG N.V. on the regulated market of Euronext Amsterdam on 23 January 2026. The offering raised total gross proceeds of €3,800 million, representing 15.2% of issued share capital post-settlement. This comprised a primary offering of newly issued shares raising €750 million and a secondary offering of existing shares totalling €2,554 million by CSG FIN </w:t>
      </w:r>
      <w:proofErr w:type="spellStart"/>
      <w:r w:rsidRPr="00151BD7">
        <w:t>a.s.</w:t>
      </w:r>
      <w:proofErr w:type="spellEnd"/>
      <w:r w:rsidRPr="00151BD7">
        <w:t xml:space="preserve"> As a result of this transaction, CSG N.V., a public limited liability company incorporated in the Netherlands and headquartered in Amsterdam, became the listed parent entity of the CSG Group.</w:t>
      </w:r>
    </w:p>
    <w:p w14:paraId="33BD42C8" w14:textId="77777777" w:rsidR="00CC27B0" w:rsidRPr="00151BD7" w:rsidRDefault="00CC27B0" w:rsidP="00CC27B0">
      <w:pPr>
        <w:spacing w:after="0" w:line="240" w:lineRule="auto"/>
        <w:jc w:val="both"/>
      </w:pPr>
    </w:p>
    <w:p w14:paraId="7EB7BD35" w14:textId="77777777" w:rsidR="00CC27B0" w:rsidRPr="00151BD7" w:rsidRDefault="00CC27B0" w:rsidP="00CC27B0">
      <w:pPr>
        <w:spacing w:after="0" w:line="240" w:lineRule="auto"/>
        <w:jc w:val="both"/>
        <w:rPr>
          <w:i/>
          <w:iCs/>
        </w:rPr>
      </w:pPr>
      <w:r w:rsidRPr="00151BD7">
        <w:rPr>
          <w:i/>
          <w:iCs/>
        </w:rPr>
        <w:t>Governance and Board of Directors</w:t>
      </w:r>
    </w:p>
    <w:p w14:paraId="69E29030" w14:textId="77777777" w:rsidR="00CC27B0" w:rsidRPr="00151BD7" w:rsidRDefault="00CC27B0" w:rsidP="00CC27B0">
      <w:pPr>
        <w:spacing w:after="0" w:line="240" w:lineRule="auto"/>
        <w:jc w:val="both"/>
      </w:pPr>
    </w:p>
    <w:p w14:paraId="33C27E0B" w14:textId="77777777" w:rsidR="00CC27B0" w:rsidRPr="00151BD7" w:rsidRDefault="00CC27B0" w:rsidP="00CC27B0">
      <w:pPr>
        <w:spacing w:after="0" w:line="240" w:lineRule="auto"/>
        <w:jc w:val="both"/>
      </w:pPr>
      <w:r w:rsidRPr="00151BD7">
        <w:t>Following the IPO, CSG N.V. adopted a one-tier board structure governed by Dutch law, combining executive and supervisory responsibilities within a single Board of Directors. The Board consists of an executive component (Executive Directors), responsible for the day-to-day management of the Group, and an independent non-executive component (Non-Executive Directors), whose role is to oversee strategy, leadership performance, risk management and long-term value creation.</w:t>
      </w:r>
    </w:p>
    <w:p w14:paraId="476A4875" w14:textId="77777777" w:rsidR="00CC27B0" w:rsidRPr="00151BD7" w:rsidRDefault="00CC27B0" w:rsidP="00CC27B0">
      <w:pPr>
        <w:spacing w:after="0" w:line="240" w:lineRule="auto"/>
        <w:jc w:val="both"/>
      </w:pPr>
    </w:p>
    <w:p w14:paraId="536A8FE3" w14:textId="77777777" w:rsidR="00CC27B0" w:rsidRPr="00151BD7" w:rsidRDefault="00CC27B0" w:rsidP="00CC27B0">
      <w:pPr>
        <w:spacing w:after="0" w:line="240" w:lineRule="auto"/>
        <w:jc w:val="both"/>
      </w:pPr>
      <w:r w:rsidRPr="00151BD7">
        <w:t xml:space="preserve">The executive leadership of CSG comprises Michal Strnad (Chairman and Chief Executive Officer), David Chour (Chief Operating Officer), Ladislav Štorek (General Counsel), Petr Formánek (Director of Acquisitions) </w:t>
      </w:r>
      <w:r w:rsidRPr="00151BD7">
        <w:lastRenderedPageBreak/>
        <w:t>and Zdeněk Jurák (Chief Financial Officer). Four independent Non-Executive Directors were appointed to the Board in connection with the listing: General (Ret.) John Nicholson (Senior Independent Director), Lynn Fordham, Susanne Wiegand and Virginie Banet.</w:t>
      </w:r>
    </w:p>
    <w:p w14:paraId="3A1EDA12" w14:textId="77777777" w:rsidR="00CC27B0" w:rsidRPr="00151BD7" w:rsidRDefault="00CC27B0" w:rsidP="00CC27B0">
      <w:pPr>
        <w:spacing w:after="0" w:line="240" w:lineRule="auto"/>
        <w:jc w:val="both"/>
      </w:pPr>
    </w:p>
    <w:p w14:paraId="4CA0BFE0" w14:textId="77777777" w:rsidR="00CC27B0" w:rsidRPr="00151BD7" w:rsidRDefault="00CC27B0" w:rsidP="00CC27B0">
      <w:pPr>
        <w:spacing w:after="0" w:line="240" w:lineRule="auto"/>
        <w:jc w:val="both"/>
        <w:rPr>
          <w:i/>
          <w:iCs/>
        </w:rPr>
      </w:pPr>
      <w:r w:rsidRPr="00151BD7">
        <w:rPr>
          <w:i/>
          <w:iCs/>
        </w:rPr>
        <w:t>Credit Rating Updates</w:t>
      </w:r>
    </w:p>
    <w:p w14:paraId="4DEDDE53" w14:textId="77777777" w:rsidR="00CC27B0" w:rsidRPr="00151BD7" w:rsidRDefault="00CC27B0" w:rsidP="00CC27B0">
      <w:pPr>
        <w:spacing w:after="0" w:line="240" w:lineRule="auto"/>
        <w:jc w:val="both"/>
      </w:pPr>
    </w:p>
    <w:p w14:paraId="3976E9D9" w14:textId="77777777" w:rsidR="00CC27B0" w:rsidRPr="00151BD7" w:rsidRDefault="00CC27B0" w:rsidP="00CC27B0">
      <w:pPr>
        <w:spacing w:after="0" w:line="240" w:lineRule="auto"/>
        <w:jc w:val="both"/>
      </w:pPr>
      <w:r w:rsidRPr="00151BD7">
        <w:t>In February 2026, Moody’s upgraded the rating of CSG’s backed senior secured debt from the speculative-grade level of Ba1 to investment-grade Baa3, reflecting improvements in corporate governance, a simplified capital structure, and a more conservative financial strategy. Fitch Ratings also affirmed CSG’s rating at BBB- with a Stable Outlook.</w:t>
      </w:r>
    </w:p>
    <w:p w14:paraId="21F5FF8D" w14:textId="77777777" w:rsidR="00CC27B0" w:rsidRPr="00151BD7" w:rsidRDefault="00CC27B0" w:rsidP="00CC27B0">
      <w:pPr>
        <w:spacing w:after="0" w:line="240" w:lineRule="auto"/>
        <w:jc w:val="both"/>
      </w:pPr>
    </w:p>
    <w:p w14:paraId="75599644" w14:textId="338813F0" w:rsidR="00CC27B0" w:rsidRPr="00151BD7" w:rsidRDefault="00CC27B0" w:rsidP="00CC27B0">
      <w:pPr>
        <w:spacing w:after="0" w:line="240" w:lineRule="auto"/>
        <w:jc w:val="both"/>
        <w:rPr>
          <w:i/>
          <w:iCs/>
        </w:rPr>
      </w:pPr>
      <w:r w:rsidRPr="00151BD7">
        <w:rPr>
          <w:i/>
          <w:iCs/>
        </w:rPr>
        <w:t>S</w:t>
      </w:r>
      <w:r w:rsidR="00DD6B7E" w:rsidRPr="00151BD7">
        <w:rPr>
          <w:i/>
          <w:iCs/>
        </w:rPr>
        <w:t>ignificant</w:t>
      </w:r>
      <w:r w:rsidRPr="00151BD7">
        <w:rPr>
          <w:i/>
          <w:iCs/>
        </w:rPr>
        <w:t xml:space="preserve"> Transaction</w:t>
      </w:r>
      <w:r w:rsidR="00DD6B7E" w:rsidRPr="00151BD7">
        <w:rPr>
          <w:i/>
          <w:iCs/>
        </w:rPr>
        <w:t>s</w:t>
      </w:r>
    </w:p>
    <w:p w14:paraId="08E6AAF0" w14:textId="77777777" w:rsidR="00CC27B0" w:rsidRPr="00151BD7" w:rsidRDefault="00CC27B0" w:rsidP="00CC27B0">
      <w:pPr>
        <w:spacing w:after="0" w:line="240" w:lineRule="auto"/>
        <w:jc w:val="both"/>
      </w:pPr>
    </w:p>
    <w:p w14:paraId="46043821" w14:textId="569C92D3" w:rsidR="00DD6B7E" w:rsidRPr="00151BD7" w:rsidRDefault="00DD6B7E" w:rsidP="00CC27B0">
      <w:pPr>
        <w:spacing w:after="0" w:line="240" w:lineRule="auto"/>
        <w:jc w:val="both"/>
      </w:pPr>
      <w:r w:rsidRPr="00151BD7">
        <w:t xml:space="preserve">On 30 January 2026, CSG and the Greek state-owned company Hellenic Defence Systems S.A. signed the key founding documents for the establishment of a joint venture </w:t>
      </w:r>
      <w:proofErr w:type="spellStart"/>
      <w:r w:rsidR="00F623FB" w:rsidRPr="00151BD7">
        <w:t>Ellinika</w:t>
      </w:r>
      <w:proofErr w:type="spellEnd"/>
      <w:r w:rsidR="00F623FB" w:rsidRPr="00151BD7">
        <w:t xml:space="preserve"> </w:t>
      </w:r>
      <w:proofErr w:type="spellStart"/>
      <w:r w:rsidR="00F623FB" w:rsidRPr="00151BD7">
        <w:t>Pyromachika</w:t>
      </w:r>
      <w:proofErr w:type="spellEnd"/>
      <w:r w:rsidRPr="00151BD7">
        <w:t xml:space="preserve"> focused on the production of large-calibre ammunition in Greece. This further strengthens CSG’s vertical integration in ammunition manufacturing.</w:t>
      </w:r>
    </w:p>
    <w:p w14:paraId="72F4931E" w14:textId="77777777" w:rsidR="00DD6B7E" w:rsidRPr="00151BD7" w:rsidRDefault="00DD6B7E" w:rsidP="00CC27B0">
      <w:pPr>
        <w:spacing w:after="0" w:line="240" w:lineRule="auto"/>
        <w:jc w:val="both"/>
      </w:pPr>
    </w:p>
    <w:p w14:paraId="78D591A9" w14:textId="7A83F9FE" w:rsidR="00DD6B7E" w:rsidRPr="00151BD7" w:rsidRDefault="00DD6B7E" w:rsidP="00CC27B0">
      <w:pPr>
        <w:spacing w:after="0" w:line="240" w:lineRule="auto"/>
        <w:jc w:val="both"/>
      </w:pPr>
      <w:r w:rsidRPr="00151BD7">
        <w:t xml:space="preserve">On 12 February 2026, CSG announced it completed the divestiture of JOB AIR Technic </w:t>
      </w:r>
      <w:proofErr w:type="spellStart"/>
      <w:r w:rsidRPr="00151BD7">
        <w:t>a.s.</w:t>
      </w:r>
      <w:proofErr w:type="spellEnd"/>
    </w:p>
    <w:p w14:paraId="6362BC39" w14:textId="77777777" w:rsidR="00DD6B7E" w:rsidRPr="00151BD7" w:rsidRDefault="00DD6B7E" w:rsidP="00CC27B0">
      <w:pPr>
        <w:spacing w:after="0" w:line="240" w:lineRule="auto"/>
        <w:jc w:val="both"/>
      </w:pPr>
    </w:p>
    <w:p w14:paraId="143872F6" w14:textId="2AEA20AF" w:rsidR="00CC27B0" w:rsidRPr="00151BD7" w:rsidRDefault="00DD6B7E" w:rsidP="00CC27B0">
      <w:pPr>
        <w:spacing w:after="0" w:line="240" w:lineRule="auto"/>
        <w:jc w:val="both"/>
      </w:pPr>
      <w:r w:rsidRPr="00151BD7">
        <w:t>On 2</w:t>
      </w:r>
      <w:r w:rsidR="00CC27B0" w:rsidRPr="00151BD7">
        <w:t xml:space="preserve"> March 2026, CSG announced it will acquire a 49% stake in 4iG Space &amp; Defence Technologies, thereby also indirectly becoming a 37% shareholder in Rába Automotive Holding Plc. Through this transaction, the Group confirms its ambition to become a long-term strategic partner of the Hungarian defence industry. The initial investments also include signed contracts for the production and delivery of thousands of military vehicles, as well as potential participation in the HIMARS programme for Hungary.</w:t>
      </w:r>
    </w:p>
    <w:p w14:paraId="3DB961CF" w14:textId="77777777" w:rsidR="00DD6B7E" w:rsidRPr="00151BD7" w:rsidRDefault="00DD6B7E" w:rsidP="00CC27B0">
      <w:pPr>
        <w:spacing w:after="0" w:line="240" w:lineRule="auto"/>
        <w:jc w:val="both"/>
      </w:pPr>
    </w:p>
    <w:p w14:paraId="2BD5C4C0" w14:textId="32163E90" w:rsidR="00DD6B7E" w:rsidRPr="00151BD7" w:rsidRDefault="00DD6B7E" w:rsidP="00CC27B0">
      <w:pPr>
        <w:spacing w:after="0" w:line="240" w:lineRule="auto"/>
        <w:jc w:val="both"/>
      </w:pPr>
      <w:r w:rsidRPr="00151BD7">
        <w:t>On 4 March 2026, a joint memorandum was signed between EURENCO and ZVS holding, a joint venture of the Slovak Republic and MSM GROUP, part of the CSG Group to establish a joint venture and the construction of a new manufacturing facility for Modular Artillery Charge Systems (MACS) for artillery systems.</w:t>
      </w:r>
    </w:p>
    <w:p w14:paraId="47F4F79A" w14:textId="77777777" w:rsidR="00DD6B7E" w:rsidRPr="00151BD7" w:rsidRDefault="00DD6B7E" w:rsidP="00DD6B7E">
      <w:pPr>
        <w:spacing w:after="0" w:line="240" w:lineRule="auto"/>
        <w:jc w:val="both"/>
      </w:pPr>
    </w:p>
    <w:p w14:paraId="4393898B" w14:textId="77BE9EFB" w:rsidR="00DD6B7E" w:rsidRPr="00151BD7" w:rsidRDefault="00697A31" w:rsidP="00DD6B7E">
      <w:pPr>
        <w:spacing w:after="0" w:line="240" w:lineRule="auto"/>
        <w:jc w:val="both"/>
      </w:pPr>
      <w:r w:rsidRPr="00151BD7">
        <w:t>On 11</w:t>
      </w:r>
      <w:r w:rsidR="00DD6B7E" w:rsidRPr="00151BD7">
        <w:t xml:space="preserve"> March 2026</w:t>
      </w:r>
      <w:r w:rsidRPr="00151BD7">
        <w:t xml:space="preserve">, CSG and Polska Grupa </w:t>
      </w:r>
      <w:proofErr w:type="spellStart"/>
      <w:r w:rsidRPr="00151BD7">
        <w:t>Zbrojeniowa</w:t>
      </w:r>
      <w:proofErr w:type="spellEnd"/>
      <w:r w:rsidRPr="00151BD7">
        <w:t xml:space="preserve"> S.A. (PGZ) signed a Framework Cooperation Agreement that establishes the foundation for further deepening industrial, technological, and business cooperation. Cooperating includes development and production of engines for the next generation of unmanned systems and missiles, the ammunition segment, and modern land platforms.</w:t>
      </w:r>
    </w:p>
    <w:p w14:paraId="54A0CB5F" w14:textId="77777777" w:rsidR="00B31CBF" w:rsidRPr="00151BD7" w:rsidRDefault="00B31CBF" w:rsidP="00DD6B7E">
      <w:pPr>
        <w:spacing w:after="0" w:line="240" w:lineRule="auto"/>
        <w:jc w:val="both"/>
      </w:pPr>
    </w:p>
    <w:p w14:paraId="4786EF33" w14:textId="77777777" w:rsidR="00B31CBF" w:rsidRPr="00151BD7" w:rsidRDefault="00B31CBF" w:rsidP="00B31CBF">
      <w:pPr>
        <w:spacing w:after="0" w:line="240" w:lineRule="auto"/>
        <w:jc w:val="both"/>
        <w:rPr>
          <w:i/>
          <w:iCs/>
        </w:rPr>
      </w:pPr>
      <w:r w:rsidRPr="00151BD7">
        <w:rPr>
          <w:i/>
          <w:iCs/>
        </w:rPr>
        <w:t>Events in the Middle East</w:t>
      </w:r>
    </w:p>
    <w:p w14:paraId="1F6397F4" w14:textId="77777777" w:rsidR="00B31CBF" w:rsidRPr="00151BD7" w:rsidRDefault="00B31CBF" w:rsidP="00B31CBF">
      <w:pPr>
        <w:spacing w:after="0" w:line="240" w:lineRule="auto"/>
        <w:jc w:val="both"/>
      </w:pPr>
    </w:p>
    <w:p w14:paraId="14E3BFEC" w14:textId="1E9361A1" w:rsidR="00B31CBF" w:rsidRPr="00151BD7" w:rsidRDefault="00B31CBF" w:rsidP="00B31CBF">
      <w:pPr>
        <w:spacing w:after="0" w:line="240" w:lineRule="auto"/>
        <w:jc w:val="both"/>
      </w:pPr>
      <w:r w:rsidRPr="00151BD7">
        <w:t>The Group’s direct exposure to countries in the Middle East is limited and not material to its overall operations. Based on information currently available, management does not expect developments involving Iran to have a material impact on the Group’s operations or financial position. The Group continues to monitor developments in the region and will assess any potential impacts as circumstances evolve.</w:t>
      </w:r>
    </w:p>
    <w:p w14:paraId="6AF8E251" w14:textId="77777777" w:rsidR="00814C62" w:rsidRPr="00151BD7" w:rsidRDefault="00814C62" w:rsidP="00B31CBF">
      <w:pPr>
        <w:spacing w:after="0" w:line="240" w:lineRule="auto"/>
        <w:jc w:val="both"/>
      </w:pPr>
    </w:p>
    <w:p w14:paraId="0668C3C0" w14:textId="77777777" w:rsidR="00814C62" w:rsidRPr="00151BD7" w:rsidRDefault="00814C62" w:rsidP="00B31CBF">
      <w:pPr>
        <w:spacing w:after="0" w:line="240" w:lineRule="auto"/>
        <w:jc w:val="both"/>
      </w:pPr>
    </w:p>
    <w:p w14:paraId="275FF748" w14:textId="77777777" w:rsidR="00814C62" w:rsidRPr="00151BD7" w:rsidRDefault="00814C62" w:rsidP="00814C62">
      <w:pPr>
        <w:spacing w:after="0"/>
        <w:jc w:val="both"/>
        <w:rPr>
          <w:b/>
          <w:bCs/>
        </w:rPr>
      </w:pPr>
      <w:r w:rsidRPr="00151BD7">
        <w:rPr>
          <w:b/>
          <w:bCs/>
        </w:rPr>
        <w:t>Enquiries</w:t>
      </w:r>
    </w:p>
    <w:p w14:paraId="279E54F5" w14:textId="77777777" w:rsidR="00814C62" w:rsidRPr="00151BD7" w:rsidRDefault="00814C62" w:rsidP="00814C62">
      <w:pPr>
        <w:spacing w:after="0"/>
        <w:jc w:val="both"/>
      </w:pPr>
    </w:p>
    <w:p w14:paraId="002DFFA4" w14:textId="77777777" w:rsidR="00814C62" w:rsidRPr="00151BD7" w:rsidRDefault="00814C62" w:rsidP="00814C62">
      <w:pPr>
        <w:spacing w:after="0"/>
        <w:jc w:val="both"/>
      </w:pPr>
      <w:r w:rsidRPr="00151BD7">
        <w:t>Investors and analysts:</w:t>
      </w:r>
    </w:p>
    <w:p w14:paraId="7FB4F8BC" w14:textId="77777777" w:rsidR="00814C62" w:rsidRPr="00151BD7" w:rsidRDefault="00814C62" w:rsidP="00814C62">
      <w:pPr>
        <w:spacing w:after="0"/>
        <w:jc w:val="both"/>
      </w:pPr>
      <w:r w:rsidRPr="00151BD7">
        <w:t>Peter Russell, Head of Investor Relations</w:t>
      </w:r>
    </w:p>
    <w:p w14:paraId="5CB75369" w14:textId="49A3A032" w:rsidR="00814C62" w:rsidRPr="00151BD7" w:rsidRDefault="00814C62" w:rsidP="00814C62">
      <w:pPr>
        <w:spacing w:after="0"/>
        <w:jc w:val="both"/>
        <w:rPr>
          <w:lang w:val="it-IT"/>
        </w:rPr>
      </w:pPr>
      <w:hyperlink r:id="rId11" w:history="1">
        <w:r w:rsidRPr="00151BD7">
          <w:rPr>
            <w:rStyle w:val="Hypertextovodkaz"/>
            <w:lang w:val="it-IT"/>
          </w:rPr>
          <w:t>peter.russell@czechoslovakgroup.com</w:t>
        </w:r>
      </w:hyperlink>
      <w:r w:rsidRPr="00151BD7">
        <w:rPr>
          <w:lang w:val="it-IT"/>
        </w:rPr>
        <w:t xml:space="preserve"> </w:t>
      </w:r>
    </w:p>
    <w:p w14:paraId="0007C8D4" w14:textId="77777777" w:rsidR="00814C62" w:rsidRPr="00151BD7" w:rsidRDefault="00814C62" w:rsidP="00814C62">
      <w:pPr>
        <w:spacing w:after="0"/>
        <w:jc w:val="both"/>
        <w:rPr>
          <w:lang w:val="it-IT"/>
        </w:rPr>
      </w:pPr>
    </w:p>
    <w:p w14:paraId="45B00CC9" w14:textId="77777777" w:rsidR="00814C62" w:rsidRPr="00151BD7" w:rsidRDefault="00814C62" w:rsidP="00814C62">
      <w:pPr>
        <w:spacing w:after="0"/>
        <w:jc w:val="both"/>
        <w:rPr>
          <w:lang w:val="it-IT"/>
        </w:rPr>
      </w:pPr>
      <w:r w:rsidRPr="00151BD7">
        <w:rPr>
          <w:lang w:val="it-IT"/>
        </w:rPr>
        <w:t>Media:</w:t>
      </w:r>
    </w:p>
    <w:p w14:paraId="0DE75576" w14:textId="77777777" w:rsidR="00814C62" w:rsidRPr="00151BD7" w:rsidRDefault="00814C62" w:rsidP="00814C62">
      <w:pPr>
        <w:spacing w:after="0"/>
        <w:jc w:val="both"/>
      </w:pPr>
      <w:r w:rsidRPr="00151BD7">
        <w:t>Tomáš Kotera, Director of Communications</w:t>
      </w:r>
    </w:p>
    <w:p w14:paraId="7EC65A31" w14:textId="10292A8D" w:rsidR="00814C62" w:rsidRPr="00151BD7" w:rsidRDefault="00814C62" w:rsidP="00814C62">
      <w:pPr>
        <w:spacing w:after="0"/>
        <w:jc w:val="both"/>
      </w:pPr>
      <w:hyperlink r:id="rId12" w:history="1">
        <w:r w:rsidRPr="00151BD7">
          <w:rPr>
            <w:rStyle w:val="Hypertextovodkaz"/>
          </w:rPr>
          <w:t>tomas.kotera@czechoslovakgroup.com</w:t>
        </w:r>
      </w:hyperlink>
      <w:r w:rsidRPr="00151BD7">
        <w:t xml:space="preserve"> </w:t>
      </w:r>
    </w:p>
    <w:p w14:paraId="1A7F1133" w14:textId="77777777" w:rsidR="00814C62" w:rsidRPr="00151BD7" w:rsidRDefault="00814C62" w:rsidP="00814C62">
      <w:pPr>
        <w:spacing w:after="0"/>
        <w:jc w:val="both"/>
      </w:pPr>
    </w:p>
    <w:p w14:paraId="17C38DB3" w14:textId="77777777" w:rsidR="00814C62" w:rsidRPr="00151BD7" w:rsidRDefault="00814C62" w:rsidP="00814C62">
      <w:pPr>
        <w:spacing w:after="0"/>
        <w:jc w:val="both"/>
      </w:pPr>
      <w:r w:rsidRPr="00151BD7">
        <w:t>Andrej Čírtek, Spokesperson</w:t>
      </w:r>
    </w:p>
    <w:p w14:paraId="441FBA09" w14:textId="77777777" w:rsidR="00814C62" w:rsidRPr="00151BD7" w:rsidRDefault="00814C62" w:rsidP="00814C62">
      <w:pPr>
        <w:spacing w:after="0"/>
        <w:jc w:val="both"/>
      </w:pPr>
      <w:r w:rsidRPr="00151BD7">
        <w:t>+420 602 494 208</w:t>
      </w:r>
    </w:p>
    <w:p w14:paraId="1030B2FB" w14:textId="6F012C14" w:rsidR="00814C62" w:rsidRPr="006E1F35" w:rsidRDefault="00814C62" w:rsidP="00814C62">
      <w:pPr>
        <w:spacing w:after="0"/>
        <w:jc w:val="both"/>
      </w:pPr>
      <w:hyperlink r:id="rId13" w:history="1">
        <w:r w:rsidRPr="00151BD7">
          <w:rPr>
            <w:rStyle w:val="Hypertextovodkaz"/>
          </w:rPr>
          <w:t>andrej.cirtek@czechoslovakgroup.com</w:t>
        </w:r>
      </w:hyperlink>
      <w:r>
        <w:t xml:space="preserve"> </w:t>
      </w:r>
    </w:p>
    <w:p w14:paraId="7D0441DF" w14:textId="77777777" w:rsidR="00814C62" w:rsidRPr="0003058C" w:rsidRDefault="00814C62" w:rsidP="00B31CBF">
      <w:pPr>
        <w:spacing w:after="0" w:line="240" w:lineRule="auto"/>
        <w:jc w:val="both"/>
      </w:pPr>
    </w:p>
    <w:p w14:paraId="033FA0E1" w14:textId="77777777" w:rsidR="00CC27B0" w:rsidRDefault="00CC27B0" w:rsidP="00E268AA">
      <w:pPr>
        <w:spacing w:after="0"/>
        <w:jc w:val="both"/>
      </w:pPr>
    </w:p>
    <w:sectPr w:rsidR="00CC27B0" w:rsidSect="00B00D1A">
      <w:footerReference w:type="default" r:id="rId14"/>
      <w:pgSz w:w="12240" w:h="15840"/>
      <w:pgMar w:top="1134" w:right="1247" w:bottom="1247"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E6A7" w14:textId="77777777" w:rsidR="00781B2B" w:rsidRPr="006E1F35" w:rsidRDefault="00781B2B" w:rsidP="00DF2DA2">
      <w:pPr>
        <w:spacing w:after="0" w:line="240" w:lineRule="auto"/>
      </w:pPr>
      <w:r w:rsidRPr="006E1F35">
        <w:separator/>
      </w:r>
    </w:p>
  </w:endnote>
  <w:endnote w:type="continuationSeparator" w:id="0">
    <w:p w14:paraId="41E0039E" w14:textId="77777777" w:rsidR="00781B2B" w:rsidRPr="006E1F35" w:rsidRDefault="00781B2B" w:rsidP="00DF2DA2">
      <w:pPr>
        <w:spacing w:after="0" w:line="240" w:lineRule="auto"/>
      </w:pPr>
      <w:r w:rsidRPr="006E1F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5653" w14:textId="409ED80A" w:rsidR="00DF2DA2" w:rsidRPr="006E1F35" w:rsidRDefault="00DF2DA2">
    <w:pPr>
      <w:pStyle w:val="Zpat"/>
      <w:jc w:val="right"/>
    </w:pPr>
  </w:p>
  <w:p w14:paraId="7F9A7DA6" w14:textId="77777777" w:rsidR="00DF2DA2" w:rsidRPr="006E1F35" w:rsidRDefault="00DF2D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B80A" w14:textId="77777777" w:rsidR="00781B2B" w:rsidRPr="006E1F35" w:rsidRDefault="00781B2B" w:rsidP="00DF2DA2">
      <w:pPr>
        <w:spacing w:after="0" w:line="240" w:lineRule="auto"/>
      </w:pPr>
      <w:r w:rsidRPr="006E1F35">
        <w:separator/>
      </w:r>
    </w:p>
  </w:footnote>
  <w:footnote w:type="continuationSeparator" w:id="0">
    <w:p w14:paraId="761BCADC" w14:textId="77777777" w:rsidR="00781B2B" w:rsidRPr="006E1F35" w:rsidRDefault="00781B2B" w:rsidP="00DF2DA2">
      <w:pPr>
        <w:spacing w:after="0" w:line="240" w:lineRule="auto"/>
      </w:pPr>
      <w:r w:rsidRPr="006E1F3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184C5A13"/>
    <w:multiLevelType w:val="multilevel"/>
    <w:tmpl w:val="BC56C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2445E0"/>
    <w:multiLevelType w:val="multilevel"/>
    <w:tmpl w:val="D8189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01615B"/>
    <w:multiLevelType w:val="hybridMultilevel"/>
    <w:tmpl w:val="5EA0A012"/>
    <w:lvl w:ilvl="0" w:tplc="BC545244">
      <w:start w:val="39"/>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C45454"/>
    <w:multiLevelType w:val="hybridMultilevel"/>
    <w:tmpl w:val="E174A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527AF0"/>
    <w:multiLevelType w:val="multilevel"/>
    <w:tmpl w:val="50A42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CB2785"/>
    <w:multiLevelType w:val="hybridMultilevel"/>
    <w:tmpl w:val="9258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820BF"/>
    <w:multiLevelType w:val="hybridMultilevel"/>
    <w:tmpl w:val="021ADD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5979550">
    <w:abstractNumId w:val="8"/>
  </w:num>
  <w:num w:numId="2" w16cid:durableId="1842428234">
    <w:abstractNumId w:val="6"/>
  </w:num>
  <w:num w:numId="3" w16cid:durableId="1813400348">
    <w:abstractNumId w:val="5"/>
  </w:num>
  <w:num w:numId="4" w16cid:durableId="1241913400">
    <w:abstractNumId w:val="4"/>
  </w:num>
  <w:num w:numId="5" w16cid:durableId="1710689760">
    <w:abstractNumId w:val="7"/>
  </w:num>
  <w:num w:numId="6" w16cid:durableId="628782158">
    <w:abstractNumId w:val="3"/>
  </w:num>
  <w:num w:numId="7" w16cid:durableId="122045798">
    <w:abstractNumId w:val="2"/>
  </w:num>
  <w:num w:numId="8" w16cid:durableId="1439137106">
    <w:abstractNumId w:val="1"/>
  </w:num>
  <w:num w:numId="9" w16cid:durableId="321587027">
    <w:abstractNumId w:val="0"/>
  </w:num>
  <w:num w:numId="10" w16cid:durableId="1803841215">
    <w:abstractNumId w:val="12"/>
  </w:num>
  <w:num w:numId="11" w16cid:durableId="971251570">
    <w:abstractNumId w:val="14"/>
  </w:num>
  <w:num w:numId="12" w16cid:durableId="2082940742">
    <w:abstractNumId w:val="13"/>
  </w:num>
  <w:num w:numId="13" w16cid:durableId="1196388757">
    <w:abstractNumId w:val="9"/>
  </w:num>
  <w:num w:numId="14" w16cid:durableId="1777367505">
    <w:abstractNumId w:val="10"/>
  </w:num>
  <w:num w:numId="15" w16cid:durableId="831071447">
    <w:abstractNumId w:val="15"/>
  </w:num>
  <w:num w:numId="16" w16cid:durableId="17636035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45F2"/>
    <w:rsid w:val="000055A4"/>
    <w:rsid w:val="000074E4"/>
    <w:rsid w:val="0001220A"/>
    <w:rsid w:val="000137D0"/>
    <w:rsid w:val="00026930"/>
    <w:rsid w:val="00027AA5"/>
    <w:rsid w:val="0003021B"/>
    <w:rsid w:val="00034616"/>
    <w:rsid w:val="00041040"/>
    <w:rsid w:val="00041DAA"/>
    <w:rsid w:val="000460A6"/>
    <w:rsid w:val="0004766C"/>
    <w:rsid w:val="00047941"/>
    <w:rsid w:val="0006063C"/>
    <w:rsid w:val="000711DA"/>
    <w:rsid w:val="00090B1D"/>
    <w:rsid w:val="000A3B0F"/>
    <w:rsid w:val="000D3A48"/>
    <w:rsid w:val="000D5296"/>
    <w:rsid w:val="000D7C14"/>
    <w:rsid w:val="000D7F33"/>
    <w:rsid w:val="000E48AE"/>
    <w:rsid w:val="000E5065"/>
    <w:rsid w:val="000F17FA"/>
    <w:rsid w:val="000F25CA"/>
    <w:rsid w:val="000F7D86"/>
    <w:rsid w:val="001128B3"/>
    <w:rsid w:val="001154F2"/>
    <w:rsid w:val="0012322B"/>
    <w:rsid w:val="001249B1"/>
    <w:rsid w:val="00131598"/>
    <w:rsid w:val="0015074B"/>
    <w:rsid w:val="00151BD7"/>
    <w:rsid w:val="00185DD3"/>
    <w:rsid w:val="001909EF"/>
    <w:rsid w:val="0019468C"/>
    <w:rsid w:val="00197406"/>
    <w:rsid w:val="001A0274"/>
    <w:rsid w:val="001C40AB"/>
    <w:rsid w:val="001C5BA0"/>
    <w:rsid w:val="00216D84"/>
    <w:rsid w:val="002202AB"/>
    <w:rsid w:val="00232023"/>
    <w:rsid w:val="0024023C"/>
    <w:rsid w:val="002447B6"/>
    <w:rsid w:val="002554B4"/>
    <w:rsid w:val="00270D6A"/>
    <w:rsid w:val="00274897"/>
    <w:rsid w:val="00280953"/>
    <w:rsid w:val="0029639D"/>
    <w:rsid w:val="002970D0"/>
    <w:rsid w:val="00297929"/>
    <w:rsid w:val="002B3089"/>
    <w:rsid w:val="002C7565"/>
    <w:rsid w:val="002D608F"/>
    <w:rsid w:val="002E4112"/>
    <w:rsid w:val="002F2A89"/>
    <w:rsid w:val="0030687A"/>
    <w:rsid w:val="00307884"/>
    <w:rsid w:val="00325D5E"/>
    <w:rsid w:val="00326F90"/>
    <w:rsid w:val="00350523"/>
    <w:rsid w:val="003549E7"/>
    <w:rsid w:val="003552A1"/>
    <w:rsid w:val="003659F7"/>
    <w:rsid w:val="003800DD"/>
    <w:rsid w:val="00393244"/>
    <w:rsid w:val="003A1093"/>
    <w:rsid w:val="003B0E4C"/>
    <w:rsid w:val="003B7E74"/>
    <w:rsid w:val="003E1C28"/>
    <w:rsid w:val="00406D0C"/>
    <w:rsid w:val="00453728"/>
    <w:rsid w:val="00454796"/>
    <w:rsid w:val="00467031"/>
    <w:rsid w:val="00483F21"/>
    <w:rsid w:val="00484D28"/>
    <w:rsid w:val="00491245"/>
    <w:rsid w:val="00497D20"/>
    <w:rsid w:val="004B239C"/>
    <w:rsid w:val="004B2943"/>
    <w:rsid w:val="004B390E"/>
    <w:rsid w:val="004B759A"/>
    <w:rsid w:val="004D3CD6"/>
    <w:rsid w:val="004D5B0F"/>
    <w:rsid w:val="004D71EC"/>
    <w:rsid w:val="004E0585"/>
    <w:rsid w:val="004E087A"/>
    <w:rsid w:val="00500954"/>
    <w:rsid w:val="00506286"/>
    <w:rsid w:val="00506E35"/>
    <w:rsid w:val="00517381"/>
    <w:rsid w:val="00523AFD"/>
    <w:rsid w:val="005532BC"/>
    <w:rsid w:val="00556C59"/>
    <w:rsid w:val="00565F70"/>
    <w:rsid w:val="0056717F"/>
    <w:rsid w:val="00571DA1"/>
    <w:rsid w:val="00595246"/>
    <w:rsid w:val="005B63AC"/>
    <w:rsid w:val="005D6DDB"/>
    <w:rsid w:val="005F12D2"/>
    <w:rsid w:val="005F45BF"/>
    <w:rsid w:val="005F46F2"/>
    <w:rsid w:val="005F6D77"/>
    <w:rsid w:val="00603BDB"/>
    <w:rsid w:val="006328B1"/>
    <w:rsid w:val="006377E8"/>
    <w:rsid w:val="00642C89"/>
    <w:rsid w:val="00645558"/>
    <w:rsid w:val="00647BBF"/>
    <w:rsid w:val="00651B65"/>
    <w:rsid w:val="0065263F"/>
    <w:rsid w:val="00654BAE"/>
    <w:rsid w:val="006620A4"/>
    <w:rsid w:val="0066514A"/>
    <w:rsid w:val="00694B27"/>
    <w:rsid w:val="00695B30"/>
    <w:rsid w:val="00697A31"/>
    <w:rsid w:val="006A0973"/>
    <w:rsid w:val="006A5DB9"/>
    <w:rsid w:val="006A6172"/>
    <w:rsid w:val="006B1681"/>
    <w:rsid w:val="006B375B"/>
    <w:rsid w:val="006B5F17"/>
    <w:rsid w:val="006C10DA"/>
    <w:rsid w:val="006D722F"/>
    <w:rsid w:val="006E1F35"/>
    <w:rsid w:val="00700E9D"/>
    <w:rsid w:val="00701C69"/>
    <w:rsid w:val="00704C69"/>
    <w:rsid w:val="00733E4A"/>
    <w:rsid w:val="007417AC"/>
    <w:rsid w:val="00741DC1"/>
    <w:rsid w:val="0074478C"/>
    <w:rsid w:val="00767D45"/>
    <w:rsid w:val="00777542"/>
    <w:rsid w:val="00781B2B"/>
    <w:rsid w:val="007834C9"/>
    <w:rsid w:val="007857FB"/>
    <w:rsid w:val="00790DD6"/>
    <w:rsid w:val="00792DEF"/>
    <w:rsid w:val="007936F7"/>
    <w:rsid w:val="007A5103"/>
    <w:rsid w:val="007A6619"/>
    <w:rsid w:val="007B2C77"/>
    <w:rsid w:val="007B3A82"/>
    <w:rsid w:val="007B6B46"/>
    <w:rsid w:val="007C3420"/>
    <w:rsid w:val="007C63F8"/>
    <w:rsid w:val="007E2AB6"/>
    <w:rsid w:val="00810C5D"/>
    <w:rsid w:val="00811D2E"/>
    <w:rsid w:val="00814C62"/>
    <w:rsid w:val="00854CC7"/>
    <w:rsid w:val="0086177C"/>
    <w:rsid w:val="00864D85"/>
    <w:rsid w:val="00890C6C"/>
    <w:rsid w:val="00891166"/>
    <w:rsid w:val="008A0301"/>
    <w:rsid w:val="008D4A23"/>
    <w:rsid w:val="008E296B"/>
    <w:rsid w:val="008F221B"/>
    <w:rsid w:val="008F75E1"/>
    <w:rsid w:val="00906613"/>
    <w:rsid w:val="009069ED"/>
    <w:rsid w:val="0091679F"/>
    <w:rsid w:val="009250E4"/>
    <w:rsid w:val="009504D6"/>
    <w:rsid w:val="00952437"/>
    <w:rsid w:val="009652A7"/>
    <w:rsid w:val="009672B6"/>
    <w:rsid w:val="00970C48"/>
    <w:rsid w:val="009764C1"/>
    <w:rsid w:val="00993E78"/>
    <w:rsid w:val="0099512E"/>
    <w:rsid w:val="009A160E"/>
    <w:rsid w:val="009A365F"/>
    <w:rsid w:val="009B028D"/>
    <w:rsid w:val="009B1242"/>
    <w:rsid w:val="009B5F77"/>
    <w:rsid w:val="009C16EA"/>
    <w:rsid w:val="009C5638"/>
    <w:rsid w:val="009C7492"/>
    <w:rsid w:val="009E10FC"/>
    <w:rsid w:val="009E28A9"/>
    <w:rsid w:val="00A00F0A"/>
    <w:rsid w:val="00A023B3"/>
    <w:rsid w:val="00A04E11"/>
    <w:rsid w:val="00A06E06"/>
    <w:rsid w:val="00A07B54"/>
    <w:rsid w:val="00A15DC8"/>
    <w:rsid w:val="00A170F0"/>
    <w:rsid w:val="00A2743D"/>
    <w:rsid w:val="00A37788"/>
    <w:rsid w:val="00A65B9E"/>
    <w:rsid w:val="00A70FD4"/>
    <w:rsid w:val="00A9472E"/>
    <w:rsid w:val="00A9486F"/>
    <w:rsid w:val="00A96F18"/>
    <w:rsid w:val="00A97640"/>
    <w:rsid w:val="00AA0F50"/>
    <w:rsid w:val="00AA1D8D"/>
    <w:rsid w:val="00AB600F"/>
    <w:rsid w:val="00AB74E6"/>
    <w:rsid w:val="00AC09BD"/>
    <w:rsid w:val="00AC1DA9"/>
    <w:rsid w:val="00AC6BD3"/>
    <w:rsid w:val="00AD5469"/>
    <w:rsid w:val="00AE3437"/>
    <w:rsid w:val="00AF213C"/>
    <w:rsid w:val="00AF3C44"/>
    <w:rsid w:val="00B00D1A"/>
    <w:rsid w:val="00B14911"/>
    <w:rsid w:val="00B20AFC"/>
    <w:rsid w:val="00B20B99"/>
    <w:rsid w:val="00B2256B"/>
    <w:rsid w:val="00B31CBF"/>
    <w:rsid w:val="00B330C9"/>
    <w:rsid w:val="00B3553E"/>
    <w:rsid w:val="00B47730"/>
    <w:rsid w:val="00B5765D"/>
    <w:rsid w:val="00B65437"/>
    <w:rsid w:val="00B737B0"/>
    <w:rsid w:val="00B82701"/>
    <w:rsid w:val="00B94CC0"/>
    <w:rsid w:val="00B96A03"/>
    <w:rsid w:val="00BA5568"/>
    <w:rsid w:val="00BB3C2E"/>
    <w:rsid w:val="00BB6A46"/>
    <w:rsid w:val="00BC1FB1"/>
    <w:rsid w:val="00BC2BC1"/>
    <w:rsid w:val="00BC67CF"/>
    <w:rsid w:val="00BD2C45"/>
    <w:rsid w:val="00BE221C"/>
    <w:rsid w:val="00BF451B"/>
    <w:rsid w:val="00BF4971"/>
    <w:rsid w:val="00C00024"/>
    <w:rsid w:val="00C01F3E"/>
    <w:rsid w:val="00C03C13"/>
    <w:rsid w:val="00C16E40"/>
    <w:rsid w:val="00C16F5C"/>
    <w:rsid w:val="00C215C8"/>
    <w:rsid w:val="00C24AFA"/>
    <w:rsid w:val="00C254AF"/>
    <w:rsid w:val="00C31F4E"/>
    <w:rsid w:val="00C34264"/>
    <w:rsid w:val="00C3648C"/>
    <w:rsid w:val="00C470C2"/>
    <w:rsid w:val="00C64583"/>
    <w:rsid w:val="00C65052"/>
    <w:rsid w:val="00C7359B"/>
    <w:rsid w:val="00C97C31"/>
    <w:rsid w:val="00CA5825"/>
    <w:rsid w:val="00CB0664"/>
    <w:rsid w:val="00CB0DE0"/>
    <w:rsid w:val="00CC27B0"/>
    <w:rsid w:val="00CD639F"/>
    <w:rsid w:val="00CD78D7"/>
    <w:rsid w:val="00CF2D14"/>
    <w:rsid w:val="00D05C6F"/>
    <w:rsid w:val="00D13CE0"/>
    <w:rsid w:val="00D25BE1"/>
    <w:rsid w:val="00D319AD"/>
    <w:rsid w:val="00D34993"/>
    <w:rsid w:val="00D42102"/>
    <w:rsid w:val="00D4578A"/>
    <w:rsid w:val="00D5724E"/>
    <w:rsid w:val="00D606FA"/>
    <w:rsid w:val="00D73CF3"/>
    <w:rsid w:val="00D77193"/>
    <w:rsid w:val="00D77E50"/>
    <w:rsid w:val="00D817E1"/>
    <w:rsid w:val="00D82DBE"/>
    <w:rsid w:val="00DA13C2"/>
    <w:rsid w:val="00DB6ED5"/>
    <w:rsid w:val="00DC11E3"/>
    <w:rsid w:val="00DC1FB9"/>
    <w:rsid w:val="00DD6469"/>
    <w:rsid w:val="00DD6B7E"/>
    <w:rsid w:val="00DE6DC6"/>
    <w:rsid w:val="00DF2DA2"/>
    <w:rsid w:val="00DF5A2D"/>
    <w:rsid w:val="00E01262"/>
    <w:rsid w:val="00E15D4B"/>
    <w:rsid w:val="00E210B8"/>
    <w:rsid w:val="00E21824"/>
    <w:rsid w:val="00E266D0"/>
    <w:rsid w:val="00E268AA"/>
    <w:rsid w:val="00E268C2"/>
    <w:rsid w:val="00E36DA2"/>
    <w:rsid w:val="00E423A9"/>
    <w:rsid w:val="00E46811"/>
    <w:rsid w:val="00E521E8"/>
    <w:rsid w:val="00E53353"/>
    <w:rsid w:val="00E54696"/>
    <w:rsid w:val="00E54DED"/>
    <w:rsid w:val="00E601F4"/>
    <w:rsid w:val="00E6231E"/>
    <w:rsid w:val="00E735E3"/>
    <w:rsid w:val="00EB28C3"/>
    <w:rsid w:val="00EE010A"/>
    <w:rsid w:val="00EE0931"/>
    <w:rsid w:val="00EE3828"/>
    <w:rsid w:val="00EE3F64"/>
    <w:rsid w:val="00EF29B3"/>
    <w:rsid w:val="00F02556"/>
    <w:rsid w:val="00F033BD"/>
    <w:rsid w:val="00F05CE4"/>
    <w:rsid w:val="00F10018"/>
    <w:rsid w:val="00F161EB"/>
    <w:rsid w:val="00F16E8B"/>
    <w:rsid w:val="00F17126"/>
    <w:rsid w:val="00F229D2"/>
    <w:rsid w:val="00F53028"/>
    <w:rsid w:val="00F623FB"/>
    <w:rsid w:val="00F75B16"/>
    <w:rsid w:val="00F7629E"/>
    <w:rsid w:val="00F913BA"/>
    <w:rsid w:val="00F92048"/>
    <w:rsid w:val="00F920CF"/>
    <w:rsid w:val="00FA7AF7"/>
    <w:rsid w:val="00FB5F03"/>
    <w:rsid w:val="00FC0D26"/>
    <w:rsid w:val="00FC1737"/>
    <w:rsid w:val="00FC2349"/>
    <w:rsid w:val="00FC5B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0B0649"/>
  <w14:defaultImageDpi w14:val="330"/>
  <w15:docId w15:val="{987A2FAE-A197-45FA-8DF8-1D516B67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Arial" w:hAnsi="Arial"/>
      <w:sz w:val="20"/>
      <w:lang w:val="en-GB"/>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ze">
    <w:name w:val="Revision"/>
    <w:hidden/>
    <w:uiPriority w:val="99"/>
    <w:semiHidden/>
    <w:rsid w:val="000D7F33"/>
    <w:pPr>
      <w:spacing w:after="0" w:line="240" w:lineRule="auto"/>
    </w:pPr>
    <w:rPr>
      <w:rFonts w:ascii="Arial" w:hAnsi="Arial"/>
      <w:sz w:val="20"/>
    </w:rPr>
  </w:style>
  <w:style w:type="paragraph" w:styleId="Normlnweb">
    <w:name w:val="Normal (Web)"/>
    <w:basedOn w:val="Normln"/>
    <w:uiPriority w:val="99"/>
    <w:semiHidden/>
    <w:unhideWhenUsed/>
    <w:rsid w:val="00484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9672B6"/>
  </w:style>
  <w:style w:type="character" w:customStyle="1" w:styleId="eop">
    <w:name w:val="eop"/>
    <w:basedOn w:val="Standardnpsmoodstavce"/>
    <w:rsid w:val="009672B6"/>
  </w:style>
  <w:style w:type="character" w:styleId="Hypertextovodkaz">
    <w:name w:val="Hyperlink"/>
    <w:basedOn w:val="Standardnpsmoodstavce"/>
    <w:uiPriority w:val="99"/>
    <w:unhideWhenUsed/>
    <w:rsid w:val="00814C62"/>
    <w:rPr>
      <w:color w:val="0000FF" w:themeColor="hyperlink"/>
      <w:u w:val="single"/>
    </w:rPr>
  </w:style>
  <w:style w:type="character" w:styleId="Nevyeenzmnka">
    <w:name w:val="Unresolved Mention"/>
    <w:basedOn w:val="Standardnpsmoodstavce"/>
    <w:uiPriority w:val="99"/>
    <w:semiHidden/>
    <w:unhideWhenUsed/>
    <w:rsid w:val="00814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rej.cirtek@czechoslovak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kotera@czechoslovakgrou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russell@czechoslovakgrou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r.czechoslovakgroup.com/en" TargetMode="External"/><Relationship Id="rId4" Type="http://schemas.openxmlformats.org/officeDocument/2006/relationships/settings" Target="settings.xml"/><Relationship Id="rId9" Type="http://schemas.openxmlformats.org/officeDocument/2006/relationships/hyperlink" Target="https://ir.czechoslovakgroup.com/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C8D0F-94CC-40D4-8EE8-BAF2537E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4623</Words>
  <Characters>27282</Characters>
  <Application>Microsoft Office Word</Application>
  <DocSecurity>0</DocSecurity>
  <Lines>227</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Macháček Roman</cp:lastModifiedBy>
  <cp:revision>7</cp:revision>
  <cp:lastPrinted>2026-03-20T17:30:00Z</cp:lastPrinted>
  <dcterms:created xsi:type="dcterms:W3CDTF">2026-03-25T17:37:00Z</dcterms:created>
  <dcterms:modified xsi:type="dcterms:W3CDTF">2026-03-26T06:08:00Z</dcterms:modified>
  <cp:category/>
</cp:coreProperties>
</file>