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AEDAS Homes closed 2018 with its gross margin reaching 29.8%</w:t>
      </w: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3">
      <w:pPr>
        <w:ind w:left="720" w:hanging="360"/>
        <w:jc w:val="center"/>
        <w:rPr>
          <w:rFonts w:ascii="Calibri" w:cs="Calibri" w:eastAsia="Calibri" w:hAnsi="Calibri"/>
          <w:b w:val="1"/>
          <w:sz w:val="24"/>
          <w:szCs w:val="2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rtl w:val="0"/>
        </w:rPr>
        <w:t xml:space="preserve">The residential developer exceeded the target published in its IPO prospectus by almost eight points</w:t>
      </w:r>
    </w:p>
    <w:p w:rsidR="00000000" w:rsidDel="00000000" w:rsidP="00000000" w:rsidRDefault="00000000" w:rsidRPr="00000000" w14:paraId="00000004">
      <w:p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5">
      <w:pPr>
        <w:ind w:left="720" w:hanging="36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rtl w:val="0"/>
        </w:rPr>
        <w:t xml:space="preserve">The company reported revenues of €79.8 million on the delivery of new-build homes and on sales of non-strategic land, with a gross margin of €23.8 million on these transactions</w:t>
      </w:r>
    </w:p>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b w:val="1"/>
          <w:rtl w:val="0"/>
        </w:rPr>
        <w:t xml:space="preserve">February 2018-</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b w:val="1"/>
            <w:u w:val="single"/>
            <w:rtl w:val="0"/>
          </w:rPr>
          <w:t xml:space="preserve">AEDAS Homes</w:t>
        </w:r>
      </w:hyperlink>
      <w:r w:rsidDel="00000000" w:rsidR="00000000" w:rsidRPr="00000000">
        <w:rPr>
          <w:rFonts w:ascii="Calibri" w:cs="Calibri" w:eastAsia="Calibri" w:hAnsi="Calibri"/>
          <w:rtl w:val="0"/>
        </w:rPr>
        <w:t xml:space="preserve">, a leading residential developer in Spain’s new real estate cycle, </w:t>
      </w:r>
      <w:r w:rsidDel="00000000" w:rsidR="00000000" w:rsidRPr="00000000">
        <w:rPr>
          <w:rFonts w:ascii="Calibri" w:cs="Calibri" w:eastAsia="Calibri" w:hAnsi="Calibri"/>
          <w:b w:val="1"/>
          <w:rtl w:val="0"/>
        </w:rPr>
        <w:t xml:space="preserve">closed out the 2018 fiscal year by confirming the gross margin that had been reached in recent months </w:t>
      </w:r>
      <w:r w:rsidDel="00000000" w:rsidR="00000000" w:rsidRPr="00000000">
        <w:rPr>
          <w:rFonts w:ascii="Calibri" w:cs="Calibri" w:eastAsia="Calibri" w:hAnsi="Calibri"/>
          <w:rtl w:val="0"/>
        </w:rPr>
        <w:t xml:space="preserve">and which was was higher than the target announced by the company at its IPO. In the 12-month period, the developer reported </w:t>
      </w:r>
      <w:r w:rsidDel="00000000" w:rsidR="00000000" w:rsidRPr="00000000">
        <w:rPr>
          <w:rFonts w:ascii="Calibri" w:cs="Calibri" w:eastAsia="Calibri" w:hAnsi="Calibri"/>
          <w:b w:val="1"/>
          <w:rtl w:val="0"/>
        </w:rPr>
        <w:t xml:space="preserve">total revenues of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rtl w:val="0"/>
        </w:rPr>
        <w:t xml:space="preserve">79.8 million, 106% more than at the end of 2017</w:t>
      </w:r>
      <w:r w:rsidDel="00000000" w:rsidR="00000000" w:rsidRPr="00000000">
        <w:rPr>
          <w:rFonts w:ascii="Calibri" w:cs="Calibri" w:eastAsia="Calibri" w:hAnsi="Calibri"/>
          <w:rtl w:val="0"/>
        </w:rPr>
        <w:t xml:space="preserve">, when it brought in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38.6 million.</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82% of the reported revenues in 2018 come from the </w:t>
      </w:r>
      <w:r w:rsidDel="00000000" w:rsidR="00000000" w:rsidRPr="00000000">
        <w:rPr>
          <w:rFonts w:ascii="Calibri" w:cs="Calibri" w:eastAsia="Calibri" w:hAnsi="Calibri"/>
          <w:b w:val="1"/>
          <w:rtl w:val="0"/>
        </w:rPr>
        <w:t xml:space="preserve">delivery of housing units</w:t>
      </w:r>
      <w:r w:rsidDel="00000000" w:rsidR="00000000" w:rsidRPr="00000000">
        <w:rPr>
          <w:rFonts w:ascii="Calibri" w:cs="Calibri" w:eastAsia="Calibri" w:hAnsi="Calibri"/>
          <w:rtl w:val="0"/>
        </w:rPr>
        <w:t xml:space="preserve"> (€65.6 million), with 18% coming from the </w:t>
      </w:r>
      <w:r w:rsidDel="00000000" w:rsidR="00000000" w:rsidRPr="00000000">
        <w:rPr>
          <w:rFonts w:ascii="Calibri" w:cs="Calibri" w:eastAsia="Calibri" w:hAnsi="Calibri"/>
          <w:b w:val="1"/>
          <w:rtl w:val="0"/>
        </w:rPr>
        <w:t xml:space="preserve">sale of non-strategic land </w:t>
      </w:r>
      <w:r w:rsidDel="00000000" w:rsidR="00000000" w:rsidRPr="00000000">
        <w:rPr>
          <w:rFonts w:ascii="Calibri" w:cs="Calibri" w:eastAsia="Calibri" w:hAnsi="Calibri"/>
          <w:rtl w:val="0"/>
        </w:rPr>
        <w:t xml:space="preserve">(€14.2 million). </w:t>
      </w:r>
      <w:r w:rsidDel="00000000" w:rsidR="00000000" w:rsidRPr="00000000">
        <w:rPr>
          <w:rFonts w:ascii="Calibri" w:cs="Calibri" w:eastAsia="Calibri" w:hAnsi="Calibri"/>
          <w:b w:val="1"/>
          <w:rtl w:val="0"/>
        </w:rPr>
        <w:t xml:space="preserve">The gross margin on these transactions was €23.8 million, or 29.8%, </w:t>
      </w:r>
      <w:r w:rsidDel="00000000" w:rsidR="00000000" w:rsidRPr="00000000">
        <w:rPr>
          <w:rFonts w:ascii="Calibri" w:cs="Calibri" w:eastAsia="Calibri" w:hAnsi="Calibri"/>
          <w:rtl w:val="0"/>
        </w:rPr>
        <w:t xml:space="preserve">a figure that is at the upper end of the estimated range published in its IPO prospectus in October 2017. The company thus beat its target gross margin, which was set at 22%.</w: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highlight w:val="yellow"/>
        </w:rPr>
      </w:pPr>
      <w:r w:rsidDel="00000000" w:rsidR="00000000" w:rsidRPr="00000000">
        <w:rPr>
          <w:rFonts w:ascii="Calibri" w:cs="Calibri" w:eastAsia="Calibri" w:hAnsi="Calibri"/>
          <w:rtl w:val="0"/>
        </w:rPr>
        <w:t xml:space="preserve">This figure confirms </w:t>
      </w:r>
      <w:r w:rsidDel="00000000" w:rsidR="00000000" w:rsidRPr="00000000">
        <w:rPr>
          <w:rFonts w:ascii="Calibri" w:cs="Calibri" w:eastAsia="Calibri" w:hAnsi="Calibri"/>
          <w:b w:val="1"/>
          <w:rtl w:val="0"/>
        </w:rPr>
        <w:t xml:space="preserve">AEDAS Homes as an attractive investment opportunity, an idea which is backed by the 13 brokerage firms</w:t>
      </w:r>
      <w:r w:rsidDel="00000000" w:rsidR="00000000" w:rsidRPr="00000000">
        <w:rPr>
          <w:rFonts w:ascii="Calibri" w:cs="Calibri" w:eastAsia="Calibri" w:hAnsi="Calibri"/>
          <w:rtl w:val="0"/>
        </w:rPr>
        <w:t xml:space="preserve"> that follow the company and the performance of its share; only</w:t>
      </w:r>
      <w:r w:rsidDel="00000000" w:rsidR="00000000" w:rsidRPr="00000000">
        <w:rPr>
          <w:rFonts w:ascii="Calibri" w:cs="Calibri" w:eastAsia="Calibri" w:hAnsi="Calibri"/>
          <w:rtl w:val="0"/>
        </w:rPr>
        <w:t xml:space="preserve"> two of these have issued a hold recommendation, and none have issued a recommendation to sell. </w:t>
      </w:r>
      <w:r w:rsidDel="00000000" w:rsidR="00000000" w:rsidRPr="00000000">
        <w:rPr>
          <w:rFonts w:ascii="Calibri" w:cs="Calibri" w:eastAsia="Calibri" w:hAnsi="Calibri"/>
          <w:rtl w:val="0"/>
        </w:rPr>
        <w:t xml:space="preserve">The estimates published by these firms, which include Goldman Sachs, Citi, UBS and Caixabank, reflect an average target share price of  €33.57. </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E">
      <w:pPr>
        <w:jc w:val="both"/>
        <w:rPr>
          <w:rFonts w:ascii="Calibri" w:cs="Calibri" w:eastAsia="Calibri" w:hAnsi="Calibri"/>
          <w:b w:val="1"/>
        </w:rPr>
      </w:pPr>
      <w:r w:rsidDel="00000000" w:rsidR="00000000" w:rsidRPr="00000000">
        <w:rPr>
          <w:rFonts w:ascii="Calibri" w:cs="Calibri" w:eastAsia="Calibri" w:hAnsi="Calibri"/>
          <w:b w:val="1"/>
          <w:rtl w:val="0"/>
        </w:rPr>
        <w:t xml:space="preserve">Consolidation of sales</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As of 31 December 2018, the company led by CEO David Martinez had sold a total of </w:t>
      </w:r>
      <w:r w:rsidDel="00000000" w:rsidR="00000000" w:rsidRPr="00000000">
        <w:rPr>
          <w:rFonts w:ascii="Calibri" w:cs="Calibri" w:eastAsia="Calibri" w:hAnsi="Calibri"/>
          <w:b w:val="1"/>
          <w:rtl w:val="0"/>
        </w:rPr>
        <w:t xml:space="preserve">1,908 units, with an estimated GDV of €703 million</w:t>
      </w:r>
      <w:r w:rsidDel="00000000" w:rsidR="00000000" w:rsidRPr="00000000">
        <w:rPr>
          <w:rFonts w:ascii="Calibri" w:cs="Calibri" w:eastAsia="Calibri" w:hAnsi="Calibri"/>
          <w:rtl w:val="0"/>
        </w:rPr>
        <w:t xml:space="preserve">. At the regional level, sales activity was heaviest in the Centre (34%), followed by Catalonia (22%), the East and Balearic Islands (20%), Andalucia (16%) and  Costa del Sol (8%). </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rPr>
      </w:pPr>
      <w:r w:rsidDel="00000000" w:rsidR="00000000" w:rsidRPr="00000000">
        <w:rPr>
          <w:rFonts w:ascii="Calibri" w:cs="Calibri" w:eastAsia="Calibri" w:hAnsi="Calibri"/>
          <w:rtl w:val="0"/>
        </w:rPr>
        <w:t xml:space="preserve">Over the course of 2018, the company accelerated its ramp-up phase and launched 2,265 new homes, with a GDV of €708 million. In total, </w:t>
      </w:r>
      <w:r w:rsidDel="00000000" w:rsidR="00000000" w:rsidRPr="00000000">
        <w:rPr>
          <w:rFonts w:ascii="Calibri" w:cs="Calibri" w:eastAsia="Calibri" w:hAnsi="Calibri"/>
          <w:b w:val="1"/>
          <w:rtl w:val="0"/>
        </w:rPr>
        <w:t xml:space="preserve">AEDAS Homes has put 4,038 units on the market since its start-up </w:t>
      </w:r>
    </w:p>
    <w:p w:rsidR="00000000" w:rsidDel="00000000" w:rsidP="00000000" w:rsidRDefault="00000000" w:rsidRPr="00000000" w14:paraId="0000001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b w:val="1"/>
          <w:rtl w:val="0"/>
        </w:rPr>
        <w:t xml:space="preserve">in 2017,</w:t>
      </w:r>
      <w:r w:rsidDel="00000000" w:rsidR="00000000" w:rsidRPr="00000000">
        <w:rPr>
          <w:rFonts w:ascii="Calibri" w:cs="Calibri" w:eastAsia="Calibri" w:hAnsi="Calibri"/>
          <w:rtl w:val="0"/>
        </w:rPr>
        <w:t xml:space="preserve"> with a total GDV of €1.485 billion. Furthermore, AEDAS Homes delivered a total of 231 units in 2018, meeting the target set out in its Business Plan.</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jc w:val="both"/>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u w:val="single"/>
          <w:rtl w:val="0"/>
        </w:rPr>
        <w:t xml:space="preserve">About AEDAS Homes</w:t>
      </w:r>
    </w:p>
    <w:p w:rsidR="00000000" w:rsidDel="00000000" w:rsidP="00000000" w:rsidRDefault="00000000" w:rsidRPr="00000000" w14:paraId="00000018">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The developer </w:t>
      </w:r>
      <w:r w:rsidDel="00000000" w:rsidR="00000000" w:rsidRPr="00000000">
        <w:rPr>
          <w:rFonts w:ascii="Calibri" w:cs="Calibri" w:eastAsia="Calibri" w:hAnsi="Calibri"/>
          <w:b w:val="1"/>
          <w:sz w:val="16"/>
          <w:szCs w:val="16"/>
          <w:rtl w:val="0"/>
        </w:rPr>
        <w:t xml:space="preserve">AEDAS Homes</w:t>
      </w:r>
      <w:r w:rsidDel="00000000" w:rsidR="00000000" w:rsidRPr="00000000">
        <w:rPr>
          <w:rFonts w:ascii="Calibri" w:cs="Calibri" w:eastAsia="Calibri" w:hAnsi="Calibri"/>
          <w:sz w:val="16"/>
          <w:szCs w:val="16"/>
          <w:rtl w:val="0"/>
        </w:rPr>
        <w:t xml:space="preserve"> became a listed company in Madrid on October 20, 2017, with a market capitalization of over €1.5 billion and is a</w:t>
      </w:r>
      <w:r w:rsidDel="00000000" w:rsidR="00000000" w:rsidRPr="00000000">
        <w:rPr>
          <w:rFonts w:ascii="Calibri" w:cs="Calibri" w:eastAsia="Calibri" w:hAnsi="Calibri"/>
          <w:b w:val="1"/>
          <w:sz w:val="16"/>
          <w:szCs w:val="16"/>
          <w:rtl w:val="0"/>
        </w:rPr>
        <w:t xml:space="preserve"> leader in the nation’s residential development industry.</w:t>
      </w:r>
      <w:r w:rsidDel="00000000" w:rsidR="00000000" w:rsidRPr="00000000">
        <w:rPr>
          <w:rFonts w:ascii="Calibri" w:cs="Calibri" w:eastAsia="Calibri" w:hAnsi="Calibri"/>
          <w:sz w:val="16"/>
          <w:szCs w:val="16"/>
          <w:rtl w:val="0"/>
        </w:rPr>
        <w:t xml:space="preserve"> The company plays a key role in the new cycle of the Spanish real estate sector, which must be marked by professionalism and adherence to rigorous standards.</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A">
      <w:pPr>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AEDAS Homes</w:t>
      </w:r>
      <w:r w:rsidDel="00000000" w:rsidR="00000000" w:rsidRPr="00000000">
        <w:rPr>
          <w:rFonts w:ascii="Calibri" w:cs="Calibri" w:eastAsia="Calibri" w:hAnsi="Calibri"/>
          <w:sz w:val="16"/>
          <w:szCs w:val="16"/>
          <w:rtl w:val="0"/>
        </w:rPr>
        <w:t xml:space="preserve"> has the highest-quality </w:t>
      </w:r>
      <w:r w:rsidDel="00000000" w:rsidR="00000000" w:rsidRPr="00000000">
        <w:rPr>
          <w:rFonts w:ascii="Calibri" w:cs="Calibri" w:eastAsia="Calibri" w:hAnsi="Calibri"/>
          <w:b w:val="1"/>
          <w:sz w:val="16"/>
          <w:szCs w:val="16"/>
          <w:rtl w:val="0"/>
        </w:rPr>
        <w:t xml:space="preserve">land bank</w:t>
      </w:r>
      <w:r w:rsidDel="00000000" w:rsidR="00000000" w:rsidRPr="00000000">
        <w:rPr>
          <w:rFonts w:ascii="Calibri" w:cs="Calibri" w:eastAsia="Calibri" w:hAnsi="Calibri"/>
          <w:sz w:val="16"/>
          <w:szCs w:val="16"/>
          <w:rtl w:val="0"/>
        </w:rPr>
        <w:t xml:space="preserve"> in Spain, according to analysts, since most of this land is classified as ready-to-build. The company has a portfolio with more than 1.5 million square meters to build over 14,500 homes in the nation’s key real estate markets and economic centres, and their surrounding areas: the Centre, Catalonia, the East &amp; Balearic Islands, Andalucía and Costa del Sol.</w:t>
      </w:r>
    </w:p>
    <w:p w:rsidR="00000000" w:rsidDel="00000000" w:rsidP="00000000" w:rsidRDefault="00000000" w:rsidRPr="00000000" w14:paraId="0000001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01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For more information:</w:t>
      </w:r>
    </w:p>
    <w:p w:rsidR="00000000" w:rsidDel="00000000" w:rsidP="00000000" w:rsidRDefault="00000000" w:rsidRPr="00000000" w14:paraId="0000001D">
      <w:pPr>
        <w:rPr>
          <w:rFonts w:ascii="Calibri" w:cs="Calibri" w:eastAsia="Calibri" w:hAnsi="Calibri"/>
          <w:color w:val="1155cc"/>
          <w:sz w:val="16"/>
          <w:szCs w:val="16"/>
          <w:u w:val="single"/>
        </w:rPr>
      </w:pPr>
      <w:r w:rsidDel="00000000" w:rsidR="00000000" w:rsidRPr="00000000">
        <w:fldChar w:fldCharType="begin"/>
        <w:instrText xml:space="preserve"> HYPERLINK "https://www.aedashomes.com/en" </w:instrText>
        <w:fldChar w:fldCharType="separate"/>
      </w:r>
      <w:r w:rsidDel="00000000" w:rsidR="00000000" w:rsidRPr="00000000">
        <w:rPr>
          <w:rFonts w:ascii="Calibri" w:cs="Calibri" w:eastAsia="Calibri" w:hAnsi="Calibri"/>
          <w:color w:val="1155cc"/>
          <w:sz w:val="16"/>
          <w:szCs w:val="16"/>
          <w:u w:val="single"/>
          <w:rtl w:val="0"/>
        </w:rPr>
        <w:t xml:space="preserve">https://www.aedashomes.com/en</w:t>
      </w:r>
    </w:p>
    <w:p w:rsidR="00000000" w:rsidDel="00000000" w:rsidP="00000000" w:rsidRDefault="00000000" w:rsidRPr="00000000" w14:paraId="0000001E">
      <w:pPr>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AEDAS Homes corporate video:</w:t>
      </w:r>
    </w:p>
    <w:p w:rsidR="00000000" w:rsidDel="00000000" w:rsidP="00000000" w:rsidRDefault="00000000" w:rsidRPr="00000000" w14:paraId="00000020">
      <w:pPr>
        <w:rPr>
          <w:rFonts w:ascii="Calibri" w:cs="Calibri" w:eastAsia="Calibri" w:hAnsi="Calibri"/>
          <w:color w:val="1155cc"/>
          <w:sz w:val="16"/>
          <w:szCs w:val="16"/>
          <w:u w:val="single"/>
        </w:rPr>
      </w:pPr>
      <w:r w:rsidDel="00000000" w:rsidR="00000000" w:rsidRPr="00000000">
        <w:fldChar w:fldCharType="begin"/>
        <w:instrText xml:space="preserve"> HYPERLINK "https://www.youtube.com/watch?v=kkyf0TgNmyY" </w:instrText>
        <w:fldChar w:fldCharType="separate"/>
      </w:r>
      <w:r w:rsidDel="00000000" w:rsidR="00000000" w:rsidRPr="00000000">
        <w:rPr>
          <w:rFonts w:ascii="Calibri" w:cs="Calibri" w:eastAsia="Calibri" w:hAnsi="Calibri"/>
          <w:color w:val="1155cc"/>
          <w:sz w:val="16"/>
          <w:szCs w:val="16"/>
          <w:u w:val="single"/>
          <w:rtl w:val="0"/>
        </w:rPr>
        <w:t xml:space="preserve">https://www.youtube.com/watch?v=kkyf0TgNmyY</w:t>
      </w:r>
    </w:p>
    <w:p w:rsidR="00000000" w:rsidDel="00000000" w:rsidP="00000000" w:rsidRDefault="00000000" w:rsidRPr="00000000" w14:paraId="00000021">
      <w:pPr>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Contact information:</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Tinkle Communications Agency</w:t>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Sarah Estébanez</w:t>
      </w:r>
    </w:p>
    <w:p w:rsidR="00000000" w:rsidDel="00000000" w:rsidP="00000000" w:rsidRDefault="00000000" w:rsidRPr="00000000" w14:paraId="00000028">
      <w:pPr>
        <w:jc w:val="both"/>
        <w:rPr>
          <w:rFonts w:ascii="Calibri" w:cs="Calibri" w:eastAsia="Calibri" w:hAnsi="Calibri"/>
          <w:color w:val="1155cc"/>
          <w:sz w:val="20"/>
          <w:szCs w:val="20"/>
        </w:rPr>
      </w:pPr>
      <w:r w:rsidDel="00000000" w:rsidR="00000000" w:rsidRPr="00000000">
        <w:rPr>
          <w:rFonts w:ascii="Calibri" w:cs="Calibri" w:eastAsia="Calibri" w:hAnsi="Calibri"/>
          <w:color w:val="1155cc"/>
          <w:sz w:val="20"/>
          <w:szCs w:val="20"/>
          <w:rtl w:val="0"/>
        </w:rPr>
        <w:t xml:space="preserve">sestebanez@tinkle.es</w:t>
      </w:r>
    </w:p>
    <w:p w:rsidR="00000000" w:rsidDel="00000000" w:rsidP="00000000" w:rsidRDefault="00000000" w:rsidRPr="00000000" w14:paraId="0000002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w:t>
      </w:r>
      <w:r w:rsidDel="00000000" w:rsidR="00000000" w:rsidRPr="00000000">
        <w:rPr>
          <w:rFonts w:ascii="Calibri" w:cs="Calibri" w:eastAsia="Calibri" w:hAnsi="Calibri"/>
          <w:sz w:val="20"/>
          <w:szCs w:val="20"/>
          <w:rtl w:val="0"/>
        </w:rPr>
        <w:t xml:space="preserve">ffice: +34 91 787 70 80</w:t>
      </w:r>
    </w:p>
    <w:p w:rsidR="00000000" w:rsidDel="00000000" w:rsidP="00000000" w:rsidRDefault="00000000" w:rsidRPr="00000000" w14:paraId="0000002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mobile: +34 636 62 80 41</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rFonts w:ascii="Calibri" w:cs="Calibri" w:eastAsia="Calibri" w:hAnsi="Calibri"/>
        <w:color w:val="66666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884310" cy="4524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4310" cy="452438"/>
                  </a:xfrm>
                  <a:prstGeom prst="rect"/>
                  <a:ln/>
                </pic:spPr>
              </pic:pic>
            </a:graphicData>
          </a:graphic>
        </wp:anchor>
      </w:drawing>
    </w:r>
  </w:p>
  <w:p w:rsidR="00000000" w:rsidDel="00000000" w:rsidP="00000000" w:rsidRDefault="00000000" w:rsidRPr="00000000" w14:paraId="0000002F">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color w:val="666666"/>
      </w:rPr>
    </w:pPr>
    <w:r w:rsidDel="00000000" w:rsidR="00000000" w:rsidRPr="00000000">
      <w:rPr>
        <w:rFonts w:ascii="Calibri" w:cs="Calibri" w:eastAsia="Calibri" w:hAnsi="Calibri"/>
        <w:color w:val="666666"/>
        <w:rtl w:val="0"/>
      </w:rPr>
      <w:t xml:space="preserve">                                                                                                                   </w:t>
    </w:r>
    <w:r w:rsidDel="00000000" w:rsidR="00000000" w:rsidRPr="00000000">
      <w:rPr>
        <w:rFonts w:ascii="Calibri" w:cs="Calibri" w:eastAsia="Calibri" w:hAnsi="Calibri"/>
        <w:b w:val="1"/>
        <w:color w:val="666666"/>
        <w:rtl w:val="0"/>
      </w:rPr>
      <w:t xml:space="preserve">PRESS RELEASE</w:t>
    </w:r>
  </w:p>
  <w:p w:rsidR="00000000" w:rsidDel="00000000" w:rsidP="00000000" w:rsidRDefault="00000000" w:rsidRPr="00000000" w14:paraId="00000031">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66666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edashomes.com/en"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